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4.1.0.0 -->
  <w:body>
    <w:tbl>
      <w:tblPr>
        <w:jc w:val="center"/>
        <w:tblLayout w:type="fixed"/>
        <w:tblCellMar>
          <w:top w:w="0" w:type="dxa"/>
          <w:left w:w="108" w:type="dxa"/>
          <w:bottom w:w="0" w:type="dxa"/>
          <w:right w:w="108" w:type="dxa"/>
        </w:tblCellMar>
      </w:tblPr>
      <w:tblGrid>
        <w:gridCol w:w="6804"/>
        <w:gridCol w:w="2268"/>
      </w:tblGrid>
      <w:tr>
        <w:tblPrEx>
          <w:jc w:val="center"/>
          <w:tblLayout w:type="fixed"/>
          <w:tblCellMar>
            <w:top w:w="0" w:type="dxa"/>
            <w:left w:w="108" w:type="dxa"/>
            <w:bottom w:w="0" w:type="dxa"/>
            <w:right w:w="108" w:type="dxa"/>
          </w:tblCellMar>
        </w:tblPrEx>
        <w:trPr>
          <w:trHeight w:hRule="exact" w:val="1417"/>
          <w:jc w:val="center"/>
        </w:trPr>
        <w:tc>
          <w:tcPr>
            <w:vAlign w:val="center"/>
          </w:tcPr>
          <w:p w:rsidR="00A77B3E">
            <w:pPr>
              <w:pStyle w:val="EPName"/>
            </w:pPr>
            <w:r>
              <w:t>Európai Parlament</w:t>
            </w:r>
          </w:p>
          <w:p>
            <w:pPr>
              <w:pStyle w:val="EPTerm"/>
            </w:pPr>
            <w:r>
              <w:t>2014-2019</w:t>
            </w:r>
          </w:p>
        </w:tc>
        <w:tc>
          <w:tcPr/>
          <w:p>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51.02pt;width:91.56pt">
                  <v:imagedata r:id="rId4" o:title=""/>
                </v:shape>
              </w:pict>
            </w:r>
          </w:p>
        </w:tc>
      </w:tr>
    </w:tbl>
    <w:p w:rsidR="00A77B3E">
      <w:pPr>
        <w:pStyle w:val="LineTop"/>
      </w:pPr>
    </w:p>
    <w:p>
      <w:pPr>
        <w:pStyle w:val="ZCommittee"/>
      </w:pPr>
      <w:r>
        <w:rPr>
          <w:rStyle w:val="HideTWBExt"/>
        </w:rPr>
        <w:t>&lt;</w:t>
      </w:r>
      <w:r>
        <w:rPr>
          <w:rStyle w:val="HideTWBExt"/>
        </w:rPr>
        <w:t>Commission</w:t>
      </w:r>
      <w:r>
        <w:rPr>
          <w:rStyle w:val="HideTWBExt"/>
        </w:rPr>
        <w:t>&gt;</w:t>
      </w:r>
      <w:r>
        <w:rPr>
          <w:rStyle w:val="HideTWBInt"/>
        </w:rPr>
        <w:t>{LIBE}</w:t>
      </w:r>
      <w:r>
        <w:t>Állampolgári Jogi, Bel- és Igazságügyi Bizottság</w:t>
      </w:r>
      <w:r>
        <w:rPr>
          <w:rStyle w:val="HideTWBExt"/>
        </w:rPr>
        <w:t>&lt;/</w:t>
      </w:r>
      <w:r>
        <w:rPr>
          <w:rStyle w:val="HideTWBExt"/>
        </w:rPr>
        <w:t>Commission</w:t>
      </w:r>
      <w:r>
        <w:rPr>
          <w:rStyle w:val="HideTWBExt"/>
        </w:rPr>
        <w:t>&gt;</w:t>
      </w:r>
    </w:p>
    <w:p>
      <w:pPr>
        <w:pStyle w:val="LineBottom"/>
      </w:pPr>
    </w:p>
    <w:p>
      <w:pPr>
        <w:pStyle w:val="RefProc"/>
      </w:pPr>
      <w:r>
        <w:rPr>
          <w:rStyle w:val="HideTWBExt"/>
        </w:rPr>
        <w:t>&lt;</w:t>
      </w:r>
      <w:r>
        <w:rPr>
          <w:rStyle w:val="HideTWBExt"/>
        </w:rPr>
        <w:t>RefProc</w:t>
      </w:r>
      <w:r>
        <w:rPr>
          <w:rStyle w:val="HideTWBExt"/>
        </w:rPr>
        <w:t>&gt;</w:t>
      </w:r>
      <w:r>
        <w:t>2016/0132</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(COD)</w:t>
      </w:r>
      <w:r>
        <w:rPr>
          <w:rStyle w:val="HideTWBExt"/>
        </w:rPr>
        <w:t>&lt;/</w:t>
      </w:r>
      <w:r>
        <w:rPr>
          <w:rStyle w:val="HideTWBExt"/>
        </w:rPr>
        <w:t>RefTypeProc</w:t>
      </w:r>
      <w:r>
        <w:rPr>
          <w:rStyle w:val="HideTWBExt"/>
        </w:rPr>
        <w:t>&gt;</w:t>
      </w:r>
    </w:p>
    <w:p>
      <w:pPr>
        <w:pStyle w:val="ZDate"/>
      </w:pPr>
      <w:r>
        <w:rPr>
          <w:rStyle w:val="HideTWBExt"/>
        </w:rPr>
        <w:t>&lt;</w:t>
      </w:r>
      <w:r>
        <w:rPr>
          <w:rStyle w:val="HideTWBExt"/>
        </w:rPr>
        <w:t>Date</w:t>
      </w:r>
      <w:r>
        <w:rPr>
          <w:rStyle w:val="HideTWBExt"/>
        </w:rPr>
        <w:t>&gt;</w:t>
      </w:r>
      <w:r>
        <w:rPr>
          <w:rStyle w:val="HideTWBInt"/>
        </w:rPr>
        <w:t>{</w:t>
      </w:r>
      <w:r>
        <w:rPr>
          <w:rStyle w:val="HideTWBInt"/>
        </w:rPr>
        <w:t>03/03/2017</w:t>
      </w:r>
      <w:r>
        <w:rPr>
          <w:rStyle w:val="HideTWBInt"/>
        </w:rPr>
        <w:t>}</w:t>
      </w:r>
      <w:r>
        <w:t>3.3.2017</w:t>
      </w:r>
      <w:r>
        <w:rPr>
          <w:rStyle w:val="HideTWBExt"/>
        </w:rPr>
        <w:t>&lt;/</w:t>
      </w:r>
      <w:r>
        <w:rPr>
          <w:rStyle w:val="HideTWBExt"/>
        </w:rPr>
        <w:t>Date</w:t>
      </w:r>
      <w:r>
        <w:rPr>
          <w:rStyle w:val="HideTWBExt"/>
        </w:rPr>
        <w:t>&gt;</w:t>
      </w:r>
    </w:p>
    <w:p>
      <w:pPr>
        <w:pStyle w:val="TypeDocAM"/>
      </w:pPr>
      <w:r>
        <w:rPr>
          <w:rStyle w:val="HideTWBExt"/>
        </w:rPr>
        <w:t>&lt;</w:t>
      </w:r>
      <w:r>
        <w:rPr>
          <w:rStyle w:val="HideTWBExt"/>
        </w:rPr>
        <w:t>TypeAM</w:t>
      </w:r>
      <w:r>
        <w:rPr>
          <w:rStyle w:val="HideTWBExt"/>
        </w:rPr>
        <w:t>&gt;</w:t>
      </w:r>
      <w:r>
        <w:t>MÓDOSÍTÁS:</w:t>
      </w:r>
      <w:r>
        <w:rPr>
          <w:rStyle w:val="HideTWBExt"/>
        </w:rPr>
        <w:t>&lt;/</w:t>
      </w:r>
      <w:r>
        <w:rPr>
          <w:rStyle w:val="HideTWBExt"/>
        </w:rPr>
        <w:t>TypeAM</w:t>
      </w:r>
      <w:r>
        <w:rPr>
          <w:rStyle w:val="HideTWBExt"/>
        </w:rPr>
        <w:t>&gt;</w:t>
      </w:r>
    </w:p>
    <w:p>
      <w:pPr>
        <w:pStyle w:val="NRAMS"/>
      </w:pPr>
      <w:r>
        <w:rPr>
          <w:rStyle w:val="HideTWBExt"/>
        </w:rPr>
        <w:t>&lt;</w:t>
      </w:r>
      <w:r>
        <w:rPr>
          <w:rStyle w:val="HideTWBExt"/>
        </w:rPr>
        <w:t>RangeAM</w:t>
      </w:r>
      <w:r>
        <w:rPr>
          <w:rStyle w:val="HideTWBExt"/>
        </w:rPr>
        <w:t>&gt;</w:t>
      </w:r>
      <w:r>
        <w:t>61</w:t>
      </w:r>
      <w:r>
        <w:t xml:space="preserve"> - </w:t>
      </w:r>
      <w:r>
        <w:t>271</w:t>
      </w:r>
      <w:r>
        <w:rPr>
          <w:rStyle w:val="HideTWBExt"/>
        </w:rPr>
        <w:t>&lt;/</w:t>
      </w:r>
      <w:r>
        <w:rPr>
          <w:rStyle w:val="HideTWBExt"/>
        </w:rPr>
        <w:t>RangeAM</w:t>
      </w:r>
      <w:r>
        <w:rPr>
          <w:rStyle w:val="HideTWBExt"/>
        </w:rPr>
        <w:t>&gt;</w:t>
      </w:r>
    </w:p>
    <w:p>
      <w:pPr>
        <w:pStyle w:val="CoverBold"/>
      </w:pPr>
      <w:r>
        <w:rPr>
          <w:rStyle w:val="HideTWBExt"/>
        </w:rPr>
        <w:t>&lt;</w:t>
      </w:r>
      <w:r>
        <w:rPr>
          <w:rStyle w:val="HideTWBExt"/>
        </w:rPr>
        <w:t>TitreType</w:t>
      </w:r>
      <w:r>
        <w:rPr>
          <w:rStyle w:val="HideTWBExt"/>
        </w:rPr>
        <w:t>&gt;</w:t>
      </w:r>
      <w:r>
        <w:t>Jelentéstervezet</w:t>
      </w:r>
      <w:r>
        <w:rPr>
          <w:rStyle w:val="HideTWBExt"/>
        </w:rPr>
        <w:t>&lt;/</w:t>
      </w:r>
      <w:r>
        <w:rPr>
          <w:rStyle w:val="HideTWBExt"/>
        </w:rPr>
        <w:t>TitreType</w:t>
      </w:r>
      <w:r>
        <w:rPr>
          <w:rStyle w:val="HideTWBExt"/>
        </w:rPr>
        <w:t>&gt;</w:t>
      </w:r>
    </w:p>
    <w:p>
      <w:pPr>
        <w:pStyle w:val="CoverBold"/>
      </w:pPr>
      <w:r>
        <w:rPr>
          <w:rStyle w:val="HideTWBExt"/>
        </w:rPr>
        <w:t>&lt;</w:t>
      </w:r>
      <w:r>
        <w:rPr>
          <w:rStyle w:val="HideTWBExt"/>
        </w:rPr>
        <w:t>Rapporteur</w:t>
      </w:r>
      <w:r>
        <w:rPr>
          <w:rStyle w:val="HideTWBExt"/>
        </w:rPr>
        <w:t>&gt;</w:t>
      </w:r>
      <w:r>
        <w:t>Monica Macovei</w:t>
      </w:r>
      <w:r>
        <w:rPr>
          <w:rStyle w:val="HideTWBExt"/>
        </w:rPr>
        <w:t>&lt;/</w:t>
      </w:r>
      <w:r>
        <w:rPr>
          <w:rStyle w:val="HideTWBExt"/>
        </w:rPr>
        <w:t>Rapporteur</w:t>
      </w:r>
      <w:r>
        <w:rPr>
          <w:rStyle w:val="HideTWBExt"/>
        </w:rPr>
        <w:t>&gt;</w:t>
      </w:r>
    </w:p>
    <w:p>
      <w:pPr>
        <w:pStyle w:val="Cover24"/>
      </w:pPr>
      <w:r>
        <w:t>(</w:t>
      </w:r>
      <w:r>
        <w:t>PE597.620v02-00</w:t>
      </w:r>
      <w:r>
        <w:t>)</w:t>
      </w:r>
    </w:p>
    <w:p>
      <w:pPr>
        <w:pStyle w:val="Cover24"/>
      </w:pPr>
      <w:r>
        <w:rPr>
          <w:rStyle w:val="HideTWBExt"/>
        </w:rPr>
        <w:t>&lt;</w:t>
      </w:r>
      <w:r>
        <w:rPr>
          <w:rStyle w:val="HideTWBExt"/>
        </w:rPr>
        <w:t>Titre</w:t>
      </w:r>
      <w:r>
        <w:rPr>
          <w:rStyle w:val="HideTWBExt"/>
        </w:rPr>
        <w:t>&gt;</w:t>
      </w:r>
      <w:r>
        <w:t>A 604/2013/EU rendelet hatékony alkalmazása érdekében az ujjnyomatok összehasonlítását, valamint a jogellenesen tartózkodó harmadik országbeli állampolgárok vagy hontalan személyek azonosítását szolgáló Eurodac létrehozása, továbbá a tagállamok bűnüldöző hatóságai és az Europol által az Eurodac-adatokkal való, bűnüldözési célú összehasonlítások kérelmezése (átdolgozás)</w:t>
      </w:r>
      <w:r>
        <w:rPr>
          <w:rStyle w:val="HideTWBExt"/>
        </w:rPr>
        <w:t>&lt;/</w:t>
      </w:r>
      <w:r>
        <w:rPr>
          <w:rStyle w:val="HideTWBExt"/>
        </w:rPr>
        <w:t>Titre</w:t>
      </w:r>
      <w:r>
        <w:rPr>
          <w:rStyle w:val="HideTWBExt"/>
        </w:rPr>
        <w:t>&gt;</w:t>
      </w:r>
    </w:p>
    <w:p>
      <w:pPr>
        <w:pStyle w:val="CoverNormal"/>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Cover24"/>
      </w:pPr>
      <w:r>
        <w:rPr>
          <w:rStyle w:val="HideTWBExt"/>
        </w:rPr>
        <w:t>&lt;</w:t>
      </w:r>
      <w:r>
        <w:rPr>
          <w:rStyle w:val="HideTWBExt"/>
        </w:rPr>
        <w:t>DocRef</w:t>
      </w:r>
      <w:r>
        <w:rPr>
          <w:rStyle w:val="HideTWBExt"/>
        </w:rPr>
        <w:t>&gt;</w:t>
      </w:r>
      <w:r>
        <w:t>(</w:t>
      </w:r>
      <w:r>
        <w:t>COM(2016)0272</w:t>
      </w:r>
      <w:r>
        <w:t xml:space="preserve"> – </w:t>
      </w:r>
      <w:r>
        <w:t>C8-0179/2016</w:t>
      </w:r>
      <w:r>
        <w:t xml:space="preserve"> – </w:t>
      </w:r>
      <w:r>
        <w:t>2016/0132(COD)</w:t>
      </w:r>
      <w:r>
        <w:t>)</w:t>
      </w:r>
      <w:r>
        <w:rPr>
          <w:rStyle w:val="HideTWBExt"/>
        </w:rPr>
        <w:t>&lt;/</w:t>
      </w:r>
      <w:r>
        <w:rPr>
          <w:rStyle w:val="HideTWBExt"/>
        </w:rPr>
        <w:t>DocRef</w:t>
      </w:r>
      <w:r>
        <w:rPr>
          <w:rStyle w:val="HideTWBExt"/>
        </w:rPr>
        <w:t>&gt;</w:t>
      </w:r>
    </w:p>
    <w:p>
      <w:r>
        <w:br w:type="page"/>
      </w:r>
      <w:r>
        <w:t>AM_Com_LegReport</w:t>
      </w:r>
    </w:p>
    <w:p>
      <w:pPr>
        <w:pStyle w:val="AMNumberTabs"/>
      </w:pPr>
      <w:r>
        <w:br w:type="page"/>
      </w:r>
      <w:r>
        <w:rPr>
          <w:rStyle w:val="HideTWBExt"/>
        </w:rPr>
        <w:t>&lt;</w:t>
      </w:r>
      <w:r>
        <w:rPr>
          <w:rStyle w:val="HideTWBExt"/>
        </w:rPr>
        <w:t>RepeatBlock-Amend</w:t>
      </w:r>
      <w:r>
        <w:rPr>
          <w:rStyle w:val="HideTWBExt"/>
        </w:rPr>
        <w:t>&gt;</w:t>
      </w: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61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bevezető hivatkozás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tekintettel az Európai Unió működéséről szóló szerződésre és különösen annak 78. cikke (2) bekezdése e) pontjára,</w:t>
            </w:r>
            <w:r>
              <w:rPr>
                <w:rFonts w:ascii="Times New Roman" w:eastAsia="Times New Roman" w:hAnsi="Times New Roman" w:cs="Times New Roman"/>
                <w:b/>
                <w:i/>
                <w:strike w:val="0"/>
                <w:color w:val="000000"/>
                <w:sz w:val="24"/>
                <w:highlight w:val="none"/>
                <w:u w:val="none" w:color="auto"/>
              </w:rPr>
              <w:t xml:space="preserve">  </w:t>
            </w:r>
            <w:r>
              <w:t>79. cikke (2) bekezdése c) pontjára,</w:t>
            </w:r>
            <w:r>
              <w:rPr>
                <w:rFonts w:ascii="Times New Roman" w:eastAsia="Times New Roman" w:hAnsi="Times New Roman" w:cs="Times New Roman"/>
                <w:b/>
                <w:i/>
                <w:strike w:val="0"/>
                <w:color w:val="000000"/>
                <w:sz w:val="24"/>
                <w:highlight w:val="none"/>
                <w:u w:val="none" w:color="auto"/>
              </w:rPr>
              <w:t xml:space="preserve">  </w:t>
            </w:r>
            <w:r>
              <w:t>87. cikke (2) bekezdése a) pontjára és 88. cikke (2) bekezdése a) pontjára,</w:t>
            </w:r>
          </w:p>
        </w:tc>
        <w:tc>
          <w:tcPr/>
          <w:p>
            <w:pPr>
              <w:pStyle w:val="Normal6"/>
            </w:pPr>
            <w:r>
              <w:t>tekintettel az Európai Unió működéséről szóló szerződésre és különösen annak 78. cikke (2) bekezdése</w:t>
            </w:r>
            <w:r>
              <w:rPr>
                <w:rFonts w:ascii="Times New Roman" w:eastAsia="Times New Roman" w:hAnsi="Times New Roman" w:cs="Times New Roman"/>
                <w:b/>
                <w:i/>
                <w:strike w:val="0"/>
                <w:color w:val="000000"/>
                <w:sz w:val="24"/>
                <w:highlight w:val="none"/>
                <w:u w:val="none" w:color="auto"/>
              </w:rPr>
              <w:t xml:space="preserve"> d) és</w:t>
            </w:r>
            <w:r>
              <w:t xml:space="preserve"> e) pontjára,</w:t>
            </w:r>
            <w:r>
              <w:rPr>
                <w:rFonts w:ascii="Times New Roman" w:eastAsia="Times New Roman" w:hAnsi="Times New Roman" w:cs="Times New Roman"/>
                <w:b/>
                <w:i/>
                <w:strike w:val="0"/>
                <w:color w:val="000000"/>
                <w:sz w:val="24"/>
                <w:highlight w:val="none"/>
                <w:u w:val="none" w:color="auto"/>
              </w:rPr>
              <w:t xml:space="preserve"> </w:t>
            </w:r>
            <w:r>
              <w:t>79. cikke (2) bekezdése c) pontjára,</w:t>
            </w:r>
            <w:r>
              <w:rPr>
                <w:rFonts w:ascii="Times New Roman" w:eastAsia="Times New Roman" w:hAnsi="Times New Roman" w:cs="Times New Roman"/>
                <w:b/>
                <w:i/>
                <w:strike w:val="0"/>
                <w:color w:val="000000"/>
                <w:sz w:val="24"/>
                <w:highlight w:val="none"/>
                <w:u w:val="none" w:color="auto"/>
              </w:rPr>
              <w:t xml:space="preserve"> </w:t>
            </w:r>
            <w:r>
              <w:t>87. cikke (2) bekezdése a) pontjára és 88. cikke (2) bekezdése a) pontjára,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Átdolgozás: Ez az uniós áttelepítési keretet létrehozó rendeletre irányuló javaslatra alkalmazandó jogalap. A kiegészítés azért szükséges, mert azt javasolják, hogy tartozzanak az Eurodac-rendelet hatálya alá azok a személyek, akik esetében a tagállamok az uniós áttelepítési keret létrehozására irányuló javaslat 10. cikkének (2) bekezdése szerint fontolják meg az áttelepítést.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62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Nadine Morano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 xml:space="preserve">A közös menekültpolitika – ideértve a közös európai menekültügyi rendszert is – lényeges alkotóelemét képezi az Európai Unió azon célkitűzésének, hogy fokozatosan létrehozza a szabadságon, a biztonságon és a jog érvényesülésén alapuló térségét, amely nyitva áll azok előtt, akik </w:t>
            </w:r>
            <w:r>
              <w:rPr>
                <w:rFonts w:ascii="Times New Roman" w:eastAsia="Times New Roman" w:hAnsi="Times New Roman" w:cs="Times New Roman"/>
                <w:b/>
                <w:i/>
                <w:strike w:val="0"/>
                <w:color w:val="000000"/>
                <w:sz w:val="24"/>
                <w:highlight w:val="none"/>
                <w:u w:val="none" w:color="auto"/>
              </w:rPr>
              <w:t>kényszerítő körülmények</w:t>
            </w:r>
            <w:r>
              <w:t xml:space="preserve"> miatt </w:t>
            </w:r>
            <w:r>
              <w:rPr>
                <w:rFonts w:ascii="Times New Roman" w:eastAsia="Times New Roman" w:hAnsi="Times New Roman" w:cs="Times New Roman"/>
                <w:b/>
                <w:i/>
                <w:strike w:val="0"/>
                <w:color w:val="000000"/>
                <w:sz w:val="24"/>
                <w:highlight w:val="none"/>
                <w:u w:val="none" w:color="auto"/>
              </w:rPr>
              <w:t>keresnek</w:t>
            </w:r>
            <w:r>
              <w:t xml:space="preserve"> nemzetközi védelmet az Unión belül.</w:t>
            </w:r>
          </w:p>
        </w:tc>
        <w:tc>
          <w:tcPr/>
          <w:p>
            <w:pPr>
              <w:pStyle w:val="Normal6"/>
            </w:pPr>
            <w:r>
              <w:t>(2)</w:t>
            </w:r>
            <w:r>
              <w:tab/>
            </w:r>
            <w:r>
              <w:t>A közös menekültpolitika – ideértve a közös európai menekültügyi rendszert is – lényeges alkotóelemét képezi az Európai Unió azon célkitűzésének, hogy fokozatosan létrehozza a szabadságon, a biztonságon és a jog érvényesülésén alapuló térségét, amely nyitva áll azok előtt, akik </w:t>
            </w:r>
            <w:r>
              <w:rPr>
                <w:rFonts w:ascii="Times New Roman" w:eastAsia="Times New Roman" w:hAnsi="Times New Roman" w:cs="Times New Roman"/>
                <w:b/>
                <w:i/>
                <w:strike w:val="0"/>
                <w:color w:val="000000"/>
                <w:sz w:val="24"/>
                <w:highlight w:val="none"/>
                <w:u w:val="none" w:color="auto"/>
              </w:rPr>
              <w:t>személyes helyzetük</w:t>
            </w:r>
            <w:r>
              <w:t xml:space="preserve"> miatt </w:t>
            </w:r>
            <w:r>
              <w:rPr>
                <w:rFonts w:ascii="Times New Roman" w:eastAsia="Times New Roman" w:hAnsi="Times New Roman" w:cs="Times New Roman"/>
                <w:b/>
                <w:i/>
                <w:strike w:val="0"/>
                <w:color w:val="000000"/>
                <w:sz w:val="24"/>
                <w:highlight w:val="none"/>
                <w:u w:val="none" w:color="auto"/>
              </w:rPr>
              <w:t>jogosultak</w:t>
            </w:r>
            <w:r>
              <w:t xml:space="preserve"> nemzetközi védelmet</w:t>
            </w:r>
            <w:r>
              <w:rPr>
                <w:rFonts w:ascii="Times New Roman" w:eastAsia="Times New Roman" w:hAnsi="Times New Roman" w:cs="Times New Roman"/>
                <w:b/>
                <w:i/>
                <w:strike w:val="0"/>
                <w:color w:val="000000"/>
                <w:sz w:val="24"/>
                <w:highlight w:val="none"/>
                <w:u w:val="none" w:color="auto"/>
              </w:rPr>
              <w:t xml:space="preserve"> keresni</w:t>
            </w:r>
            <w:r>
              <w:t xml:space="preserve"> az Unión belül.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 „kényszerítő körülmények” kifejezés túlságosan általános, és arra enged következtetni, hogy bármely (nem pontosan meghatározott) helyzet indokolhatja a nemzetközi védelmet. A nemzetközi védelem iránti kérelmek visszautasításának aránya (Franciaországban több mint 66% 2016-ban) azt mutatja, hogy a nemzetközi védelem útját sokszor illegális bevándorlás céljára használják, ami ellen hatékonyabb küzdelmet kell folytatnunk. Ezért ki kell jelenteni, hogy végső soron kizárólag a kérelmező (vagy családja) személyes helyzete alapján lehet nemzetközi védelem iránti érvényes kérelmet benyújtani.</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63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4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(4)</w:t>
            </w:r>
            <w:r>
              <w:tab/>
            </w:r>
            <w:r>
              <w:t>Az egy harmadik országbeli állampolgár vagy egy hontalan személy által a tagállamok egyikében benyújtott nemzetközi védelem iránti kérelem megvizsgálásáért felelős tagállam meghatározására vonatkozó feltételek és eljárási szabályok megállapításáról szóló (EU) […/…] rendelet</w:t>
            </w:r>
            <w:r>
              <w:rPr>
                <w:rStyle w:val="Sup"/>
              </w:rPr>
              <w:t>24</w:t>
            </w:r>
            <w:r>
              <w:t xml:space="preserve"> alkalmazása érdekében meg kell állapítani a nemzetközi védelmet kérelmező személyek és az Unió külső határainak jogellenes átlépése miatt letartóztatott személyek személyazonosságát. Az (EU) […/…] rendelet, és különösen annak [..] és [..] cikke hatékony alkalmazása érdekében kívánatos továbbá, hogy az egyes tagállamok számára lehetséges legyen annak ellenőrzése, hogy az adott tagállam területén jogszerűtlenül tartózkodó harmadik országbeli állampolgár vagy hontalan személy kért-e nemzetközi védelmet valamely másik tagállamban.</w:t>
            </w:r>
          </w:p>
        </w:tc>
        <w:tc>
          <w:tcPr/>
          <w:p>
            <w:pPr>
              <w:pStyle w:val="Normal6"/>
            </w:pPr>
            <w:r>
              <w:t>(4)</w:t>
            </w:r>
            <w:r>
              <w:tab/>
            </w:r>
            <w:r>
              <w:t>Az egy harmadik országbeli állampolgár vagy egy hontalan személy által a tagállamok egyikében benyújtott nemzetközi védelem iránti kérelem megvizsgálásáért felelős tagállam meghatározására vonatkozó feltételek és eljárási szabályok megállapításáról szóló (EU) […/…] rendelet</w:t>
            </w:r>
            <w:r>
              <w:rPr>
                <w:rFonts w:ascii="Times New Roman" w:eastAsia="Times New Roman" w:hAnsi="Times New Roman" w:cs="Times New Roman"/>
                <w:b/>
                <w:i/>
                <w:strike w:val="0"/>
                <w:color w:val="000000"/>
                <w:sz w:val="24"/>
                <w:highlight w:val="none"/>
                <w:u w:val="none" w:color="auto"/>
              </w:rPr>
              <w:t xml:space="preserve"> és az uniós áttelepítési keretet létrehozó XXX/XXX rendelet</w:t>
            </w:r>
            <w:r>
              <w:t xml:space="preserve"> alkalmazása érdekében meg kell állapítani a nemzetközi védelmet kérelmező személyek</w:t>
            </w:r>
            <w:r>
              <w:rPr>
                <w:rFonts w:ascii="Times New Roman" w:eastAsia="Times New Roman" w:hAnsi="Times New Roman" w:cs="Times New Roman"/>
                <w:b/>
                <w:i/>
                <w:strike w:val="0"/>
                <w:color w:val="000000"/>
                <w:sz w:val="24"/>
                <w:highlight w:val="none"/>
                <w:u w:val="none" w:color="auto"/>
              </w:rPr>
              <w:t>, azon személyek, akik esetében a tagállamok áttelepítési eljárást kívánnak indítani</w:t>
            </w:r>
            <w:r>
              <w:t xml:space="preserve"> és az Unió külső határainak jogellenes átlépése miatt letartóztatott személyek személyazonosságát</w:t>
            </w:r>
            <w:r>
              <w:rPr>
                <w:rStyle w:val="Sup"/>
              </w:rPr>
              <w:t>24</w:t>
            </w:r>
            <w:r>
              <w:t>. Az (EU) […/…] rendelet, és különösen annak [..] és [..] cikke hatékony alkalmazása érdekében kívánatos továbbá, hogy az egyes tagállamok számára lehetséges legyen annak ellenőrzése, hogy az adott tagállam területén jogszerűtlenül tartózkodó harmadik országbeli állampolgár vagy hontalan személy kért-e nemzetközi védelmet valamely másik tagállamban.</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
              </w:rPr>
              <w:t>24</w:t>
            </w:r>
            <w:r>
              <w:t xml:space="preserve"> </w:t>
            </w:r>
            <w:r>
              <w:t>Lásd e Hivatalos Lap 31. oldalát.</w:t>
            </w:r>
          </w:p>
        </w:tc>
        <w:tc>
          <w:tcPr/>
          <w:p>
            <w:pPr>
              <w:pStyle w:val="Normal6"/>
            </w:pPr>
            <w:r>
              <w:rPr>
                <w:rStyle w:val="Sup"/>
              </w:rPr>
              <w:t>24</w:t>
            </w:r>
            <w:r>
              <w:t xml:space="preserve"> </w:t>
            </w:r>
            <w:r>
              <w:t>Lásd e Hivatalos Lap 31. oldalát.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Átdolgozás: Az Eurodac céljai között meg kell említeni az uniós áttelepítési keretet létrehozó jövőbeli rendelet végrehajtását, hogy lehetővé váljon azon személyek nyilvántartásba vétele, akik esetében a tagállamok e rendelet 10. cikkének (2) bekezdése szerint áttelepítési eljárást kívánnak indítani.</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64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4 a preambulumbekezdés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(4a)</w:t>
            </w:r>
            <w:r>
              <w:tab/>
            </w:r>
            <w:r>
              <w:rPr>
                <w:rFonts w:ascii="Times New Roman" w:eastAsia="Times New Roman" w:hAnsi="Times New Roman" w:cs="Times New Roman"/>
                <w:b/>
                <w:i/>
                <w:strike w:val="0"/>
                <w:color w:val="000000"/>
                <w:sz w:val="24"/>
                <w:highlight w:val="none"/>
                <w:u w:val="none" w:color="auto"/>
              </w:rPr>
              <w:t>Az uniós áttelepítési keretet létrehozó XXX/XXX rendelet végrehajtása céljából valamennyi tagállamnak be kell jegyeznie az Eurodac-ba azon harmadik országbeli és hontalan személyekre vonatkozó információkat, akik esetében e rendelet 10. cikkének (2) bekezdésével összhangban áttelepítési eljárást kíván indítani.</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Átdolgozás: a rendelet áttelepítésről szóló 10. cikke előírja a tagállamok számára, hogy regisztrálják az általuk áttelepíteni kívánt személyek adatait, és tárolják azokat. Nincsen meghatározva, hogy milyen adatbázisba történik a regisztráció. Ezért javasoljuk, hogy a regisztráció közvetlenül az Eurodac-ba történjen, hogy ezekre az adatokra vonatkozhassanak az e rendelet által nyújtott garanciák, és a nemzetközi védelem egyéb kedvezményezettjeinek adataival azonos rendszerbe kerüljenek. Ez a regisztráció lehetővé teszi az áttelepítés szerinti tagállam meghatározását a továbbutazások ellenőrzése céljából, ahogyan ez a bizottsági javaslatban szerepel.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65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4 b preambulumbekezdés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(4b)</w:t>
            </w:r>
            <w:r>
              <w:tab/>
            </w:r>
            <w:r>
              <w:rPr>
                <w:rFonts w:ascii="Times New Roman" w:eastAsia="Times New Roman" w:hAnsi="Times New Roman" w:cs="Times New Roman"/>
                <w:b/>
                <w:i/>
                <w:strike w:val="0"/>
                <w:color w:val="000000"/>
                <w:sz w:val="24"/>
                <w:highlight w:val="none"/>
                <w:u w:val="none" w:color="auto"/>
              </w:rPr>
              <w:t>Az Eurodac-ba való bejegyzés célja annak biztosítása, hogy azon személyek, akik esetében egy tagállam áttelepítési eljárást kíván indítani, az adataik kezelése tekintetében a nemzetközi védelem iránti egyéb kérelmezőkre és annak egyéb kedvezményezettjeire alkalmazandókkal azonos szintű védelemben részesüljenek és azonos jogokkal rendelkezzenek. Ez lehetővé tenné a tagállamok számára annak ellenőrzését, hogy egy harmadik országbeli állampolgárt vagy hontalan személyt áttelepítettek-e már egy másik tagállamba a(z) XXX/XXX rendelet alapján. Amennyiben igen, meg lehet határozni az áttelepítés szerinti tagállamot, és nyomon lehet követni a továbbutazásokat.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Átdolgozás: a módosítás célja annak kifejtése, hogy miért kell az Eurodac-ba bejegyezni a(z) XXX/XXX rendelet alapján áttelepített személyek adatait.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66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5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(5)</w:t>
            </w:r>
            <w:r>
              <w:tab/>
            </w:r>
            <w:r>
              <w:rPr>
                <w:rFonts w:ascii="Times New Roman" w:eastAsia="Times New Roman" w:hAnsi="Times New Roman" w:cs="Times New Roman"/>
                <w:b/>
                <w:i/>
                <w:strike w:val="0"/>
                <w:color w:val="000000"/>
                <w:sz w:val="24"/>
                <w:highlight w:val="none"/>
                <w:u w:val="none" w:color="auto"/>
              </w:rPr>
              <w:t xml:space="preserve">A  biometrikus azonosítás  </w:t>
            </w:r>
            <w:r>
              <w:rPr>
                <w:rFonts w:ascii="Times New Roman" w:eastAsia="Times New Roman" w:hAnsi="Times New Roman" w:cs="Times New Roman"/>
                <w:b/>
                <w:i/>
                <w:strike w:val="0"/>
                <w:color w:val="000000"/>
                <w:sz w:val="24"/>
                <w:highlight w:val="none"/>
                <w:u w:val="none" w:color="auto"/>
              </w:rPr>
              <w:t>e</w:t>
            </w:r>
            <w:r>
              <w:t xml:space="preserve"> személyek </w:t>
            </w:r>
            <w:r>
              <w:rPr>
                <w:rFonts w:ascii="Times New Roman" w:eastAsia="Times New Roman" w:hAnsi="Times New Roman" w:cs="Times New Roman"/>
                <w:b/>
                <w:i/>
                <w:strike w:val="0"/>
                <w:color w:val="000000"/>
                <w:sz w:val="24"/>
                <w:highlight w:val="none"/>
                <w:u w:val="none" w:color="auto"/>
              </w:rPr>
              <w:t>pontos személyazonossága megállapításának lényeges eleme.</w:t>
            </w:r>
            <w:r>
              <w:t xml:space="preserve"> </w:t>
            </w:r>
            <w:r>
              <w:rPr>
                <w:rFonts w:ascii="Times New Roman" w:eastAsia="Times New Roman" w:hAnsi="Times New Roman" w:cs="Times New Roman"/>
                <w:b/>
                <w:i/>
                <w:strike w:val="0"/>
                <w:color w:val="000000"/>
                <w:sz w:val="24"/>
                <w:highlight w:val="none"/>
                <w:u w:val="none" w:color="auto"/>
              </w:rPr>
              <w:t>Létre</w:t>
            </w:r>
            <w:r>
              <w:t xml:space="preserve"> kell hozni a felvett ujjnyomatadatokat</w:t>
            </w:r>
            <w:r>
              <w:rPr>
                <w:rFonts w:ascii="Times New Roman" w:eastAsia="Times New Roman" w:hAnsi="Times New Roman" w:cs="Times New Roman"/>
                <w:b/>
                <w:i/>
                <w:strike w:val="0"/>
                <w:color w:val="000000"/>
                <w:sz w:val="24"/>
                <w:highlight w:val="none"/>
                <w:u w:val="none" w:color="auto"/>
              </w:rPr>
              <w:t xml:space="preserve">  </w:t>
            </w:r>
            <w:r>
              <w:t>és arcképmásokat</w:t>
            </w:r>
            <w:r>
              <w:rPr>
                <w:rFonts w:ascii="Times New Roman" w:eastAsia="Times New Roman" w:hAnsi="Times New Roman" w:cs="Times New Roman"/>
                <w:b/>
                <w:i/>
                <w:strike w:val="0"/>
                <w:color w:val="000000"/>
                <w:sz w:val="24"/>
                <w:highlight w:val="none"/>
                <w:u w:val="none" w:color="auto"/>
              </w:rPr>
              <w:t xml:space="preserve">  </w:t>
            </w:r>
            <w:r>
              <w:t>összehasonlító rendszert</w:t>
            </w:r>
            <w:r>
              <w:rPr>
                <w:rFonts w:ascii="Times New Roman" w:eastAsia="Times New Roman" w:hAnsi="Times New Roman" w:cs="Times New Roman"/>
                <w:b/>
                <w:i/>
                <w:strike w:val="0"/>
                <w:color w:val="000000"/>
                <w:sz w:val="24"/>
                <w:highlight w:val="none"/>
                <w:u w:val="none" w:color="auto"/>
              </w:rPr>
              <w:t>.</w:t>
            </w:r>
          </w:p>
        </w:tc>
        <w:tc>
          <w:tcPr/>
          <w:p>
            <w:pPr>
              <w:pStyle w:val="Normal6"/>
            </w:pPr>
            <w:r>
              <w:t>(5)</w:t>
            </w:r>
            <w:r>
              <w:tab/>
            </w:r>
            <w:r>
              <w:rPr>
                <w:rFonts w:ascii="Times New Roman" w:eastAsia="Times New Roman" w:hAnsi="Times New Roman" w:cs="Times New Roman"/>
                <w:b/>
                <w:i/>
                <w:strike w:val="0"/>
                <w:color w:val="000000"/>
                <w:sz w:val="24"/>
                <w:highlight w:val="none"/>
                <w:u w:val="none" w:color="auto"/>
              </w:rPr>
              <w:t>E</w:t>
            </w:r>
            <w:r>
              <w:t xml:space="preserve"> személyek </w:t>
            </w:r>
            <w:r>
              <w:rPr>
                <w:rFonts w:ascii="Times New Roman" w:eastAsia="Times New Roman" w:hAnsi="Times New Roman" w:cs="Times New Roman"/>
                <w:b/>
                <w:i/>
                <w:strike w:val="0"/>
                <w:color w:val="000000"/>
                <w:sz w:val="24"/>
                <w:highlight w:val="none"/>
                <w:u w:val="none" w:color="auto"/>
              </w:rPr>
              <w:t>nagy pontosságú azonosításának biztosítása érdekében</w:t>
            </w:r>
            <w:r>
              <w:t xml:space="preserve"> </w:t>
            </w:r>
            <w:r>
              <w:rPr>
                <w:rFonts w:ascii="Times New Roman" w:eastAsia="Times New Roman" w:hAnsi="Times New Roman" w:cs="Times New Roman"/>
                <w:b/>
                <w:i/>
                <w:strike w:val="0"/>
                <w:color w:val="000000"/>
                <w:sz w:val="24"/>
                <w:highlight w:val="none"/>
                <w:u w:val="none" w:color="auto"/>
              </w:rPr>
              <w:t>létre</w:t>
            </w:r>
            <w:r>
              <w:t xml:space="preserve"> kell hozni a felvett ujjnyomatadatokat</w:t>
            </w:r>
            <w:r>
              <w:rPr>
                <w:rFonts w:ascii="Times New Roman" w:eastAsia="Times New Roman" w:hAnsi="Times New Roman" w:cs="Times New Roman"/>
                <w:b/>
                <w:i/>
                <w:strike w:val="0"/>
                <w:color w:val="000000"/>
                <w:sz w:val="24"/>
                <w:highlight w:val="none"/>
                <w:u w:val="none" w:color="auto"/>
              </w:rPr>
              <w:t xml:space="preserve"> </w:t>
            </w:r>
            <w:r>
              <w:t>és arcképmásokat</w:t>
            </w:r>
            <w:r>
              <w:rPr>
                <w:rFonts w:ascii="Times New Roman" w:eastAsia="Times New Roman" w:hAnsi="Times New Roman" w:cs="Times New Roman"/>
                <w:b/>
                <w:i/>
                <w:strike w:val="0"/>
                <w:color w:val="000000"/>
                <w:sz w:val="24"/>
                <w:highlight w:val="none"/>
                <w:u w:val="none" w:color="auto"/>
              </w:rPr>
              <w:t xml:space="preserve"> </w:t>
            </w:r>
            <w:r>
              <w:t>összehasonlító rendszert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Az Eurodac fő célja a nyilvántartásba vétel, illetve az e rendelet három kategóriájába tartozó személyek nagy pontoságú (újra)azonosításának lehetővé tétele. Ezért ezt egyértelműsíteni kell, mint a szöveg egyik fő preambulumbekezdését.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67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5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(5)</w:t>
            </w:r>
            <w:r>
              <w:tab/>
            </w:r>
            <w:r>
              <w:t>A</w:t>
            </w:r>
            <w:r>
              <w:rPr>
                <w:rFonts w:ascii="Times New Roman" w:eastAsia="Times New Roman" w:hAnsi="Times New Roman" w:cs="Times New Roman"/>
                <w:b/>
                <w:i/>
                <w:strike w:val="0"/>
                <w:color w:val="000000"/>
                <w:sz w:val="24"/>
                <w:highlight w:val="none"/>
                <w:u w:val="none" w:color="auto"/>
              </w:rPr>
              <w:t xml:space="preserve">  </w:t>
            </w:r>
            <w:r>
              <w:t>biometrikus azonosítás</w:t>
            </w:r>
            <w:r>
              <w:rPr>
                <w:rFonts w:ascii="Times New Roman" w:eastAsia="Times New Roman" w:hAnsi="Times New Roman" w:cs="Times New Roman"/>
                <w:b/>
                <w:i/>
                <w:strike w:val="0"/>
                <w:color w:val="000000"/>
                <w:sz w:val="24"/>
                <w:highlight w:val="none"/>
                <w:u w:val="none" w:color="auto"/>
              </w:rPr>
              <w:t xml:space="preserve">  </w:t>
            </w:r>
            <w:r>
              <w:t>e személyek pontos személyazonossága megállapításának lényeges eleme. Létre kell hozni a felvett ujjnyomatadatokat</w:t>
            </w:r>
            <w:r>
              <w:rPr>
                <w:rFonts w:ascii="Times New Roman" w:eastAsia="Times New Roman" w:hAnsi="Times New Roman" w:cs="Times New Roman"/>
                <w:b/>
                <w:i/>
                <w:strike w:val="0"/>
                <w:color w:val="000000"/>
                <w:sz w:val="24"/>
                <w:highlight w:val="none"/>
                <w:u w:val="none" w:color="auto"/>
              </w:rPr>
              <w:t xml:space="preserve">  </w:t>
            </w:r>
            <w:r>
              <w:t>és arcképmásokat</w:t>
            </w:r>
            <w:r>
              <w:rPr>
                <w:rFonts w:ascii="Times New Roman" w:eastAsia="Times New Roman" w:hAnsi="Times New Roman" w:cs="Times New Roman"/>
                <w:b/>
                <w:i/>
                <w:strike w:val="0"/>
                <w:color w:val="000000"/>
                <w:sz w:val="24"/>
                <w:highlight w:val="none"/>
                <w:u w:val="none" w:color="auto"/>
              </w:rPr>
              <w:t xml:space="preserve">  </w:t>
            </w:r>
            <w:r>
              <w:t>összehasonlító rendszert.</w:t>
            </w:r>
          </w:p>
        </w:tc>
        <w:tc>
          <w:tcPr/>
          <w:p>
            <w:pPr>
              <w:pStyle w:val="Normal6"/>
            </w:pPr>
            <w:r>
              <w:t>(5)</w:t>
            </w:r>
            <w:r>
              <w:tab/>
            </w:r>
            <w:r>
              <w:t>A</w:t>
            </w:r>
            <w:r>
              <w:rPr>
                <w:rFonts w:ascii="Times New Roman" w:eastAsia="Times New Roman" w:hAnsi="Times New Roman" w:cs="Times New Roman"/>
                <w:b/>
                <w:i/>
                <w:strike w:val="0"/>
                <w:color w:val="000000"/>
                <w:sz w:val="24"/>
                <w:highlight w:val="none"/>
                <w:u w:val="none" w:color="auto"/>
              </w:rPr>
              <w:t xml:space="preserve"> </w:t>
            </w:r>
            <w:r>
              <w:t>biometrikus azonosítás</w:t>
            </w:r>
            <w:r>
              <w:rPr>
                <w:rFonts w:ascii="Times New Roman" w:eastAsia="Times New Roman" w:hAnsi="Times New Roman" w:cs="Times New Roman"/>
                <w:b/>
                <w:i/>
                <w:strike w:val="0"/>
                <w:color w:val="000000"/>
                <w:sz w:val="24"/>
                <w:highlight w:val="none"/>
                <w:u w:val="none" w:color="auto"/>
              </w:rPr>
              <w:t xml:space="preserve"> </w:t>
            </w:r>
            <w:r>
              <w:t>e személyek pontos személyazonossága megállapításának lényeges eleme. Létre kell hozni a felvett ujjnyomatadatokat</w:t>
            </w:r>
            <w:r>
              <w:rPr>
                <w:rFonts w:ascii="Times New Roman" w:eastAsia="Times New Roman" w:hAnsi="Times New Roman" w:cs="Times New Roman"/>
                <w:b/>
                <w:i/>
                <w:strike w:val="0"/>
                <w:color w:val="000000"/>
                <w:sz w:val="24"/>
                <w:highlight w:val="none"/>
                <w:u w:val="none" w:color="auto"/>
              </w:rPr>
              <w:t xml:space="preserve"> </w:t>
            </w:r>
            <w:r>
              <w:t>és arcképmásokat</w:t>
            </w:r>
            <w:r>
              <w:rPr>
                <w:rFonts w:ascii="Times New Roman" w:eastAsia="Times New Roman" w:hAnsi="Times New Roman" w:cs="Times New Roman"/>
                <w:b/>
                <w:i/>
                <w:strike w:val="0"/>
                <w:color w:val="000000"/>
                <w:sz w:val="24"/>
                <w:highlight w:val="none"/>
                <w:u w:val="none" w:color="auto"/>
              </w:rPr>
              <w:t xml:space="preserve"> vagy mindkettőt </w:t>
            </w:r>
            <w:r>
              <w:t>összehasonlító rendszert.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68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6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(6)</w:t>
            </w:r>
            <w:r>
              <w:tab/>
            </w:r>
            <w:r>
              <w:t>Ennek érdekében a Bizottságon belül létre kell hozni az úgynevezett Eurodac rendszert, amely egy központi rendszerből áll, az ujjnyomatadatok</w:t>
            </w:r>
            <w:r>
              <w:rPr>
                <w:rFonts w:ascii="Times New Roman" w:eastAsia="Times New Roman" w:hAnsi="Times New Roman" w:cs="Times New Roman"/>
                <w:b/>
                <w:i/>
                <w:strike w:val="0"/>
                <w:color w:val="000000"/>
                <w:sz w:val="24"/>
                <w:highlight w:val="none"/>
                <w:u w:val="none" w:color="auto"/>
              </w:rPr>
              <w:t xml:space="preserve">  </w:t>
            </w:r>
            <w:r>
              <w:t>és arcképmások</w:t>
            </w:r>
            <w:r>
              <w:rPr>
                <w:rFonts w:ascii="Times New Roman" w:eastAsia="Times New Roman" w:hAnsi="Times New Roman" w:cs="Times New Roman"/>
                <w:b/>
                <w:i/>
                <w:strike w:val="0"/>
                <w:color w:val="000000"/>
                <w:sz w:val="24"/>
                <w:highlight w:val="none"/>
                <w:u w:val="none" w:color="auto"/>
              </w:rPr>
              <w:t>  </w:t>
            </w:r>
            <w:r>
              <w:t>számítógépes központi adatbázisaként működik, továbbá a tagállamok és a központi rendszer közötti elektronikus adatátvitelt szolgálja (a továbbiakban: a kommunikációs infrastruktúra).</w:t>
            </w:r>
          </w:p>
        </w:tc>
        <w:tc>
          <w:tcPr/>
          <w:p>
            <w:pPr>
              <w:pStyle w:val="Normal6"/>
            </w:pPr>
            <w:r>
              <w:t>(6)</w:t>
            </w:r>
            <w:r>
              <w:tab/>
            </w:r>
            <w:r>
              <w:t>Ennek érdekében a Bizottságon belül létre kell hozni az úgynevezett Eurodac rendszert, amely egy központi rendszerből áll, az ujjnyomatadatok</w:t>
            </w:r>
            <w:r>
              <w:rPr>
                <w:rFonts w:ascii="Times New Roman" w:eastAsia="Times New Roman" w:hAnsi="Times New Roman" w:cs="Times New Roman"/>
                <w:b/>
                <w:i/>
                <w:strike w:val="0"/>
                <w:color w:val="000000"/>
                <w:sz w:val="24"/>
                <w:highlight w:val="none"/>
                <w:u w:val="none" w:color="auto"/>
              </w:rPr>
              <w:t xml:space="preserve"> </w:t>
            </w:r>
            <w:r>
              <w:t>és arcképmások</w:t>
            </w:r>
            <w:r>
              <w:rPr>
                <w:rFonts w:ascii="Times New Roman" w:eastAsia="Times New Roman" w:hAnsi="Times New Roman" w:cs="Times New Roman"/>
                <w:b/>
                <w:i/>
                <w:strike w:val="0"/>
                <w:color w:val="000000"/>
                <w:sz w:val="24"/>
                <w:highlight w:val="none"/>
                <w:u w:val="none" w:color="auto"/>
              </w:rPr>
              <w:t xml:space="preserve"> vagy mindkettő </w:t>
            </w:r>
            <w:r>
              <w:t>számítógépes központi adatbázisaként működik, továbbá a tagállamok és a központi rendszer közötti elektronikus adatátvitelt szolgálja (a továbbiakban: a kommunikációs infrastruktúra).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69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6 a preambulumbekezdés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(6a)</w:t>
            </w:r>
            <w:r>
              <w:tab/>
            </w:r>
            <w:r>
              <w:rPr>
                <w:rFonts w:ascii="Times New Roman" w:eastAsia="Times New Roman" w:hAnsi="Times New Roman" w:cs="Times New Roman"/>
                <w:b/>
                <w:i/>
                <w:strike w:val="0"/>
                <w:color w:val="000000"/>
                <w:sz w:val="24"/>
                <w:highlight w:val="none"/>
                <w:u w:val="none" w:color="auto"/>
              </w:rPr>
              <w:t> szabadságon, biztonságon és a jog érvényesülésén alapuló térség nagyméretű IT-rendszereinek üzemeltetési igazgatását végző európai ügynökségnek (eu-LISA) tanulmányt kell készítenie annak megállapítása érdekében, hogy harmonizálni kellene-e a különféle európai uniós bel-és igazságügyi adatbázisokban található biometrikus azonosító elemek kombinációit, valamint pontosabban, hogy az Eurodac-nak az azonosítást négy ujjnyomatra és egy arcképmásra kellene-e korlátoznia úgy, mint a(z) .../... európai parlamenti és tanácsi rendeletben meghatározott határregisztrációs rendszer.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Átdolgozás Harmonizálni kellene a különféle európai uniós bel- és igazságügyi adatbázisokban található biometrikus azonosító elemek kombinációit.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70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9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(9)</w:t>
            </w:r>
            <w:r>
              <w:tab/>
            </w:r>
            <w:r>
              <w:rPr>
                <w:rFonts w:ascii="Times New Roman" w:eastAsia="Times New Roman" w:hAnsi="Times New Roman" w:cs="Times New Roman"/>
                <w:b/>
                <w:i/>
                <w:strike w:val="0"/>
                <w:color w:val="000000"/>
                <w:sz w:val="24"/>
                <w:highlight w:val="none"/>
                <w:u w:val="none" w:color="auto"/>
              </w:rPr>
              <w:t xml:space="preserve">2015-ben a menekültügyi és migrációs előtérbe hozta, hogy egyes tagországok milyen kihívásokkal találkoztak, amikor ujjnyomatot kívántak venni azon jogellenesen tartózkodó harmadik országbeli állampolgároktól vagy hontalan személyektől, akik megpróbálták kikerülni a nemzetközi védelem iránti kérelem megvizsgálásáért felelős tagállam meghatározására vonatkozó eljárásokat. </w:t>
            </w:r>
            <w:r>
              <w:t>„Európai migrációs stratégia” című 2015. május 13-i közleményében</w:t>
            </w:r>
            <w:r>
              <w:rPr>
                <w:rStyle w:val="Sup"/>
              </w:rPr>
              <w:t>25</w:t>
            </w:r>
            <w:r>
              <w:t xml:space="preserve"> a Bizottság megjegyezte, hogy „A tagállamok ugyancsak kötelesek maradéktalanul végrehajtani a migránsok határokon történő ujjnyomatvételére vonatkozó szabályokat”, és javasolta továbbá, hogy „A Bizottság meg fogja vizsgálni, hogyan lehetne több biometrikus azonosítót használni az Eurodac rendszeren keresztül (például arcfelismerő technikák alkalmazása digitális fotókon)”.</w:t>
            </w:r>
          </w:p>
        </w:tc>
        <w:tc>
          <w:tcPr/>
          <w:p>
            <w:pPr>
              <w:pStyle w:val="Normal6"/>
            </w:pPr>
            <w:r>
              <w:t>(9)</w:t>
            </w:r>
            <w:r>
              <w:tab/>
            </w:r>
            <w:r>
              <w:t>„Európai migrációs stratégia” című 2015. május 13-i közleményében</w:t>
            </w:r>
            <w:r>
              <w:rPr>
                <w:rStyle w:val="Sup"/>
              </w:rPr>
              <w:t>25</w:t>
            </w:r>
            <w:r>
              <w:t xml:space="preserve"> a Bizottság megjegyezte, hogy „A tagállamok ugyancsak kötelesek maradéktalanul végrehajtani a migránsok határokon történő ujjnyomatvételére vonatkozó szabályokat”, és javasolta továbbá, hogy „A Bizottság meg fogja vizsgálni, hogyan lehetne több biometrikus azonosítót használni az Eurodac rendszeren keresztül (például arcfelismerő technikák alkalmazása digitális fotókon)”.</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
              </w:rPr>
              <w:t>25</w:t>
            </w:r>
            <w:r>
              <w:t xml:space="preserve"> </w:t>
            </w:r>
            <w:r>
              <w:t>COM(2015) 240</w:t>
            </w:r>
            <w:r>
              <w:rPr>
                <w:rFonts w:ascii="Times New Roman" w:eastAsia="Times New Roman" w:hAnsi="Times New Roman" w:cs="Times New Roman"/>
                <w:b/>
                <w:i/>
                <w:strike w:val="0"/>
                <w:color w:val="000000"/>
                <w:sz w:val="24"/>
                <w:highlight w:val="none"/>
                <w:u w:val="none" w:color="auto"/>
              </w:rPr>
              <w:t xml:space="preserve"> final</w:t>
            </w:r>
            <w:r>
              <w:t>, 2015.5.13.</w:t>
            </w:r>
          </w:p>
        </w:tc>
        <w:tc>
          <w:tcPr/>
          <w:p>
            <w:pPr>
              <w:pStyle w:val="Normal6"/>
            </w:pPr>
            <w:r>
              <w:rPr>
                <w:rStyle w:val="Sup"/>
              </w:rPr>
              <w:t>25</w:t>
            </w:r>
            <w:r>
              <w:t xml:space="preserve"> </w:t>
            </w:r>
            <w:r>
              <w:t>COM(2015) 240, 2015.5.13.</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71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10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(10)</w:t>
            </w:r>
            <w:r>
              <w:tab/>
            </w:r>
            <w:r>
              <w:t xml:space="preserve">E </w:t>
            </w:r>
            <w:r>
              <w:rPr>
                <w:rFonts w:ascii="Times New Roman" w:eastAsia="Times New Roman" w:hAnsi="Times New Roman" w:cs="Times New Roman"/>
                <w:b/>
                <w:i/>
                <w:strike w:val="0"/>
                <w:color w:val="000000"/>
                <w:sz w:val="24"/>
                <w:highlight w:val="none"/>
                <w:u w:val="none" w:color="auto"/>
              </w:rPr>
              <w:t>rendelet</w:t>
            </w:r>
            <w:r>
              <w:t xml:space="preserve"> – annak érdekében, hogy segítsen a tagállamoknak megbirkózni az ujjnyomatvétel nem teljesítésével kapcsolatos kihívásokkal – </w:t>
            </w:r>
            <w:r>
              <w:rPr>
                <w:rFonts w:ascii="Times New Roman" w:eastAsia="Times New Roman" w:hAnsi="Times New Roman" w:cs="Times New Roman"/>
                <w:b/>
                <w:i/>
                <w:strike w:val="0"/>
                <w:color w:val="000000"/>
                <w:sz w:val="24"/>
                <w:highlight w:val="none"/>
                <w:u w:val="none" w:color="auto"/>
              </w:rPr>
              <w:t>végső esetben lehetővé teszi az arcképmás ujjnyomat nélküli összehasonlítását is, amennyiben az ujjhegyek – akár szándékos – sérülése vagy amputálása miatt lehetetlen ujjnyomatot venni a harmadik országbeli állampolgártól vagy hontalan személytől. A tagállamoknak mindent meg kell próbálniuk annak érdekében, hogy az arcképmás összehasonlítása előtt ujjnyomatot vegyenek az érintettől, amennyiben az ujjnyomatvétel nem teljesítése az egyén ujjhegyeinek állapotától eltérő indokokkal függ össze. Az arcképmások és az ujjnyomatok együttes használata révén csökkenthető a regisztrált ujjnyomatok mennyisége, míg a személyazonosítás pontosságát tekintve az eredmény változatlan marad</w:t>
            </w:r>
            <w:r>
              <w:t>.</w:t>
            </w:r>
          </w:p>
        </w:tc>
        <w:tc>
          <w:tcPr/>
          <w:p>
            <w:pPr>
              <w:pStyle w:val="Normal6"/>
            </w:pPr>
            <w:r>
              <w:t>(10)</w:t>
            </w:r>
            <w:r>
              <w:tab/>
            </w:r>
            <w:r>
              <w:t xml:space="preserve">E </w:t>
            </w:r>
            <w:r>
              <w:rPr>
                <w:rFonts w:ascii="Times New Roman" w:eastAsia="Times New Roman" w:hAnsi="Times New Roman" w:cs="Times New Roman"/>
                <w:b/>
                <w:i/>
                <w:strike w:val="0"/>
                <w:color w:val="000000"/>
                <w:sz w:val="24"/>
                <w:highlight w:val="none"/>
                <w:u w:val="none" w:color="auto"/>
              </w:rPr>
              <w:t>rendeletet</w:t>
            </w:r>
            <w:r>
              <w:t xml:space="preserve"> – annak érdekében, hogy segítsen a tagállamoknak megbirkózni az ujjnyomatvétel nem teljesítésével kapcsolatos kihívásokkal – </w:t>
            </w:r>
            <w:r>
              <w:rPr>
                <w:rFonts w:ascii="Times New Roman" w:eastAsia="Times New Roman" w:hAnsi="Times New Roman" w:cs="Times New Roman"/>
                <w:b/>
                <w:i/>
                <w:strike w:val="0"/>
                <w:color w:val="000000"/>
                <w:sz w:val="24"/>
                <w:highlight w:val="none"/>
                <w:u w:val="none" w:color="auto"/>
              </w:rPr>
              <w:t>az Európai Unió Alapjogi Ügynöksége „Az Eurodac-nak való ujjnyomatadási kötelezettség alapjogi vonatkozásai” című, 2015. májusi stratégiai dokumentumában</w:t>
            </w:r>
            <w:r>
              <w:rPr>
                <w:rStyle w:val="SupBoldItalic"/>
              </w:rPr>
              <w:t>1a</w:t>
            </w:r>
            <w:r>
              <w:rPr>
                <w:rFonts w:ascii="Times New Roman" w:eastAsia="Times New Roman" w:hAnsi="Times New Roman" w:cs="Times New Roman"/>
                <w:b/>
                <w:i/>
                <w:strike w:val="0"/>
                <w:color w:val="000000"/>
                <w:sz w:val="24"/>
                <w:highlight w:val="none"/>
                <w:u w:val="none" w:color="auto"/>
              </w:rPr>
              <w:t xml:space="preserve"> meghatározott iránymutatásokkal összhangban kell végrehajtani</w:t>
            </w:r>
            <w:r>
              <w:t>.</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Style w:val="SupBoldItalic"/>
              </w:rPr>
              <w:t>1a</w:t>
            </w:r>
            <w:r>
              <w:t xml:space="preserve"> </w:t>
            </w:r>
            <w:r>
              <w:rPr>
                <w:rFonts w:ascii="Times New Roman" w:eastAsia="Times New Roman" w:hAnsi="Times New Roman" w:cs="Times New Roman"/>
                <w:b/>
                <w:i/>
                <w:strike w:val="0"/>
                <w:color w:val="000000"/>
                <w:sz w:val="24"/>
                <w:highlight w:val="none"/>
                <w:u w:val="none" w:color="auto"/>
              </w:rPr>
              <w:t>http://fra.europa.eu/sites/default/files/fra_uploads/fra-2015-fingerprinting-focus-paper_en.pdf</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72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10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(10)</w:t>
            </w:r>
            <w:r>
              <w:tab/>
            </w:r>
            <w:r>
              <w:rPr>
                <w:rFonts w:ascii="Times New Roman" w:eastAsia="Times New Roman" w:hAnsi="Times New Roman" w:cs="Times New Roman"/>
                <w:b/>
                <w:i/>
                <w:strike w:val="0"/>
                <w:color w:val="000000"/>
                <w:sz w:val="24"/>
                <w:highlight w:val="none"/>
                <w:u w:val="none" w:color="auto"/>
              </w:rPr>
              <w:t>E rendelet</w:t>
            </w:r>
            <w:r>
              <w:t xml:space="preserve"> – annak érdekében, hogy segítsen a tagállamoknak megbirkózni </w:t>
            </w:r>
            <w:r>
              <w:rPr>
                <w:rFonts w:ascii="Times New Roman" w:eastAsia="Times New Roman" w:hAnsi="Times New Roman" w:cs="Times New Roman"/>
                <w:b/>
                <w:i/>
                <w:strike w:val="0"/>
                <w:color w:val="000000"/>
                <w:sz w:val="24"/>
                <w:highlight w:val="none"/>
                <w:u w:val="none" w:color="auto"/>
              </w:rPr>
              <w:t>az ujjnyomatvétel nem teljesítésével kapcsolatos</w:t>
            </w:r>
            <w:r>
              <w:t xml:space="preserve"> kihívásokkal – </w:t>
            </w:r>
            <w:r>
              <w:rPr>
                <w:rFonts w:ascii="Times New Roman" w:eastAsia="Times New Roman" w:hAnsi="Times New Roman" w:cs="Times New Roman"/>
                <w:b/>
                <w:i/>
                <w:strike w:val="0"/>
                <w:color w:val="000000"/>
                <w:sz w:val="24"/>
                <w:highlight w:val="none"/>
                <w:u w:val="none" w:color="auto"/>
              </w:rPr>
              <w:t xml:space="preserve">végső esetben </w:t>
            </w:r>
            <w:r>
              <w:t xml:space="preserve">lehetővé </w:t>
            </w:r>
            <w:r>
              <w:rPr>
                <w:rFonts w:ascii="Times New Roman" w:eastAsia="Times New Roman" w:hAnsi="Times New Roman" w:cs="Times New Roman"/>
                <w:b/>
                <w:i/>
                <w:strike w:val="0"/>
                <w:color w:val="000000"/>
                <w:sz w:val="24"/>
                <w:highlight w:val="none"/>
                <w:u w:val="none" w:color="auto"/>
              </w:rPr>
              <w:t>teszi</w:t>
            </w:r>
            <w:r>
              <w:t xml:space="preserve"> az arcképmás ujjnyomat nélküli összehasonlítását is, amennyiben az </w:t>
            </w:r>
            <w:r>
              <w:rPr>
                <w:rFonts w:ascii="Times New Roman" w:eastAsia="Times New Roman" w:hAnsi="Times New Roman" w:cs="Times New Roman"/>
                <w:b/>
                <w:i/>
                <w:strike w:val="0"/>
                <w:color w:val="000000"/>
                <w:sz w:val="24"/>
                <w:highlight w:val="none"/>
                <w:u w:val="none" w:color="auto"/>
              </w:rPr>
              <w:t>ujjhegyek</w:t>
            </w:r>
            <w:r>
              <w:t xml:space="preserve"> – akár szándékos – sérülése vagy amputálása miatt lehetetlen ujjnyomatot venni a harmadik országbeli állampolgártól vagy hontalan személytől. A tagállamoknak mindent meg kell próbálniuk annak érdekében, hogy az arcképmás összehasonlítása előtt ujjnyomatot vegyenek az érintettől</w:t>
            </w:r>
            <w:r>
              <w:rPr>
                <w:rFonts w:ascii="Times New Roman" w:eastAsia="Times New Roman" w:hAnsi="Times New Roman" w:cs="Times New Roman"/>
                <w:b/>
                <w:i/>
                <w:strike w:val="0"/>
                <w:color w:val="000000"/>
                <w:sz w:val="24"/>
                <w:highlight w:val="none"/>
                <w:u w:val="none" w:color="auto"/>
              </w:rPr>
              <w:t>, amennyiben az ujjnyomatvétel nem teljesítése az egyén ujjhegyeinek állapotától eltérő indokokkal függ össze. Az arcképmások és az ujjnyomatok együttes használata révén csökkenthető a regisztrált ujjnyomatok mennyisége, míg a személyazonosítás pontosságát tekintve az eredmény változatlan marad</w:t>
            </w:r>
            <w:r>
              <w:t>.</w:t>
            </w:r>
          </w:p>
        </w:tc>
        <w:tc>
          <w:tcPr/>
          <w:p>
            <w:pPr>
              <w:pStyle w:val="Normal6"/>
            </w:pPr>
            <w:r>
              <w:t>(10)</w:t>
            </w:r>
            <w:r>
              <w:tab/>
            </w:r>
            <w:r>
              <w:rPr>
                <w:rFonts w:ascii="Times New Roman" w:eastAsia="Times New Roman" w:hAnsi="Times New Roman" w:cs="Times New Roman"/>
                <w:b/>
                <w:i/>
                <w:strike w:val="0"/>
                <w:color w:val="000000"/>
                <w:sz w:val="24"/>
                <w:highlight w:val="none"/>
                <w:u w:val="none" w:color="auto"/>
              </w:rPr>
              <w:t>A nagy pontosságú azonosítás érdekében az ujjnyomatokat mindig előnyben kell részesíteni az arcképmásokkal szemben. E rendeletnek</w:t>
            </w:r>
            <w:r>
              <w:t xml:space="preserve"> – annak érdekében, hogy segítsen a tagállamoknak megbirkózni </w:t>
            </w:r>
            <w:r>
              <w:rPr>
                <w:rFonts w:ascii="Times New Roman" w:eastAsia="Times New Roman" w:hAnsi="Times New Roman" w:cs="Times New Roman"/>
                <w:b/>
                <w:i/>
                <w:strike w:val="0"/>
                <w:color w:val="000000"/>
                <w:sz w:val="24"/>
                <w:highlight w:val="none"/>
                <w:u w:val="none" w:color="auto"/>
              </w:rPr>
              <w:t>a</w:t>
            </w:r>
            <w:r>
              <w:t xml:space="preserve"> kihívásokkal – lehetővé </w:t>
            </w:r>
            <w:r>
              <w:rPr>
                <w:rFonts w:ascii="Times New Roman" w:eastAsia="Times New Roman" w:hAnsi="Times New Roman" w:cs="Times New Roman"/>
                <w:b/>
                <w:i/>
                <w:strike w:val="0"/>
                <w:color w:val="000000"/>
                <w:sz w:val="24"/>
                <w:highlight w:val="none"/>
                <w:u w:val="none" w:color="auto"/>
              </w:rPr>
              <w:t>kell tennie</w:t>
            </w:r>
            <w:r>
              <w:t xml:space="preserve"> az arcképmás ujjnyomat nélküli </w:t>
            </w:r>
            <w:r>
              <w:rPr>
                <w:rFonts w:ascii="Times New Roman" w:eastAsia="Times New Roman" w:hAnsi="Times New Roman" w:cs="Times New Roman"/>
                <w:b/>
                <w:i/>
                <w:strike w:val="0"/>
                <w:color w:val="000000"/>
                <w:sz w:val="24"/>
                <w:highlight w:val="none"/>
                <w:u w:val="none" w:color="auto"/>
              </w:rPr>
              <w:t xml:space="preserve">nyilvántartásba vételét és </w:t>
            </w:r>
            <w:r>
              <w:t xml:space="preserve">összehasonlítását is, amennyiben az </w:t>
            </w:r>
            <w:r>
              <w:rPr>
                <w:rFonts w:ascii="Times New Roman" w:eastAsia="Times New Roman" w:hAnsi="Times New Roman" w:cs="Times New Roman"/>
                <w:b/>
                <w:i/>
                <w:strike w:val="0"/>
                <w:color w:val="000000"/>
                <w:sz w:val="24"/>
                <w:highlight w:val="none"/>
                <w:u w:val="none" w:color="auto"/>
              </w:rPr>
              <w:t>ujjbegyek</w:t>
            </w:r>
            <w:r>
              <w:t xml:space="preserve"> – akár szándékos – sérülése vagy amputálása miatt lehetetlen ujjnyomatot venni a harmadik országbeli állampolgártól vagy hontalan személytől. A tagállamoknak mindent meg kell próbálniuk annak érdekében, hogy az arcképmás összehasonlítása előtt ujjnyomatot vegyenek az érintettől.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73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Monika Hohlmeier</w:t>
      </w:r>
      <w:r>
        <w:t xml:space="preserve">, </w:t>
      </w:r>
      <w:r>
        <w:t>Heinz K. Becker</w:t>
      </w:r>
      <w:r>
        <w:t xml:space="preserve">, </w:t>
      </w:r>
      <w:r>
        <w:t>Rachida Dati</w:t>
      </w:r>
      <w:r>
        <w:t xml:space="preserve">, </w:t>
      </w:r>
      <w:r>
        <w:t>Brice Hortefeux</w:t>
      </w:r>
      <w:r>
        <w:t xml:space="preserve">, </w:t>
      </w:r>
      <w:r>
        <w:t>Artis Pabriks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10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(10)</w:t>
            </w:r>
            <w:r>
              <w:tab/>
            </w:r>
            <w:r>
              <w:t xml:space="preserve">E rendelet – annak érdekében, hogy segítsen a tagállamoknak megbirkózni az ujjnyomatvétel nem teljesítésével kapcsolatos kihívásokkal – végső esetben lehetővé teszi az arcképmás ujjnyomat nélküli összehasonlítását is, amennyiben az ujjhegyek – akár szándékos – sérülése vagy amputálása miatt lehetetlen ujjnyomatot venni a harmadik országbeli állampolgártól vagy hontalan személytől. A tagállamoknak mindent meg kell próbálniuk annak érdekében, hogy az arcképmás összehasonlítása előtt ujjnyomatot vegyenek az érintettől, amennyiben az ujjnyomatvétel nem teljesítése az egyén ujjhegyeinek állapotától eltérő indokokkal függ össze. Az arcképmások és az ujjnyomatok együttes használata révén </w:t>
            </w:r>
            <w:r>
              <w:rPr>
                <w:rFonts w:ascii="Times New Roman" w:eastAsia="Times New Roman" w:hAnsi="Times New Roman" w:cs="Times New Roman"/>
                <w:b/>
                <w:i/>
                <w:strike w:val="0"/>
                <w:color w:val="000000"/>
                <w:sz w:val="24"/>
                <w:highlight w:val="none"/>
                <w:u w:val="none" w:color="auto"/>
              </w:rPr>
              <w:t>csökkenthető</w:t>
            </w:r>
            <w:r>
              <w:t xml:space="preserve"> a regisztrált ujjnyomatok </w:t>
            </w:r>
            <w:r>
              <w:rPr>
                <w:rFonts w:ascii="Times New Roman" w:eastAsia="Times New Roman" w:hAnsi="Times New Roman" w:cs="Times New Roman"/>
                <w:b/>
                <w:i/>
                <w:strike w:val="0"/>
                <w:color w:val="000000"/>
                <w:sz w:val="24"/>
                <w:highlight w:val="none"/>
                <w:u w:val="none" w:color="auto"/>
              </w:rPr>
              <w:t>mennyisége, míg</w:t>
            </w:r>
            <w:r>
              <w:t xml:space="preserve"> a személyazonosítás pontosságát tekintve az eredmény változatlan marad.</w:t>
            </w:r>
          </w:p>
        </w:tc>
        <w:tc>
          <w:tcPr/>
          <w:p>
            <w:pPr>
              <w:pStyle w:val="Normal6"/>
            </w:pPr>
            <w:r>
              <w:t>(10)</w:t>
            </w:r>
            <w:r>
              <w:tab/>
            </w:r>
            <w:r>
              <w:t xml:space="preserve">E rendelet – annak érdekében, hogy segítsen a tagállamoknak megbirkózni az ujjnyomatvétel nem teljesítésével kapcsolatos kihívásokkal – végső esetben lehetővé teszi az arcképmás ujjnyomat nélküli összehasonlítását is, amennyiben az ujjhegyek – akár szándékos – sérülése vagy amputálása miatt lehetetlen ujjnyomatot venni a harmadik országbeli állampolgártól vagy hontalan személytől. </w:t>
            </w:r>
            <w:r>
              <w:rPr>
                <w:rFonts w:ascii="Times New Roman" w:eastAsia="Times New Roman" w:hAnsi="Times New Roman" w:cs="Times New Roman"/>
                <w:b/>
                <w:i/>
                <w:strike w:val="0"/>
                <w:color w:val="000000"/>
                <w:sz w:val="24"/>
                <w:highlight w:val="none"/>
                <w:u w:val="none" w:color="auto"/>
              </w:rPr>
              <w:t xml:space="preserve">Amennyiben az ujjnyomatvétel fizikailag lehetetlen és ez átmeneti állapot, akkor ezt rögzíteni kell és az ujjnyomatvételi eljárást egy későbbi időpontban kell folytatni, amikor az ujjhegyek épsége helyreállt. </w:t>
            </w:r>
            <w:r>
              <w:t>A tagállamoknak mindent meg kell próbálniuk annak érdekében, hogy az arcképmás összehasonlítása előtt ujjnyomatot vegyenek az érintettől, amennyiben az ujjnyomatvétel nem teljesítése az egyén ujjhegyeinek állapotától eltérő indokokkal függ össze. Az</w:t>
            </w:r>
            <w:r>
              <w:rPr>
                <w:rFonts w:ascii="Times New Roman" w:eastAsia="Times New Roman" w:hAnsi="Times New Roman" w:cs="Times New Roman"/>
                <w:b/>
                <w:i/>
                <w:strike w:val="0"/>
                <w:color w:val="000000"/>
                <w:sz w:val="24"/>
                <w:highlight w:val="none"/>
                <w:u w:val="none" w:color="auto"/>
              </w:rPr>
              <w:t xml:space="preserve"> automatizált biometrikus megfeleltetés céljára kielégítő felbontású és minőségű</w:t>
            </w:r>
            <w:r>
              <w:t xml:space="preserve"> arcképmások és az ujjnyomatok együttes használata révén </w:t>
            </w:r>
            <w:r>
              <w:rPr>
                <w:rFonts w:ascii="Times New Roman" w:eastAsia="Times New Roman" w:hAnsi="Times New Roman" w:cs="Times New Roman"/>
                <w:b/>
                <w:i/>
                <w:strike w:val="0"/>
                <w:color w:val="000000"/>
                <w:sz w:val="24"/>
                <w:highlight w:val="none"/>
                <w:u w:val="none" w:color="auto"/>
              </w:rPr>
              <w:t>lehetővé kell válnia annak, hogy megfontolják</w:t>
            </w:r>
            <w:r>
              <w:t xml:space="preserve"> a regisztrált ujjnyomatok </w:t>
            </w:r>
            <w:r>
              <w:rPr>
                <w:rFonts w:ascii="Times New Roman" w:eastAsia="Times New Roman" w:hAnsi="Times New Roman" w:cs="Times New Roman"/>
                <w:b/>
                <w:i/>
                <w:strike w:val="0"/>
                <w:color w:val="000000"/>
                <w:sz w:val="24"/>
                <w:highlight w:val="none"/>
                <w:u w:val="none" w:color="auto"/>
              </w:rPr>
              <w:t>mennyiségének csökkentését, feltéve, hogy ezáltal</w:t>
            </w:r>
            <w:r>
              <w:t xml:space="preserve"> a személyazonosítás pontosságát tekintve az eredmény változatlan marad.</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74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11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(11)</w:t>
            </w:r>
            <w:r>
              <w:tab/>
            </w:r>
            <w:r>
              <w:rPr>
                <w:rFonts w:ascii="Times New Roman" w:eastAsia="Times New Roman" w:hAnsi="Times New Roman" w:cs="Times New Roman"/>
                <w:b/>
                <w:i/>
                <w:strike w:val="0"/>
                <w:color w:val="000000"/>
                <w:sz w:val="24"/>
                <w:highlight w:val="none"/>
                <w:u w:val="none" w:color="auto"/>
              </w:rPr>
              <w:t>A menekültügy kezelésére irányuló átfogó erőfeszítések, és különösen az irreguláris migráció csökkentésére és eltántorítására irányuló erőfeszítések alapvető részét képezi az Unióban jogosulatlanul tartózkodó harmadik országbeli állampolgárok visszatérése, az uniós jog alapelveinek számító alapvető jogokkal, valamint a nemzetközi joggal – ideértve a menekültek védelmére vonatkozó és emberi jogi kötelezettségeket is – összhangban, valamint a 2008/115/EK</w:t>
            </w:r>
            <w:r>
              <w:rPr>
                <w:rStyle w:val="SupBoldItalic"/>
              </w:rPr>
              <w:t>26</w:t>
            </w:r>
            <w:r>
              <w:rPr>
                <w:rFonts w:ascii="Times New Roman" w:eastAsia="Times New Roman" w:hAnsi="Times New Roman" w:cs="Times New Roman"/>
                <w:b/>
                <w:i/>
                <w:strike w:val="0"/>
                <w:color w:val="000000"/>
                <w:sz w:val="24"/>
                <w:highlight w:val="none"/>
                <w:u w:val="none" w:color="auto"/>
              </w:rPr>
              <w:t xml:space="preserve"> irányelv rendelkezéseinek megfelelően. A jogellenesen tartózkodó harmadik országbeli állampolgárok visszatérését szolgáló uniós rendszert hatékonyabbá kell tenni ahhoz, hogy megmaradjon a polgárok uniós migrációs és menekültügyi rendszerbe vetett bizalma, és ezt a védelemre szorulók védelmét célzó erőfeszítésekkel egyidejűleg kell biztosítani.</w:t>
            </w:r>
          </w:p>
        </w:tc>
        <w:tc>
          <w:tcPr/>
          <w:p>
            <w:pPr>
              <w:pStyle w:val="Normal6"/>
            </w:pPr>
            <w:r>
              <w:rPr>
                <w:rFonts w:ascii="Times New Roman" w:eastAsia="Times New Roman" w:hAnsi="Times New Roman" w:cs="Times New Roman"/>
                <w:b/>
                <w:i/>
                <w:strike w:val="0"/>
                <w:color w:val="000000"/>
                <w:sz w:val="24"/>
                <w:highlight w:val="none"/>
                <w:u w:val="none" w:color="auto"/>
              </w:rPr>
              <w:t>törölve</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BoldItalic"/>
              </w:rPr>
              <w:t>26</w:t>
            </w:r>
            <w:r>
              <w:t xml:space="preserve"> </w:t>
            </w:r>
            <w:r>
              <w:rPr>
                <w:rFonts w:ascii="Times New Roman" w:eastAsia="Times New Roman" w:hAnsi="Times New Roman" w:cs="Times New Roman"/>
                <w:b/>
                <w:i/>
                <w:strike w:val="0"/>
                <w:color w:val="000000"/>
                <w:sz w:val="24"/>
                <w:highlight w:val="none"/>
                <w:u w:val="none" w:color="auto"/>
              </w:rPr>
              <w:t>Az Európai Parlament és a Tanács 2008. december 16-i irányelve a harmadik országok illegálisan tartózkodó állampolgárainak visszatérésével kapcsolatban a tagállamokban használt közös normákról és eljárásokról (HL L 348., 2008.12.24., 98. o.).</w:t>
            </w:r>
          </w:p>
        </w:tc>
        <w:tc>
          <w:tcPr/>
          <w:p>
            <w:pPr>
              <w:pStyle w:val="Normal6"/>
            </w:pP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75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11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(11)</w:t>
            </w:r>
            <w:r>
              <w:tab/>
            </w:r>
            <w:r>
              <w:t xml:space="preserve">A </w:t>
            </w:r>
            <w:r>
              <w:rPr>
                <w:rFonts w:ascii="Times New Roman" w:eastAsia="Times New Roman" w:hAnsi="Times New Roman" w:cs="Times New Roman"/>
                <w:b/>
                <w:i/>
                <w:strike w:val="0"/>
                <w:color w:val="000000"/>
                <w:sz w:val="24"/>
                <w:highlight w:val="none"/>
                <w:u w:val="none" w:color="auto"/>
              </w:rPr>
              <w:t>menekültügy kezelésére irányuló átfogó erőfeszítések, és különösen az irreguláris migráció csökkentésére és eltántorítására irányuló erőfeszítések</w:t>
            </w:r>
            <w:r>
              <w:t xml:space="preserve"> alapvető </w:t>
            </w:r>
            <w:r>
              <w:rPr>
                <w:rFonts w:ascii="Times New Roman" w:eastAsia="Times New Roman" w:hAnsi="Times New Roman" w:cs="Times New Roman"/>
                <w:b/>
                <w:i/>
                <w:strike w:val="0"/>
                <w:color w:val="000000"/>
                <w:sz w:val="24"/>
                <w:highlight w:val="none"/>
                <w:u w:val="none" w:color="auto"/>
              </w:rPr>
              <w:t>részét</w:t>
            </w:r>
            <w:r>
              <w:t xml:space="preserve"> képezi az Unióban jogosulatlanul tartózkodó harmadik országbeli állampolgárok visszatérése, az uniós jog alapelveinek számító alapvető jogokkal, valamint a nemzetközi joggal – ideértve a menekültek védelmére vonatkozó és emberi jogi kötelezettségeket is – összhangban, valamint a 2008/115/EK</w:t>
            </w:r>
            <w:r>
              <w:rPr>
                <w:rStyle w:val="Sup"/>
              </w:rPr>
              <w:t>26</w:t>
            </w:r>
            <w:r>
              <w:t xml:space="preserve"> irányelv rendelkezéseinek megfelelően. </w:t>
            </w:r>
            <w:r>
              <w:rPr>
                <w:rFonts w:ascii="Times New Roman" w:eastAsia="Times New Roman" w:hAnsi="Times New Roman" w:cs="Times New Roman"/>
                <w:b/>
                <w:i/>
                <w:strike w:val="0"/>
                <w:color w:val="000000"/>
                <w:sz w:val="24"/>
                <w:highlight w:val="none"/>
                <w:u w:val="none" w:color="auto"/>
              </w:rPr>
              <w:t>A</w:t>
            </w:r>
            <w:r>
              <w:t xml:space="preserve"> jogellenesen tartózkodó harmadik országbeli állampolgárok visszatérését szolgáló uniós </w:t>
            </w:r>
            <w:r>
              <w:rPr>
                <w:rFonts w:ascii="Times New Roman" w:eastAsia="Times New Roman" w:hAnsi="Times New Roman" w:cs="Times New Roman"/>
                <w:b/>
                <w:i/>
                <w:strike w:val="0"/>
                <w:color w:val="000000"/>
                <w:sz w:val="24"/>
                <w:highlight w:val="none"/>
                <w:u w:val="none" w:color="auto"/>
              </w:rPr>
              <w:t>rendszert</w:t>
            </w:r>
            <w:r>
              <w:t xml:space="preserve"> hatékonyabbá </w:t>
            </w:r>
            <w:r>
              <w:rPr>
                <w:rFonts w:ascii="Times New Roman" w:eastAsia="Times New Roman" w:hAnsi="Times New Roman" w:cs="Times New Roman"/>
                <w:b/>
                <w:i/>
                <w:strike w:val="0"/>
                <w:color w:val="000000"/>
                <w:sz w:val="24"/>
                <w:highlight w:val="none"/>
                <w:u w:val="none" w:color="auto"/>
              </w:rPr>
              <w:t>kell tenni</w:t>
            </w:r>
            <w:r>
              <w:t xml:space="preserve"> ahhoz, hogy megmaradjon a polgárok </w:t>
            </w:r>
            <w:r>
              <w:rPr>
                <w:rFonts w:ascii="Times New Roman" w:eastAsia="Times New Roman" w:hAnsi="Times New Roman" w:cs="Times New Roman"/>
                <w:b/>
                <w:i/>
                <w:strike w:val="0"/>
                <w:color w:val="000000"/>
                <w:sz w:val="24"/>
                <w:highlight w:val="none"/>
                <w:u w:val="none" w:color="auto"/>
              </w:rPr>
              <w:t>uniós migrációs és</w:t>
            </w:r>
            <w:r>
              <w:t xml:space="preserve"> menekültügyi rendszerbe vetett bizalma, </w:t>
            </w:r>
            <w:r>
              <w:rPr>
                <w:rFonts w:ascii="Times New Roman" w:eastAsia="Times New Roman" w:hAnsi="Times New Roman" w:cs="Times New Roman"/>
                <w:b/>
                <w:i/>
                <w:strike w:val="0"/>
                <w:color w:val="000000"/>
                <w:sz w:val="24"/>
                <w:highlight w:val="none"/>
                <w:u w:val="none" w:color="auto"/>
              </w:rPr>
              <w:t>és ezt</w:t>
            </w:r>
            <w:r>
              <w:t xml:space="preserve"> a védelemre szorulók </w:t>
            </w:r>
            <w:r>
              <w:rPr>
                <w:rFonts w:ascii="Times New Roman" w:eastAsia="Times New Roman" w:hAnsi="Times New Roman" w:cs="Times New Roman"/>
                <w:b/>
                <w:i/>
                <w:strike w:val="0"/>
                <w:color w:val="000000"/>
                <w:sz w:val="24"/>
                <w:highlight w:val="none"/>
                <w:u w:val="none" w:color="auto"/>
              </w:rPr>
              <w:t>védelmét célzó erőfeszítésekkel egyidejűleg kell biztosítani</w:t>
            </w:r>
            <w:r>
              <w:t>.</w:t>
            </w:r>
          </w:p>
        </w:tc>
        <w:tc>
          <w:tcPr/>
          <w:p>
            <w:pPr>
              <w:pStyle w:val="Normal6"/>
            </w:pPr>
            <w:r>
              <w:t>(11)</w:t>
            </w:r>
            <w:r>
              <w:tab/>
            </w:r>
            <w:r>
              <w:t>A </w:t>
            </w:r>
            <w:r>
              <w:rPr>
                <w:rFonts w:ascii="Times New Roman" w:eastAsia="Times New Roman" w:hAnsi="Times New Roman" w:cs="Times New Roman"/>
                <w:b/>
                <w:i/>
                <w:strike w:val="0"/>
                <w:color w:val="000000"/>
                <w:sz w:val="24"/>
                <w:highlight w:val="none"/>
                <w:u w:val="none" w:color="auto"/>
              </w:rPr>
              <w:t>többek között az irreguláris migráció csökkentését és eltántorítását célzó méltányos és hatékony közös európai menekültügyi rendszer</w:t>
            </w:r>
            <w:r>
              <w:t xml:space="preserve"> alapvető </w:t>
            </w:r>
            <w:r>
              <w:rPr>
                <w:rFonts w:ascii="Times New Roman" w:eastAsia="Times New Roman" w:hAnsi="Times New Roman" w:cs="Times New Roman"/>
                <w:b/>
                <w:i/>
                <w:strike w:val="0"/>
                <w:color w:val="000000"/>
                <w:sz w:val="24"/>
                <w:highlight w:val="none"/>
                <w:u w:val="none" w:color="auto"/>
              </w:rPr>
              <w:t>sarokkövét</w:t>
            </w:r>
            <w:r>
              <w:t xml:space="preserve"> képezi az Unióban jogosulatlanul tartózkodó harmadik országbeli állampolgárok visszatérése, az uniós jog alapelveinek számító alapvető jogokkal, valamint a nemzetközi joggal – ideértve a menekültek védelmére vonatkozó és emberi jogi kötelezettségeket is – összhangban, valamint a 2008/115/EK</w:t>
            </w:r>
            <w:r>
              <w:rPr>
                <w:rStyle w:val="Sup"/>
              </w:rPr>
              <w:t>26</w:t>
            </w:r>
            <w:r>
              <w:t xml:space="preserve"> irányelv rendelkezéseinek megfelelően. </w:t>
            </w:r>
            <w:r>
              <w:rPr>
                <w:rFonts w:ascii="Times New Roman" w:eastAsia="Times New Roman" w:hAnsi="Times New Roman" w:cs="Times New Roman"/>
                <w:b/>
                <w:i/>
                <w:strike w:val="0"/>
                <w:color w:val="000000"/>
                <w:sz w:val="24"/>
                <w:highlight w:val="none"/>
                <w:u w:val="none" w:color="auto"/>
              </w:rPr>
              <w:t>Szükséges a</w:t>
            </w:r>
            <w:r>
              <w:t xml:space="preserve"> jogellenesen tartózkodó harmadik országbeli állampolgárok visszatérését szolgáló uniós </w:t>
            </w:r>
            <w:r>
              <w:rPr>
                <w:rFonts w:ascii="Times New Roman" w:eastAsia="Times New Roman" w:hAnsi="Times New Roman" w:cs="Times New Roman"/>
                <w:b/>
                <w:i/>
                <w:strike w:val="0"/>
                <w:color w:val="000000"/>
                <w:sz w:val="24"/>
                <w:highlight w:val="none"/>
                <w:u w:val="none" w:color="auto"/>
              </w:rPr>
              <w:t>rendszer</w:t>
            </w:r>
            <w:r>
              <w:t xml:space="preserve"> hatékonyabbá </w:t>
            </w:r>
            <w:r>
              <w:rPr>
                <w:rFonts w:ascii="Times New Roman" w:eastAsia="Times New Roman" w:hAnsi="Times New Roman" w:cs="Times New Roman"/>
                <w:b/>
                <w:i/>
                <w:strike w:val="0"/>
                <w:color w:val="000000"/>
                <w:sz w:val="24"/>
                <w:highlight w:val="none"/>
                <w:u w:val="none" w:color="auto"/>
              </w:rPr>
              <w:t>tétele</w:t>
            </w:r>
            <w:r>
              <w:t xml:space="preserve"> ahhoz, hogy megmaradjon a polgárok </w:t>
            </w:r>
            <w:r>
              <w:rPr>
                <w:rFonts w:ascii="Times New Roman" w:eastAsia="Times New Roman" w:hAnsi="Times New Roman" w:cs="Times New Roman"/>
                <w:b/>
                <w:i/>
                <w:strike w:val="0"/>
                <w:color w:val="000000"/>
                <w:sz w:val="24"/>
                <w:highlight w:val="none"/>
                <w:u w:val="none" w:color="auto"/>
              </w:rPr>
              <w:t>közös európai</w:t>
            </w:r>
            <w:r>
              <w:t xml:space="preserve"> menekültügyi rendszerbe vetett bizalma, </w:t>
            </w:r>
            <w:r>
              <w:rPr>
                <w:rFonts w:ascii="Times New Roman" w:eastAsia="Times New Roman" w:hAnsi="Times New Roman" w:cs="Times New Roman"/>
                <w:b/>
                <w:i/>
                <w:strike w:val="0"/>
                <w:color w:val="000000"/>
                <w:sz w:val="24"/>
                <w:highlight w:val="none"/>
                <w:u w:val="none" w:color="auto"/>
              </w:rPr>
              <w:t>mely</w:t>
            </w:r>
            <w:r>
              <w:t xml:space="preserve"> a védelemre szorulók </w:t>
            </w:r>
            <w:r>
              <w:rPr>
                <w:rFonts w:ascii="Times New Roman" w:eastAsia="Times New Roman" w:hAnsi="Times New Roman" w:cs="Times New Roman"/>
                <w:b/>
                <w:i/>
                <w:strike w:val="0"/>
                <w:color w:val="000000"/>
                <w:sz w:val="24"/>
                <w:highlight w:val="none"/>
                <w:u w:val="none" w:color="auto"/>
              </w:rPr>
              <w:t>védelmére vonatkozó kötelezettségnek való megfelelés szempontjából alapvető fontosságú</w:t>
            </w:r>
            <w:r>
              <w:t>.</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
              </w:rPr>
              <w:t>26</w:t>
            </w:r>
            <w:r>
              <w:t xml:space="preserve"> </w:t>
            </w:r>
            <w:r>
              <w:t>Az Európai Parlament és a Tanács 2008. december 16-i irányelve a harmadik országok illegálisan tartózkodó állampolgárainak visszatérésével kapcsolatban a tagállamokban használt közös normákról és eljárásokról (HL L 348., 2008.12.24., 98. o.).</w:t>
            </w:r>
          </w:p>
        </w:tc>
        <w:tc>
          <w:tcPr/>
          <w:p>
            <w:pPr>
              <w:pStyle w:val="Normal6"/>
            </w:pPr>
            <w:r>
              <w:rPr>
                <w:rStyle w:val="Sup"/>
              </w:rPr>
              <w:t>26</w:t>
            </w:r>
            <w:r>
              <w:t xml:space="preserve"> </w:t>
            </w:r>
            <w:r>
              <w:t>Az Európai Parlament és a Tanács 2008. december 16-i irányelve a harmadik országok illegálisan tartózkodó állampolgárainak visszatérésével kapcsolatban a tagállamokban használt közös normákról és eljárásokról (HL L 348., 2008.12.24., 98. 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76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Nadine Morano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11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(11)</w:t>
            </w:r>
            <w:r>
              <w:tab/>
            </w:r>
            <w:r>
              <w:t>A menekültügy kezelésére irányuló átfogó erőfeszítések, és különösen az irreguláris migráció csökkentésére és eltántorítására irányuló erőfeszítések alapvető részét képezi az Unióban jogosulatlanul tartózkodó harmadik országbeli állampolgárok visszatérése, az uniós jog alapelveinek számító alapvető jogokkal, valamint a nemzetközi joggal – ideértve a menekültek védelmére vonatkozó és emberi jogi kötelezettségeket is – összhangban, valamint a 2008/115/EK</w:t>
            </w:r>
            <w:r>
              <w:rPr>
                <w:rStyle w:val="Sup"/>
              </w:rPr>
              <w:t>26</w:t>
            </w:r>
            <w:r>
              <w:t xml:space="preserve"> irányelv rendelkezéseinek megfelelően. </w:t>
            </w:r>
            <w:r>
              <w:rPr>
                <w:rFonts w:ascii="Times New Roman" w:eastAsia="Times New Roman" w:hAnsi="Times New Roman" w:cs="Times New Roman"/>
                <w:b/>
                <w:i/>
                <w:strike w:val="0"/>
                <w:color w:val="000000"/>
                <w:sz w:val="24"/>
                <w:highlight w:val="none"/>
                <w:u w:val="none" w:color="auto"/>
              </w:rPr>
              <w:t>A</w:t>
            </w:r>
            <w:r>
              <w:t xml:space="preserve"> jogellenesen tartózkodó harmadik országbeli állampolgárok visszatérését szolgáló uniós </w:t>
            </w:r>
            <w:r>
              <w:rPr>
                <w:rFonts w:ascii="Times New Roman" w:eastAsia="Times New Roman" w:hAnsi="Times New Roman" w:cs="Times New Roman"/>
                <w:b/>
                <w:i/>
                <w:strike w:val="0"/>
                <w:color w:val="000000"/>
                <w:sz w:val="24"/>
                <w:highlight w:val="none"/>
                <w:u w:val="none" w:color="auto"/>
              </w:rPr>
              <w:t>rendszert</w:t>
            </w:r>
            <w:r>
              <w:t xml:space="preserve"> hatékonyabbá </w:t>
            </w:r>
            <w:r>
              <w:rPr>
                <w:rFonts w:ascii="Times New Roman" w:eastAsia="Times New Roman" w:hAnsi="Times New Roman" w:cs="Times New Roman"/>
                <w:b/>
                <w:i/>
                <w:strike w:val="0"/>
                <w:color w:val="000000"/>
                <w:sz w:val="24"/>
                <w:highlight w:val="none"/>
                <w:u w:val="none" w:color="auto"/>
              </w:rPr>
              <w:t>kell tenni</w:t>
            </w:r>
            <w:r>
              <w:t xml:space="preserve"> ahhoz, hogy megmaradjon a polgárok uniós migrációs és menekültügyi rendszerbe vetett bizalma, és </w:t>
            </w:r>
            <w:r>
              <w:rPr>
                <w:rFonts w:ascii="Times New Roman" w:eastAsia="Times New Roman" w:hAnsi="Times New Roman" w:cs="Times New Roman"/>
                <w:b/>
                <w:i/>
                <w:strike w:val="0"/>
                <w:color w:val="000000"/>
                <w:sz w:val="24"/>
                <w:highlight w:val="none"/>
                <w:u w:val="none" w:color="auto"/>
              </w:rPr>
              <w:t>ezt</w:t>
            </w:r>
            <w:r>
              <w:t xml:space="preserve"> a védelemre szorulók </w:t>
            </w:r>
            <w:r>
              <w:rPr>
                <w:rFonts w:ascii="Times New Roman" w:eastAsia="Times New Roman" w:hAnsi="Times New Roman" w:cs="Times New Roman"/>
                <w:b/>
                <w:i/>
                <w:strike w:val="0"/>
                <w:color w:val="000000"/>
                <w:sz w:val="24"/>
                <w:highlight w:val="none"/>
                <w:u w:val="none" w:color="auto"/>
              </w:rPr>
              <w:t>védelmét célzó erőfeszítésekkel egyidejűleg kell biztosítani</w:t>
            </w:r>
            <w:r>
              <w:t>.</w:t>
            </w:r>
          </w:p>
        </w:tc>
        <w:tc>
          <w:tcPr/>
          <w:p>
            <w:pPr>
              <w:pStyle w:val="Normal6"/>
            </w:pPr>
            <w:r>
              <w:t>(11)</w:t>
            </w:r>
            <w:r>
              <w:tab/>
            </w:r>
            <w:r>
              <w:t>A menekültügy kezelésére irányuló átfogó erőfeszítések, és különösen az irreguláris migráció csökkentésére és eltántorítására irányuló erőfeszítések alapvető részét képezi az Unióban jogosulatlanul tartózkodó harmadik országbeli állampolgárok visszatérése, az uniós jog alapelveinek számító alapvető jogokkal, valamint a nemzetközi joggal – ideértve a menekültek védelmére vonatkozó és emberi jogi kötelezettségeket is – összhangban, valamint a 2008/115/EK</w:t>
            </w:r>
            <w:r>
              <w:rPr>
                <w:rStyle w:val="Sup"/>
              </w:rPr>
              <w:t>26</w:t>
            </w:r>
            <w:r>
              <w:t xml:space="preserve"> irányelv rendelkezéseinek megfelelően. </w:t>
            </w:r>
            <w:r>
              <w:rPr>
                <w:rFonts w:ascii="Times New Roman" w:eastAsia="Times New Roman" w:hAnsi="Times New Roman" w:cs="Times New Roman"/>
                <w:b/>
                <w:i/>
                <w:strike w:val="0"/>
                <w:color w:val="000000"/>
                <w:sz w:val="24"/>
                <w:highlight w:val="none"/>
                <w:u w:val="none" w:color="auto"/>
              </w:rPr>
              <w:t xml:space="preserve">Kulcsfontosságú </w:t>
            </w:r>
            <w:r>
              <w:rPr>
                <w:rFonts w:ascii="Times New Roman" w:eastAsia="Times New Roman" w:hAnsi="Times New Roman" w:cs="Times New Roman"/>
                <w:b/>
                <w:i/>
                <w:strike w:val="0"/>
                <w:color w:val="000000"/>
                <w:sz w:val="24"/>
                <w:highlight w:val="none"/>
                <w:u w:val="none" w:color="auto"/>
              </w:rPr>
              <w:t>a</w:t>
            </w:r>
            <w:r>
              <w:t xml:space="preserve"> jogellenesen tartózkodó harmadik országbeli állampolgárok </w:t>
            </w:r>
            <w:r>
              <w:rPr>
                <w:rFonts w:ascii="Times New Roman" w:eastAsia="Times New Roman" w:hAnsi="Times New Roman" w:cs="Times New Roman"/>
                <w:b/>
                <w:i/>
                <w:strike w:val="0"/>
                <w:color w:val="000000"/>
                <w:sz w:val="24"/>
                <w:highlight w:val="none"/>
                <w:u w:val="none" w:color="auto"/>
              </w:rPr>
              <w:t xml:space="preserve">szisztematikus </w:t>
            </w:r>
            <w:r>
              <w:t xml:space="preserve">visszatérését szolgáló uniós </w:t>
            </w:r>
            <w:r>
              <w:rPr>
                <w:rFonts w:ascii="Times New Roman" w:eastAsia="Times New Roman" w:hAnsi="Times New Roman" w:cs="Times New Roman"/>
                <w:b/>
                <w:i/>
                <w:strike w:val="0"/>
                <w:color w:val="000000"/>
                <w:sz w:val="24"/>
                <w:highlight w:val="none"/>
                <w:u w:val="none" w:color="auto"/>
              </w:rPr>
              <w:t>rendszer</w:t>
            </w:r>
            <w:r>
              <w:t xml:space="preserve"> hatékonyabbá </w:t>
            </w:r>
            <w:r>
              <w:rPr>
                <w:rFonts w:ascii="Times New Roman" w:eastAsia="Times New Roman" w:hAnsi="Times New Roman" w:cs="Times New Roman"/>
                <w:b/>
                <w:i/>
                <w:strike w:val="0"/>
                <w:color w:val="000000"/>
                <w:sz w:val="24"/>
                <w:highlight w:val="none"/>
                <w:u w:val="none" w:color="auto"/>
              </w:rPr>
              <w:t>tétele</w:t>
            </w:r>
            <w:r>
              <w:t xml:space="preserve"> ahhoz, hogy megmaradjon a polgárok uniós migrációs és menekültügyi rendszerbe vetett bizalma, és </w:t>
            </w:r>
            <w:r>
              <w:rPr>
                <w:rFonts w:ascii="Times New Roman" w:eastAsia="Times New Roman" w:hAnsi="Times New Roman" w:cs="Times New Roman"/>
                <w:b/>
                <w:i/>
                <w:strike w:val="0"/>
                <w:color w:val="000000"/>
                <w:sz w:val="24"/>
                <w:highlight w:val="none"/>
                <w:u w:val="none" w:color="auto"/>
              </w:rPr>
              <w:t>ennek kapcsolódniuk kell</w:t>
            </w:r>
            <w:r>
              <w:t xml:space="preserve"> a védelemre szorulók </w:t>
            </w:r>
            <w:r>
              <w:rPr>
                <w:rFonts w:ascii="Times New Roman" w:eastAsia="Times New Roman" w:hAnsi="Times New Roman" w:cs="Times New Roman"/>
                <w:b/>
                <w:i/>
                <w:strike w:val="0"/>
                <w:color w:val="000000"/>
                <w:sz w:val="24"/>
                <w:highlight w:val="none"/>
                <w:u w:val="none" w:color="auto"/>
              </w:rPr>
              <w:t>– akik a jogszerűtlen bevándorlás hatásainak elsődleges elszenvedői között vannak – védelmét célzó erőfeszítésekhez</w:t>
            </w:r>
            <w:r>
              <w:t>.</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
              </w:rPr>
              <w:t>26</w:t>
            </w:r>
            <w:r>
              <w:t xml:space="preserve"> </w:t>
            </w:r>
            <w:r>
              <w:t>Az Európai Parlament és a Tanács 2008. december 16-i irányelve a harmadik országok illegálisan tartózkodó állampolgárainak visszatérésével kapcsolatban a tagállamokban használt közös normákról és eljárásokról (HL L 348., 2008.12.24., 98. o.).</w:t>
            </w:r>
          </w:p>
        </w:tc>
        <w:tc>
          <w:tcPr/>
          <w:p>
            <w:pPr>
              <w:pStyle w:val="Normal6"/>
            </w:pPr>
            <w:r>
              <w:rPr>
                <w:rStyle w:val="Sup"/>
              </w:rPr>
              <w:t>26</w:t>
            </w:r>
            <w:r>
              <w:t xml:space="preserve"> </w:t>
            </w:r>
            <w:r>
              <w:t>Az Európai Parlament és a Tanács 2008. december 16-i irányelve a harmadik országok illegálisan tartózkodó állampolgárainak visszatérésével kapcsolatban a tagállamokban használt közös normákról és eljárásokról (HL L 348., 2008.12.24., 98. 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 harmadik országokból származók visszatérésének végrehajtási rátája rendkívül alacsony (Franciaország tekintetében 1% a Számvevőszék szerint, 10% a CIMADE szerint). A menekültügyi politikát ezért kiegyensúlyozottabbá kell tenni és két elválaszthatatlan pilléren kell nyugodnia: a nemzetközi védelemre jogosultak befogadása, de az arra nem jogosultak szisztematikus visszaküldése. A második pillér strukturális gyengesége az egyik olyan tényező, amely az európai emberek bevándorlás iránti bizalmatlanságát táplálja. Ezen általános bizalmatlanság elsődleges elszenvedői között a nemzetközi védelemre jogosultak vannak. Ezért jobban kell kezelni a visszatérések szisztematikusságának kérdését, és elválaszthatatlanságukat a befogadásra irányuló erőfeszítésekkel.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77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11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(11)</w:t>
            </w:r>
            <w:r>
              <w:tab/>
            </w:r>
            <w:r>
              <w:t>A menekültügy kezelésére irányuló átfogó erőfeszítések, és különösen az irreguláris migráció csökkentésére és eltántorítására irányuló erőfeszítések alapvető részét képezi az Unióban jogosulatlanul tartózkodó harmadik országbeli állampolgárok visszatérése, az uniós jog alapelveinek számító alapvető jogokkal, valamint a nemzetközi joggal – ideértve a menekültek védelmére vonatkozó és emberi jogi kötelezettségeket is – összhangban, valamint a 2008/115/EK</w:t>
            </w:r>
            <w:r>
              <w:rPr>
                <w:rStyle w:val="Sup"/>
              </w:rPr>
              <w:t>26</w:t>
            </w:r>
            <w:r>
              <w:t xml:space="preserve"> irányelv rendelkezéseinek megfelelően. A jogellenesen tartózkodó harmadik országbeli állampolgárok visszatérését szolgáló uniós rendszert hatékonyabbá kell tenni ahhoz, hogy megmaradjon a polgárok uniós migrációs és menekültügyi rendszerbe vetett bizalma, és ezt a védelemre szorulók védelmét célzó erőfeszítésekkel egyidejűleg kell biztosítani.</w:t>
            </w:r>
          </w:p>
        </w:tc>
        <w:tc>
          <w:tcPr/>
          <w:p>
            <w:pPr>
              <w:pStyle w:val="Normal6"/>
            </w:pPr>
            <w:r>
              <w:t>(11)</w:t>
            </w:r>
            <w:r>
              <w:tab/>
            </w:r>
            <w:r>
              <w:t xml:space="preserve">A menekültügy kezelésére irányuló átfogó erőfeszítések, és különösen az irreguláris migráció csökkentésére és eltántorítására irányuló erőfeszítések alapvető részét képezi az Unióban jogosulatlanul tartózkodó harmadik országbeli állampolgárok visszatérése, az uniós jog alapelveinek számító alapvető jogokkal, valamint a nemzetközi joggal – ideértve a </w:t>
            </w:r>
            <w:r>
              <w:rPr>
                <w:rFonts w:ascii="Times New Roman" w:eastAsia="Times New Roman" w:hAnsi="Times New Roman" w:cs="Times New Roman"/>
                <w:b/>
                <w:i/>
                <w:strike w:val="0"/>
                <w:color w:val="000000"/>
                <w:sz w:val="24"/>
                <w:highlight w:val="none"/>
                <w:u w:val="none" w:color="auto"/>
              </w:rPr>
              <w:t xml:space="preserve">visszaküldés tilalmát, illetve a </w:t>
            </w:r>
            <w:r>
              <w:t>menekültek védelmére vonatkozó és emberi jogi kötelezettségeket is – összhangban, valamint a 2008/115/EK</w:t>
            </w:r>
            <w:r>
              <w:rPr>
                <w:rStyle w:val="Sup"/>
              </w:rPr>
              <w:t>26</w:t>
            </w:r>
            <w:r>
              <w:t xml:space="preserve"> irányelv rendelkezéseinek megfelelően. A jogellenesen tartózkodó harmadik országbeli állampolgárok visszatérését szolgáló uniós rendszert hatékonyabbá kell tenni ahhoz, hogy megmaradjon a polgárok uniós migrációs és menekültügyi rendszerbe vetett bizalma, és ezt a védelemre szorulók védelmét célzó erőfeszítésekkel egyidejűleg kell biztosítani.</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
              </w:rPr>
              <w:t>26</w:t>
            </w:r>
            <w:r>
              <w:t xml:space="preserve"> </w:t>
            </w:r>
            <w:r>
              <w:t>Az Európai Parlament és a Tanács 2008. december 16-i irányelve a harmadik országok illegálisan tartózkodó állampolgárainak visszatérésével kapcsolatban a tagállamokban használt közös normákról és eljárásokról (HL L 348., 2008.12.24., 98. o.).</w:t>
            </w:r>
          </w:p>
        </w:tc>
        <w:tc>
          <w:tcPr/>
          <w:p>
            <w:pPr>
              <w:pStyle w:val="Normal6"/>
            </w:pPr>
            <w:r>
              <w:rPr>
                <w:rStyle w:val="Sup"/>
              </w:rPr>
              <w:t>26</w:t>
            </w:r>
            <w:r>
              <w:t xml:space="preserve"> </w:t>
            </w:r>
            <w:r>
              <w:t>Az Európai Parlament és a Tanács 2008. december 16-i irányelve a harmadik országok illegálisan tartózkodó állampolgárainak visszatérésével kapcsolatban a tagállamokban használt közös normákról és eljárásokról (HL L 348., 2008.12.24., 98. 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78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Sylvia-Yvonne Kaufmann</w:t>
      </w:r>
      <w:r>
        <w:t xml:space="preserve">, </w:t>
      </w:r>
      <w:r>
        <w:t>Josef Weidenholzer</w:t>
      </w:r>
      <w:r>
        <w:t xml:space="preserve">, </w:t>
      </w:r>
      <w:r>
        <w:t>Vilija Blinkevičiūtė</w:t>
      </w:r>
      <w:r>
        <w:t xml:space="preserve">, </w:t>
      </w:r>
      <w:r>
        <w:t>Péter Niedermüller</w:t>
      </w:r>
      <w:r>
        <w:t xml:space="preserve">, </w:t>
      </w:r>
      <w:r>
        <w:t>Maria Grapini</w:t>
      </w:r>
      <w:r>
        <w:t xml:space="preserve">, </w:t>
      </w:r>
      <w:r>
        <w:t>Juan Fernando López Aguilar</w:t>
      </w:r>
      <w:r>
        <w:t xml:space="preserve">, </w:t>
      </w:r>
      <w:r>
        <w:t>Péter Niedermüller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11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(11)</w:t>
            </w:r>
            <w:r>
              <w:tab/>
            </w:r>
            <w:r>
              <w:t xml:space="preserve">A menekültügy kezelésére irányuló átfogó erőfeszítések, és különösen az irreguláris migráció csökkentésére és eltántorítására irányuló erőfeszítések </w:t>
            </w:r>
            <w:r>
              <w:rPr>
                <w:rFonts w:ascii="Times New Roman" w:eastAsia="Times New Roman" w:hAnsi="Times New Roman" w:cs="Times New Roman"/>
                <w:b/>
                <w:i/>
                <w:strike w:val="0"/>
                <w:color w:val="000000"/>
                <w:sz w:val="24"/>
                <w:highlight w:val="none"/>
                <w:u w:val="none" w:color="auto"/>
              </w:rPr>
              <w:t xml:space="preserve">alapvető </w:t>
            </w:r>
            <w:r>
              <w:t>részét képezi az Unióban jogosulatlanul tartózkodó harmadik országbeli állampolgárok visszatérése, az uniós jog alapelveinek számító alapvető jogokkal, valamint a nemzetközi joggal – ideértve a menekültek védelmére vonatkozó és emberi jogi kötelezettségeket is – összhangban, valamint a 2008/115/EK</w:t>
            </w:r>
            <w:r>
              <w:rPr>
                <w:rStyle w:val="Sup"/>
              </w:rPr>
              <w:t>26</w:t>
            </w:r>
            <w:r>
              <w:t xml:space="preserve"> irányelv rendelkezéseinek megfelelően. A jogellenesen tartózkodó harmadik országbeli állampolgárok visszatérését szolgáló uniós rendszert hatékonyabbá kell tenni ahhoz, hogy megmaradjon a polgárok uniós migrációs és menekültügyi rendszerbe vetett bizalma, és ezt a védelemre szorulók védelmét célzó erőfeszítésekkel egyidejűleg kell biztosítani.</w:t>
            </w:r>
          </w:p>
        </w:tc>
        <w:tc>
          <w:tcPr/>
          <w:p>
            <w:pPr>
              <w:pStyle w:val="Normal6"/>
            </w:pPr>
            <w:r>
              <w:t>(11)</w:t>
            </w:r>
            <w:r>
              <w:tab/>
            </w:r>
            <w:r>
              <w:t>A menekültügy kezelésére irányuló átfogó erőfeszítések, és különösen az irreguláris migráció csökkentésére és eltántorítására irányuló erőfeszítések részét képezi az Unióban jogosulatlanul tartózkodó harmadik országbeli állampolgárok visszatérése, az uniós jog alapelveinek számító alapvető jogokkal, valamint a nemzetközi joggal – ideértve a menekültek védelmére vonatkozó és emberi jogi kötelezettségeket is – összhangban, valamint a 2008/115/EK</w:t>
            </w:r>
            <w:r>
              <w:rPr>
                <w:rStyle w:val="Sup"/>
              </w:rPr>
              <w:t>26</w:t>
            </w:r>
            <w:r>
              <w:t xml:space="preserve"> irányelv rendelkezéseinek megfelelően. A jogellenesen tartózkodó harmadik országbeli állampolgárok visszatérését szolgáló uniós rendszert hatékonyabbá kell tenni ahhoz, hogy megmaradjon a polgárok uniós migrációs és menekültügyi rendszerbe vetett bizalma, és ezt a védelemre szorulók védelmét célzó erőfeszítésekkel egyidejűleg kell biztosítani.</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
              </w:rPr>
              <w:t>26</w:t>
            </w:r>
            <w:r>
              <w:t xml:space="preserve"> </w:t>
            </w:r>
            <w:r>
              <w:t>Az Európai Parlament és a Tanács 2008. december 16-i irányelve a harmadik országok illegálisan tartózkodó állampolgárainak visszatérésével kapcsolatban a tagállamokban használt közös normákról és eljárásokról (HL L 348., 2008.12.24., 98. o.).</w:t>
            </w:r>
          </w:p>
        </w:tc>
        <w:tc>
          <w:tcPr/>
          <w:p>
            <w:pPr>
              <w:pStyle w:val="Normal6"/>
            </w:pPr>
            <w:r>
              <w:rPr>
                <w:rStyle w:val="Sup"/>
              </w:rPr>
              <w:t>26</w:t>
            </w:r>
            <w:r>
              <w:t xml:space="preserve"> </w:t>
            </w:r>
            <w:r>
              <w:t>Az Európai Parlament és a Tanács 2008. december 16-i irányelve a harmadik országok illegálisan tartózkodó állampolgárainak visszatérésével kapcsolatban a tagállamokban használt közös normákról és eljárásokról (HL L 348., 2008.12.24., 98. 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79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11 a preambulumbekezdés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(11a)</w:t>
            </w:r>
            <w:r>
              <w:tab/>
            </w:r>
            <w:r>
              <w:rPr>
                <w:rFonts w:ascii="Times New Roman" w:eastAsia="Times New Roman" w:hAnsi="Times New Roman" w:cs="Times New Roman"/>
                <w:b/>
                <w:i/>
                <w:strike w:val="0"/>
                <w:color w:val="000000"/>
                <w:sz w:val="24"/>
                <w:highlight w:val="none"/>
                <w:u w:val="none" w:color="auto"/>
              </w:rPr>
              <w:t>A tagállamok között az irreguláris migráció terén zajló együttműködés javítása érdekében az előadó úgy véli, hogy az Eurodac-ban a jogellenes tartózkodáson ért személyek esetében a menedékkérelem száma helyett az adatokat az Eurodacba bevivő tagállam által hozott áttelepítési intézkedéseket kellene feltüntetni.</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 jogellenesen az adott országban tartózkodó személyek eltávolítására számos intézkedés létezik. Pl.: az önkéntes visszatérés, a területelhagyásra történő felszólítás, a kitoloncolás elrendelése, a visszaküldés, a kiutasítás... Minden intézkedésre más eljárások és alkalmazási határidők jellemzőek. Ezért fontos, hogy egy tagállam tudhasson az egy másik tagállam által a jogellenes tartózkodáson ért személy ellen hozott intézkedésekről, és így kettejük együttműködése is javuljon.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80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12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(12)</w:t>
            </w:r>
            <w:r>
              <w:tab/>
            </w:r>
            <w:r>
              <w:rPr>
                <w:rFonts w:ascii="Times New Roman" w:eastAsia="Times New Roman" w:hAnsi="Times New Roman" w:cs="Times New Roman"/>
                <w:b/>
                <w:i/>
                <w:strike w:val="0"/>
                <w:color w:val="000000"/>
                <w:sz w:val="24"/>
                <w:highlight w:val="none"/>
                <w:u w:val="none" w:color="auto"/>
              </w:rPr>
              <w:t>A tagállamok nemzeti hatóságai nehézségeket tapasztalnak a jogellenesen tartózkodó harmadik országbeli állampolgárok személyazonosítása terén, mivel utóbbiak megtévesztő módon próbálnak kibújni az azonosítás alól, valamint megakadályozni a visszaküldésük vagy visszafogadásuk céljából történő okmánypótlási eljárásokat. Ezért elengedhetetlen biztosítani, hogy az EU-ban jogellenesen tartózkodó harmadik országbeli állampolgárokról és hontalan személyekről információkat gyűjtsenek, azokat az Eurodac-ba továbbítsák, és összehasonlítsák a nemzetközi védelmet kérelmezők és az Unió külső határainak jogellenes átlépése miatt letartóztatott harmadik országbeli állampolgárok személyazonosságának megállapítása céljából, személyazonosításuk és az okmánypótlás megkönnyítése, visszatérésük és visszafogadásuk biztosítása, valamint a személyazonossággal való visszaélés csökkentése érdekében. Ez várhatóan hozzájárul továbbá a jogellenesen tartózkodó harmadik országbeli állampolgárok visszatérésének és visszafogadásának biztosításához szükséges adminisztratív eljárások időtartamának csökkentéséhez, ideértve azon időszakot is, amíg kitoloncolásuk bekövetkeztéig őrizetben kell őket tartani. Lehetővé kell tennie továbbá azon tranzit harmadik országok meghatározását, amelyek a jogellenesen tartózkodó harmadik országbeli állampolgárt visszafogadhatják.</w:t>
            </w:r>
          </w:p>
        </w:tc>
        <w:tc>
          <w:tcPr/>
          <w:p>
            <w:pPr>
              <w:pStyle w:val="Normal6"/>
            </w:pPr>
            <w:r>
              <w:rPr>
                <w:rFonts w:ascii="Times New Roman" w:eastAsia="Times New Roman" w:hAnsi="Times New Roman" w:cs="Times New Roman"/>
                <w:b/>
                <w:i/>
                <w:strike w:val="0"/>
                <w:color w:val="000000"/>
                <w:sz w:val="24"/>
                <w:highlight w:val="none"/>
                <w:u w:val="none" w:color="auto"/>
              </w:rPr>
              <w:t>törölve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81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Sylvia-Yvonne Kaufmann</w:t>
      </w:r>
      <w:r>
        <w:t xml:space="preserve">, </w:t>
      </w:r>
      <w:r>
        <w:t>Josef Weidenholzer</w:t>
      </w:r>
      <w:r>
        <w:t xml:space="preserve">, </w:t>
      </w:r>
      <w:r>
        <w:t>Vilija Blinkevičiūtė</w:t>
      </w:r>
      <w:r>
        <w:t xml:space="preserve">, </w:t>
      </w:r>
      <w:r>
        <w:t>Péter Niedermüller</w:t>
      </w:r>
      <w:r>
        <w:t xml:space="preserve">, </w:t>
      </w:r>
      <w:r>
        <w:t>Maria Grapini</w:t>
      </w:r>
      <w:r>
        <w:t xml:space="preserve">, </w:t>
      </w:r>
      <w:r>
        <w:t>Juan Fernando López Aguilar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12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(12)</w:t>
            </w:r>
            <w:r>
              <w:tab/>
            </w:r>
            <w:r>
              <w:rPr>
                <w:rFonts w:ascii="Times New Roman" w:eastAsia="Times New Roman" w:hAnsi="Times New Roman" w:cs="Times New Roman"/>
                <w:b/>
                <w:i/>
                <w:strike w:val="0"/>
                <w:color w:val="000000"/>
                <w:sz w:val="24"/>
                <w:highlight w:val="none"/>
                <w:u w:val="none" w:color="auto"/>
              </w:rPr>
              <w:t xml:space="preserve">A tagállamok nemzeti hatóságai nehézségeket tapasztalnak a jogellenesen tartózkodó harmadik országbeli állampolgárok személyazonosítása terén, mivel utóbbiak megtévesztő módon próbálnak kibújni az azonosítás alól, valamint megakadályozni a visszaküldésük vagy visszafogadásuk céljából történő okmánypótlási eljárásokat. </w:t>
            </w:r>
            <w:r>
              <w:t>Ezért elengedhetetlen biztosítani, hogy az EU-ban jogellenesen tartózkodó harmadik országbeli állampolgárokról és hontalan személyekről információkat gyűjtsenek, azokat az Eurodac-ba továbbítsák, és összehasonlítsák a nemzetközi védelmet kérelmezők és az Unió külső határainak jogellenes átlépése miatt letartóztatott harmadik országbeli állampolgárok személyazonosságának megállapítása céljából, személyazonosításuk és az okmánypótlás megkönnyítése, visszatérésük és visszafogadásuk biztosítása, valamint a személyazonossággal való visszaélés csökkentése érdekében. Ez várhatóan hozzájárul továbbá a jogellenesen tartózkodó harmadik országbeli állampolgárok visszatérésének és visszafogadásának biztosításához szükséges adminisztratív eljárások időtartamának csökkentéséhez, ideértve azon időszakot is, amíg kitoloncolásuk bekövetkeztéig őrizetben kell őket tartani. Lehetővé kell tennie továbbá azon tranzit harmadik országok meghatározását, amelyek a jogellenesen tartózkodó harmadik országbeli állampolgárt visszafogadhatják.</w:t>
            </w:r>
          </w:p>
        </w:tc>
        <w:tc>
          <w:tcPr/>
          <w:p>
            <w:pPr>
              <w:pStyle w:val="Normal6"/>
            </w:pPr>
            <w:r>
              <w:t>(12)</w:t>
            </w:r>
            <w:r>
              <w:tab/>
            </w:r>
            <w:r>
              <w:t>Ezért elengedhetetlen biztosítani, hogy az EU-ban jogellenesen tartózkodó harmadik országbeli állampolgárokról és hontalan személyekről információkat gyűjtsenek, azokat az Eurodac-ba továbbítsák, és összehasonlítsák a nemzetközi védelmet kérelmezők és az Unió külső határainak jogellenes átlépése miatt letartóztatott harmadik országbeli állampolgárok személyazonosságának megállapítása céljából, személyazonosításuk és az okmánypótlás megkönnyítése, visszatérésük és visszafogadásuk biztosítása, valamint a személyazonossággal való visszaélés csökkentése érdekében. Ez várhatóan hozzájárul továbbá a jogellenesen tartózkodó harmadik országbeli állampolgárok visszatérésének és visszafogadásának biztosításához szükséges adminisztratív eljárások időtartamának csökkentéséhez, ideértve azon időszakot is, amíg kitoloncolásuk bekövetkeztéig őrizetben kell őket tartani. Lehetővé kell tennie továbbá azon tranzit harmadik országok meghatározását, amelyek a jogellenesen tartózkodó harmadik országbeli állampolgárt visszafogadhatják.</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82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Carlos Coelho</w:t>
      </w:r>
      <w:r>
        <w:t xml:space="preserve">, </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12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(12)</w:t>
            </w:r>
            <w:r>
              <w:tab/>
            </w:r>
            <w:r>
              <w:t>A tagállamok nemzeti hatóságai nehézségeket tapasztalnak a jogellenesen tartózkodó harmadik országbeli állampolgárok személyazonosítása terén, mivel utóbbiak megtévesztő módon próbálnak kibújni az azonosítás alól, valamint megakadályozni a visszaküldésük vagy visszafogadásuk céljából történő okmánypótlási eljárásokat. Ezért elengedhetetlen biztosítani, hogy az EU-ban jogellenesen tartózkodó harmadik országbeli állampolgárokról és hontalan személyekről információkat gyűjtsenek, azokat az Eurodac-ba továbbítsák, és összehasonlítsák a nemzetközi védelmet kérelmezők és az Unió külső határainak jogellenes átlépése miatt letartóztatott harmadik országbeli állampolgárok személyazonosságának megállapítása céljából, személyazonosításuk és az okmánypótlás megkönnyítése, visszatérésük és visszafogadásuk biztosítása, valamint a személyazonossággal való visszaélés csökkentése érdekében. Ez várhatóan hozzájárul továbbá a jogellenesen tartózkodó harmadik országbeli állampolgárok visszatérésének és visszafogadásának biztosításához szükséges adminisztratív eljárások időtartamának csökkentéséhez, ideértve azon időszakot is, amíg kitoloncolásuk bekövetkeztéig őrizetben kell őket tartani. Lehetővé kell tennie továbbá azon tranzit harmadik országok meghatározását, amelyek a jogellenesen tartózkodó harmadik országbeli állampolgárt visszafogadhatják.</w:t>
            </w:r>
          </w:p>
        </w:tc>
        <w:tc>
          <w:tcPr/>
          <w:p>
            <w:pPr>
              <w:pStyle w:val="Normal6"/>
            </w:pPr>
            <w:r>
              <w:t>(12)</w:t>
            </w:r>
            <w:r>
              <w:tab/>
            </w:r>
            <w:r>
              <w:t xml:space="preserve">A tagállamok nemzeti hatóságai nehézségeket tapasztalnak a jogellenesen tartózkodó harmadik országbeli állampolgárok személyazonosítása terén, mivel utóbbiak megtévesztő módon próbálnak kibújni az azonosítás alól, valamint megakadályozni a visszaküldésük vagy visszafogadásuk céljából történő okmánypótlási eljárásokat. Ezért elengedhetetlen biztosítani, hogy az EU-ban jogellenesen tartózkodó harmadik országbeli állampolgárokról és hontalan személyekről információkat gyűjtsenek, azokat az Eurodac-ba továbbítsák, és összehasonlítsák a nemzetközi védelmet kérelmezők és az Unió külső határainak jogellenes átlépése miatt letartóztatott harmadik országbeli állampolgárok személyazonosságának megállapítása céljából, személyazonosításuk és az okmánypótlás megkönnyítése, visszatérésük és visszafogadásuk biztosítása, valamint a személyazonossággal való visszaélés csökkentése érdekében. Ez várhatóan hozzájárul továbbá a jogellenesen tartózkodó harmadik országbeli állampolgárok visszatérésének és visszafogadásának biztosításához szükséges adminisztratív eljárások időtartamának csökkentéséhez, ideértve azon időszakot is, amíg kitoloncolásuk bekövetkeztéig őrizetben kell őket tartani. Lehetővé kell tennie továbbá azon tranzit harmadik országok meghatározását, amelyek a jogellenesen tartózkodó harmadik országbeli állampolgárt visszafogadhatják. </w:t>
            </w:r>
            <w:r>
              <w:rPr>
                <w:rFonts w:ascii="Times New Roman" w:eastAsia="Times New Roman" w:hAnsi="Times New Roman" w:cs="Times New Roman"/>
                <w:b/>
                <w:i/>
                <w:strike w:val="0"/>
                <w:color w:val="000000"/>
                <w:sz w:val="24"/>
                <w:highlight w:val="none"/>
                <w:u w:val="none" w:color="auto"/>
              </w:rPr>
              <w:t>Mindez nem érinti a Schengeni Információs Rendszert (SIS), amely visszatérési ügyekben továbbra is az együttműködés és az információcsere fő rendszere.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83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Sylvia-Yvonne Kaufmann</w:t>
      </w:r>
      <w:r>
        <w:t xml:space="preserve">, </w:t>
      </w:r>
      <w:r>
        <w:t>Josef Weidenholzer</w:t>
      </w:r>
      <w:r>
        <w:t xml:space="preserve">, </w:t>
      </w:r>
      <w:r>
        <w:t>Vilija Blinkevičiūtė</w:t>
      </w:r>
      <w:r>
        <w:t xml:space="preserve">, </w:t>
      </w:r>
      <w:r>
        <w:t>Péter Niedermüller</w:t>
      </w:r>
      <w:r>
        <w:t xml:space="preserve">, </w:t>
      </w:r>
      <w:r>
        <w:t>Juan Fernando López Aguilar</w:t>
      </w:r>
      <w:r>
        <w:t xml:space="preserve">, </w:t>
      </w:r>
      <w:r>
        <w:t>Caterina Chinnici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12 a preambulumbekezdés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(12a)</w:t>
            </w:r>
            <w:r>
              <w:tab/>
            </w:r>
            <w:r>
              <w:rPr>
                <w:rFonts w:ascii="Times New Roman" w:eastAsia="Times New Roman" w:hAnsi="Times New Roman" w:cs="Times New Roman"/>
                <w:b/>
                <w:i/>
                <w:strike w:val="0"/>
                <w:color w:val="000000"/>
                <w:sz w:val="24"/>
                <w:highlight w:val="none"/>
                <w:u w:val="none" w:color="auto"/>
              </w:rPr>
              <w:t>A jogellenes tartózkodáson ért, de a schengeni térség külső határait irregulárisan átlépő harmadik országbeli polgárok esetében a tagállamoknak 15 napos észszerű túltartózkodási határidőt kell engedélyezni mielőtt eleget tennének a jelen rendeletből fakadó kötelezettségüknek az ujjlenyomatra és az arcképmásra vonatkozó adatok összehasonlítása, gyűjtése és továbbítása tekintetében.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Ezért ez a módosítás közvetlenül kapcsolódik a Bizottság által javasolt 14. cikkhez. A hatály „valamely tagállam területén jogszerűtlenül tartózkodó harmadik országbeli állampolgárokra vagy hontalan személyekre” történő kiterjesztésének biztosítékokkal kell járnia arra az esetre, ha az illető legálisan lépett be az EU-ba és adott esetben nem szándékos okok miatt néhány nappal a megengedettnél hosszabb ideig marad.</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84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12 a preambulumbekezdés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(12a)</w:t>
            </w:r>
            <w:r>
              <w:tab/>
            </w:r>
            <w:r>
              <w:rPr>
                <w:rFonts w:ascii="Times New Roman" w:eastAsia="Times New Roman" w:hAnsi="Times New Roman" w:cs="Times New Roman"/>
                <w:b/>
                <w:i/>
                <w:strike w:val="0"/>
                <w:color w:val="000000"/>
                <w:sz w:val="24"/>
                <w:highlight w:val="none"/>
                <w:u w:val="none" w:color="auto"/>
              </w:rPr>
              <w:t>A jogellenes tartózkodáson ért, de a schengeni térség külső határait jogszerűen átlépő harmadik országbeli polgárok esetében a tagállamok 15 napos észszerű túltartózkodási határidőt engedélyezhetnek mielőtt eleget tennének a 14. cikkből fakadó kötelezettségüknek.</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 jogellenesen tartózkodó harmadik országbeli polgárok adatait az Eurodac 5 évig tartja nyilván. Ezért az EU területére jogszerűen belépő, és a megengedett tartózkodási időt csak kevéssel túllépő személyek esetében, akik önkéntesen hazautaznak, vagy akik helyzetének rendezésére irányuló folyamat már elindult, és akik semmilyen megszökési kockázatot nem jelentenek, a tagállamoknak manőverezési térrel kell rendelkezniük a helyzet felmérése és területük elhagyásának ésszerű határideje megszabásához, vagy az illetők helyzetének jogszerűsítéséhez, mielőtt a tagállamok ilyen hosszú határidőre nyilvántartásba vennék az illető személyek adatait. Helyénvaló tehát, hogy az uniós tagállam területére jogellenesen behatoló személyek adatai kerüljenek be az Eurodac nyilvántartásába, de a jogszerűen belépő személyek esetében 15 napos ésszerű határidőt kell hagyni.</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85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13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(13)</w:t>
            </w:r>
            <w:r>
              <w:tab/>
            </w:r>
            <w:r>
              <w:rPr>
                <w:rFonts w:ascii="Times New Roman" w:eastAsia="Times New Roman" w:hAnsi="Times New Roman" w:cs="Times New Roman"/>
                <w:b/>
                <w:i/>
                <w:strike w:val="0"/>
                <w:color w:val="000000"/>
                <w:sz w:val="24"/>
                <w:highlight w:val="none"/>
                <w:u w:val="none" w:color="auto"/>
              </w:rPr>
              <w:t>A visszatérési politika jövőjéről szóló 2015. október 8-i következtetéseiben a Tanács támogatta a Bizottság azon kezdeményezését, hogy feltérképezi az Eurodac-rendelet alkalmazási körének és céljának kiterjesztési lehetőségeit a célból, hogy az adatok felhasználhatóak lehessenek visszatérés céljából.</w:t>
            </w:r>
            <w:r>
              <w:rPr>
                <w:rStyle w:val="SupBoldItalic"/>
              </w:rPr>
              <w:t>27</w:t>
            </w:r>
            <w:r>
              <w:rPr>
                <w:rFonts w:ascii="Times New Roman" w:eastAsia="Times New Roman" w:hAnsi="Times New Roman" w:cs="Times New Roman"/>
                <w:b/>
                <w:i/>
                <w:strike w:val="0"/>
                <w:color w:val="000000"/>
                <w:sz w:val="24"/>
                <w:highlight w:val="none"/>
                <w:u w:val="none" w:color="auto"/>
              </w:rPr>
              <w:t xml:space="preserve"> . A tagállamoknak rendelkezniük kell a szükséges eszközökkel ahhoz, hogy felderíthessék az illegális migrációt és a jogellenesen tartózkodó harmadik országbeli állampolgárok Unión belüli továbbutazását. Ezért az Eurodac-ban tárolt adatokat az e rendeletben meghatározott feltételeknek megfelelően hozzáférhetővé kell tenni a tagállamok kijelölt hatóságai által végzett összehasonlítás céljára.</w:t>
            </w:r>
          </w:p>
        </w:tc>
        <w:tc>
          <w:tcPr/>
          <w:p>
            <w:pPr>
              <w:pStyle w:val="Normal6"/>
            </w:pPr>
            <w:r>
              <w:rPr>
                <w:rFonts w:ascii="Times New Roman" w:eastAsia="Times New Roman" w:hAnsi="Times New Roman" w:cs="Times New Roman"/>
                <w:b/>
                <w:i/>
                <w:strike w:val="0"/>
                <w:color w:val="000000"/>
                <w:sz w:val="24"/>
                <w:highlight w:val="none"/>
                <w:u w:val="none" w:color="auto"/>
              </w:rPr>
              <w:t>törölve</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BoldItalic"/>
              </w:rPr>
              <w:t>27</w:t>
            </w:r>
            <w:r>
              <w:t xml:space="preserve"> </w:t>
            </w:r>
            <w:r>
              <w:rPr>
                <w:rFonts w:ascii="Times New Roman" w:eastAsia="Times New Roman" w:hAnsi="Times New Roman" w:cs="Times New Roman"/>
                <w:b/>
                <w:i/>
                <w:strike w:val="0"/>
                <w:color w:val="000000"/>
                <w:sz w:val="24"/>
                <w:highlight w:val="none"/>
                <w:u w:val="none" w:color="auto"/>
              </w:rPr>
              <w:t>A visszatérésre vonatkozó uniós cselekvési terv, COM(2015) 453 final.</w:t>
            </w:r>
          </w:p>
        </w:tc>
        <w:tc>
          <w:tcPr/>
          <w:p>
            <w:pPr>
              <w:pStyle w:val="Normal6"/>
            </w:pP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86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Sylvia-Yvonne Kaufmann</w:t>
      </w:r>
      <w:r>
        <w:t xml:space="preserve">, </w:t>
      </w:r>
      <w:r>
        <w:t>Josef Weidenholzer</w:t>
      </w:r>
      <w:r>
        <w:t xml:space="preserve">, </w:t>
      </w:r>
      <w:r>
        <w:t>Vilija Blinkevičiūtė</w:t>
      </w:r>
      <w:r>
        <w:t xml:space="preserve">, </w:t>
      </w:r>
      <w:r>
        <w:t>Péter Niedermüller</w:t>
      </w:r>
      <w:r>
        <w:t xml:space="preserve">, </w:t>
      </w:r>
      <w:r>
        <w:t>Kati Piri</w:t>
      </w:r>
      <w:r>
        <w:t xml:space="preserve">, </w:t>
      </w:r>
      <w:r>
        <w:t>Maria Grapini</w:t>
      </w:r>
      <w:r>
        <w:t xml:space="preserve">, </w:t>
      </w:r>
      <w:r>
        <w:t>Juan Fernando López Aguilar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13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(13)</w:t>
            </w:r>
            <w:r>
              <w:tab/>
            </w:r>
            <w:r>
              <w:t>A visszatérési politika jövőjéről szóló 2015. október 8-i következtetéseiben a Tanács támogatta a Bizottság azon kezdeményezését, hogy feltérképezi az Eurodac-rendelet alkalmazási körének és céljának kiterjesztési lehetőségeit a célból, hogy az adatok felhasználhatóak lehessenek visszatérés céljából</w:t>
            </w:r>
            <w:r>
              <w:rPr>
                <w:rFonts w:ascii="Times New Roman" w:eastAsia="Times New Roman" w:hAnsi="Times New Roman" w:cs="Times New Roman"/>
                <w:b/>
                <w:i/>
                <w:strike w:val="0"/>
                <w:color w:val="000000"/>
                <w:sz w:val="24"/>
                <w:highlight w:val="none"/>
                <w:u w:val="none" w:color="auto"/>
              </w:rPr>
              <w:t>.</w:t>
            </w:r>
            <w:r>
              <w:rPr>
                <w:rStyle w:val="SupBoldItalic"/>
              </w:rPr>
              <w:t>27</w:t>
            </w:r>
            <w:r>
              <w:rPr>
                <w:rFonts w:ascii="Times New Roman" w:eastAsia="Times New Roman" w:hAnsi="Times New Roman" w:cs="Times New Roman"/>
                <w:b/>
                <w:i/>
                <w:strike w:val="0"/>
                <w:color w:val="000000"/>
                <w:sz w:val="24"/>
                <w:highlight w:val="none"/>
                <w:u w:val="none" w:color="auto"/>
              </w:rPr>
              <w:t xml:space="preserve"> </w:t>
            </w:r>
            <w:r>
              <w:t>. A tagállamoknak rendelkezniük kell a szükséges eszközökkel ahhoz, hogy felderíthessék az illegális migrációt</w:t>
            </w:r>
            <w:r>
              <w:rPr>
                <w:rFonts w:ascii="Times New Roman" w:eastAsia="Times New Roman" w:hAnsi="Times New Roman" w:cs="Times New Roman"/>
                <w:b/>
                <w:i/>
                <w:strike w:val="0"/>
                <w:color w:val="000000"/>
                <w:sz w:val="24"/>
                <w:highlight w:val="none"/>
                <w:u w:val="none" w:color="auto"/>
              </w:rPr>
              <w:t xml:space="preserve"> és a jogellenesen tartózkodó harmadik országbeli állampolgárok Unión belüli továbbutazását. Ezért az Eurodac-ban tárolt adatokat az e rendeletben meghatározott feltételeknek megfelelően hozzáférhetővé kell tenni a tagállamok kijelölt hatóságai által végzett összehasonlítás céljára</w:t>
            </w:r>
            <w:r>
              <w:t>.</w:t>
            </w:r>
          </w:p>
        </w:tc>
        <w:tc>
          <w:tcPr/>
          <w:p>
            <w:pPr>
              <w:pStyle w:val="Normal6"/>
            </w:pPr>
            <w:r>
              <w:t>(13)</w:t>
            </w:r>
            <w:r>
              <w:tab/>
            </w:r>
            <w:r>
              <w:t>A visszatérési politika jövőjéről szóló 2015. október 8-i következtetéseiben a Tanács támogatta a Bizottság azon kezdeményezését, hogy feltérképezi az Eurodac-rendelet alkalmazási körének és céljának kiterjesztési lehetőségeit a célból, hogy az adatok felhasználhatóak lehessenek visszatérés céljából</w:t>
            </w:r>
            <w:r>
              <w:rPr>
                <w:rStyle w:val="Sup"/>
              </w:rPr>
              <w:t>27</w:t>
            </w:r>
            <w:r>
              <w:t>. A tagállamoknak rendelkezniük kell a szükséges eszközökkel ahhoz, hogy felderíthessék az illegális migrációt.</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BoldItalic"/>
              </w:rPr>
              <w:t>27</w:t>
            </w:r>
            <w:r>
              <w:t xml:space="preserve"> </w:t>
            </w:r>
            <w:r>
              <w:t>A visszatérésre vonatkozó uniós cselekvési terv, COM(2015) 453</w:t>
            </w:r>
            <w:r>
              <w:rPr>
                <w:rFonts w:ascii="Times New Roman" w:eastAsia="Times New Roman" w:hAnsi="Times New Roman" w:cs="Times New Roman"/>
                <w:b/>
                <w:i/>
                <w:strike w:val="0"/>
                <w:color w:val="000000"/>
                <w:sz w:val="24"/>
                <w:highlight w:val="none"/>
                <w:u w:val="none" w:color="auto"/>
              </w:rPr>
              <w:t xml:space="preserve"> final</w:t>
            </w:r>
            <w:r>
              <w:t>.</w:t>
            </w:r>
          </w:p>
        </w:tc>
        <w:tc>
          <w:tcPr/>
          <w:p>
            <w:pPr>
              <w:pStyle w:val="Normal6"/>
            </w:pPr>
            <w:r>
              <w:rPr>
                <w:rStyle w:val="Sup"/>
              </w:rPr>
              <w:t>27</w:t>
            </w:r>
            <w:r>
              <w:t xml:space="preserve"> </w:t>
            </w:r>
            <w:r>
              <w:t>A visszatérésre vonatkozó uniós cselekvési terv, COM(2015) 453.</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87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Carlos Coelho</w:t>
      </w:r>
      <w:r>
        <w:t xml:space="preserve">, </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13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(13)</w:t>
            </w:r>
            <w:r>
              <w:tab/>
            </w:r>
            <w:r>
              <w:t>A visszatérési politika jövőjéről szóló 2015. október 8-i következtetéseiben a Tanács támogatta a Bizottság azon kezdeményezését, hogy feltérképezi az Eurodac-rendelet alkalmazási körének és céljának kiterjesztési lehetőségeit a célból, hogy az adatok felhasználhatóak lehessenek visszatérés céljából</w:t>
            </w:r>
            <w:r>
              <w:rPr>
                <w:rFonts w:ascii="Times New Roman" w:eastAsia="Times New Roman" w:hAnsi="Times New Roman" w:cs="Times New Roman"/>
                <w:b/>
                <w:i/>
                <w:strike w:val="0"/>
                <w:color w:val="000000"/>
                <w:sz w:val="24"/>
                <w:highlight w:val="none"/>
                <w:u w:val="none" w:color="auto"/>
              </w:rPr>
              <w:t>.</w:t>
            </w:r>
            <w:r>
              <w:rPr>
                <w:rStyle w:val="SupBoldItalic"/>
              </w:rPr>
              <w:t>27</w:t>
            </w:r>
            <w:r>
              <w:rPr>
                <w:rFonts w:ascii="Times New Roman" w:eastAsia="Times New Roman" w:hAnsi="Times New Roman" w:cs="Times New Roman"/>
                <w:b/>
                <w:i/>
                <w:strike w:val="0"/>
                <w:color w:val="000000"/>
                <w:sz w:val="24"/>
                <w:highlight w:val="none"/>
                <w:u w:val="none" w:color="auto"/>
              </w:rPr>
              <w:t xml:space="preserve"> </w:t>
            </w:r>
            <w:r>
              <w:t xml:space="preserve">. A tagállamoknak rendelkezniük kell a szükséges eszközökkel ahhoz, hogy </w:t>
            </w:r>
            <w:r>
              <w:rPr>
                <w:rFonts w:ascii="Times New Roman" w:eastAsia="Times New Roman" w:hAnsi="Times New Roman" w:cs="Times New Roman"/>
                <w:b/>
                <w:i/>
                <w:strike w:val="0"/>
                <w:color w:val="000000"/>
                <w:sz w:val="24"/>
                <w:highlight w:val="none"/>
                <w:u w:val="none" w:color="auto"/>
              </w:rPr>
              <w:t>felderíthessék az illegális migrációt és a jogellenesen</w:t>
            </w:r>
            <w:r>
              <w:t xml:space="preserve"> tartózkodó harmadik országbeli állampolgárok </w:t>
            </w:r>
            <w:r>
              <w:rPr>
                <w:rFonts w:ascii="Times New Roman" w:eastAsia="Times New Roman" w:hAnsi="Times New Roman" w:cs="Times New Roman"/>
                <w:b/>
                <w:i/>
                <w:strike w:val="0"/>
                <w:color w:val="000000"/>
                <w:sz w:val="24"/>
                <w:highlight w:val="none"/>
                <w:u w:val="none" w:color="auto"/>
              </w:rPr>
              <w:t>Unión belüli továbbutazását</w:t>
            </w:r>
            <w:r>
              <w:t>. Ezért az Eurodac-ban tárolt adatokat az e rendeletben meghatározott feltételeknek megfelelően hozzáférhetővé kell tenni a tagállamok kijelölt hatóságai által végzett összehasonlítás céljára.</w:t>
            </w:r>
          </w:p>
        </w:tc>
        <w:tc>
          <w:tcPr/>
          <w:p>
            <w:pPr>
              <w:pStyle w:val="Normal6"/>
            </w:pPr>
            <w:r>
              <w:t>(13)</w:t>
            </w:r>
            <w:r>
              <w:tab/>
            </w:r>
            <w:r>
              <w:t>A visszatérési politika jövőjéről szóló 2015. október 8-i következtetéseiben a Tanács támogatta a Bizottság azon kezdeményezését, hogy feltérképezi az Eurodac-rendelet alkalmazási körének és céljának kiterjesztési lehetőségeit a célból, hogy az adatok felhasználhatóak lehessenek visszatérés céljából</w:t>
            </w:r>
            <w:r>
              <w:rPr>
                <w:rStyle w:val="Sup"/>
              </w:rPr>
              <w:t>27</w:t>
            </w:r>
            <w:r>
              <w:t xml:space="preserve">. A tagállamoknak rendelkezniük kell a szükséges eszközökkel ahhoz, hogy </w:t>
            </w:r>
            <w:r>
              <w:rPr>
                <w:rFonts w:ascii="Times New Roman" w:eastAsia="Times New Roman" w:hAnsi="Times New Roman" w:cs="Times New Roman"/>
                <w:b/>
                <w:i/>
                <w:strike w:val="0"/>
                <w:color w:val="000000"/>
                <w:sz w:val="24"/>
                <w:highlight w:val="none"/>
                <w:u w:val="none" w:color="auto"/>
              </w:rPr>
              <w:t>a jogellenesen az Unióban</w:t>
            </w:r>
            <w:r>
              <w:t xml:space="preserve"> tartózkodó harmadik országbeli állampolgárok </w:t>
            </w:r>
            <w:r>
              <w:rPr>
                <w:rFonts w:ascii="Times New Roman" w:eastAsia="Times New Roman" w:hAnsi="Times New Roman" w:cs="Times New Roman"/>
                <w:b/>
                <w:i/>
                <w:strike w:val="0"/>
                <w:color w:val="000000"/>
                <w:sz w:val="24"/>
                <w:highlight w:val="none"/>
                <w:u w:val="none" w:color="auto"/>
              </w:rPr>
              <w:t>azonosítása révén felderíthessék az illegális migrációt és a továbbutazást</w:t>
            </w:r>
            <w:r>
              <w:t>. Ezért az Eurodac-ban tárolt adatokat az e rendeletben meghatározott feltételeknek megfelelően hozzáférhetővé kell tenni a tagállamok kijelölt hatóságai által végzett összehasonlítás céljára.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BoldItalic"/>
              </w:rPr>
              <w:t>27</w:t>
            </w:r>
            <w:r>
              <w:t xml:space="preserve"> </w:t>
            </w:r>
            <w:r>
              <w:t>A visszatérésre vonatkozó uniós cselekvési terv, COM(2015) 453</w:t>
            </w:r>
            <w:r>
              <w:rPr>
                <w:rFonts w:ascii="Times New Roman" w:eastAsia="Times New Roman" w:hAnsi="Times New Roman" w:cs="Times New Roman"/>
                <w:b/>
                <w:i/>
                <w:strike w:val="0"/>
                <w:color w:val="000000"/>
                <w:sz w:val="24"/>
                <w:highlight w:val="none"/>
                <w:u w:val="none" w:color="auto"/>
              </w:rPr>
              <w:t xml:space="preserve"> final</w:t>
            </w:r>
            <w:r>
              <w:t>.</w:t>
            </w:r>
          </w:p>
        </w:tc>
        <w:tc>
          <w:tcPr/>
          <w:p>
            <w:pPr>
              <w:pStyle w:val="Normal6"/>
            </w:pPr>
            <w:r>
              <w:rPr>
                <w:rStyle w:val="Sup"/>
              </w:rPr>
              <w:t>27</w:t>
            </w:r>
            <w:r>
              <w:t xml:space="preserve"> </w:t>
            </w:r>
            <w:r>
              <w:t>A visszatérésre vonatkozó uniós cselekvési terv, COM(2015) 453.</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88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13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(13)</w:t>
            </w:r>
            <w:r>
              <w:tab/>
            </w:r>
            <w:r>
              <w:t>A visszatérési politika jövőjéről szóló 2015. október 8-i következtetéseiben a Tanács támogatta a Bizottság azon kezdeményezését, hogy feltérképezi az Eurodac-rendelet alkalmazási körének és céljának kiterjesztési lehetőségeit a célból, hogy az adatok felhasználhatóak lehessenek visszatérés céljából</w:t>
            </w:r>
            <w:r>
              <w:rPr>
                <w:rFonts w:ascii="Times New Roman" w:eastAsia="Times New Roman" w:hAnsi="Times New Roman" w:cs="Times New Roman"/>
                <w:b/>
                <w:i/>
                <w:strike w:val="0"/>
                <w:color w:val="000000"/>
                <w:sz w:val="24"/>
                <w:highlight w:val="none"/>
                <w:u w:val="none" w:color="auto"/>
              </w:rPr>
              <w:t>.</w:t>
            </w:r>
            <w:r>
              <w:rPr>
                <w:rStyle w:val="SupBoldItalic"/>
              </w:rPr>
              <w:t>27</w:t>
            </w:r>
            <w:r>
              <w:rPr>
                <w:rFonts w:ascii="Times New Roman" w:eastAsia="Times New Roman" w:hAnsi="Times New Roman" w:cs="Times New Roman"/>
                <w:b/>
                <w:i/>
                <w:strike w:val="0"/>
                <w:color w:val="000000"/>
                <w:sz w:val="24"/>
                <w:highlight w:val="none"/>
                <w:u w:val="none" w:color="auto"/>
              </w:rPr>
              <w:t xml:space="preserve"> </w:t>
            </w:r>
            <w:r>
              <w:t>. A tagállamoknak rendelkezniük kell a szükséges eszközökkel ahhoz, hogy felderíthessék az illegális migrációt és a jogellenesen tartózkodó harmadik országbeli állampolgárok Unión belüli továbbutazását. Ezért az Eurodac-ban tárolt adatokat az e rendeletben meghatározott feltételeknek megfelelően hozzáférhetővé kell tenni a tagállamok kijelölt hatóságai által végzett összehasonlítás céljára.</w:t>
            </w:r>
          </w:p>
        </w:tc>
        <w:tc>
          <w:tcPr/>
          <w:p>
            <w:pPr>
              <w:pStyle w:val="Normal6"/>
            </w:pPr>
            <w:r>
              <w:t>(13)</w:t>
            </w:r>
            <w:r>
              <w:tab/>
            </w:r>
            <w:r>
              <w:t>A visszatérési politika jövőjéről szóló 2015. október 8-i következtetéseiben a Tanács támogatta a Bizottság azon kezdeményezését, hogy feltérképezi az Eurodac-rendelet alkalmazási körének és céljának kiterjesztési lehetőségeit a célból, hogy az adatok felhasználhatóak lehessenek visszatérés céljából</w:t>
            </w:r>
            <w:r>
              <w:rPr>
                <w:rStyle w:val="Sup"/>
              </w:rPr>
              <w:t>27</w:t>
            </w:r>
            <w:r>
              <w:t>. A tagállamoknak rendelkezniük kell a szükséges eszközökkel ahhoz, hogy felderíthessék az illegális migrációt és a jogellenesen tartózkodó harmadik országbeli állampolgárok</w:t>
            </w:r>
            <w:r>
              <w:rPr>
                <w:rFonts w:ascii="Times New Roman" w:eastAsia="Times New Roman" w:hAnsi="Times New Roman" w:cs="Times New Roman"/>
                <w:b/>
                <w:i/>
                <w:strike w:val="0"/>
                <w:color w:val="000000"/>
                <w:sz w:val="24"/>
                <w:highlight w:val="none"/>
                <w:u w:val="none" w:color="auto"/>
              </w:rPr>
              <w:t xml:space="preserve"> vagy hontalan személyek</w:t>
            </w:r>
            <w:r>
              <w:t xml:space="preserve"> Unión belüli továbbutazását. Ezért az Eurodac-ban tárolt adatokat az e rendeletben meghatározott feltételeknek megfelelően hozzáférhetővé kell tenni a tagállamok kijelölt hatóságai által végzett összehasonlítás céljára.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BoldItalic"/>
              </w:rPr>
              <w:t>27</w:t>
            </w:r>
            <w:r>
              <w:t xml:space="preserve"> </w:t>
            </w:r>
            <w:r>
              <w:t>A visszatérésre vonatkozó uniós cselekvési terv, COM(2015) 453</w:t>
            </w:r>
            <w:r>
              <w:rPr>
                <w:rFonts w:ascii="Times New Roman" w:eastAsia="Times New Roman" w:hAnsi="Times New Roman" w:cs="Times New Roman"/>
                <w:b/>
                <w:i/>
                <w:strike w:val="0"/>
                <w:color w:val="000000"/>
                <w:sz w:val="24"/>
                <w:highlight w:val="none"/>
                <w:u w:val="none" w:color="auto"/>
              </w:rPr>
              <w:t xml:space="preserve"> final</w:t>
            </w:r>
            <w:r>
              <w:t>.</w:t>
            </w:r>
          </w:p>
        </w:tc>
        <w:tc>
          <w:tcPr/>
          <w:p>
            <w:pPr>
              <w:pStyle w:val="Normal6"/>
            </w:pPr>
            <w:r>
              <w:rPr>
                <w:rStyle w:val="Sup"/>
              </w:rPr>
              <w:t>27</w:t>
            </w:r>
            <w:r>
              <w:t xml:space="preserve"> </w:t>
            </w:r>
            <w:r>
              <w:t>A visszatérésre vonatkozó uniós cselekvési terv, COM(2015) 453.</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89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Maria Corazza Bildt</w:t>
      </w:r>
      <w:r>
        <w:t xml:space="preserve">, </w:t>
      </w:r>
      <w:r>
        <w:t>Damiano Zoffoli</w:t>
      </w:r>
      <w:r>
        <w:t xml:space="preserve">, </w:t>
      </w:r>
      <w:r>
        <w:t>Barbara Matera</w:t>
      </w:r>
      <w:r>
        <w:t xml:space="preserve">, </w:t>
      </w:r>
      <w:r>
        <w:t>Petras Auštrevičius</w:t>
      </w:r>
      <w:r>
        <w:t xml:space="preserve">, </w:t>
      </w:r>
      <w:r>
        <w:t>Beatriz Becerra Basterrechea</w:t>
      </w:r>
      <w:r>
        <w:t xml:space="preserve">, </w:t>
      </w:r>
      <w:r>
        <w:t>Hilde Vautmans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14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(14)</w:t>
            </w:r>
            <w:r>
              <w:tab/>
            </w:r>
            <w:r>
              <w:t>A határigazgatást és a biztonságot előmozdító megerősített és intelligens információs rendszerekről szóló bizottsági közlemény</w:t>
            </w:r>
            <w:r>
              <w:rPr>
                <w:rStyle w:val="Sup"/>
              </w:rPr>
              <w:t>28</w:t>
            </w:r>
            <w:r>
              <w:t xml:space="preserve"> hosszú távú célkitűzésként emeli ki az információs rendszerek hatékonyabb interoperabilitásának szükségességét, amelyet az Európai Tanács és a Tanács is azonosított. A Bizottság a közleményben információs rendszerekkel és az interoperabilitással foglalkozó szakértői csoport létrehozását javasolja, amely </w:t>
            </w:r>
            <w:r>
              <w:rPr>
                <w:rFonts w:ascii="Times New Roman" w:eastAsia="Times New Roman" w:hAnsi="Times New Roman" w:cs="Times New Roman"/>
                <w:b/>
                <w:i/>
                <w:strike w:val="0"/>
                <w:color w:val="000000"/>
                <w:sz w:val="24"/>
                <w:highlight w:val="none"/>
                <w:u w:val="none" w:color="auto"/>
              </w:rPr>
              <w:t>a határigazgatást és biztonságot szolgáló</w:t>
            </w:r>
            <w:r>
              <w:t xml:space="preserve"> információs rendszerek interoperabilitásának jogi és technikai megvalósíthatóságával foglalkozik</w:t>
            </w:r>
            <w:r>
              <w:rPr>
                <w:rFonts w:ascii="Times New Roman" w:eastAsia="Times New Roman" w:hAnsi="Times New Roman" w:cs="Times New Roman"/>
                <w:b/>
                <w:i/>
                <w:strike w:val="0"/>
                <w:color w:val="000000"/>
                <w:sz w:val="24"/>
                <w:highlight w:val="none"/>
                <w:u w:val="none" w:color="auto"/>
              </w:rPr>
              <w:t xml:space="preserve">. E csoportnak meg kell vizsgálnia a </w:t>
            </w:r>
            <w:r>
              <w:t>Schengeni Információs Rendszerrel (SIS)</w:t>
            </w:r>
            <w:r>
              <w:rPr>
                <w:rFonts w:ascii="Times New Roman" w:eastAsia="Times New Roman" w:hAnsi="Times New Roman" w:cs="Times New Roman"/>
                <w:b/>
                <w:i/>
                <w:strike w:val="0"/>
                <w:color w:val="000000"/>
                <w:sz w:val="24"/>
                <w:highlight w:val="none"/>
                <w:u w:val="none" w:color="auto"/>
              </w:rPr>
              <w:t xml:space="preserve"> és a Vízuminformációs</w:t>
            </w:r>
            <w:r>
              <w:t xml:space="preserve"> </w:t>
            </w:r>
            <w:r>
              <w:rPr>
                <w:rFonts w:ascii="Times New Roman" w:eastAsia="Times New Roman" w:hAnsi="Times New Roman" w:cs="Times New Roman"/>
                <w:b/>
                <w:i/>
                <w:strike w:val="0"/>
                <w:color w:val="000000"/>
                <w:sz w:val="24"/>
                <w:highlight w:val="none"/>
                <w:u w:val="none" w:color="auto"/>
              </w:rPr>
              <w:t>Rendszerrel</w:t>
            </w:r>
            <w:r>
              <w:t xml:space="preserve"> (</w:t>
            </w:r>
            <w:r>
              <w:rPr>
                <w:rFonts w:ascii="Times New Roman" w:eastAsia="Times New Roman" w:hAnsi="Times New Roman" w:cs="Times New Roman"/>
                <w:b/>
                <w:i/>
                <w:strike w:val="0"/>
                <w:color w:val="000000"/>
                <w:sz w:val="24"/>
                <w:highlight w:val="none"/>
                <w:u w:val="none" w:color="auto"/>
              </w:rPr>
              <w:t>VIS</w:t>
            </w:r>
            <w:r>
              <w:t xml:space="preserve">) való </w:t>
            </w:r>
            <w:r>
              <w:rPr>
                <w:rFonts w:ascii="Times New Roman" w:eastAsia="Times New Roman" w:hAnsi="Times New Roman" w:cs="Times New Roman"/>
                <w:b/>
                <w:i/>
                <w:strike w:val="0"/>
                <w:color w:val="000000"/>
                <w:sz w:val="24"/>
                <w:highlight w:val="none"/>
                <w:u w:val="none" w:color="auto"/>
              </w:rPr>
              <w:t>interoperabilitás létrehozásának szükségességét és arányosságát, valamint azt, hogy felül kell-e vizsgálni a bűnüldözés EURODAC-hoz való hozzáférésének jogi keretét</w:t>
            </w:r>
            <w:r>
              <w:t>.</w:t>
            </w:r>
          </w:p>
        </w:tc>
        <w:tc>
          <w:tcPr/>
          <w:p>
            <w:pPr>
              <w:pStyle w:val="Normal6"/>
            </w:pPr>
            <w:r>
              <w:t>(14)</w:t>
            </w:r>
            <w:r>
              <w:tab/>
            </w:r>
            <w:r>
              <w:t>A határigazgatást és a biztonságot előmozdító megerősített és intelligens információs rendszerekről szóló bizottsági közlemény</w:t>
            </w:r>
            <w:r>
              <w:rPr>
                <w:rStyle w:val="Sup"/>
              </w:rPr>
              <w:t>28</w:t>
            </w:r>
            <w:r>
              <w:t xml:space="preserve"> hosszú távú célkitűzésként emeli ki az információs rendszerek hatékonyabb interoperabilitásának szükségességét, amelyet az Európai Tanács és a Tanács is azonosított. A Bizottság a közleményben információs rendszerekkel és az interoperabilitással foglalkozó szakértői csoport létrehozását javasolja, amely </w:t>
            </w:r>
            <w:r>
              <w:rPr>
                <w:rFonts w:ascii="Times New Roman" w:eastAsia="Times New Roman" w:hAnsi="Times New Roman" w:cs="Times New Roman"/>
                <w:b/>
                <w:i/>
                <w:strike w:val="0"/>
                <w:color w:val="000000"/>
                <w:sz w:val="24"/>
                <w:highlight w:val="none"/>
                <w:u w:val="none" w:color="auto"/>
              </w:rPr>
              <w:t>az</w:t>
            </w:r>
            <w:r>
              <w:t xml:space="preserve"> információs rendszerek interoperabilitásának jogi és technikai megvalósíthatóságával foglalkozik</w:t>
            </w:r>
            <w:r>
              <w:rPr>
                <w:rFonts w:ascii="Times New Roman" w:eastAsia="Times New Roman" w:hAnsi="Times New Roman" w:cs="Times New Roman"/>
                <w:b/>
                <w:i/>
                <w:strike w:val="0"/>
                <w:color w:val="000000"/>
                <w:sz w:val="24"/>
                <w:highlight w:val="none"/>
                <w:u w:val="none" w:color="auto"/>
              </w:rPr>
              <w:t>, továbbá megvizsgálja, hogy a bűnüldözés Eurodac-hoz való hozzáférése érdekében szükség van-e a jogi keret felülvizsgálatára. Műszaki megoldásokat kell kialakítani az Eurodac </w:t>
            </w:r>
            <w:r>
              <w:t>Schengeni Információs Rendszerrel (SIS)</w:t>
            </w:r>
            <w:r>
              <w:rPr>
                <w:rFonts w:ascii="Times New Roman" w:eastAsia="Times New Roman" w:hAnsi="Times New Roman" w:cs="Times New Roman"/>
                <w:b/>
                <w:i/>
                <w:strike w:val="0"/>
                <w:color w:val="000000"/>
                <w:sz w:val="24"/>
                <w:highlight w:val="none"/>
                <w:u w:val="none" w:color="auto"/>
              </w:rPr>
              <w:t>, vízuminformációs rendszerrel (VIS), Europollal és a határregisztrációs</w:t>
            </w:r>
            <w:r>
              <w:t xml:space="preserve"> </w:t>
            </w:r>
            <w:r>
              <w:rPr>
                <w:rFonts w:ascii="Times New Roman" w:eastAsia="Times New Roman" w:hAnsi="Times New Roman" w:cs="Times New Roman"/>
                <w:b/>
                <w:i/>
                <w:strike w:val="0"/>
                <w:color w:val="000000"/>
                <w:sz w:val="24"/>
                <w:highlight w:val="none"/>
                <w:u w:val="none" w:color="auto"/>
              </w:rPr>
              <w:t>rendszerrel</w:t>
            </w:r>
            <w:r>
              <w:t xml:space="preserve"> (</w:t>
            </w:r>
            <w:r>
              <w:rPr>
                <w:rFonts w:ascii="Times New Roman" w:eastAsia="Times New Roman" w:hAnsi="Times New Roman" w:cs="Times New Roman"/>
                <w:b/>
                <w:i/>
                <w:strike w:val="0"/>
                <w:color w:val="000000"/>
                <w:sz w:val="24"/>
                <w:highlight w:val="none"/>
                <w:u w:val="none" w:color="auto"/>
              </w:rPr>
              <w:t>EES</w:t>
            </w:r>
            <w:r>
              <w:t xml:space="preserve">) való </w:t>
            </w:r>
            <w:r>
              <w:rPr>
                <w:rFonts w:ascii="Times New Roman" w:eastAsia="Times New Roman" w:hAnsi="Times New Roman" w:cs="Times New Roman"/>
                <w:b/>
                <w:i/>
                <w:strike w:val="0"/>
                <w:color w:val="000000"/>
                <w:sz w:val="24"/>
                <w:highlight w:val="none"/>
                <w:u w:val="none" w:color="auto"/>
              </w:rPr>
              <w:t>interoperabilitásának biztosítására, a tagállamok külső határok igazgatása és a súlyos bűnözés elleni küzdelem terén való hatékony együttműködésének javítása érdekében. Ha az Eurodac egy jövőbeli verziójában a kiskorúakra vonatkozó adatok is szerepelnek, a tagállamoknak a családi kapcsolatokat is be kell jegyezniük, hogy elősegítsék a családegyesítést és felkutathassák az eltűnt gyermekeket</w:t>
            </w:r>
            <w:r>
              <w:t>.</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
              </w:rPr>
              <w:t>28</w:t>
            </w:r>
            <w:r>
              <w:t xml:space="preserve"> </w:t>
            </w:r>
            <w:r>
              <w:t>COM(2016) 205</w:t>
            </w:r>
            <w:r>
              <w:rPr>
                <w:rFonts w:ascii="Times New Roman" w:eastAsia="Times New Roman" w:hAnsi="Times New Roman" w:cs="Times New Roman"/>
                <w:b/>
                <w:i/>
                <w:strike w:val="0"/>
                <w:color w:val="000000"/>
                <w:sz w:val="24"/>
                <w:highlight w:val="none"/>
                <w:u w:val="none" w:color="auto"/>
              </w:rPr>
              <w:t xml:space="preserve"> final.</w:t>
            </w:r>
          </w:p>
        </w:tc>
        <w:tc>
          <w:tcPr/>
          <w:p>
            <w:pPr>
              <w:pStyle w:val="Normal6"/>
            </w:pPr>
            <w:r>
              <w:rPr>
                <w:rStyle w:val="Sup"/>
              </w:rPr>
              <w:t>28</w:t>
            </w:r>
            <w:r>
              <w:t xml:space="preserve"> </w:t>
            </w:r>
            <w:r>
              <w:t>COM(2016) 205</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90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Heinz K. Becker</w:t>
      </w:r>
      <w:r>
        <w:t xml:space="preserve">, </w:t>
      </w:r>
      <w:r>
        <w:t>Heinz K. Becker</w:t>
      </w:r>
      <w:r>
        <w:t xml:space="preserve">, </w:t>
      </w:r>
      <w:r>
        <w:t>Jeroen Lenaers</w:t>
      </w:r>
      <w:r>
        <w:t xml:space="preserve">, </w:t>
      </w:r>
      <w:r>
        <w:t>Rachida Dati</w:t>
      </w:r>
      <w:r>
        <w:t xml:space="preserve">, </w:t>
      </w:r>
      <w:r>
        <w:t>Brice Hortefeux</w:t>
      </w:r>
      <w:r>
        <w:t xml:space="preserve">, </w:t>
      </w:r>
      <w:r>
        <w:t>Mariya Gabriel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13 a preambulumbekezdés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(13a)</w:t>
            </w:r>
            <w:r>
              <w:tab/>
            </w:r>
            <w:r>
              <w:rPr>
                <w:rFonts w:ascii="Times New Roman" w:eastAsia="Times New Roman" w:hAnsi="Times New Roman" w:cs="Times New Roman"/>
                <w:b/>
                <w:i/>
                <w:strike w:val="0"/>
                <w:color w:val="000000"/>
                <w:sz w:val="24"/>
                <w:highlight w:val="none"/>
                <w:u w:val="none" w:color="auto"/>
              </w:rPr>
              <w:t xml:space="preserve">A 2016/1624/EU európai parlamenti és tanácsi rendelettel </w:t>
            </w:r>
            <w:r>
              <w:rPr>
                <w:rStyle w:val="SupBoldItalic"/>
              </w:rPr>
              <w:t>1a</w:t>
            </w:r>
            <w:r>
              <w:rPr>
                <w:rFonts w:ascii="Times New Roman" w:eastAsia="Times New Roman" w:hAnsi="Times New Roman" w:cs="Times New Roman"/>
                <w:b/>
                <w:i/>
                <w:strike w:val="0"/>
                <w:color w:val="000000"/>
                <w:sz w:val="24"/>
                <w:highlight w:val="none"/>
                <w:u w:val="none" w:color="auto"/>
              </w:rPr>
              <w:t>létrehozott Európai Határ- és Partvédelmi Ügynökség kulcsfontosságú szerepet játszik a külső határok jobb igazgatására, illetve az irreguláris migráció és továbbutazás megakadályozására irányuló uniós erőfeszítésekben. Következésképpen Európai Határ- és Partvédelmi Ügynökség számára biztosítani kell az Eurodac-adatokhoz való hozzáférést, annak érdekében, hogy a lehető legszigorúbb normák szerint tudjanak kockázatelemzést végezni és segíteni a tagállamokat a visszatéréssel kapcsolatos feladatokban. A szóban forgó adatok feldolgozását az (EU) 2016/1624 rendeletben előírt adatvédelmi szempontoknak megfelelően kell végrehajtani.</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Style w:val="SupBoldItalic"/>
              </w:rPr>
              <w:t>1a</w:t>
            </w:r>
            <w:r>
              <w:t xml:space="preserve"> </w:t>
            </w:r>
            <w:r>
              <w:rPr>
                <w:rFonts w:ascii="Times New Roman" w:eastAsia="Times New Roman" w:hAnsi="Times New Roman" w:cs="Times New Roman"/>
                <w:b/>
                <w:i/>
                <w:strike w:val="0"/>
                <w:color w:val="000000"/>
                <w:sz w:val="24"/>
                <w:highlight w:val="none"/>
                <w:u w:val="none" w:color="auto"/>
              </w:rPr>
              <w:t>Az Európai Parlament és a Tanács (EU) 2016/1624 rendelete (2016. szeptember 14.) az Európai Határ- és Parti Őrségről és az (EU) 2016/399 európai parlamenti és tanácsi rendelet módosításáról, valamint a 863/2007/EK európai parlamenti és tanácsi rendelet, a 2007/2004/EK tanácsi rendelet és a 2005/267/EK tanácsi határozat hatályon kívül helyezéséről (HL L 251., 2016.9.16., 1.o.)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Ez a módosítás megfelel az Eurodac által ellátott, az 1. cikk (1) bekezdésének új b) pontjában megállapított új szerepkörnek. Az Eurodac segítséget nyújt az illegális bevándorlás és továbbutazás ellenőrzésében. Új megbízatása keretében az újonnan létrehozott Európai Határ- és Partvédelmi Ügynökség szintén ellátja ezt a feladatot. Az Európai Határ- és Partvédelmi Ügynökség hozzáférése biztosítja az Eurodacban rejlő új lehetőségek teljes kihasználását.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91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Monika Hohlmeier</w:t>
      </w:r>
      <w:r>
        <w:t xml:space="preserve">, </w:t>
      </w:r>
      <w:r>
        <w:t>Heinz K. Becker</w:t>
      </w:r>
      <w:r>
        <w:t xml:space="preserve">, </w:t>
      </w:r>
      <w:r>
        <w:t>Rachida Dati</w:t>
      </w:r>
      <w:r>
        <w:t xml:space="preserve">, </w:t>
      </w:r>
      <w:r>
        <w:t>Rachida Dati</w:t>
      </w:r>
      <w:r>
        <w:t xml:space="preserve">, </w:t>
      </w:r>
      <w:r>
        <w:t>Mariya Gabriel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13 b preambulumbekezdés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(13b)</w:t>
            </w:r>
            <w:r>
              <w:tab/>
            </w:r>
            <w:r>
              <w:rPr>
                <w:rFonts w:ascii="Times New Roman" w:eastAsia="Times New Roman" w:hAnsi="Times New Roman" w:cs="Times New Roman"/>
                <w:b/>
                <w:i/>
                <w:strike w:val="0"/>
                <w:color w:val="000000"/>
                <w:sz w:val="24"/>
                <w:highlight w:val="none"/>
                <w:u w:val="none" w:color="auto"/>
              </w:rPr>
              <w:t>Az Európai Határ- és Partvédelmi Ügynökségének és a jövőbeli, Európai Unió Menekültügyi Ügynökségének e rendetben meghatározott egyik fő feladata a biometrikus adatok felvétele és továbbítása.  Az Európai Határ- és Partvédelmi Ügynökségének és az Európai Unió Menekültügyi Ügynökségének saját interfészt kell biztosítani, hogy többé ne kelljen a nemzeti infrasktruktúrákra támaszkodniuk. Hosszú távon ezek az interfészek egységes keresési interfészekként használhatók, ahogyan azt a 2016. április 6-i, a határigazgatást és a biztonságot előmozdító megerősített és intelligens információs rendszerekről szóló bizottsági közlemény</w:t>
            </w:r>
            <w:r>
              <w:rPr>
                <w:rStyle w:val="SupBoldItalic"/>
              </w:rPr>
              <w:t>1a</w:t>
            </w:r>
            <w:r>
              <w:rPr>
                <w:rFonts w:ascii="Times New Roman" w:eastAsia="Times New Roman" w:hAnsi="Times New Roman" w:cs="Times New Roman"/>
                <w:b/>
                <w:i/>
                <w:strike w:val="0"/>
                <w:color w:val="000000"/>
                <w:sz w:val="24"/>
                <w:highlight w:val="none"/>
                <w:u w:val="none" w:color="auto"/>
              </w:rPr>
              <w:t xml:space="preserve"> ismerteti.</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Style w:val="SupBoldItalic"/>
              </w:rPr>
              <w:t>1a</w:t>
            </w:r>
            <w:r>
              <w:t xml:space="preserve"> </w:t>
            </w:r>
            <w:r>
              <w:rPr>
                <w:rFonts w:ascii="Times New Roman" w:eastAsia="Times New Roman" w:hAnsi="Times New Roman" w:cs="Times New Roman"/>
                <w:b/>
                <w:i/>
                <w:strike w:val="0"/>
                <w:color w:val="000000"/>
                <w:sz w:val="24"/>
                <w:highlight w:val="none"/>
                <w:u w:val="none" w:color="auto"/>
              </w:rPr>
              <w:t>COM(2016) 205</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Ez a módosítás csökkenti az Ügynökség nemzeti infrastruktúrától való függését, amely valódi terhet jelenthet az ügynökségek napi munkája szempontjából, mivel nem minden nemzeti infrastruktúra felel meg a legmagasabb normáknak.</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92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14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(14)</w:t>
            </w:r>
            <w:r>
              <w:tab/>
            </w:r>
            <w:r>
              <w:t xml:space="preserve">A határigazgatást és a biztonságot előmozdító megerősített és intelligens információs rendszerekről szóló bizottsági </w:t>
            </w:r>
            <w:r>
              <w:rPr>
                <w:rFonts w:ascii="Times New Roman" w:eastAsia="Times New Roman" w:hAnsi="Times New Roman" w:cs="Times New Roman"/>
                <w:b/>
                <w:i/>
                <w:strike w:val="0"/>
                <w:color w:val="000000"/>
                <w:sz w:val="24"/>
                <w:highlight w:val="none"/>
                <w:u w:val="none" w:color="auto"/>
              </w:rPr>
              <w:t>közlemény</w:t>
            </w:r>
            <w:r>
              <w:rPr>
                <w:rStyle w:val="SupBoldItalic"/>
              </w:rPr>
              <w:t>28</w:t>
            </w:r>
            <w:r>
              <w:rPr>
                <w:rFonts w:ascii="Times New Roman" w:eastAsia="Times New Roman" w:hAnsi="Times New Roman" w:cs="Times New Roman"/>
                <w:b/>
                <w:i/>
                <w:strike w:val="0"/>
                <w:color w:val="000000"/>
                <w:sz w:val="24"/>
                <w:highlight w:val="none"/>
                <w:u w:val="none" w:color="auto"/>
              </w:rPr>
              <w:t xml:space="preserve"> </w:t>
            </w:r>
            <w:r>
              <w:t>hosszú távú célkitűzésként emeli ki az információs rendszerek hatékonyabb interoperabilitásának szükségességét, amelyet az Európai Tanács és a Tanács is azonosított</w:t>
            </w:r>
            <w:r>
              <w:rPr>
                <w:rFonts w:ascii="Times New Roman" w:eastAsia="Times New Roman" w:hAnsi="Times New Roman" w:cs="Times New Roman"/>
                <w:b/>
                <w:i/>
                <w:strike w:val="0"/>
                <w:color w:val="000000"/>
                <w:sz w:val="24"/>
                <w:highlight w:val="none"/>
                <w:u w:val="none" w:color="auto"/>
              </w:rPr>
              <w:t>.</w:t>
            </w:r>
            <w:r>
              <w:t xml:space="preserve"> </w:t>
            </w:r>
            <w:r>
              <w:rPr>
                <w:rFonts w:ascii="Times New Roman" w:eastAsia="Times New Roman" w:hAnsi="Times New Roman" w:cs="Times New Roman"/>
                <w:b/>
                <w:i/>
                <w:strike w:val="0"/>
                <w:color w:val="000000"/>
                <w:sz w:val="24"/>
                <w:highlight w:val="none"/>
                <w:u w:val="none" w:color="auto"/>
              </w:rPr>
              <w:t>A</w:t>
            </w:r>
            <w:r>
              <w:t xml:space="preserve"> Bizottság </w:t>
            </w:r>
            <w:r>
              <w:rPr>
                <w:rFonts w:ascii="Times New Roman" w:eastAsia="Times New Roman" w:hAnsi="Times New Roman" w:cs="Times New Roman"/>
                <w:b/>
                <w:i/>
                <w:strike w:val="0"/>
                <w:color w:val="000000"/>
                <w:sz w:val="24"/>
                <w:highlight w:val="none"/>
                <w:u w:val="none" w:color="auto"/>
              </w:rPr>
              <w:t>a közleményben</w:t>
            </w:r>
            <w:r>
              <w:t xml:space="preserve"> információs rendszerekkel és az interoperabilitással foglalkozó szakértői </w:t>
            </w:r>
            <w:r>
              <w:rPr>
                <w:rFonts w:ascii="Times New Roman" w:eastAsia="Times New Roman" w:hAnsi="Times New Roman" w:cs="Times New Roman"/>
                <w:b/>
                <w:i/>
                <w:strike w:val="0"/>
                <w:color w:val="000000"/>
                <w:sz w:val="24"/>
                <w:highlight w:val="none"/>
                <w:u w:val="none" w:color="auto"/>
              </w:rPr>
              <w:t xml:space="preserve">csoport létrehozását javasolja, amely a határigazgatást és biztonságot szolgáló információs rendszerek interoperabilitásának jogi és technikai megvalósíthatóságával foglalkozik. </w:t>
            </w:r>
            <w:r>
              <w:rPr>
                <w:rFonts w:ascii="Times New Roman" w:eastAsia="Times New Roman" w:hAnsi="Times New Roman" w:cs="Times New Roman"/>
                <w:b/>
                <w:i/>
                <w:strike w:val="0"/>
                <w:color w:val="000000"/>
                <w:sz w:val="24"/>
                <w:highlight w:val="none"/>
                <w:u w:val="none" w:color="auto"/>
              </w:rPr>
              <w:t>E</w:t>
            </w:r>
            <w:r>
              <w:t xml:space="preserve"> csoportnak meg kell vizsgálnia a Schengeni Információs </w:t>
            </w:r>
            <w:r>
              <w:rPr>
                <w:rFonts w:ascii="Times New Roman" w:eastAsia="Times New Roman" w:hAnsi="Times New Roman" w:cs="Times New Roman"/>
                <w:b/>
                <w:i/>
                <w:strike w:val="0"/>
                <w:color w:val="000000"/>
                <w:sz w:val="24"/>
                <w:highlight w:val="none"/>
                <w:u w:val="none" w:color="auto"/>
              </w:rPr>
              <w:t>Rendszerrel (SIS) és</w:t>
            </w:r>
            <w:r>
              <w:t xml:space="preserve"> a Vízuminformációs </w:t>
            </w:r>
            <w:r>
              <w:rPr>
                <w:rFonts w:ascii="Times New Roman" w:eastAsia="Times New Roman" w:hAnsi="Times New Roman" w:cs="Times New Roman"/>
                <w:b/>
                <w:i/>
                <w:strike w:val="0"/>
                <w:color w:val="000000"/>
                <w:sz w:val="24"/>
                <w:highlight w:val="none"/>
                <w:u w:val="none" w:color="auto"/>
              </w:rPr>
              <w:t>Rendszerrel (VIS) való interoperabilitás létrehozásának szükségességét és arányosságát, valamint azt, hogy felül kell-e vizsgálni a bűnüldözés EURODAC-hoz való hozzáférésének jogi keretét</w:t>
            </w:r>
            <w:r>
              <w:t>.</w:t>
            </w:r>
          </w:p>
        </w:tc>
        <w:tc>
          <w:tcPr/>
          <w:p>
            <w:pPr>
              <w:pStyle w:val="Normal6"/>
            </w:pPr>
            <w:r>
              <w:t>(14)</w:t>
            </w:r>
            <w:r>
              <w:tab/>
            </w:r>
            <w:r>
              <w:t xml:space="preserve">A határigazgatást és a biztonságot előmozdító megerősített és intelligens információs rendszerekről szóló bizottsági </w:t>
            </w:r>
            <w:r>
              <w:rPr>
                <w:rFonts w:ascii="Times New Roman" w:eastAsia="Times New Roman" w:hAnsi="Times New Roman" w:cs="Times New Roman"/>
                <w:b/>
                <w:i/>
                <w:strike w:val="0"/>
                <w:color w:val="000000"/>
                <w:sz w:val="24"/>
                <w:highlight w:val="none"/>
                <w:u w:val="none" w:color="auto"/>
              </w:rPr>
              <w:t>közleménnyel</w:t>
            </w:r>
            <w:r>
              <w:rPr>
                <w:rStyle w:val="SupBoldItalic"/>
              </w:rPr>
              <w:t>28</w:t>
            </w:r>
            <w:r>
              <w:rPr>
                <w:rFonts w:ascii="Times New Roman" w:eastAsia="Times New Roman" w:hAnsi="Times New Roman" w:cs="Times New Roman"/>
                <w:b/>
                <w:i/>
                <w:strike w:val="0"/>
                <w:color w:val="000000"/>
                <w:sz w:val="24"/>
                <w:highlight w:val="none"/>
                <w:u w:val="none" w:color="auto"/>
              </w:rPr>
              <w:t xml:space="preserve"> – amely </w:t>
            </w:r>
            <w:r>
              <w:t>hosszú távú célkitűzésként emeli ki az információs rendszerek hatékonyabb interoperabilitásának szükségességét, amelyet az Európai Tanács és a Tanács is azonosított</w:t>
            </w:r>
            <w:r>
              <w:rPr>
                <w:rFonts w:ascii="Times New Roman" w:eastAsia="Times New Roman" w:hAnsi="Times New Roman" w:cs="Times New Roman"/>
                <w:b/>
                <w:i/>
                <w:strike w:val="0"/>
                <w:color w:val="000000"/>
                <w:sz w:val="24"/>
                <w:highlight w:val="none"/>
                <w:u w:val="none" w:color="auto"/>
              </w:rPr>
              <w:t xml:space="preserve"> – összhangban</w:t>
            </w:r>
            <w:r>
              <w:t xml:space="preserve"> </w:t>
            </w:r>
            <w:r>
              <w:rPr>
                <w:rFonts w:ascii="Times New Roman" w:eastAsia="Times New Roman" w:hAnsi="Times New Roman" w:cs="Times New Roman"/>
                <w:b/>
                <w:i/>
                <w:strike w:val="0"/>
                <w:color w:val="000000"/>
                <w:sz w:val="24"/>
                <w:highlight w:val="none"/>
                <w:u w:val="none" w:color="auto"/>
              </w:rPr>
              <w:t>a</w:t>
            </w:r>
            <w:r>
              <w:t xml:space="preserve"> Bizottság </w:t>
            </w:r>
            <w:r>
              <w:rPr>
                <w:rFonts w:ascii="Times New Roman" w:eastAsia="Times New Roman" w:hAnsi="Times New Roman" w:cs="Times New Roman"/>
                <w:b/>
                <w:i/>
                <w:strike w:val="0"/>
                <w:color w:val="000000"/>
                <w:sz w:val="24"/>
                <w:highlight w:val="none"/>
                <w:u w:val="none" w:color="auto"/>
              </w:rPr>
              <w:t>létrehozott egy</w:t>
            </w:r>
            <w:r>
              <w:t xml:space="preserve"> információs rendszerekkel és az interoperabilitással foglalkozó szakértői </w:t>
            </w:r>
            <w:r>
              <w:rPr>
                <w:rFonts w:ascii="Times New Roman" w:eastAsia="Times New Roman" w:hAnsi="Times New Roman" w:cs="Times New Roman"/>
                <w:b/>
                <w:i/>
                <w:strike w:val="0"/>
                <w:color w:val="000000"/>
                <w:sz w:val="24"/>
                <w:highlight w:val="none"/>
                <w:u w:val="none" w:color="auto"/>
              </w:rPr>
              <w:t xml:space="preserve">csoportot, amelynek fő célja az uniós adatbázisok által a felhasználóknak nyújtott szolgáltatás minőségének javítása, vagyis jobb, egyszerűbb és gyorsabb hozzáférés az azokban szereplő adatokhoz, továbbá magas minőségű adatok nyújtása. Ezért </w:t>
            </w:r>
            <w:r>
              <w:rPr>
                <w:rFonts w:ascii="Times New Roman" w:eastAsia="Times New Roman" w:hAnsi="Times New Roman" w:cs="Times New Roman"/>
                <w:b/>
                <w:i/>
                <w:strike w:val="0"/>
                <w:color w:val="000000"/>
                <w:sz w:val="24"/>
                <w:highlight w:val="none"/>
                <w:u w:val="none" w:color="auto"/>
              </w:rPr>
              <w:t>e</w:t>
            </w:r>
            <w:r>
              <w:t xml:space="preserve"> csoportnak meg kell vizsgálnia </w:t>
            </w:r>
            <w:r>
              <w:rPr>
                <w:rFonts w:ascii="Times New Roman" w:eastAsia="Times New Roman" w:hAnsi="Times New Roman" w:cs="Times New Roman"/>
                <w:b/>
                <w:i/>
                <w:strike w:val="0"/>
                <w:color w:val="000000"/>
                <w:sz w:val="24"/>
                <w:highlight w:val="none"/>
                <w:u w:val="none" w:color="auto"/>
              </w:rPr>
              <w:t xml:space="preserve">az uniós informatikai rendszerek, vagyis </w:t>
            </w:r>
            <w:r>
              <w:t xml:space="preserve">a Schengeni Információs </w:t>
            </w:r>
            <w:r>
              <w:rPr>
                <w:rFonts w:ascii="Times New Roman" w:eastAsia="Times New Roman" w:hAnsi="Times New Roman" w:cs="Times New Roman"/>
                <w:b/>
                <w:i/>
                <w:strike w:val="0"/>
                <w:color w:val="000000"/>
                <w:sz w:val="24"/>
                <w:highlight w:val="none"/>
                <w:u w:val="none" w:color="auto"/>
              </w:rPr>
              <w:t>Rendszer (SIS),</w:t>
            </w:r>
            <w:r>
              <w:t xml:space="preserve"> a Vízuminformációs </w:t>
            </w:r>
            <w:r>
              <w:rPr>
                <w:rFonts w:ascii="Times New Roman" w:eastAsia="Times New Roman" w:hAnsi="Times New Roman" w:cs="Times New Roman"/>
                <w:b/>
                <w:i/>
                <w:strike w:val="0"/>
                <w:color w:val="000000"/>
                <w:sz w:val="24"/>
                <w:highlight w:val="none"/>
                <w:u w:val="none" w:color="auto"/>
              </w:rPr>
              <w:t>Rendszer (VIS), az Eurodac és más releváns, jelenleg fejlesztés alatt álló adatbázisokkal való interoperabilitás létrehozásának szükségességét és arányosságát</w:t>
            </w:r>
            <w:r>
              <w:t>.</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BoldItalic"/>
              </w:rPr>
              <w:t>28</w:t>
            </w:r>
            <w:r>
              <w:t xml:space="preserve"> </w:t>
            </w:r>
            <w:r>
              <w:t>COM(2016) 205</w:t>
            </w:r>
            <w:r>
              <w:rPr>
                <w:rFonts w:ascii="Times New Roman" w:eastAsia="Times New Roman" w:hAnsi="Times New Roman" w:cs="Times New Roman"/>
                <w:b/>
                <w:i/>
                <w:strike w:val="0"/>
                <w:color w:val="000000"/>
                <w:sz w:val="24"/>
                <w:highlight w:val="none"/>
                <w:u w:val="none" w:color="auto"/>
              </w:rPr>
              <w:t xml:space="preserve"> final.</w:t>
            </w:r>
          </w:p>
        </w:tc>
        <w:tc>
          <w:tcPr/>
          <w:p>
            <w:pPr>
              <w:pStyle w:val="Normal6"/>
            </w:pPr>
            <w:r>
              <w:rPr>
                <w:rStyle w:val="SupBoldItalic"/>
              </w:rPr>
              <w:t>28</w:t>
            </w:r>
            <w:r>
              <w:t xml:space="preserve"> </w:t>
            </w:r>
            <w:r>
              <w:t>COM(2016) 205</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93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Kinga Gál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14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(14)</w:t>
            </w:r>
            <w:r>
              <w:tab/>
            </w:r>
            <w:r>
              <w:t>A határigazgatást és a biztonságot előmozdító megerősített és intelligens információs rendszerekről szóló bizottsági közlemény</w:t>
            </w:r>
            <w:r>
              <w:rPr>
                <w:rStyle w:val="Sup"/>
              </w:rPr>
              <w:t>28</w:t>
            </w:r>
            <w:r>
              <w:t xml:space="preserve"> hosszú távú célkitűzésként emeli ki az információs rendszerek hatékonyabb interoperabilitásának szükségességét, amelyet az Európai Tanács és a Tanács is azonosított. A Bizottság a közleményben információs rendszerekkel és az interoperabilitással foglalkozó szakértői csoport létrehozását javasolja, amely </w:t>
            </w:r>
            <w:r>
              <w:rPr>
                <w:rFonts w:ascii="Times New Roman" w:eastAsia="Times New Roman" w:hAnsi="Times New Roman" w:cs="Times New Roman"/>
                <w:b/>
                <w:i/>
                <w:strike w:val="0"/>
                <w:color w:val="000000"/>
                <w:sz w:val="24"/>
                <w:highlight w:val="none"/>
                <w:u w:val="none" w:color="auto"/>
              </w:rPr>
              <w:t>a határigazgatást és biztonságot szolgáló</w:t>
            </w:r>
            <w:r>
              <w:t xml:space="preserve"> információs rendszerek interoperabilitásának jogi és technikai megvalósíthatóságával foglalkozik</w:t>
            </w:r>
            <w:r>
              <w:rPr>
                <w:rFonts w:ascii="Times New Roman" w:eastAsia="Times New Roman" w:hAnsi="Times New Roman" w:cs="Times New Roman"/>
                <w:b/>
                <w:i/>
                <w:strike w:val="0"/>
                <w:color w:val="000000"/>
                <w:sz w:val="24"/>
                <w:highlight w:val="none"/>
                <w:u w:val="none" w:color="auto"/>
              </w:rPr>
              <w:t>. E csoportnak meg kell vizsgálnia a</w:t>
            </w:r>
            <w:r>
              <w:t xml:space="preserve"> Schengeni Információs Rendszerrel (SIS)</w:t>
            </w:r>
            <w:r>
              <w:rPr>
                <w:rFonts w:ascii="Times New Roman" w:eastAsia="Times New Roman" w:hAnsi="Times New Roman" w:cs="Times New Roman"/>
                <w:b/>
                <w:i/>
                <w:strike w:val="0"/>
                <w:color w:val="000000"/>
                <w:sz w:val="24"/>
                <w:highlight w:val="none"/>
                <w:u w:val="none" w:color="auto"/>
              </w:rPr>
              <w:t xml:space="preserve"> és a Vízuminformációs</w:t>
            </w:r>
            <w:r>
              <w:t xml:space="preserve"> </w:t>
            </w:r>
            <w:r>
              <w:rPr>
                <w:rFonts w:ascii="Times New Roman" w:eastAsia="Times New Roman" w:hAnsi="Times New Roman" w:cs="Times New Roman"/>
                <w:b/>
                <w:i/>
                <w:strike w:val="0"/>
                <w:color w:val="000000"/>
                <w:sz w:val="24"/>
                <w:highlight w:val="none"/>
                <w:u w:val="none" w:color="auto"/>
              </w:rPr>
              <w:t>Rendszerrel</w:t>
            </w:r>
            <w:r>
              <w:t xml:space="preserve"> (</w:t>
            </w:r>
            <w:r>
              <w:rPr>
                <w:rFonts w:ascii="Times New Roman" w:eastAsia="Times New Roman" w:hAnsi="Times New Roman" w:cs="Times New Roman"/>
                <w:b/>
                <w:i/>
                <w:strike w:val="0"/>
                <w:color w:val="000000"/>
                <w:sz w:val="24"/>
                <w:highlight w:val="none"/>
                <w:u w:val="none" w:color="auto"/>
              </w:rPr>
              <w:t>VIS</w:t>
            </w:r>
            <w:r>
              <w:t xml:space="preserve">) való </w:t>
            </w:r>
            <w:r>
              <w:rPr>
                <w:rFonts w:ascii="Times New Roman" w:eastAsia="Times New Roman" w:hAnsi="Times New Roman" w:cs="Times New Roman"/>
                <w:b/>
                <w:i/>
                <w:strike w:val="0"/>
                <w:color w:val="000000"/>
                <w:sz w:val="24"/>
                <w:highlight w:val="none"/>
                <w:u w:val="none" w:color="auto"/>
              </w:rPr>
              <w:t>interoperabilitás létrehozásának szükségességét és arányosságát, valamint azt, hogy felül kell-e vizsgálni a bűnüldözés EURODAC-hoz való hozzáférésének jogi keretét</w:t>
            </w:r>
            <w:r>
              <w:t>.</w:t>
            </w:r>
          </w:p>
        </w:tc>
        <w:tc>
          <w:tcPr/>
          <w:p>
            <w:pPr>
              <w:pStyle w:val="Normal6"/>
            </w:pPr>
            <w:r>
              <w:t>(14)</w:t>
            </w:r>
            <w:r>
              <w:tab/>
            </w:r>
            <w:r>
              <w:t>A határigazgatást és a biztonságot előmozdító megerősített és intelligens információs rendszerekről szóló bizottsági közlemény</w:t>
            </w:r>
            <w:r>
              <w:rPr>
                <w:rStyle w:val="Sup"/>
              </w:rPr>
              <w:t>28</w:t>
            </w:r>
            <w:r>
              <w:t xml:space="preserve"> hosszú távú célkitűzésként emeli ki az információs rendszerek hatékonyabb interoperabilitásának szükségességét, amelyet az Európai Tanács és a Tanács is azonosított. A Bizottság a közleményben információs rendszerekkel és az interoperabilitással foglalkozó szakértői csoport létrehozását javasolja, amely </w:t>
            </w:r>
            <w:r>
              <w:rPr>
                <w:rFonts w:ascii="Times New Roman" w:eastAsia="Times New Roman" w:hAnsi="Times New Roman" w:cs="Times New Roman"/>
                <w:b/>
                <w:i/>
                <w:strike w:val="0"/>
                <w:color w:val="000000"/>
                <w:sz w:val="24"/>
                <w:highlight w:val="none"/>
                <w:u w:val="none" w:color="auto"/>
              </w:rPr>
              <w:t>az</w:t>
            </w:r>
            <w:r>
              <w:t xml:space="preserve"> információs rendszerek interoperabilitásának jogi és technikai megvalósíthatóságával foglalkozik</w:t>
            </w:r>
            <w:r>
              <w:rPr>
                <w:rFonts w:ascii="Times New Roman" w:eastAsia="Times New Roman" w:hAnsi="Times New Roman" w:cs="Times New Roman"/>
                <w:b/>
                <w:i/>
                <w:strike w:val="0"/>
                <w:color w:val="000000"/>
                <w:sz w:val="24"/>
                <w:highlight w:val="none"/>
                <w:u w:val="none" w:color="auto"/>
              </w:rPr>
              <w:t>, továbbá megvizsgálja, hogy a bűnüldözés Eurodac-hoz való hozzáférése érdekében szükség van-e a jogi keret felülvizsgálatára. Műszaki megoldásokat kell kialakítani az Eurodac</w:t>
            </w:r>
            <w:r>
              <w:t xml:space="preserve"> Schengeni Információs Rendszerrel (SIS)</w:t>
            </w:r>
            <w:r>
              <w:rPr>
                <w:rFonts w:ascii="Times New Roman" w:eastAsia="Times New Roman" w:hAnsi="Times New Roman" w:cs="Times New Roman"/>
                <w:b/>
                <w:i/>
                <w:strike w:val="0"/>
                <w:color w:val="000000"/>
                <w:sz w:val="24"/>
                <w:highlight w:val="none"/>
                <w:u w:val="none" w:color="auto"/>
              </w:rPr>
              <w:t>, vízuminformációs rendszerrel (VIS), Europollal és a határregisztrációs</w:t>
            </w:r>
            <w:r>
              <w:t xml:space="preserve"> </w:t>
            </w:r>
            <w:r>
              <w:rPr>
                <w:rFonts w:ascii="Times New Roman" w:eastAsia="Times New Roman" w:hAnsi="Times New Roman" w:cs="Times New Roman"/>
                <w:b/>
                <w:i/>
                <w:strike w:val="0"/>
                <w:color w:val="000000"/>
                <w:sz w:val="24"/>
                <w:highlight w:val="none"/>
                <w:u w:val="none" w:color="auto"/>
              </w:rPr>
              <w:t>rendszerrel</w:t>
            </w:r>
            <w:r>
              <w:t xml:space="preserve"> (</w:t>
            </w:r>
            <w:r>
              <w:rPr>
                <w:rFonts w:ascii="Times New Roman" w:eastAsia="Times New Roman" w:hAnsi="Times New Roman" w:cs="Times New Roman"/>
                <w:b/>
                <w:i/>
                <w:strike w:val="0"/>
                <w:color w:val="000000"/>
                <w:sz w:val="24"/>
                <w:highlight w:val="none"/>
                <w:u w:val="none" w:color="auto"/>
              </w:rPr>
              <w:t>EES</w:t>
            </w:r>
            <w:r>
              <w:t xml:space="preserve">) való </w:t>
            </w:r>
            <w:r>
              <w:rPr>
                <w:rFonts w:ascii="Times New Roman" w:eastAsia="Times New Roman" w:hAnsi="Times New Roman" w:cs="Times New Roman"/>
                <w:b/>
                <w:i/>
                <w:strike w:val="0"/>
                <w:color w:val="000000"/>
                <w:sz w:val="24"/>
                <w:highlight w:val="none"/>
                <w:u w:val="none" w:color="auto"/>
              </w:rPr>
              <w:t>interoperabilitásának biztosítására, a tagállamok külső határok igazgatása és a súlyos bűnözés elleni küzdelem terén való hatékony együttműködésének javítása érdekében</w:t>
            </w:r>
            <w:r>
              <w:t>.</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
              </w:rPr>
              <w:t>28</w:t>
            </w:r>
            <w:r>
              <w:t xml:space="preserve"> </w:t>
            </w:r>
            <w:r>
              <w:t>COM(2016) 205</w:t>
            </w:r>
            <w:r>
              <w:rPr>
                <w:rFonts w:ascii="Times New Roman" w:eastAsia="Times New Roman" w:hAnsi="Times New Roman" w:cs="Times New Roman"/>
                <w:b/>
                <w:i/>
                <w:strike w:val="0"/>
                <w:color w:val="000000"/>
                <w:sz w:val="24"/>
                <w:highlight w:val="none"/>
                <w:u w:val="none" w:color="auto"/>
              </w:rPr>
              <w:t xml:space="preserve"> final.</w:t>
            </w:r>
          </w:p>
        </w:tc>
        <w:tc>
          <w:tcPr/>
          <w:p>
            <w:pPr>
              <w:pStyle w:val="Normal6"/>
            </w:pPr>
            <w:r>
              <w:rPr>
                <w:rStyle w:val="Sup"/>
              </w:rPr>
              <w:t>28</w:t>
            </w:r>
            <w:r>
              <w:t xml:space="preserve"> </w:t>
            </w:r>
            <w:r>
              <w:t>COM(2016) 205</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94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14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(14)</w:t>
            </w:r>
            <w:r>
              <w:tab/>
            </w:r>
            <w:r>
              <w:t>A határigazgatást és a biztonságot előmozdító megerősített és intelligens információs rendszerekről szóló bizottsági közlemény</w:t>
            </w:r>
            <w:r>
              <w:rPr>
                <w:rStyle w:val="Sup"/>
              </w:rPr>
              <w:t>28</w:t>
            </w:r>
            <w:r>
              <w:t xml:space="preserve"> hosszú távú célkitűzésként emeli ki az információs rendszerek hatékonyabb interoperabilitásának szükségességét, amelyet az Európai Tanács és a Tanács is azonosított. A Bizottság a közleményben információs rendszerekkel és az interoperabilitással foglalkozó szakértői csoport létrehozását javasolja, amely a határigazgatást és biztonságot szolgáló információs rendszerek interoperabilitásának jogi és technikai megvalósíthatóságával foglalkozik. E csoportnak meg kell vizsgálnia a Schengeni Információs Rendszerrel (SIS) és a Vízuminformációs Rendszerrel (VIS) való interoperabilitás létrehozásának szükségességét és arányosságát, valamint azt, hogy felül kell-e vizsgálni a bűnüldözés EURODAC-hoz való hozzáférésének jogi keretét.</w:t>
            </w:r>
          </w:p>
        </w:tc>
        <w:tc>
          <w:tcPr/>
          <w:p>
            <w:pPr>
              <w:pStyle w:val="Normal6"/>
            </w:pPr>
            <w:r>
              <w:t>(14)</w:t>
            </w:r>
            <w:r>
              <w:tab/>
            </w:r>
            <w:r>
              <w:t>A határigazgatást és a biztonságot előmozdító megerősített és intelligens információs rendszerekről szóló bizottsági közlemény</w:t>
            </w:r>
            <w:r>
              <w:rPr>
                <w:rStyle w:val="Sup"/>
              </w:rPr>
              <w:t>28</w:t>
            </w:r>
            <w:r>
              <w:t xml:space="preserve"> hosszú távú célkitűzésként emeli ki az információs rendszerek hatékonyabb interoperabilitásának szükségességét, amelyet az Európai Tanács és a Tanács is azonosított. A Bizottság a közleményben információs rendszerekkel és az interoperabilitással foglalkozó szakértői csoport létrehozását javasolja, amely a határigazgatást és biztonságot szolgáló információs rendszerek interoperabilitásának jogi és technikai megvalósíthatóságával foglalkozik. E csoportnak meg kell vizsgálnia a Schengeni Információs Rendszerrel (SIS)</w:t>
            </w:r>
            <w:r>
              <w:rPr>
                <w:rFonts w:ascii="Times New Roman" w:eastAsia="Times New Roman" w:hAnsi="Times New Roman" w:cs="Times New Roman"/>
                <w:b/>
                <w:i/>
                <w:strike w:val="0"/>
                <w:color w:val="000000"/>
                <w:sz w:val="24"/>
                <w:highlight w:val="none"/>
                <w:u w:val="none" w:color="auto"/>
              </w:rPr>
              <w:t>, a határregisztrációs rendszerrel</w:t>
            </w:r>
            <w:r>
              <w:t xml:space="preserve"> és a Vízuminformációs Rendszerrel (VIS) való interoperabilitás létrehozásának szükségességét és arányosságát, valamint azt, hogy felül kell-e vizsgálni a bűnüldözés EURODAC-hoz való hozzáférésének jogi keretét.</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
              </w:rPr>
              <w:t>28</w:t>
            </w:r>
            <w:r>
              <w:t xml:space="preserve"> </w:t>
            </w:r>
            <w:r>
              <w:t>COM(2016) 205</w:t>
            </w:r>
            <w:r>
              <w:rPr>
                <w:rFonts w:ascii="Times New Roman" w:eastAsia="Times New Roman" w:hAnsi="Times New Roman" w:cs="Times New Roman"/>
                <w:b/>
                <w:i/>
                <w:strike w:val="0"/>
                <w:color w:val="000000"/>
                <w:sz w:val="24"/>
                <w:highlight w:val="none"/>
                <w:u w:val="none" w:color="auto"/>
              </w:rPr>
              <w:t xml:space="preserve"> final.</w:t>
            </w:r>
          </w:p>
        </w:tc>
        <w:tc>
          <w:tcPr/>
          <w:p>
            <w:pPr>
              <w:pStyle w:val="Normal6"/>
            </w:pPr>
            <w:r>
              <w:rPr>
                <w:rStyle w:val="Sup"/>
              </w:rPr>
              <w:t>28</w:t>
            </w:r>
            <w:r>
              <w:t xml:space="preserve"> </w:t>
            </w:r>
            <w:r>
              <w:t>COM(2016) 205</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95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14 a preambulumbekezdés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(14a)</w:t>
            </w:r>
            <w:r>
              <w:tab/>
            </w:r>
            <w:r>
              <w:rPr>
                <w:rFonts w:ascii="Times New Roman" w:eastAsia="Times New Roman" w:hAnsi="Times New Roman" w:cs="Times New Roman"/>
                <w:b/>
                <w:i/>
                <w:strike w:val="0"/>
                <w:color w:val="000000"/>
                <w:sz w:val="24"/>
                <w:highlight w:val="none"/>
                <w:u w:val="none" w:color="auto"/>
              </w:rPr>
              <w:t>Az eu-LISA biztonságos kommunikációs csatornát épít ki a határregisztrációs rendszer (EES) központi rendszere és az Eurodac központi rendszere között, hogy megvalósuljon a két rendszer interoperabilitása. A két rendszer közötti kapcsolatra azért van szükség, hogy a harmadik országbeli állampolgároknak az EES-ben nyilvántartott biometrikus adatai automatikus továbbításra kerüljenek az Eurodac felé, amennyiben e rendelet előírja e biometrikus adatok nyilvántartásba vételét.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 ki- és beléptetési rendszer célja nyilvántartásba venni a schengeni térségbe rövid tartózkodás céljából belépő harmadik országbeli polgárok belépésének időpontját, illetve jelezni a megengedett tartózkodási idő minden túllépését. Megengedett tartózkodási idejük lejárta után a harmadik országok polgárai tehát jogtalanul tartózkodnak az EU-ban és ezért a 14. cikknek megfelelően nyilvántartásba kell őket venni. A két rendszer átjárhatósága lehetővé teszi, hogy a tagállam a területén ne kényszerüljön az e személyek utáni kutatásra és a kettős nyilvántartásra.</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96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Carlos Coelho</w:t>
      </w:r>
      <w:r>
        <w:t xml:space="preserve">, </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14 a preambulumbekezdés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(14a)</w:t>
            </w:r>
            <w:r>
              <w:tab/>
            </w:r>
            <w:r>
              <w:rPr>
                <w:rFonts w:ascii="Times New Roman" w:eastAsia="Times New Roman" w:hAnsi="Times New Roman" w:cs="Times New Roman"/>
                <w:b/>
                <w:i/>
                <w:strike w:val="0"/>
                <w:color w:val="000000"/>
                <w:sz w:val="24"/>
                <w:highlight w:val="none"/>
                <w:u w:val="none" w:color="auto"/>
              </w:rPr>
              <w:t>A Schengeni Információs Rendszert a határellenőrzések tekintetében módosító bizottsági javaslat</w:t>
            </w:r>
            <w:r>
              <w:rPr>
                <w:rStyle w:val="SupBoldItalic"/>
              </w:rPr>
              <w:t>1a</w:t>
            </w:r>
            <w:r>
              <w:rPr>
                <w:rFonts w:ascii="Times New Roman" w:eastAsia="Times New Roman" w:hAnsi="Times New Roman" w:cs="Times New Roman"/>
                <w:b/>
                <w:i/>
                <w:strike w:val="0"/>
                <w:color w:val="000000"/>
                <w:sz w:val="24"/>
                <w:highlight w:val="none"/>
                <w:u w:val="none" w:color="auto"/>
              </w:rPr>
              <w:t xml:space="preserve"> megnyitja a lehetőséget az ujjnyomatok Schengeni Információs Rendszerben való keresését, hogy azonnal rendelkezésre álljon a kiutasítási határozat által érintett harmadik országbeli állampolgárok személyazonossága és státusza. A tagállamoknak az Eurodac-összehasonlításokat végző kapcsolattartási pontokat a Schengeni Információs Rendszert érintő kiegészítő információkat kezelő nemzeti kapcsolattartó pontokhoz a lehető legközelebb kell létrehozniuk.</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Style w:val="SupBoldItalic"/>
              </w:rPr>
              <w:t>1a</w:t>
            </w:r>
            <w:r>
              <w:t xml:space="preserve"> </w:t>
            </w:r>
            <w:r>
              <w:rPr>
                <w:rFonts w:ascii="Times New Roman" w:eastAsia="Times New Roman" w:hAnsi="Times New Roman" w:cs="Times New Roman"/>
                <w:b/>
                <w:i/>
                <w:strike w:val="0"/>
                <w:color w:val="000000"/>
                <w:sz w:val="24"/>
                <w:highlight w:val="none"/>
                <w:u w:val="none" w:color="auto"/>
              </w:rPr>
              <w:t>COM 2016(882)</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 módosítás a tizennegyedik preambulumbekezdésből ered, és az ezen átdolgozást követően benyújtott javaslatra voantkozik.</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97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Monika Hohlmeier</w:t>
      </w:r>
      <w:r>
        <w:t xml:space="preserve">, </w:t>
      </w:r>
      <w:r>
        <w:t>Heinz K. Becker</w:t>
      </w:r>
      <w:r>
        <w:t xml:space="preserve">, </w:t>
      </w:r>
      <w:r>
        <w:t>Rachida Dati</w:t>
      </w:r>
      <w:r>
        <w:t xml:space="preserve">, </w:t>
      </w:r>
      <w:r>
        <w:t>Brice Hortefeux</w:t>
      </w:r>
      <w:r>
        <w:t xml:space="preserve">, </w:t>
      </w:r>
      <w:r>
        <w:t>Mariya Gabriel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14 a preambulumbekezdés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(14a)</w:t>
            </w:r>
            <w:r>
              <w:tab/>
            </w:r>
            <w:r>
              <w:rPr>
                <w:rFonts w:ascii="Times New Roman" w:eastAsia="Times New Roman" w:hAnsi="Times New Roman" w:cs="Times New Roman"/>
                <w:b/>
                <w:i/>
                <w:strike w:val="0"/>
                <w:color w:val="000000"/>
                <w:sz w:val="24"/>
                <w:highlight w:val="none"/>
                <w:u w:val="none" w:color="auto"/>
              </w:rPr>
              <w:t>Az információs rendszerekkel és az interoperabilitással foglalkozó magas szintű szakértői csoport a várakozások szerint 2017 tavaszán ismerteti az eredményeit. Ezek az eredmények fontosak lehetne az Eurodac fejlesztése szempontjából. Amennyiben ez így van, meg kell teremteni a legjobb jogi és műszaki előfeltételeit annak, hogy az Eurodac potenciális interoperábilis lehessen a határigazgatást és biztonságot szolgáló egyéb információs rendszerekkel.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Ez a módosítás megfelel az átdolgozás új, tizennegyedik preambulumbekezdésének, és kifejezi a szerző azon akaratát, hogy elvégezze az Eurodac más adatbázisokkal való potenciális interoperabilitásának jogi és műszaki megalapozását.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98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Monika Hohlmeier</w:t>
      </w:r>
      <w:r>
        <w:t xml:space="preserve">, </w:t>
      </w:r>
      <w:r>
        <w:t>Heinz K. Becker</w:t>
      </w:r>
      <w:r>
        <w:t xml:space="preserve">, </w:t>
      </w:r>
      <w:r>
        <w:t>Jeroen Lenaers</w:t>
      </w:r>
      <w:r>
        <w:t xml:space="preserve">, </w:t>
      </w:r>
      <w:r>
        <w:t>Rachida Dati</w:t>
      </w:r>
      <w:r>
        <w:t xml:space="preserve">, </w:t>
      </w:r>
      <w:r>
        <w:t>Brice Hortefeux</w:t>
      </w:r>
      <w:r>
        <w:t xml:space="preserve">, </w:t>
      </w:r>
      <w:r>
        <w:t>Mariya Gabriel</w:t>
      </w:r>
      <w:r>
        <w:t xml:space="preserve">, </w:t>
      </w:r>
      <w:r>
        <w:t>Artis Pabriks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15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(15)</w:t>
            </w:r>
            <w:r>
              <w:tab/>
            </w:r>
            <w:r>
              <w:t xml:space="preserve">A terrorcselekmények és egyéb súlyos bűncselekmények elleni küzdelemben alapvető fontosságú, hogy a bűnüldöző hatóságok feladataik ellátásához teljes körű és naprakész információkkal rendelkezzenek. Az Eurodacban tárolt információkra a </w:t>
            </w:r>
            <w:r>
              <w:rPr>
                <w:rFonts w:ascii="Times New Roman" w:eastAsia="Times New Roman" w:hAnsi="Times New Roman" w:cs="Times New Roman"/>
                <w:b/>
                <w:i/>
                <w:strike w:val="0"/>
                <w:color w:val="000000"/>
                <w:sz w:val="24"/>
                <w:highlight w:val="none"/>
                <w:u w:val="none" w:color="auto"/>
              </w:rPr>
              <w:t>tanácsi kerethatározatban</w:t>
            </w:r>
            <w:r>
              <w:rPr>
                <w:rStyle w:val="SupBoldItalic"/>
              </w:rPr>
              <w:t>29</w:t>
            </w:r>
            <w:r>
              <w:rPr>
                <w:rFonts w:ascii="Times New Roman" w:eastAsia="Times New Roman" w:hAnsi="Times New Roman" w:cs="Times New Roman"/>
                <w:b/>
                <w:i/>
                <w:strike w:val="0"/>
                <w:color w:val="000000"/>
                <w:sz w:val="24"/>
                <w:highlight w:val="none"/>
                <w:u w:val="none" w:color="auto"/>
              </w:rPr>
              <w:t xml:space="preserve"> említett terrorcselekmények vagy az európai elfogatóparancsról és a tagállamok közötti átadási eljárásokról szóló, 2002</w:t>
            </w:r>
            <w:r>
              <w:t>.</w:t>
            </w:r>
            <w:r>
              <w:rPr>
                <w:rFonts w:ascii="Times New Roman" w:eastAsia="Times New Roman" w:hAnsi="Times New Roman" w:cs="Times New Roman"/>
                <w:b/>
                <w:i/>
                <w:strike w:val="0"/>
                <w:color w:val="000000"/>
                <w:sz w:val="24"/>
                <w:highlight w:val="none"/>
                <w:u w:val="none" w:color="auto"/>
              </w:rPr>
              <w:t xml:space="preserve"> június 13-i</w:t>
            </w:r>
            <w:r>
              <w:t xml:space="preserve"> 2002/584/IB tanácsi kerethatározatban</w:t>
            </w:r>
            <w:r>
              <w:rPr>
                <w:rStyle w:val="Sup"/>
              </w:rPr>
              <w:t>30</w:t>
            </w:r>
            <w:r>
              <w:t xml:space="preserve"> említett egyéb súlyos bűncselekmények megelőzése, felderítése</w:t>
            </w:r>
            <w:r>
              <w:rPr>
                <w:rFonts w:ascii="Times New Roman" w:eastAsia="Times New Roman" w:hAnsi="Times New Roman" w:cs="Times New Roman"/>
                <w:b/>
                <w:i/>
                <w:strike w:val="0"/>
                <w:color w:val="000000"/>
                <w:sz w:val="24"/>
                <w:highlight w:val="none"/>
                <w:u w:val="none" w:color="auto"/>
              </w:rPr>
              <w:t xml:space="preserve"> vagy kivizsgálása</w:t>
            </w:r>
            <w:r>
              <w:t xml:space="preserve"> céljából van szükség. Ezért az Eurodacban tárolt adatokat az e rendeletben meghatározott feltételeknek megfelelően hozzáférhetővé kell tenni a tagállamok kijelölt hatóságai és az Európai Rendőrségi Hivatal (Europol) által végzett összehasonlítás céljára.</w:t>
            </w:r>
          </w:p>
        </w:tc>
        <w:tc>
          <w:tcPr/>
          <w:p>
            <w:pPr>
              <w:pStyle w:val="Normal6"/>
            </w:pPr>
            <w:r>
              <w:rPr>
                <w:rFonts w:ascii="Times New Roman" w:eastAsia="Times New Roman" w:hAnsi="Times New Roman" w:cs="Times New Roman"/>
                <w:b/>
                <w:i/>
                <w:strike w:val="0"/>
                <w:color w:val="000000"/>
                <w:sz w:val="24"/>
                <w:highlight w:val="none"/>
                <w:u w:val="none" w:color="auto"/>
              </w:rPr>
              <w:t>15.</w:t>
            </w:r>
            <w:r>
              <w:tab/>
            </w:r>
            <w:r>
              <w:t xml:space="preserve">A terrorcselekmények és egyéb súlyos bűncselekmények elleni küzdelemben alapvető fontosságú, hogy a bűnüldöző hatóságok feladataik ellátásához teljes körű és naprakész információkkal rendelkezzenek. Az Eurodacban tárolt információkra a </w:t>
            </w:r>
            <w:r>
              <w:rPr>
                <w:rFonts w:ascii="Times New Roman" w:eastAsia="Times New Roman" w:hAnsi="Times New Roman" w:cs="Times New Roman"/>
                <w:b/>
                <w:i/>
                <w:strike w:val="0"/>
                <w:color w:val="000000"/>
                <w:sz w:val="24"/>
                <w:highlight w:val="none"/>
                <w:u w:val="none" w:color="auto"/>
              </w:rPr>
              <w:t>[terrorizmus elleni küzdelemről szóló és a 2002/584/IB tanácsi kerethatározat felváltó, valamint a 2005/671/IB tanácsi határozatot módosító] (EU) 2017/</w:t>
            </w:r>
            <w:r>
              <w:t>.</w:t>
            </w:r>
            <w:r>
              <w:rPr>
                <w:rFonts w:ascii="Times New Roman" w:eastAsia="Times New Roman" w:hAnsi="Times New Roman" w:cs="Times New Roman"/>
                <w:b/>
                <w:i/>
                <w:strike w:val="0"/>
                <w:color w:val="000000"/>
                <w:sz w:val="24"/>
                <w:highlight w:val="none"/>
                <w:u w:val="none" w:color="auto"/>
              </w:rPr>
              <w:t>.. európai parlamenti és tanácsi irányelvben említett terrorcselekmények vagy a</w:t>
            </w:r>
            <w:r>
              <w:t xml:space="preserve"> 2002/584/IB tanácsi kerethatározatban említett egyéb súlyos bűncselekmények megelőzése, felderítése</w:t>
            </w:r>
            <w:r>
              <w:rPr>
                <w:rFonts w:ascii="Times New Roman" w:eastAsia="Times New Roman" w:hAnsi="Times New Roman" w:cs="Times New Roman"/>
                <w:b/>
                <w:i/>
                <w:strike w:val="0"/>
                <w:color w:val="000000"/>
                <w:sz w:val="24"/>
                <w:highlight w:val="none"/>
                <w:u w:val="none" w:color="auto"/>
              </w:rPr>
              <w:t>, kivizsgálása vagy büntetőeljárás alá vonása</w:t>
            </w:r>
            <w:r>
              <w:t xml:space="preserve"> céljából van szükség. Ezért az Eurodacban tárolt adatokat az e rendeletben meghatározott feltételeknek megfelelően hozzáférhetővé kell tenni a tagállamok kijelölt hatóságai és az Európai Rendőrségi Hivatal (Europol) által végzett összehasonlítás céljára.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BoldItalic"/>
              </w:rPr>
              <w:t>29</w:t>
            </w:r>
            <w:r>
              <w:t xml:space="preserve"> </w:t>
            </w:r>
            <w:r>
              <w:rPr>
                <w:rFonts w:ascii="Times New Roman" w:eastAsia="Times New Roman" w:hAnsi="Times New Roman" w:cs="Times New Roman"/>
                <w:b/>
                <w:i/>
                <w:strike w:val="0"/>
                <w:color w:val="000000"/>
                <w:sz w:val="24"/>
                <w:highlight w:val="none"/>
                <w:u w:val="none" w:color="auto"/>
              </w:rPr>
              <w:t>A Tanács 2002. június 13-i 2002/584/IB kerethatározata az európai elfogatóparancsról és a tagállamok közötti átadási eljárásokról (HL L 190., 2002.7.18., 1. o.)-</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
              </w:rPr>
              <w:t>30</w:t>
            </w:r>
            <w:r>
              <w:t xml:space="preserve"> </w:t>
            </w:r>
            <w:r>
              <w:rPr>
                <w:rFonts w:ascii="Times New Roman" w:eastAsia="Times New Roman" w:hAnsi="Times New Roman" w:cs="Times New Roman"/>
                <w:b/>
                <w:i/>
                <w:strike w:val="0"/>
                <w:color w:val="000000"/>
                <w:sz w:val="24"/>
                <w:highlight w:val="none"/>
                <w:u w:val="none" w:color="auto"/>
              </w:rPr>
              <w:t>A Tanács 2002. június 13-i 2002/475/IB kerethatározata a terrorizmus elleni küzdelemről (HL L 164., 2002.6.22., 3. o.).</w:t>
            </w:r>
          </w:p>
        </w:tc>
        <w:tc>
          <w:tcPr/>
          <w:p>
            <w:pPr>
              <w:pStyle w:val="Normal6"/>
            </w:pP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 2002/475/IB kerethatározat rendelkezéseit beillesztették a terrorizmus elleni küzdelemről szóló, az Európai Parlament által 2017. február 16-án megszavazott, új irányelvbe.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99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Sophia in 't Veld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19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(19)</w:t>
            </w:r>
            <w:r>
              <w:tab/>
            </w:r>
            <w:r>
              <w:t>Az Europol kérelme az Eurodac-adatokkal való összehasonlításra kizárólag egyedi esetekben, különleges körülmények fennállása esetén, és szigorú feltételek mellett engedélyezhető.</w:t>
            </w:r>
          </w:p>
        </w:tc>
        <w:tc>
          <w:tcPr/>
          <w:p>
            <w:pPr>
              <w:pStyle w:val="Normal6"/>
            </w:pPr>
            <w:r>
              <w:t>(19)</w:t>
            </w:r>
            <w:r>
              <w:tab/>
            </w:r>
            <w:r>
              <w:t>Az Europol kérelme az Eurodac-adatokkal való összehasonlításra kizárólag egyedi esetekben, különleges körülmények fennállása esetén, és szigorú feltételek mellett engedélyezhető</w:t>
            </w:r>
            <w:r>
              <w:rPr>
                <w:rFonts w:ascii="Times New Roman" w:eastAsia="Times New Roman" w:hAnsi="Times New Roman" w:cs="Times New Roman"/>
                <w:b/>
                <w:i/>
                <w:strike w:val="0"/>
                <w:color w:val="000000"/>
                <w:sz w:val="24"/>
                <w:highlight w:val="none"/>
                <w:u w:val="none" w:color="auto"/>
              </w:rPr>
              <w:t>, összhangban a szükségesség és arányosság Európai Unió Alapjogi Chartája 52. cikke (1) bekezdésében foglalt elvével, valamint az Európai Unió Bírósága joggyakorlatának értelmezésével</w:t>
            </w:r>
            <w:r>
              <w:rPr>
                <w:rStyle w:val="SupBoldItalic"/>
              </w:rPr>
              <w:t>1a</w:t>
            </w:r>
            <w:r>
              <w:t>.</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Style w:val="SupBoldItalic"/>
              </w:rPr>
              <w:t>1a</w:t>
            </w:r>
            <w:r>
              <w:t xml:space="preserve"> </w:t>
            </w:r>
            <w:r>
              <w:rPr>
                <w:rFonts w:ascii="Times New Roman" w:eastAsia="Times New Roman" w:hAnsi="Times New Roman" w:cs="Times New Roman"/>
                <w:b/>
                <w:i/>
                <w:strike w:val="0"/>
                <w:color w:val="000000"/>
                <w:sz w:val="24"/>
                <w:highlight w:val="none"/>
                <w:u w:val="none" w:color="auto"/>
              </w:rPr>
              <w:t>EUB C-293/12. és C-594/12. sz. Digital Rights Ireland Ltd és Seitlinger és társai egyesített ügyek, a Bíróság (nagytanács) 2014. április 8-i ítélete. EUB C-203/15. és C-698/15. sz. Tele2 Sverige AB kontra Post-och telestyrelsen és Secretary of State for the Home Department kontra Tom Watson és társai egyesített ügyek, a Bíróság (nagytanács) 2016. december 21-i ítélete.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Az eljárási szabályzat 104. cikkével összhangban e módosítás azért szükséges, mert elválaszthatatlanul összefügg más olyan elfogadható módosításokkal az Eurodac céljait illetően (1. cikk), amelyek a szükségességre és az arányosságra vonatkozó elvek tiszteletben tartására utaló hivatkozásokat vezetnek be a Charta 52. cikkének (1) bekezdésének, valamint a Bíróság vonatkozó ítélkezési gyakorlatának megfelelően.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100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20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(20)</w:t>
            </w:r>
            <w:r>
              <w:tab/>
            </w:r>
            <w:r>
              <w:t>Mivel az Eurodacot a Dublini Egyezmény alkalmazásának megkönnyítése céljából hozták létre, az Eurodachoz terrorcselekmények vagy egyéb súlyos bűncselekmények megelőzése, felderítése vagy kivizsgálása érdekében való hozzáférés az Eurodac eredeti céljának megváltozását jelenti, amely beavatkozik azon személyek magánéletének tiszteletben tartásához való alapvető jogba, akiknek a személyes adatait az Eurodacban feldolgozzák.</w:t>
            </w:r>
            <w:r>
              <w:rPr>
                <w:rFonts w:ascii="Times New Roman" w:eastAsia="Times New Roman" w:hAnsi="Times New Roman" w:cs="Times New Roman"/>
                <w:b/>
                <w:i/>
                <w:strike w:val="0"/>
                <w:color w:val="000000"/>
                <w:sz w:val="24"/>
                <w:highlight w:val="none"/>
                <w:u w:val="none" w:color="auto"/>
              </w:rPr>
              <w:t xml:space="preserve">  </w:t>
            </w:r>
            <w:r>
              <w:t>Az Európai Unió Alapjogi Chartája 52. cikke (1) bekezdésének rendelkezéseivel összhangban,</w:t>
            </w:r>
            <w:r>
              <w:rPr>
                <w:rFonts w:ascii="Times New Roman" w:eastAsia="Times New Roman" w:hAnsi="Times New Roman" w:cs="Times New Roman"/>
                <w:b/>
                <w:i/>
                <w:strike w:val="0"/>
                <w:color w:val="000000"/>
                <w:sz w:val="24"/>
                <w:highlight w:val="none"/>
                <w:u w:val="none" w:color="auto"/>
              </w:rPr>
              <w:t xml:space="preserve">  </w:t>
            </w:r>
            <w:r>
              <w:t xml:space="preserve">e beavatkozásnak meg kell felelnie a jogszabályoknak, amelyeket megfelelő pontossággal kell megfogalmazni ahhoz, hogy lehetővé tegyék az egyének magatartásának kiigazítását, védenie kell az egyéneket az önkényességgel szemben, és megfelelő egyértelműséggel kell megjelölnie, hogy az illetékes hatóságok milyen mértékű mérlegelési jogkört gyakorolhatnak, és milyen módon. </w:t>
            </w:r>
            <w:r>
              <w:rPr>
                <w:rFonts w:ascii="Times New Roman" w:eastAsia="Times New Roman" w:hAnsi="Times New Roman" w:cs="Times New Roman"/>
                <w:b/>
                <w:i/>
                <w:strike w:val="0"/>
                <w:color w:val="000000"/>
                <w:sz w:val="24"/>
                <w:highlight w:val="none"/>
                <w:u w:val="none" w:color="auto"/>
              </w:rPr>
              <w:t>Minden</w:t>
            </w:r>
            <w:r>
              <w:t xml:space="preserve"> beavatkozásnak</w:t>
            </w:r>
            <w:r>
              <w:rPr>
                <w:rFonts w:ascii="Times New Roman" w:eastAsia="Times New Roman" w:hAnsi="Times New Roman" w:cs="Times New Roman"/>
                <w:b/>
                <w:i/>
                <w:strike w:val="0"/>
                <w:color w:val="000000"/>
                <w:sz w:val="24"/>
                <w:highlight w:val="none"/>
                <w:u w:val="none" w:color="auto"/>
              </w:rPr>
              <w:t xml:space="preserve">  ténylegesen általános érdekű célkitűzést  </w:t>
            </w:r>
            <w:r>
              <w:t>kell szolgálnia, és arányosnak kell lennie az elérni kívánt jogos céllal.</w:t>
            </w:r>
          </w:p>
        </w:tc>
        <w:tc>
          <w:tcPr/>
          <w:p>
            <w:pPr>
              <w:pStyle w:val="Normal6"/>
            </w:pPr>
            <w:r>
              <w:t>(20)</w:t>
            </w:r>
            <w:r>
              <w:tab/>
            </w:r>
            <w:r>
              <w:t>Mivel az Eurodacot a Dublini Egyezmény alkalmazásának megkönnyítése céljából hozták létre, az Eurodachoz terrorcselekmények vagy egyéb súlyos bűncselekmények megelőzése, felderítése vagy kivizsgálása érdekében való hozzáférés az Eurodac eredeti céljának megváltozását jelenti, amely beavatkozik azon személyek magánéletének tiszteletben tartásához való alapvető jogba, akiknek a személyes adatait az Eurodacban feldolgozzák. Az Európai Unió Alapjogi Chartája 52. cikke (1) bekezdésének rendelkezéseivel összhangban,</w:t>
            </w:r>
            <w:r>
              <w:rPr>
                <w:rFonts w:ascii="Times New Roman" w:eastAsia="Times New Roman" w:hAnsi="Times New Roman" w:cs="Times New Roman"/>
                <w:b/>
                <w:i/>
                <w:strike w:val="0"/>
                <w:color w:val="000000"/>
                <w:sz w:val="24"/>
                <w:highlight w:val="none"/>
                <w:u w:val="none" w:color="auto"/>
              </w:rPr>
              <w:t xml:space="preserve"> </w:t>
            </w:r>
            <w:r>
              <w:t xml:space="preserve">e beavatkozásnak meg kell felelnie a jogszabályoknak, amelyeket megfelelő pontossággal kell megfogalmazni ahhoz, hogy lehetővé tegyék az egyének magatartásának kiigazítását, védenie kell az egyéneket az önkényességgel szemben, és megfelelő egyértelműséggel kell megjelölnie, hogy az illetékes hatóságok milyen mértékű mérlegelési jogkört gyakorolhatnak, és milyen módon. </w:t>
            </w:r>
            <w:r>
              <w:rPr>
                <w:rFonts w:ascii="Times New Roman" w:eastAsia="Times New Roman" w:hAnsi="Times New Roman" w:cs="Times New Roman"/>
                <w:b/>
                <w:i/>
                <w:strike w:val="0"/>
                <w:color w:val="000000"/>
                <w:sz w:val="24"/>
                <w:highlight w:val="none"/>
                <w:u w:val="none" w:color="auto"/>
              </w:rPr>
              <w:t>Egy demokratikus társadalomban minden</w:t>
            </w:r>
            <w:r>
              <w:t xml:space="preserve"> beavatkozásnak</w:t>
            </w:r>
            <w:r>
              <w:rPr>
                <w:rFonts w:ascii="Times New Roman" w:eastAsia="Times New Roman" w:hAnsi="Times New Roman" w:cs="Times New Roman"/>
                <w:b/>
                <w:i/>
                <w:strike w:val="0"/>
                <w:color w:val="000000"/>
                <w:sz w:val="24"/>
                <w:highlight w:val="none"/>
                <w:u w:val="none" w:color="auto"/>
              </w:rPr>
              <w:t xml:space="preserve"> szükségszerű módon jogos és arányos érdek védelmét </w:t>
            </w:r>
            <w:r>
              <w:t>kell szolgálnia, és arányosnak kell lennie az elérni kívánt jogos céllal.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 Bizuottság javaslatából törölte az EJEE 8. cikkének standard megfogalmazását. E módosítás megtartja a szöveget, ahogy az EJEE-ben van és ahogy az EUB joggyakorlata értelmezi.</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101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Monika Hohlmeier</w:t>
      </w:r>
      <w:r>
        <w:t xml:space="preserve">, </w:t>
      </w:r>
      <w:r>
        <w:t>Heinz K. Becker</w:t>
      </w:r>
      <w:r>
        <w:t xml:space="preserve">, </w:t>
      </w:r>
      <w:r>
        <w:t>Jeroen Lenaers</w:t>
      </w:r>
      <w:r>
        <w:t xml:space="preserve">, </w:t>
      </w:r>
      <w:r>
        <w:t>Rachida Dati</w:t>
      </w:r>
      <w:r>
        <w:t xml:space="preserve">, </w:t>
      </w:r>
      <w:r>
        <w:t>Brice Hortefeux</w:t>
      </w:r>
      <w:r>
        <w:t xml:space="preserve">, </w:t>
      </w:r>
      <w:r>
        <w:t>Mariya Gabriel</w:t>
      </w:r>
      <w:r>
        <w:t xml:space="preserve">, </w:t>
      </w:r>
      <w:r>
        <w:t>Artis Pabriks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20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(20)</w:t>
            </w:r>
            <w:r>
              <w:tab/>
            </w:r>
            <w:r>
              <w:t>Mivel az Eurodacot a Dublini Egyezmény alkalmazásának megkönnyítése céljából hozták létre, az Eurodachoz terrorcselekmények vagy egyéb súlyos bűncselekmények megelőzése, felderítése</w:t>
            </w:r>
            <w:r>
              <w:rPr>
                <w:rFonts w:ascii="Times New Roman" w:eastAsia="Times New Roman" w:hAnsi="Times New Roman" w:cs="Times New Roman"/>
                <w:b/>
                <w:i/>
                <w:strike w:val="0"/>
                <w:color w:val="000000"/>
                <w:sz w:val="24"/>
                <w:highlight w:val="none"/>
                <w:u w:val="none" w:color="auto"/>
              </w:rPr>
              <w:t xml:space="preserve"> vagy kivizsgálása</w:t>
            </w:r>
            <w:r>
              <w:t xml:space="preserve"> érdekében való hozzáférés az Eurodac eredeti céljának </w:t>
            </w:r>
            <w:r>
              <w:rPr>
                <w:rFonts w:ascii="Times New Roman" w:eastAsia="Times New Roman" w:hAnsi="Times New Roman" w:cs="Times New Roman"/>
                <w:b/>
                <w:i/>
                <w:strike w:val="0"/>
                <w:color w:val="000000"/>
                <w:sz w:val="24"/>
                <w:highlight w:val="none"/>
                <w:u w:val="none" w:color="auto"/>
              </w:rPr>
              <w:t>megváltozását</w:t>
            </w:r>
            <w:r>
              <w:t xml:space="preserve"> jelenti</w:t>
            </w:r>
            <w:r>
              <w:rPr>
                <w:rFonts w:ascii="Times New Roman" w:eastAsia="Times New Roman" w:hAnsi="Times New Roman" w:cs="Times New Roman"/>
                <w:b/>
                <w:i/>
                <w:strike w:val="0"/>
                <w:color w:val="000000"/>
                <w:sz w:val="24"/>
                <w:highlight w:val="none"/>
                <w:u w:val="none" w:color="auto"/>
              </w:rPr>
              <w:t xml:space="preserve">, amely beavatkozik azon személyek magánéletének tiszteletben tartásához való alapvető jogba, akiknek a személyes adatait az Eurodacban feldolgozzák.  Az </w:t>
            </w:r>
            <w:r>
              <w:t>Európai Unió Alapjogi Chartája 52. cikke (1) bekezdésének rendelkezéseivel összhangban,</w:t>
            </w:r>
            <w:r>
              <w:rPr>
                <w:rFonts w:ascii="Times New Roman" w:eastAsia="Times New Roman" w:hAnsi="Times New Roman" w:cs="Times New Roman"/>
                <w:b/>
                <w:i/>
                <w:strike w:val="0"/>
                <w:color w:val="000000"/>
                <w:sz w:val="24"/>
                <w:highlight w:val="none"/>
                <w:u w:val="none" w:color="auto"/>
              </w:rPr>
              <w:t>  e</w:t>
            </w:r>
            <w:r>
              <w:t xml:space="preserve"> beavatkozásnak meg kell felelnie a jogszabályoknak, amelyeket megfelelő pontossággal kell megfogalmazni ahhoz, hogy lehetővé tegyék az egyének magatartásának kiigazítását, védenie kell az egyéneket az önkényességgel szemben, és megfelelő egyértelműséggel kell megjelölnie, hogy az illetékes hatóságok milyen mértékű mérlegelési jogkört gyakorolhatnak, és milyen módon. Minden beavatkozásnak</w:t>
            </w:r>
            <w:r>
              <w:rPr>
                <w:rFonts w:ascii="Times New Roman" w:eastAsia="Times New Roman" w:hAnsi="Times New Roman" w:cs="Times New Roman"/>
                <w:b/>
                <w:i/>
                <w:strike w:val="0"/>
                <w:color w:val="000000"/>
                <w:sz w:val="24"/>
                <w:highlight w:val="none"/>
                <w:u w:val="none" w:color="auto"/>
              </w:rPr>
              <w:t xml:space="preserve">  </w:t>
            </w:r>
            <w:r>
              <w:t>ténylegesen általános érdekű célkitűzést</w:t>
            </w:r>
            <w:r>
              <w:rPr>
                <w:rFonts w:ascii="Times New Roman" w:eastAsia="Times New Roman" w:hAnsi="Times New Roman" w:cs="Times New Roman"/>
                <w:b/>
                <w:i/>
                <w:strike w:val="0"/>
                <w:color w:val="000000"/>
                <w:sz w:val="24"/>
                <w:highlight w:val="none"/>
                <w:u w:val="none" w:color="auto"/>
              </w:rPr>
              <w:t xml:space="preserve">  </w:t>
            </w:r>
            <w:r>
              <w:t>kell szolgálnia, és arányosnak kell lennie az elérni kívánt jogos céllal.</w:t>
            </w:r>
          </w:p>
        </w:tc>
        <w:tc>
          <w:tcPr/>
          <w:p>
            <w:pPr>
              <w:pStyle w:val="Normal6"/>
            </w:pPr>
            <w:r>
              <w:t>(20)</w:t>
            </w:r>
            <w:r>
              <w:tab/>
            </w:r>
            <w:r>
              <w:t>Mivel az Eurodacot a Dublini Egyezmény alkalmazásának megkönnyítése céljából hozták létre, az Eurodachoz terrorcselekmények vagy egyéb súlyos bűncselekmények megelőzése, felderítése</w:t>
            </w:r>
            <w:r>
              <w:rPr>
                <w:rFonts w:ascii="Times New Roman" w:eastAsia="Times New Roman" w:hAnsi="Times New Roman" w:cs="Times New Roman"/>
                <w:b/>
                <w:i/>
                <w:strike w:val="0"/>
                <w:color w:val="000000"/>
                <w:sz w:val="24"/>
                <w:highlight w:val="none"/>
                <w:u w:val="none" w:color="auto"/>
              </w:rPr>
              <w:t>, kivizsgálása vagy büntetőeljárás alá vonása</w:t>
            </w:r>
            <w:r>
              <w:t xml:space="preserve"> érdekében való hozzáférés az Eurodac eredeti céljának </w:t>
            </w:r>
            <w:r>
              <w:rPr>
                <w:rFonts w:ascii="Times New Roman" w:eastAsia="Times New Roman" w:hAnsi="Times New Roman" w:cs="Times New Roman"/>
                <w:b/>
                <w:i/>
                <w:strike w:val="0"/>
                <w:color w:val="000000"/>
                <w:sz w:val="24"/>
                <w:highlight w:val="none"/>
                <w:u w:val="none" w:color="auto"/>
              </w:rPr>
              <w:t>továbbfejlesztését</w:t>
            </w:r>
            <w:r>
              <w:t xml:space="preserve"> jelenti</w:t>
            </w:r>
            <w:r>
              <w:rPr>
                <w:rFonts w:ascii="Times New Roman" w:eastAsia="Times New Roman" w:hAnsi="Times New Roman" w:cs="Times New Roman"/>
                <w:b/>
                <w:i/>
                <w:strike w:val="0"/>
                <w:color w:val="000000"/>
                <w:sz w:val="24"/>
                <w:highlight w:val="none"/>
                <w:u w:val="none" w:color="auto"/>
              </w:rPr>
              <w:t xml:space="preserve">. Az </w:t>
            </w:r>
            <w:r>
              <w:t>Európai Unió Alapjogi Chartája 52. cikke (1) bekezdésének rendelkezéseivel összhangban,</w:t>
            </w:r>
            <w:r>
              <w:rPr>
                <w:rFonts w:ascii="Times New Roman" w:eastAsia="Times New Roman" w:hAnsi="Times New Roman" w:cs="Times New Roman"/>
                <w:b/>
                <w:i/>
                <w:strike w:val="0"/>
                <w:color w:val="000000"/>
                <w:sz w:val="24"/>
                <w:highlight w:val="none"/>
                <w:u w:val="none" w:color="auto"/>
              </w:rPr>
              <w:t> minden</w:t>
            </w:r>
            <w:r>
              <w:t xml:space="preserve"> beavatkozásnak</w:t>
            </w:r>
            <w:r>
              <w:rPr>
                <w:rFonts w:ascii="Times New Roman" w:eastAsia="Times New Roman" w:hAnsi="Times New Roman" w:cs="Times New Roman"/>
                <w:b/>
                <w:i/>
                <w:strike w:val="0"/>
                <w:color w:val="000000"/>
                <w:sz w:val="24"/>
                <w:highlight w:val="none"/>
                <w:u w:val="none" w:color="auto"/>
              </w:rPr>
              <w:t>, amely azon személyek magánéletével kapcsolatos, akiknek személyes adatait az Eurodacban feldolgozzák,</w:t>
            </w:r>
            <w:r>
              <w:t xml:space="preserve"> meg kell felelnie a jogszabályoknak, amelyeket megfelelő pontossággal kell megfogalmazni ahhoz, hogy lehetővé tegyék az egyének magatartásának kiigazítását, védenie kell az egyéneket az önkényességgel szemben, és megfelelő egyértelműséggel kell megjelölnie, hogy az illetékes hatóságok milyen mértékű mérlegelési jogkört gyakorolhatnak, és milyen módon. Minden beavatkozásnak</w:t>
            </w:r>
            <w:r>
              <w:rPr>
                <w:rFonts w:ascii="Times New Roman" w:eastAsia="Times New Roman" w:hAnsi="Times New Roman" w:cs="Times New Roman"/>
                <w:b/>
                <w:i/>
                <w:strike w:val="0"/>
                <w:color w:val="000000"/>
                <w:sz w:val="24"/>
                <w:highlight w:val="none"/>
                <w:u w:val="none" w:color="auto"/>
              </w:rPr>
              <w:t xml:space="preserve"> </w:t>
            </w:r>
            <w:r>
              <w:t>ténylegesen általános érdekű célkitűzést</w:t>
            </w:r>
            <w:r>
              <w:rPr>
                <w:rFonts w:ascii="Times New Roman" w:eastAsia="Times New Roman" w:hAnsi="Times New Roman" w:cs="Times New Roman"/>
                <w:b/>
                <w:i/>
                <w:strike w:val="0"/>
                <w:color w:val="000000"/>
                <w:sz w:val="24"/>
                <w:highlight w:val="none"/>
                <w:u w:val="none" w:color="auto"/>
              </w:rPr>
              <w:t xml:space="preserve"> </w:t>
            </w:r>
            <w:r>
              <w:t>kell szolgálnia, és arányosnak kell lennie az elérni kívánt jogos céllal.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Ez a módosítás az 1. cikk (1) bekezdése c) pontjának módosításához kapcsolódik.</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102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22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(22)</w:t>
            </w:r>
            <w:r>
              <w:tab/>
            </w:r>
            <w:r>
              <w:t xml:space="preserve">E rendelet megállapítja továbbá azokat a feltételeket, amelyek mellett a terrorcselekmények vagy egyéb súlyos bűncselekmények megelőzése, felderítése vagy kivizsgálása érdekében az </w:t>
            </w:r>
            <w:r>
              <w:rPr>
                <w:rFonts w:ascii="Times New Roman" w:eastAsia="Times New Roman" w:hAnsi="Times New Roman" w:cs="Times New Roman"/>
                <w:b/>
                <w:i/>
                <w:strike w:val="0"/>
                <w:color w:val="000000"/>
                <w:sz w:val="24"/>
                <w:highlight w:val="none"/>
                <w:u w:val="none" w:color="auto"/>
              </w:rPr>
              <w:t>ujjnyomatadatok</w:t>
            </w:r>
            <w:r>
              <w:t xml:space="preserve"> Eurodac-adatokkal történő összehasonlítására irányuló kérések engedélyezhetők, valamint azokat a szükséges garanciákat, amelyek biztosítják azon személyeknek a magánélet tiszteletben tartásához való alapvető jogát, akiknek a személyes adatait az Eurodacban feldolgozzák. E feltételek szigorú jellege azt tükrözi, hogy az Eurodac adatbázis olyan személyek </w:t>
            </w:r>
            <w:r>
              <w:rPr>
                <w:rFonts w:ascii="Times New Roman" w:eastAsia="Times New Roman" w:hAnsi="Times New Roman" w:cs="Times New Roman"/>
                <w:b/>
                <w:i/>
                <w:strike w:val="0"/>
                <w:color w:val="000000"/>
                <w:sz w:val="24"/>
                <w:highlight w:val="none"/>
                <w:u w:val="none" w:color="auto"/>
              </w:rPr>
              <w:t>ujjnyomatadatait</w:t>
            </w:r>
            <w:r>
              <w:t xml:space="preserve"> tartja nyilván, akikről nem feltételezhető, hogy terrorcselekményt vagy egyéb súlyos bűncselekményt követtek el.</w:t>
            </w:r>
          </w:p>
        </w:tc>
        <w:tc>
          <w:tcPr/>
          <w:p>
            <w:pPr>
              <w:pStyle w:val="Normal6"/>
            </w:pPr>
            <w:r>
              <w:t>(22)</w:t>
            </w:r>
            <w:r>
              <w:tab/>
            </w:r>
            <w:r>
              <w:t xml:space="preserve">E rendelet megállapítja továbbá azokat a feltételeket, amelyek mellett a terrorcselekmények vagy egyéb súlyos bűncselekmények megelőzése, felderítése vagy kivizsgálása érdekében az </w:t>
            </w:r>
            <w:r>
              <w:rPr>
                <w:rFonts w:ascii="Times New Roman" w:eastAsia="Times New Roman" w:hAnsi="Times New Roman" w:cs="Times New Roman"/>
                <w:b/>
                <w:i/>
                <w:strike w:val="0"/>
                <w:color w:val="000000"/>
                <w:sz w:val="24"/>
                <w:highlight w:val="none"/>
                <w:u w:val="none" w:color="auto"/>
              </w:rPr>
              <w:t>ujjnyomat-, arcképmás- és alfanumerikus adatok</w:t>
            </w:r>
            <w:r>
              <w:t xml:space="preserve"> Eurodac-adatokkal történő összehasonlítására irányuló kérések engedélyezhetők, valamint azokat a szükséges garanciákat, amelyek biztosítják azon személyeknek a magánélet tiszteletben tartásához való alapvető jogát, akiknek a személyes adatait az Eurodacban feldolgozzák. E feltételek szigorú jellege azt tükrözi, hogy az Eurodac adatbázis olyan személyek </w:t>
            </w:r>
            <w:r>
              <w:rPr>
                <w:rFonts w:ascii="Times New Roman" w:eastAsia="Times New Roman" w:hAnsi="Times New Roman" w:cs="Times New Roman"/>
                <w:b/>
                <w:i/>
                <w:strike w:val="0"/>
                <w:color w:val="000000"/>
                <w:sz w:val="24"/>
                <w:highlight w:val="none"/>
                <w:u w:val="none" w:color="auto"/>
              </w:rPr>
              <w:t>ujjnyomat-, arcképmás- és alfanumerikus adatait</w:t>
            </w:r>
            <w:r>
              <w:t xml:space="preserve"> tartja nyilván, akikről nem feltételezhető, hogy terrorcselekményt vagy egyéb súlyos bűncselekményt követtek el. </w:t>
            </w:r>
            <w:r>
              <w:rPr>
                <w:rFonts w:ascii="Times New Roman" w:eastAsia="Times New Roman" w:hAnsi="Times New Roman" w:cs="Times New Roman"/>
                <w:b/>
                <w:i/>
                <w:strike w:val="0"/>
                <w:color w:val="000000"/>
                <w:sz w:val="24"/>
                <w:highlight w:val="none"/>
                <w:u w:val="none" w:color="auto"/>
              </w:rPr>
              <w:t>Bár az ujjnyomat- és arcképmásadatokon alapuló összehasonlítások nagyobb pontosságú keresési találatokhoz vezetnek, ismert tény az, hogy a bűnüldöző hatóságok és az Europol nem minden esetben rendelkezik a nyomozásuk tárgyát képező gyanúsítottak vagy áldozatok ujjnyomat- és arcképmásadataival, aminek következtében nem tudják összehasonlítani az ujjnyomatokat és az arcképmásokat az Eurodachoz hasonló adatbázisokban. Az ezen hatóságok és az Europol által végzett nyomozásokhoz való további hozzájárulás érdekében az ilyen esetekben lehetővé kell tenni az Eurodac rendszerben az alfanumerikus adatokon alapuló keresést, különösen akkor, ha ezeknek a hatóságoknak vagy az Europolnak bizonyítéka van a bűn elkövetésével gyanúsított személy vagy az áldozat személyes adataira vagy azonosító okmányaira.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 javaslat szerint a nemzeti</w:t>
      </w:r>
      <w:r>
        <w:t xml:space="preserve"> bűnüldöző hatóságok és az Europol nem kérelmezhetik az egyedi alfanumerikus adatokkal való összehasonlítást, ami rendkívül megnehezíti a nyomozást, különösen a terrorizmus elleni küzdelem terén, amikor megpróbálják megállapítani, hogy azon gyanúsítottak, akiknek használt személyazonossága ismert, de ujjnyomata nem áll rendelkezésre, hol és mikor léptek be az EU-ba. </w:t>
      </w:r>
      <w:r>
        <w:t>Ebben az összefüggésben és tekintettel arra, hogy a javaslat 1. cikke (1) bekezdésének c) pontjára kiterjeszti az Eurodac hatályát bűnüldözési célokra, szükséges lenne, hogy a nemzeti bűnüldöző hatóságok és az Europol hozzáférjenek az Eurodacban tárolt minden adathoz, hogy feladataikat megfelelően elvégezhessék.</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103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23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(23)</w:t>
            </w:r>
            <w:r>
              <w:tab/>
            </w:r>
            <w:r>
              <w:t>Annak biztosítása érdekében, hogy valamennyi nemzetközi védelmet kérelmező és nemzetközi védelmet élvező személy azonos bánásmódban részesüljön, valamint az Unió menekültügyi vívmányaival</w:t>
            </w:r>
            <w:r>
              <w:rPr>
                <w:rFonts w:ascii="Times New Roman" w:eastAsia="Times New Roman" w:hAnsi="Times New Roman" w:cs="Times New Roman"/>
                <w:b/>
                <w:i/>
                <w:strike w:val="0"/>
                <w:color w:val="000000"/>
                <w:sz w:val="24"/>
                <w:highlight w:val="none"/>
                <w:u w:val="none" w:color="auto"/>
              </w:rPr>
              <w:t xml:space="preserve"> –</w:t>
            </w:r>
            <w:r>
              <w:t xml:space="preserve"> különösen a 2011/95/EU európai parlamenti és tanácsi irányelvvel</w:t>
            </w:r>
            <w:r>
              <w:rPr>
                <w:rStyle w:val="Sup"/>
              </w:rPr>
              <w:t>32</w:t>
            </w:r>
            <w:r>
              <w:rPr>
                <w:rFonts w:ascii="Times New Roman" w:eastAsia="Times New Roman" w:hAnsi="Times New Roman" w:cs="Times New Roman"/>
                <w:b/>
                <w:i/>
                <w:strike w:val="0"/>
                <w:color w:val="000000"/>
                <w:sz w:val="24"/>
                <w:highlight w:val="none"/>
                <w:u w:val="none" w:color="auto"/>
              </w:rPr>
              <w:t xml:space="preserve"> –</w:t>
            </w:r>
            <w:r>
              <w:t xml:space="preserve">, valamint </w:t>
            </w:r>
            <w:r>
              <w:rPr>
                <w:rFonts w:ascii="Times New Roman" w:eastAsia="Times New Roman" w:hAnsi="Times New Roman" w:cs="Times New Roman"/>
                <w:b/>
                <w:i/>
                <w:strike w:val="0"/>
                <w:color w:val="000000"/>
                <w:sz w:val="24"/>
                <w:highlight w:val="none"/>
                <w:u w:val="none" w:color="auto"/>
              </w:rPr>
              <w:t>a(z) 604/2013</w:t>
            </w:r>
            <w:r>
              <w:t>/</w:t>
            </w:r>
            <w:r>
              <w:rPr>
                <w:rFonts w:ascii="Times New Roman" w:eastAsia="Times New Roman" w:hAnsi="Times New Roman" w:cs="Times New Roman"/>
                <w:b/>
                <w:i/>
                <w:strike w:val="0"/>
                <w:color w:val="000000"/>
                <w:sz w:val="24"/>
                <w:highlight w:val="none"/>
                <w:u w:val="none" w:color="auto"/>
              </w:rPr>
              <w:t xml:space="preserve"> EU</w:t>
            </w:r>
            <w:r>
              <w:t xml:space="preserve"> rendelettel való összhang megteremtése érdekében e rendelet hatálya</w:t>
            </w:r>
            <w:r>
              <w:rPr>
                <w:rFonts w:ascii="Times New Roman" w:eastAsia="Times New Roman" w:hAnsi="Times New Roman" w:cs="Times New Roman"/>
                <w:b/>
                <w:i/>
                <w:strike w:val="0"/>
                <w:color w:val="000000"/>
                <w:sz w:val="24"/>
                <w:highlight w:val="none"/>
                <w:u w:val="none" w:color="auto"/>
              </w:rPr>
              <w:t xml:space="preserve">  </w:t>
            </w:r>
            <w:r>
              <w:t>kiterjed</w:t>
            </w:r>
            <w:r>
              <w:rPr>
                <w:rFonts w:ascii="Times New Roman" w:eastAsia="Times New Roman" w:hAnsi="Times New Roman" w:cs="Times New Roman"/>
                <w:b/>
                <w:i/>
                <w:strike w:val="0"/>
                <w:color w:val="000000"/>
                <w:sz w:val="24"/>
                <w:highlight w:val="none"/>
                <w:u w:val="none" w:color="auto"/>
              </w:rPr>
              <w:t xml:space="preserve">  </w:t>
            </w:r>
            <w:r>
              <w:t>a kiegészítő védelmet kérelmező vagy arra jogosult személyekre is.</w:t>
            </w:r>
          </w:p>
        </w:tc>
        <w:tc>
          <w:tcPr/>
          <w:p>
            <w:pPr>
              <w:pStyle w:val="Normal6"/>
            </w:pPr>
            <w:r>
              <w:t>(23)</w:t>
            </w:r>
            <w:r>
              <w:tab/>
            </w:r>
            <w:r>
              <w:t>Annak biztosítása érdekében, hogy valamennyi nemzetközi védelmet kérelmező és nemzetközi védelmet élvező személy azonos bánásmódban részesüljön, valamint az Unió menekültügyi vívmányaival</w:t>
            </w:r>
            <w:r>
              <w:rPr>
                <w:rFonts w:ascii="Times New Roman" w:eastAsia="Times New Roman" w:hAnsi="Times New Roman" w:cs="Times New Roman"/>
                <w:b/>
                <w:i/>
                <w:strike w:val="0"/>
                <w:color w:val="000000"/>
                <w:sz w:val="24"/>
                <w:highlight w:val="none"/>
                <w:u w:val="none" w:color="auto"/>
              </w:rPr>
              <w:t>,</w:t>
            </w:r>
            <w:r>
              <w:t xml:space="preserve"> különösen a 2011/95/EU európai parlamenti és tanácsi irányelvvel</w:t>
            </w:r>
            <w:r>
              <w:rPr>
                <w:rStyle w:val="Sup"/>
              </w:rPr>
              <w:t>32</w:t>
            </w:r>
            <w:r>
              <w:rPr>
                <w:rFonts w:ascii="Times New Roman" w:eastAsia="Times New Roman" w:hAnsi="Times New Roman" w:cs="Times New Roman"/>
                <w:b/>
                <w:i/>
                <w:strike w:val="0"/>
                <w:color w:val="000000"/>
                <w:sz w:val="24"/>
                <w:highlight w:val="none"/>
                <w:u w:val="none" w:color="auto"/>
              </w:rPr>
              <w:t>, az uniós áttelepítési keret létrehozásáról szóló XXX/XXX rendelettel</w:t>
            </w:r>
            <w:r>
              <w:t>, valamint </w:t>
            </w:r>
            <w:r>
              <w:rPr>
                <w:rFonts w:ascii="Times New Roman" w:eastAsia="Times New Roman" w:hAnsi="Times New Roman" w:cs="Times New Roman"/>
                <w:b/>
                <w:i/>
                <w:strike w:val="0"/>
                <w:color w:val="000000"/>
                <w:sz w:val="24"/>
                <w:highlight w:val="none"/>
                <w:u w:val="none" w:color="auto"/>
              </w:rPr>
              <w:t>az (EU) […</w:t>
            </w:r>
            <w:r>
              <w:t>/</w:t>
            </w:r>
            <w:r>
              <w:rPr>
                <w:rFonts w:ascii="Times New Roman" w:eastAsia="Times New Roman" w:hAnsi="Times New Roman" w:cs="Times New Roman"/>
                <w:b/>
                <w:i/>
                <w:strike w:val="0"/>
                <w:color w:val="000000"/>
                <w:sz w:val="24"/>
                <w:highlight w:val="none"/>
                <w:u w:val="none" w:color="auto"/>
              </w:rPr>
              <w:t>…]</w:t>
            </w:r>
            <w:r>
              <w:t xml:space="preserve"> rendelettel való összhang megteremtése érdekében e rendelet hatálya</w:t>
            </w:r>
            <w:r>
              <w:rPr>
                <w:rFonts w:ascii="Times New Roman" w:eastAsia="Times New Roman" w:hAnsi="Times New Roman" w:cs="Times New Roman"/>
                <w:b/>
                <w:i/>
                <w:strike w:val="0"/>
                <w:color w:val="000000"/>
                <w:sz w:val="24"/>
                <w:highlight w:val="none"/>
                <w:u w:val="none" w:color="auto"/>
              </w:rPr>
              <w:t xml:space="preserve"> </w:t>
            </w:r>
            <w:r>
              <w:t>kiterjed</w:t>
            </w:r>
            <w:r>
              <w:rPr>
                <w:rFonts w:ascii="Times New Roman" w:eastAsia="Times New Roman" w:hAnsi="Times New Roman" w:cs="Times New Roman"/>
                <w:b/>
                <w:i/>
                <w:strike w:val="0"/>
                <w:color w:val="000000"/>
                <w:sz w:val="24"/>
                <w:highlight w:val="none"/>
                <w:u w:val="none" w:color="auto"/>
              </w:rPr>
              <w:t xml:space="preserve"> </w:t>
            </w:r>
            <w:r>
              <w:t>a kiegészítő védelmet kérelmező vagy arra jogosult személyekre is</w:t>
            </w:r>
            <w:r>
              <w:rPr>
                <w:rFonts w:ascii="Times New Roman" w:eastAsia="Times New Roman" w:hAnsi="Times New Roman" w:cs="Times New Roman"/>
                <w:b/>
                <w:i/>
                <w:strike w:val="0"/>
                <w:color w:val="000000"/>
                <w:sz w:val="24"/>
                <w:highlight w:val="none"/>
                <w:u w:val="none" w:color="auto"/>
              </w:rPr>
              <w:t>, továbbá az XXX/XXX rendelet értelmében áttelepítés alapján nemzetközi védelemben részesített személyekre</w:t>
            </w:r>
            <w:r>
              <w:t>.</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
              </w:rPr>
              <w:t>32</w:t>
            </w:r>
            <w:r>
              <w:t xml:space="preserve"> </w:t>
            </w:r>
            <w:r>
              <w:t>Az Európai Parlament és a Tanács 2011. december 13-i 2011/95/EU irányelve a harmadik országbeli állampolgárok és hontalan személyek nemzetközi védelemre jogosultként való elismerésére, az egységes menekült- vagy kiegészítő védelmet biztosító jogállásra, valamint a nyújtott védelem tartalmára vonatkozó szabályokról (HL L 337., 2011.12.20., 9. o.).</w:t>
            </w:r>
          </w:p>
        </w:tc>
        <w:tc>
          <w:tcPr/>
          <w:p>
            <w:pPr>
              <w:pStyle w:val="Normal6"/>
            </w:pPr>
            <w:r>
              <w:rPr>
                <w:rStyle w:val="Sup"/>
              </w:rPr>
              <w:t>32</w:t>
            </w:r>
            <w:r>
              <w:t xml:space="preserve"> </w:t>
            </w:r>
            <w:r>
              <w:t>Az Európai Parlament és a Tanács 2011. december 13-i 2011/95/EU irányelve a harmadik országbeli állampolgárok és hontalan személyek nemzetközi védelemre jogosultként való elismerésére, az egységes menekült- vagy kiegészítő védelmet biztosító jogállásra, valamint a nyújtott védelem tartalmára vonatkozó szabályokról (HL L 337., 2011.12.20., 9. 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Átdolgozás E módosítás hivatkozik az uniós áttelepítési keret létrehozásáról szóló jövőbeli rendeletre, mivel javasolt, hogy azok a személyek is tartozzanak az Eurodac hatálya alá, akikre vonatkozóan a tagállamok a fenti rendelet értelmében áttelepítési eljárást kívánnak végrehajtani.</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104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24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(24)</w:t>
            </w:r>
            <w:r>
              <w:tab/>
            </w:r>
            <w:r>
              <w:t xml:space="preserve">A tagállamok számára elő kell írni továbbá, hogy késedelem nélkül vegyenek és továbbítsanak </w:t>
            </w:r>
            <w:r>
              <w:rPr>
                <w:rFonts w:ascii="Times New Roman" w:eastAsia="Times New Roman" w:hAnsi="Times New Roman" w:cs="Times New Roman"/>
                <w:b/>
                <w:i/>
                <w:strike w:val="0"/>
                <w:color w:val="000000"/>
                <w:sz w:val="24"/>
                <w:highlight w:val="none"/>
                <w:u w:val="none" w:color="auto"/>
              </w:rPr>
              <w:t>ujjnyomatadatokat</w:t>
            </w:r>
            <w:r>
              <w:t xml:space="preserve"> valamennyi nemzetközi védelmet kérelmező személytől, valamint az egyes tagállamok külső határának jogellenes átlépése miatt letartóztatott,</w:t>
            </w:r>
            <w:r>
              <w:rPr>
                <w:rFonts w:ascii="Times New Roman" w:eastAsia="Times New Roman" w:hAnsi="Times New Roman" w:cs="Times New Roman"/>
                <w:b/>
                <w:i/>
                <w:strike w:val="0"/>
                <w:color w:val="000000"/>
                <w:sz w:val="24"/>
                <w:highlight w:val="none"/>
                <w:u w:val="none" w:color="auto"/>
              </w:rPr>
              <w:t xml:space="preserve">  </w:t>
            </w:r>
            <w:r>
              <w:t>vagy valamely tagállamban jogellenesen tartózkodó</w:t>
            </w:r>
            <w:r>
              <w:rPr>
                <w:rFonts w:ascii="Times New Roman" w:eastAsia="Times New Roman" w:hAnsi="Times New Roman" w:cs="Times New Roman"/>
                <w:b/>
                <w:i/>
                <w:strike w:val="0"/>
                <w:color w:val="000000"/>
                <w:sz w:val="24"/>
                <w:highlight w:val="none"/>
                <w:u w:val="none" w:color="auto"/>
              </w:rPr>
              <w:t>   </w:t>
            </w:r>
            <w:r>
              <w:t>hatodik</w:t>
            </w:r>
            <w:r>
              <w:rPr>
                <w:rFonts w:ascii="Times New Roman" w:eastAsia="Times New Roman" w:hAnsi="Times New Roman" w:cs="Times New Roman"/>
                <w:b/>
                <w:i/>
                <w:strike w:val="0"/>
                <w:color w:val="000000"/>
                <w:sz w:val="24"/>
                <w:highlight w:val="none"/>
                <w:u w:val="none" w:color="auto"/>
              </w:rPr>
              <w:t xml:space="preserve">  </w:t>
            </w:r>
            <w:r>
              <w:t>életévét betöltött valamennyi harmadik országbeli állampolgártól vagy hontalan személytől.</w:t>
            </w:r>
          </w:p>
        </w:tc>
        <w:tc>
          <w:tcPr/>
          <w:p>
            <w:pPr>
              <w:pStyle w:val="Normal6"/>
            </w:pPr>
            <w:r>
              <w:t>(24)</w:t>
            </w:r>
            <w:r>
              <w:tab/>
            </w:r>
            <w:r>
              <w:t xml:space="preserve">A tagállamok számára elő kell írni továbbá, hogy késedelem nélkül vegyenek és továbbítsanak </w:t>
            </w:r>
            <w:r>
              <w:rPr>
                <w:rFonts w:ascii="Times New Roman" w:eastAsia="Times New Roman" w:hAnsi="Times New Roman" w:cs="Times New Roman"/>
                <w:b/>
                <w:i/>
                <w:strike w:val="0"/>
                <w:color w:val="000000"/>
                <w:sz w:val="24"/>
                <w:highlight w:val="none"/>
                <w:u w:val="none" w:color="auto"/>
              </w:rPr>
              <w:t>biometrikus adatokat</w:t>
            </w:r>
            <w:r>
              <w:t xml:space="preserve"> valamennyi nemzetközi védelmet kérelmező személytől, </w:t>
            </w:r>
            <w:r>
              <w:rPr>
                <w:rFonts w:ascii="Times New Roman" w:eastAsia="Times New Roman" w:hAnsi="Times New Roman" w:cs="Times New Roman"/>
                <w:b/>
                <w:i/>
                <w:strike w:val="0"/>
                <w:color w:val="000000"/>
                <w:sz w:val="24"/>
                <w:highlight w:val="none"/>
                <w:u w:val="none" w:color="auto"/>
              </w:rPr>
              <w:t xml:space="preserve">valamennyi olyan harmadik országbeli állampolgártól vagy valamennyi olyan hontalan személytől, akire vonatkozóan áttelepítési eljárást kívánnak végrehajtani az XXX/XXX rendelet értelmében, </w:t>
            </w:r>
            <w:r>
              <w:t>valamint az egyes tagállamok külső határának jogellenes átlépése miatt letartóztatott,</w:t>
            </w:r>
            <w:r>
              <w:rPr>
                <w:rFonts w:ascii="Times New Roman" w:eastAsia="Times New Roman" w:hAnsi="Times New Roman" w:cs="Times New Roman"/>
                <w:b/>
                <w:i/>
                <w:strike w:val="0"/>
                <w:color w:val="000000"/>
                <w:sz w:val="24"/>
                <w:highlight w:val="none"/>
                <w:u w:val="none" w:color="auto"/>
              </w:rPr>
              <w:t xml:space="preserve"> </w:t>
            </w:r>
            <w:r>
              <w:t>vagy valamely tagállamban jogellenesen tartózkodó</w:t>
            </w:r>
            <w:r>
              <w:rPr>
                <w:rFonts w:ascii="Times New Roman" w:eastAsia="Times New Roman" w:hAnsi="Times New Roman" w:cs="Times New Roman"/>
                <w:b/>
                <w:i/>
                <w:strike w:val="0"/>
                <w:color w:val="000000"/>
                <w:sz w:val="24"/>
                <w:highlight w:val="none"/>
                <w:u w:val="none" w:color="auto"/>
              </w:rPr>
              <w:t xml:space="preserve"> </w:t>
            </w:r>
            <w:r>
              <w:t>hatodik</w:t>
            </w:r>
            <w:r>
              <w:rPr>
                <w:rFonts w:ascii="Times New Roman" w:eastAsia="Times New Roman" w:hAnsi="Times New Roman" w:cs="Times New Roman"/>
                <w:b/>
                <w:i/>
                <w:strike w:val="0"/>
                <w:color w:val="000000"/>
                <w:sz w:val="24"/>
                <w:highlight w:val="none"/>
                <w:u w:val="none" w:color="auto"/>
              </w:rPr>
              <w:t xml:space="preserve"> </w:t>
            </w:r>
            <w:r>
              <w:t>életévét betöltött valamennyi harmadik országbeli állampolgártól vagy hontalan személytől.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Átdolgozás: E módosítás azokra a személyekre hivatkozik, akikre vonatkozóan a tagállamok a fenti rendelet értelmében áttelepítési eljárást kívánnak végrehajtani, mivel javasolt, hogy e személyekre is terjedjen ki e rendelet hatálya.</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105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24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(24)</w:t>
            </w:r>
            <w:r>
              <w:tab/>
            </w:r>
            <w:r>
              <w:t>A tagállamok számára elő kell írni továbbá, hogy késedelem nélkül vegyenek és továbbítsanak ujjnyomatadatokat valamennyi nemzetközi védelmet kérelmező személytől, valamint az egyes tagállamok külső határának jogellenes átlépése miatt letartóztatott,</w:t>
            </w:r>
            <w:r>
              <w:rPr>
                <w:rFonts w:ascii="Times New Roman" w:eastAsia="Times New Roman" w:hAnsi="Times New Roman" w:cs="Times New Roman"/>
                <w:b/>
                <w:i/>
                <w:strike w:val="0"/>
                <w:color w:val="000000"/>
                <w:sz w:val="24"/>
                <w:highlight w:val="none"/>
                <w:u w:val="none" w:color="auto"/>
              </w:rPr>
              <w:t xml:space="preserve">  vagy valamely tagállamban jogellenesen tartózkodó   </w:t>
            </w:r>
            <w:r>
              <w:t>hatodik</w:t>
            </w:r>
            <w:r>
              <w:rPr>
                <w:rFonts w:ascii="Times New Roman" w:eastAsia="Times New Roman" w:hAnsi="Times New Roman" w:cs="Times New Roman"/>
                <w:b/>
                <w:i/>
                <w:strike w:val="0"/>
                <w:color w:val="000000"/>
                <w:sz w:val="24"/>
                <w:highlight w:val="none"/>
                <w:u w:val="none" w:color="auto"/>
              </w:rPr>
              <w:t xml:space="preserve">  </w:t>
            </w:r>
            <w:r>
              <w:t>életévét betöltött valamennyi harmadik országbeli állampolgártól vagy hontalan személytől.</w:t>
            </w:r>
          </w:p>
        </w:tc>
        <w:tc>
          <w:tcPr/>
          <w:p>
            <w:pPr>
              <w:pStyle w:val="Normal6"/>
            </w:pPr>
            <w:r>
              <w:t>(24)</w:t>
            </w:r>
            <w:r>
              <w:tab/>
            </w:r>
            <w:r>
              <w:t>A tagállamok számára elő kell írni továbbá, hogy késedelem nélkül vegyenek és továbbítsanak ujjnyomatadatokat valamennyi nemzetközi védelmet kérelmező személytől, valamint az egyes tagállamok külső határának jogellenes átlépése miatt letartóztatott,</w:t>
            </w:r>
            <w:r>
              <w:rPr>
                <w:rFonts w:ascii="Times New Roman" w:eastAsia="Times New Roman" w:hAnsi="Times New Roman" w:cs="Times New Roman"/>
                <w:b/>
                <w:i/>
                <w:strike w:val="0"/>
                <w:color w:val="000000"/>
                <w:sz w:val="24"/>
                <w:highlight w:val="none"/>
                <w:u w:val="none" w:color="auto"/>
              </w:rPr>
              <w:t> </w:t>
            </w:r>
            <w:r>
              <w:t>hatodik</w:t>
            </w:r>
            <w:r>
              <w:rPr>
                <w:rFonts w:ascii="Times New Roman" w:eastAsia="Times New Roman" w:hAnsi="Times New Roman" w:cs="Times New Roman"/>
                <w:b/>
                <w:i/>
                <w:strike w:val="0"/>
                <w:color w:val="000000"/>
                <w:sz w:val="24"/>
                <w:highlight w:val="none"/>
                <w:u w:val="none" w:color="auto"/>
              </w:rPr>
              <w:t xml:space="preserve"> </w:t>
            </w:r>
            <w:r>
              <w:t>életévét betöltött valamennyi harmadik országbeli állampolgártól vagy hontalan személytől.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106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24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(24)</w:t>
            </w:r>
            <w:r>
              <w:tab/>
            </w:r>
            <w:r>
              <w:t xml:space="preserve">A tagállamok számára elő kell írni továbbá, hogy késedelem nélkül vegyenek és továbbítsanak </w:t>
            </w:r>
            <w:r>
              <w:rPr>
                <w:rFonts w:ascii="Times New Roman" w:eastAsia="Times New Roman" w:hAnsi="Times New Roman" w:cs="Times New Roman"/>
                <w:b/>
                <w:i/>
                <w:strike w:val="0"/>
                <w:color w:val="000000"/>
                <w:sz w:val="24"/>
                <w:highlight w:val="none"/>
                <w:u w:val="none" w:color="auto"/>
              </w:rPr>
              <w:t>ujjnyomatadatokat</w:t>
            </w:r>
            <w:r>
              <w:t xml:space="preserve"> valamennyi nemzetközi védelmet kérelmező személytől, valamint az egyes tagállamok külső határának jogellenes átlépése miatt letartóztatott,</w:t>
            </w:r>
            <w:r>
              <w:rPr>
                <w:rFonts w:ascii="Times New Roman" w:eastAsia="Times New Roman" w:hAnsi="Times New Roman" w:cs="Times New Roman"/>
                <w:b/>
                <w:i/>
                <w:strike w:val="0"/>
                <w:color w:val="000000"/>
                <w:sz w:val="24"/>
                <w:highlight w:val="none"/>
                <w:u w:val="none" w:color="auto"/>
              </w:rPr>
              <w:t xml:space="preserve">  </w:t>
            </w:r>
            <w:r>
              <w:t>vagy valamely tagállamban jogellenesen tartózkodó</w:t>
            </w:r>
            <w:r>
              <w:rPr>
                <w:rFonts w:ascii="Times New Roman" w:eastAsia="Times New Roman" w:hAnsi="Times New Roman" w:cs="Times New Roman"/>
                <w:b/>
                <w:i/>
                <w:strike w:val="0"/>
                <w:color w:val="000000"/>
                <w:sz w:val="24"/>
                <w:highlight w:val="none"/>
                <w:u w:val="none" w:color="auto"/>
              </w:rPr>
              <w:t>   </w:t>
            </w:r>
            <w:r>
              <w:t>hatodik</w:t>
            </w:r>
            <w:r>
              <w:rPr>
                <w:rFonts w:ascii="Times New Roman" w:eastAsia="Times New Roman" w:hAnsi="Times New Roman" w:cs="Times New Roman"/>
                <w:b/>
                <w:i/>
                <w:strike w:val="0"/>
                <w:color w:val="000000"/>
                <w:sz w:val="24"/>
                <w:highlight w:val="none"/>
                <w:u w:val="none" w:color="auto"/>
              </w:rPr>
              <w:t xml:space="preserve">  </w:t>
            </w:r>
            <w:r>
              <w:t>életévét betöltött valamennyi harmadik országbeli állampolgártól vagy hontalan személytől.</w:t>
            </w:r>
          </w:p>
        </w:tc>
        <w:tc>
          <w:tcPr/>
          <w:p>
            <w:pPr>
              <w:pStyle w:val="Normal6"/>
            </w:pPr>
            <w:r>
              <w:t>(24)</w:t>
            </w:r>
            <w:r>
              <w:tab/>
            </w:r>
            <w:r>
              <w:t xml:space="preserve">A tagállamok számára elő kell írni továbbá, hogy késedelem nélkül vegyenek és továbbítsanak </w:t>
            </w:r>
            <w:r>
              <w:rPr>
                <w:rFonts w:ascii="Times New Roman" w:eastAsia="Times New Roman" w:hAnsi="Times New Roman" w:cs="Times New Roman"/>
                <w:b/>
                <w:i/>
                <w:strike w:val="0"/>
                <w:color w:val="000000"/>
                <w:sz w:val="24"/>
                <w:highlight w:val="none"/>
                <w:u w:val="none" w:color="auto"/>
              </w:rPr>
              <w:t>ujjnyomat- és arcképmásadatokat</w:t>
            </w:r>
            <w:r>
              <w:t xml:space="preserve"> valamennyi nemzetközi védelmet kérelmező személytől, valamint az egyes tagállamok külső határának jogellenes átlépése miatt letartóztatott,</w:t>
            </w:r>
            <w:r>
              <w:rPr>
                <w:rFonts w:ascii="Times New Roman" w:eastAsia="Times New Roman" w:hAnsi="Times New Roman" w:cs="Times New Roman"/>
                <w:b/>
                <w:i/>
                <w:strike w:val="0"/>
                <w:color w:val="000000"/>
                <w:sz w:val="24"/>
                <w:highlight w:val="none"/>
                <w:u w:val="none" w:color="auto"/>
              </w:rPr>
              <w:t xml:space="preserve"> </w:t>
            </w:r>
            <w:r>
              <w:t>vagy valamely tagállamban jogellenesen tartózkodó</w:t>
            </w:r>
            <w:r>
              <w:rPr>
                <w:rFonts w:ascii="Times New Roman" w:eastAsia="Times New Roman" w:hAnsi="Times New Roman" w:cs="Times New Roman"/>
                <w:b/>
                <w:i/>
                <w:strike w:val="0"/>
                <w:color w:val="000000"/>
                <w:sz w:val="24"/>
                <w:highlight w:val="none"/>
                <w:u w:val="none" w:color="auto"/>
              </w:rPr>
              <w:t xml:space="preserve"> </w:t>
            </w:r>
            <w:r>
              <w:t>hatodik</w:t>
            </w:r>
            <w:r>
              <w:rPr>
                <w:rFonts w:ascii="Times New Roman" w:eastAsia="Times New Roman" w:hAnsi="Times New Roman" w:cs="Times New Roman"/>
                <w:b/>
                <w:i/>
                <w:strike w:val="0"/>
                <w:color w:val="000000"/>
                <w:sz w:val="24"/>
                <w:highlight w:val="none"/>
                <w:u w:val="none" w:color="auto"/>
              </w:rPr>
              <w:t xml:space="preserve"> </w:t>
            </w:r>
            <w:r>
              <w:t>életévét betöltött valamennyi harmadik országbeli állampolgártól vagy hontalan személytől.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 bizottsági javaslat javítása, amely nem illeszti be az összes előírt helyen az „ujjnyomat” és az „arcképmás” szót, ami összhangban van a 2. cikkben említett, az ujjnyomatvételre és az arcképmás készítésére vonatkozó kötelezettséggel.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107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25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(25)</w:t>
            </w:r>
            <w:r>
              <w:tab/>
            </w:r>
            <w:r>
              <w:rPr>
                <w:rFonts w:ascii="Times New Roman" w:eastAsia="Times New Roman" w:hAnsi="Times New Roman" w:cs="Times New Roman"/>
                <w:b/>
                <w:i/>
                <w:strike w:val="0"/>
                <w:color w:val="000000"/>
                <w:sz w:val="24"/>
                <w:highlight w:val="none"/>
                <w:u w:val="none" w:color="auto"/>
              </w:rPr>
              <w:t>A</w:t>
            </w:r>
            <w:r>
              <w:t xml:space="preserve"> nemzetközi védelmet nem kérelmező kísérő nélküli kiskorúak és a családjuktól esetlegesen elszakított gyermekek védelmének megerősítése érdekében </w:t>
            </w:r>
            <w:r>
              <w:rPr>
                <w:rFonts w:ascii="Times New Roman" w:eastAsia="Times New Roman" w:hAnsi="Times New Roman" w:cs="Times New Roman"/>
                <w:b/>
                <w:i/>
                <w:strike w:val="0"/>
                <w:color w:val="000000"/>
                <w:sz w:val="24"/>
                <w:highlight w:val="none"/>
                <w:u w:val="none" w:color="auto"/>
              </w:rPr>
              <w:t xml:space="preserve">a központi rendszerben való tárolás céljából </w:t>
            </w:r>
            <w:r>
              <w:t xml:space="preserve">ujjnyomatot is kell venni és arcképmást is kell készíteni annak elősegítése céljából, hogy megállapíthassák a gyermek azonosságát, valamint támogathassák a tagállamot az esetlegesen más tagállamban élő családtagok vagy kötelékek felkutatásában. A családi kötelékek megállapítása a családegyesítés kulcsfontosságú eleme, és </w:t>
            </w:r>
            <w:r>
              <w:rPr>
                <w:rFonts w:ascii="Times New Roman" w:eastAsia="Times New Roman" w:hAnsi="Times New Roman" w:cs="Times New Roman"/>
                <w:b/>
                <w:i/>
                <w:strike w:val="0"/>
                <w:color w:val="000000"/>
                <w:sz w:val="24"/>
                <w:highlight w:val="none"/>
                <w:u w:val="none" w:color="auto"/>
              </w:rPr>
              <w:t>szorosan kapcsolódik</w:t>
            </w:r>
            <w:r>
              <w:t xml:space="preserve"> a gyermek mindenek felett álló érdekének </w:t>
            </w:r>
            <w:r>
              <w:rPr>
                <w:rFonts w:ascii="Times New Roman" w:eastAsia="Times New Roman" w:hAnsi="Times New Roman" w:cs="Times New Roman"/>
                <w:b/>
                <w:i/>
                <w:strike w:val="0"/>
                <w:color w:val="000000"/>
                <w:sz w:val="24"/>
                <w:highlight w:val="none"/>
                <w:u w:val="none" w:color="auto"/>
              </w:rPr>
              <w:t>megállapításához</w:t>
            </w:r>
            <w:r>
              <w:t xml:space="preserve">, és adott esetben a tartós megoldás </w:t>
            </w:r>
            <w:r>
              <w:rPr>
                <w:rFonts w:ascii="Times New Roman" w:eastAsia="Times New Roman" w:hAnsi="Times New Roman" w:cs="Times New Roman"/>
                <w:b/>
                <w:i/>
                <w:strike w:val="0"/>
                <w:color w:val="000000"/>
                <w:sz w:val="24"/>
                <w:highlight w:val="none"/>
                <w:u w:val="none" w:color="auto"/>
              </w:rPr>
              <w:t>kialakításához</w:t>
            </w:r>
            <w:r>
              <w:t>.</w:t>
            </w:r>
          </w:p>
        </w:tc>
        <w:tc>
          <w:tcPr/>
          <w:p>
            <w:pPr>
              <w:pStyle w:val="Normal6"/>
            </w:pPr>
            <w:r>
              <w:t>(25)</w:t>
            </w:r>
            <w:r>
              <w:tab/>
            </w:r>
            <w:r>
              <w:rPr>
                <w:rFonts w:ascii="Times New Roman" w:eastAsia="Times New Roman" w:hAnsi="Times New Roman" w:cs="Times New Roman"/>
                <w:b/>
                <w:i/>
                <w:strike w:val="0"/>
                <w:color w:val="000000"/>
                <w:sz w:val="24"/>
                <w:highlight w:val="none"/>
                <w:u w:val="none" w:color="auto"/>
              </w:rPr>
              <w:t xml:space="preserve">Valamennyi migráns és menekült gyermek, köztük </w:t>
            </w:r>
            <w:r>
              <w:rPr>
                <w:rFonts w:ascii="Times New Roman" w:eastAsia="Times New Roman" w:hAnsi="Times New Roman" w:cs="Times New Roman"/>
                <w:b/>
                <w:i/>
                <w:strike w:val="0"/>
                <w:color w:val="000000"/>
                <w:sz w:val="24"/>
                <w:highlight w:val="none"/>
                <w:u w:val="none" w:color="auto"/>
              </w:rPr>
              <w:t>a</w:t>
            </w:r>
            <w:r>
              <w:t xml:space="preserve"> nemzetközi védelmet nem kérelmező kísérő nélküli kiskorúak és a családjuktól esetlegesen elszakított gyermekek védelmének megerősítése érdekében ujjnyomatot is kell venni és arcképmást is kell készíteni</w:t>
            </w:r>
            <w:r>
              <w:rPr>
                <w:rFonts w:ascii="Times New Roman" w:eastAsia="Times New Roman" w:hAnsi="Times New Roman" w:cs="Times New Roman"/>
                <w:b/>
                <w:i/>
                <w:strike w:val="0"/>
                <w:color w:val="000000"/>
                <w:sz w:val="24"/>
                <w:highlight w:val="none"/>
                <w:u w:val="none" w:color="auto"/>
              </w:rPr>
              <w:t>, amelyet a központi rendszerben kell tárolni addig, amíg be nem töltik 18. életévüket,</w:t>
            </w:r>
            <w:r>
              <w:t xml:space="preserve"> annak elősegítése céljából, hogy megállapíthassák a gyermek azonosságát, valamint támogathassák a tagállamot az esetlegesen más tagállamban élő családtagok vagy kötelékek felkutatásában. </w:t>
            </w:r>
            <w:r>
              <w:rPr>
                <w:rFonts w:ascii="Times New Roman" w:eastAsia="Times New Roman" w:hAnsi="Times New Roman" w:cs="Times New Roman"/>
                <w:b/>
                <w:i/>
                <w:strike w:val="0"/>
                <w:color w:val="000000"/>
                <w:sz w:val="24"/>
                <w:highlight w:val="none"/>
                <w:u w:val="none" w:color="auto"/>
              </w:rPr>
              <w:t xml:space="preserve">Az ujjnyomat- és arcképmásadatokat ebből az egyértelmű célból kell rögzíteni, és ennek megfelelően kell feldolgozni és felhasználni. </w:t>
            </w:r>
            <w:r>
              <w:t xml:space="preserve">A családi kötelékek megállapítása a családegyesítés kulcsfontosságú eleme, és </w:t>
            </w:r>
            <w:r>
              <w:rPr>
                <w:rFonts w:ascii="Times New Roman" w:eastAsia="Times New Roman" w:hAnsi="Times New Roman" w:cs="Times New Roman"/>
                <w:b/>
                <w:i/>
                <w:strike w:val="0"/>
                <w:color w:val="000000"/>
                <w:sz w:val="24"/>
                <w:highlight w:val="none"/>
                <w:u w:val="none" w:color="auto"/>
              </w:rPr>
              <w:t>szigorúan figyelembe kell venni</w:t>
            </w:r>
            <w:r>
              <w:t xml:space="preserve"> a gyermek mindenek felett álló érdekének </w:t>
            </w:r>
            <w:r>
              <w:rPr>
                <w:rFonts w:ascii="Times New Roman" w:eastAsia="Times New Roman" w:hAnsi="Times New Roman" w:cs="Times New Roman"/>
                <w:b/>
                <w:i/>
                <w:strike w:val="0"/>
                <w:color w:val="000000"/>
                <w:sz w:val="24"/>
                <w:highlight w:val="none"/>
                <w:u w:val="none" w:color="auto"/>
              </w:rPr>
              <w:t>megállapítása</w:t>
            </w:r>
            <w:r>
              <w:t xml:space="preserve">, és adott esetben a tartós megoldás </w:t>
            </w:r>
            <w:r>
              <w:rPr>
                <w:rFonts w:ascii="Times New Roman" w:eastAsia="Times New Roman" w:hAnsi="Times New Roman" w:cs="Times New Roman"/>
                <w:b/>
                <w:i/>
                <w:strike w:val="0"/>
                <w:color w:val="000000"/>
                <w:sz w:val="24"/>
                <w:highlight w:val="none"/>
                <w:u w:val="none" w:color="auto"/>
              </w:rPr>
              <w:t>kialakítása céljából. Az eltűnt gyermekekre vonatkozó továbbfejlesztett azonosítási eljárás hozzásegíti a tagállamokat ahhoz, hogy garantálni tudják a gyermekek megfelelő védelmének biztosítását. Ennek érdekében a tagállamok valamely eltűnt vagy bűncselekmény áldozatául esett gyermek azonosításakor haladéktalanul felveszik a kapcsolatot az illetékes nemzeti gyermekvédelmi hatóságokkal és elvégzik a szükségletek felmérését annak érdekében, hogy a gyermek mindenek felett álló érdekének megfelelő tartós megoldást találjanak</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108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t xml:space="preserve">, </w:t>
      </w:r>
      <w:r>
        <w:t>Laura Ferrara</w:t>
      </w:r>
      <w:r>
        <w:t xml:space="preserve">, </w:t>
      </w:r>
      <w:r>
        <w:t>Ignazio Corrao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25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(25)</w:t>
            </w:r>
            <w:r>
              <w:tab/>
            </w:r>
            <w:r>
              <w:t>A nemzetközi védelmet nem kérelmező kísérő nélküli kiskorúak és a családjuktól esetlegesen elszakított gyermekek védelmének megerősítése érdekében a központi rendszerben való tárolás céljából ujjnyomatot is kell venni és arcképmást is kell készíteni annak elősegítése céljából, hogy megállapíthassák a gyermek azonosságát, valamint támogathassák a tagállamot az esetlegesen más tagállamban élő családtagok vagy kötelékek felkutatásában. A családi kötelékek megállapítása a családegyesítés kulcsfontosságú eleme, és szorosan kapcsolódik a gyermek mindenek felett álló érdekének megállapításához, és adott esetben a tartós megoldás kialakításához.</w:t>
            </w:r>
          </w:p>
        </w:tc>
        <w:tc>
          <w:tcPr/>
          <w:p>
            <w:pPr>
              <w:pStyle w:val="Normal6"/>
            </w:pPr>
            <w:r>
              <w:t>(25)</w:t>
            </w:r>
            <w:r>
              <w:tab/>
            </w:r>
            <w:r>
              <w:t xml:space="preserve">A nemzetközi védelmet nem kérelmező kísérő nélküli kiskorúak és a családjuktól esetlegesen elszakított gyermekek védelmének megerősítése érdekében a központi rendszerben való tárolás céljából ujjnyomatot is kell venni és arcképmást is kell készíteni annak elősegítése céljából, hogy megállapíthassák a gyermek azonosságát, valamint támogathassák a tagállamot az esetlegesen más tagállamban élő családtagok vagy kötelékek felkutatásában. A családi kötelékek megállapítása a családegyesítés kulcsfontosságú eleme, és szorosan kapcsolódik a gyermek mindenek felett álló érdekének megállapításához, és adott esetben a tartós megoldás kialakításához. </w:t>
            </w:r>
            <w:r>
              <w:rPr>
                <w:rFonts w:ascii="Times New Roman" w:eastAsia="Times New Roman" w:hAnsi="Times New Roman" w:cs="Times New Roman"/>
                <w:b/>
                <w:i/>
                <w:strike w:val="0"/>
                <w:color w:val="000000"/>
                <w:sz w:val="24"/>
                <w:highlight w:val="none"/>
                <w:u w:val="none" w:color="auto"/>
              </w:rPr>
              <w:t xml:space="preserve">Az eljárások során a tagállamoknak tiszteletben kell tartaniuk a gyermek jogairól szóló 1989. évi ENSZ-egyezményben lefektetett elveket. </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IT</w:t>
      </w:r>
      <w:r>
        <w:rPr>
          <w:rStyle w:val="HideTWBInt"/>
        </w:rPr>
        <w:t>}</w:t>
      </w:r>
      <w:r>
        <w:t>it</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109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Hilde Vautmans</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25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(25)</w:t>
            </w:r>
            <w:r>
              <w:tab/>
            </w:r>
            <w:r>
              <w:rPr>
                <w:rFonts w:ascii="Times New Roman" w:eastAsia="Times New Roman" w:hAnsi="Times New Roman" w:cs="Times New Roman"/>
                <w:b/>
                <w:i/>
                <w:strike w:val="0"/>
                <w:color w:val="000000"/>
                <w:sz w:val="24"/>
                <w:highlight w:val="none"/>
                <w:u w:val="none" w:color="auto"/>
              </w:rPr>
              <w:t>A</w:t>
            </w:r>
            <w:r>
              <w:t xml:space="preserve"> nemzetközi védelmet nem kérelmező kísérő nélküli kiskorúak és a családjuktól esetlegesen elszakított gyermekek védelmének megerősítése érdekében a központi rendszerben való tárolás céljából ujjnyomatot is kell venni és arcképmást is kell készíteni annak elősegítése céljából, hogy megállapíthassák a gyermek azonosságát, valamint támogathassák a tagállamot az esetlegesen más tagállamban élő családtagok vagy kötelékek felkutatásában. A családi kötelékek megállapítása a családegyesítés kulcsfontosságú eleme, és szorosan kapcsolódik a gyermek mindenek felett álló érdekének megállapításához, és adott esetben a tartós megoldás kialakításához.</w:t>
            </w:r>
          </w:p>
        </w:tc>
        <w:tc>
          <w:tcPr/>
          <w:p>
            <w:pPr>
              <w:pStyle w:val="Normal6"/>
            </w:pPr>
            <w:r>
              <w:t>(25)</w:t>
            </w:r>
            <w:r>
              <w:tab/>
            </w:r>
            <w:r>
              <w:rPr>
                <w:rFonts w:ascii="Times New Roman" w:eastAsia="Times New Roman" w:hAnsi="Times New Roman" w:cs="Times New Roman"/>
                <w:b/>
                <w:i/>
                <w:strike w:val="0"/>
                <w:color w:val="000000"/>
                <w:sz w:val="24"/>
                <w:highlight w:val="none"/>
                <w:u w:val="none" w:color="auto"/>
              </w:rPr>
              <w:t>Az emberkereskedelem áldozatává vált, eltűnt vagy elrabolt gyermekek védelme és fellelése, valamint</w:t>
            </w:r>
            <w:r>
              <w:t xml:space="preserve"> nemzetközi védelmet nem kérelmező kísérő nélküli kiskorúak és a családjuktól esetlegesen elszakított gyermekek védelmének megerősítése érdekében a központi rendszerben való tárolás céljából ujjnyomatot is kell venni és arcképmást is kell készíteni annak elősegítése céljából, hogy megállapíthassák a gyermek azonosságát, valamint támogathassák a tagállamot az esetlegesen más tagállamban élő családtagok vagy kötelékek felkutatásában. A családi kötelékek megállapítása a családegyesítés kulcsfontosságú eleme, és szorosan kapcsolódik a gyermek mindenek felett álló érdekének megállapításához, és adott esetben a tartós megoldás kialakításához.</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110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26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(26)</w:t>
            </w:r>
            <w:r>
              <w:tab/>
            </w:r>
            <w:r>
              <w:t xml:space="preserve">E rendelet végrehajtása során a tagállamok a </w:t>
            </w:r>
            <w:r>
              <w:rPr>
                <w:rFonts w:ascii="Times New Roman" w:eastAsia="Times New Roman" w:hAnsi="Times New Roman" w:cs="Times New Roman"/>
                <w:b/>
                <w:i/>
                <w:strike w:val="0"/>
                <w:color w:val="000000"/>
                <w:sz w:val="24"/>
                <w:highlight w:val="none"/>
                <w:u w:val="none" w:color="auto"/>
              </w:rPr>
              <w:t>kiskorú mindenek felett</w:t>
            </w:r>
            <w:r>
              <w:t xml:space="preserve"> álló érdekét szem előtt tartva kötelesek eljárni. Amennyiben a megkereső tagállam megállapítja, hogy az Eurodac-adatok gyermekre vonatkoznak, ezen adatokat csak a </w:t>
            </w:r>
            <w:r>
              <w:rPr>
                <w:rFonts w:ascii="Times New Roman" w:eastAsia="Times New Roman" w:hAnsi="Times New Roman" w:cs="Times New Roman"/>
                <w:b/>
                <w:i/>
                <w:strike w:val="0"/>
                <w:color w:val="000000"/>
                <w:sz w:val="24"/>
                <w:highlight w:val="none"/>
                <w:u w:val="none" w:color="auto"/>
              </w:rPr>
              <w:t>megkereső tagállam használhatja fel bűnüldözési célokból, az adott állam kiskorúakra vonatkozó törvényeivel összhangban</w:t>
            </w:r>
            <w:r>
              <w:t xml:space="preserve">, valamint </w:t>
            </w:r>
            <w:r>
              <w:rPr>
                <w:rFonts w:ascii="Times New Roman" w:eastAsia="Times New Roman" w:hAnsi="Times New Roman" w:cs="Times New Roman"/>
                <w:b/>
                <w:i/>
                <w:strike w:val="0"/>
                <w:color w:val="000000"/>
                <w:sz w:val="24"/>
                <w:highlight w:val="none"/>
                <w:u w:val="none" w:color="auto"/>
              </w:rPr>
              <w:t>szem előtt tartva azon kötelezettséget, hogy elsődlegessé kell tenni a gyermek mindenekfelett álló érdekét</w:t>
            </w:r>
            <w:r>
              <w:t>.</w:t>
            </w:r>
          </w:p>
        </w:tc>
        <w:tc>
          <w:tcPr/>
          <w:p>
            <w:pPr>
              <w:pStyle w:val="Normal6"/>
            </w:pPr>
            <w:r>
              <w:t>(26)</w:t>
            </w:r>
            <w:r>
              <w:tab/>
            </w:r>
            <w:r>
              <w:t xml:space="preserve">E rendelet végrehajtása során a tagállamok a </w:t>
            </w:r>
            <w:r>
              <w:rPr>
                <w:rFonts w:ascii="Times New Roman" w:eastAsia="Times New Roman" w:hAnsi="Times New Roman" w:cs="Times New Roman"/>
                <w:b/>
                <w:i/>
                <w:strike w:val="0"/>
                <w:color w:val="000000"/>
                <w:sz w:val="24"/>
                <w:highlight w:val="none"/>
                <w:u w:val="none" w:color="auto"/>
              </w:rPr>
              <w:t>gyermek mindenekfelett</w:t>
            </w:r>
            <w:r>
              <w:t xml:space="preserve"> álló érdekét szem előtt tartva kötelesek eljárni. Amennyiben a megkereső tagállam megállapítja, hogy az Eurodac-adatok gyermekre vonatkoznak, ezen adatokat csak a </w:t>
            </w:r>
            <w:r>
              <w:rPr>
                <w:rFonts w:ascii="Times New Roman" w:eastAsia="Times New Roman" w:hAnsi="Times New Roman" w:cs="Times New Roman"/>
                <w:b/>
                <w:i/>
                <w:strike w:val="0"/>
                <w:color w:val="000000"/>
                <w:sz w:val="24"/>
                <w:highlight w:val="none"/>
                <w:u w:val="none" w:color="auto"/>
              </w:rPr>
              <w:t>gyermekkereskedelem megelőzése, felderítése és kinyomozása</w:t>
            </w:r>
            <w:r>
              <w:t xml:space="preserve">, valamint </w:t>
            </w:r>
            <w:r>
              <w:rPr>
                <w:rFonts w:ascii="Times New Roman" w:eastAsia="Times New Roman" w:hAnsi="Times New Roman" w:cs="Times New Roman"/>
                <w:b/>
                <w:i/>
                <w:strike w:val="0"/>
                <w:color w:val="000000"/>
                <w:sz w:val="24"/>
                <w:highlight w:val="none"/>
                <w:u w:val="none" w:color="auto"/>
              </w:rPr>
              <w:t>az eltűnt gyermekek védelme céljából lehet felhasználni</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 gyermek jogairól szóló ENSZ-egyezmény 3. cikkének (1) bekezdése szerinti terminológiát kell használni: „a magántulajdonú és állami szociális jóléti intézmények, a bíróságok, a közigazgatási hatóságok és jogalkotási szervek által végrehajtott, gyermekekkel kapcsolatos cselekvések során elsősorban a gyermekek legjobb érdekeit kell szem előtt tartani”.</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111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Sylvia-Yvonne Kaufmann</w:t>
      </w:r>
      <w:r>
        <w:t xml:space="preserve">, </w:t>
      </w:r>
      <w:r>
        <w:t>Josef Weidenholzer</w:t>
      </w:r>
      <w:r>
        <w:t xml:space="preserve">, </w:t>
      </w:r>
      <w:r>
        <w:t>Vilija Blinkevičiūtė</w:t>
      </w:r>
      <w:r>
        <w:t xml:space="preserve">, </w:t>
      </w:r>
      <w:r>
        <w:t>Péter Niedermüller</w:t>
      </w:r>
      <w:r>
        <w:t xml:space="preserve">, </w:t>
      </w:r>
      <w:r>
        <w:t>Kati Piri</w:t>
      </w:r>
      <w:r>
        <w:t xml:space="preserve">, </w:t>
      </w:r>
      <w:r>
        <w:t>Maria Grapini</w:t>
      </w:r>
      <w:r>
        <w:t xml:space="preserve">, </w:t>
      </w:r>
      <w:r>
        <w:t>Juan Fernando López Aguilar</w:t>
      </w:r>
      <w:r>
        <w:t xml:space="preserve">, </w:t>
      </w:r>
      <w:r>
        <w:t>Caterina Chinnici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26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(26)</w:t>
            </w:r>
            <w:r>
              <w:tab/>
            </w:r>
            <w:r>
              <w:t xml:space="preserve">E rendelet végrehajtása során a tagállamok a kiskorú mindenek felett álló érdekét szem előtt tartva kötelesek eljárni. Amennyiben a megkereső tagállam megállapítja, hogy az Eurodac-adatok gyermekre vonatkoznak, ezen adatokat csak a </w:t>
            </w:r>
            <w:r>
              <w:rPr>
                <w:rFonts w:ascii="Times New Roman" w:eastAsia="Times New Roman" w:hAnsi="Times New Roman" w:cs="Times New Roman"/>
                <w:b/>
                <w:i/>
                <w:strike w:val="0"/>
                <w:color w:val="000000"/>
                <w:sz w:val="24"/>
                <w:highlight w:val="none"/>
                <w:u w:val="none" w:color="auto"/>
              </w:rPr>
              <w:t>megkereső tagállam használhatja fel bűnüldözési célokból, az adott állam kiskorúakra vonatkozó törvényeivel összhangban, valamint szem előtt tartva azon kötelezettséget, hogy elsődlegessé kell tenni a gyermek mindenekfelett álló érdekét</w:t>
            </w:r>
            <w:r>
              <w:t>.</w:t>
            </w:r>
          </w:p>
        </w:tc>
        <w:tc>
          <w:tcPr/>
          <w:p>
            <w:pPr>
              <w:pStyle w:val="Normal6"/>
            </w:pPr>
            <w:r>
              <w:t>(26)</w:t>
            </w:r>
            <w:r>
              <w:tab/>
            </w:r>
            <w:r>
              <w:t xml:space="preserve">E rendelet végrehajtása során a tagállamok a kiskorú mindenek felett álló érdekét szem előtt tartva kötelesek eljárni. Amennyiben a megkereső tagállam megállapítja, hogy az Eurodac-adatok gyermekre vonatkoznak, ezen adatokat csak a </w:t>
            </w:r>
            <w:r>
              <w:rPr>
                <w:rFonts w:ascii="Times New Roman" w:eastAsia="Times New Roman" w:hAnsi="Times New Roman" w:cs="Times New Roman"/>
                <w:b/>
                <w:i/>
                <w:strike w:val="0"/>
                <w:color w:val="000000"/>
                <w:sz w:val="24"/>
                <w:highlight w:val="none"/>
                <w:u w:val="none" w:color="auto"/>
              </w:rPr>
              <w:t>gyermekkereskedelem megelőzését, felderítését és kinyomozását, valamint az eltűnt gyermekek védelmét szolgáló bűnüldözési célból, illetve a rokonok felkutatása és a családegyesítés céljából lehet felhasználni</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112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Maria Corazza Bildt</w:t>
      </w:r>
      <w:r>
        <w:t xml:space="preserve">, </w:t>
      </w:r>
      <w:r>
        <w:t>Damiano Zoffoli</w:t>
      </w:r>
      <w:r>
        <w:t xml:space="preserve">, </w:t>
      </w:r>
      <w:r>
        <w:t>Barbara Matera</w:t>
      </w:r>
      <w:r>
        <w:t xml:space="preserve">, </w:t>
      </w:r>
      <w:r>
        <w:t>Petras Auštrevičius</w:t>
      </w:r>
      <w:r>
        <w:t xml:space="preserve">, </w:t>
      </w:r>
      <w:r>
        <w:t>Carlos Coelho</w:t>
      </w:r>
      <w:r>
        <w:t xml:space="preserve">, </w:t>
      </w:r>
      <w:r>
        <w:t>Hilde Vautmans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26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(26)</w:t>
            </w:r>
            <w:r>
              <w:tab/>
            </w:r>
            <w:r>
              <w:t xml:space="preserve">E rendelet végrehajtása során a tagállamok a kiskorú mindenek felett álló érdekét szem előtt tartva kötelesek eljárni. Amennyiben a megkereső tagállam megállapítja, hogy az Eurodac-adatok gyermekre vonatkoznak, ezen adatokat csak </w:t>
            </w:r>
            <w:r>
              <w:rPr>
                <w:rFonts w:ascii="Times New Roman" w:eastAsia="Times New Roman" w:hAnsi="Times New Roman" w:cs="Times New Roman"/>
                <w:b/>
                <w:i/>
                <w:strike w:val="0"/>
                <w:color w:val="000000"/>
                <w:sz w:val="24"/>
                <w:highlight w:val="none"/>
                <w:u w:val="none" w:color="auto"/>
              </w:rPr>
              <w:t>a megkereső tagállam használhatja fel bűnüldözési célokból</w:t>
            </w:r>
            <w:r>
              <w:t>, az adott állam kiskorúakra vonatkozó törvényeivel összhangban, valamint szem előtt tartva azon kötelezettséget, hogy elsődlegessé kell tenni a gyermek mindenekfelett álló érdekét.</w:t>
            </w:r>
          </w:p>
        </w:tc>
        <w:tc>
          <w:tcPr/>
          <w:p>
            <w:pPr>
              <w:pStyle w:val="Normal6"/>
            </w:pPr>
            <w:r>
              <w:t>(26)</w:t>
            </w:r>
            <w:r>
              <w:tab/>
            </w:r>
            <w:r>
              <w:t xml:space="preserve">E rendelet végrehajtása során a tagállamok a kiskorú mindenek felett álló érdekét szem előtt tartva kötelesek eljárni. Amennyiben a megkereső tagállam megállapítja, hogy az Eurodac-adatok gyermekre vonatkoznak, ezen adatokat csak </w:t>
            </w:r>
            <w:r>
              <w:rPr>
                <w:rFonts w:ascii="Times New Roman" w:eastAsia="Times New Roman" w:hAnsi="Times New Roman" w:cs="Times New Roman"/>
                <w:b/>
                <w:i/>
                <w:strike w:val="0"/>
                <w:color w:val="000000"/>
                <w:sz w:val="24"/>
                <w:highlight w:val="none"/>
                <w:u w:val="none" w:color="auto"/>
              </w:rPr>
              <w:t>bűnüldözési célokból, a védelmi rendszerekhez való hozzáférés biztosítása és az eltűnt gyermekek felkutatása érdekében lehet felhasználni</w:t>
            </w:r>
            <w:r>
              <w:t>, az adott állam kiskorúakra vonatkozó törvényeivel összhangban, valamint szem előtt tartva azon kötelezettséget, hogy elsődlegessé kell tenni a gyermek mindenekfelett álló érdekét.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113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27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(27)</w:t>
            </w:r>
            <w:r>
              <w:tab/>
            </w:r>
            <w:r>
              <w:t>Pontos szabályokat kell megállapítani ezen ujjnyomatadatok</w:t>
            </w:r>
            <w:r>
              <w:rPr>
                <w:rFonts w:ascii="Times New Roman" w:eastAsia="Times New Roman" w:hAnsi="Times New Roman" w:cs="Times New Roman"/>
                <w:b/>
                <w:i/>
                <w:strike w:val="0"/>
                <w:color w:val="000000"/>
                <w:sz w:val="24"/>
                <w:highlight w:val="none"/>
                <w:u w:val="none" w:color="auto"/>
              </w:rPr>
              <w:t xml:space="preserve">  és arcképmások  </w:t>
            </w:r>
            <w:r>
              <w:t>központi rendszerhez való továbbítására, ezen ujjnyomatadatoknak,</w:t>
            </w:r>
            <w:r>
              <w:rPr>
                <w:rFonts w:ascii="Times New Roman" w:eastAsia="Times New Roman" w:hAnsi="Times New Roman" w:cs="Times New Roman"/>
                <w:b/>
                <w:i/>
                <w:strike w:val="0"/>
                <w:color w:val="000000"/>
                <w:sz w:val="24"/>
                <w:highlight w:val="none"/>
                <w:u w:val="none" w:color="auto"/>
              </w:rPr>
              <w:t xml:space="preserve">  </w:t>
            </w:r>
            <w:r>
              <w:t>arcképmásoknak</w:t>
            </w:r>
            <w:r>
              <w:rPr>
                <w:rFonts w:ascii="Times New Roman" w:eastAsia="Times New Roman" w:hAnsi="Times New Roman" w:cs="Times New Roman"/>
                <w:b/>
                <w:i/>
                <w:strike w:val="0"/>
                <w:color w:val="000000"/>
                <w:sz w:val="24"/>
                <w:highlight w:val="none"/>
                <w:u w:val="none" w:color="auto"/>
              </w:rPr>
              <w:t xml:space="preserve">  </w:t>
            </w:r>
            <w:r>
              <w:t>és más lényeges</w:t>
            </w:r>
            <w:r>
              <w:rPr>
                <w:rFonts w:ascii="Times New Roman" w:eastAsia="Times New Roman" w:hAnsi="Times New Roman" w:cs="Times New Roman"/>
                <w:b/>
                <w:i/>
                <w:strike w:val="0"/>
                <w:color w:val="000000"/>
                <w:sz w:val="24"/>
                <w:highlight w:val="none"/>
                <w:u w:val="none" w:color="auto"/>
              </w:rPr>
              <w:t xml:space="preserve">  </w:t>
            </w:r>
            <w:r>
              <w:t>személyes</w:t>
            </w:r>
            <w:r>
              <w:rPr>
                <w:rFonts w:ascii="Times New Roman" w:eastAsia="Times New Roman" w:hAnsi="Times New Roman" w:cs="Times New Roman"/>
                <w:b/>
                <w:i/>
                <w:strike w:val="0"/>
                <w:color w:val="000000"/>
                <w:sz w:val="24"/>
                <w:highlight w:val="none"/>
                <w:u w:val="none" w:color="auto"/>
              </w:rPr>
              <w:t xml:space="preserve">  </w:t>
            </w:r>
            <w:r>
              <w:t>adatoknak a központi rendszerben való nyilvántartására, tárolására, összehasonlítására más ujjnyomattadatokkal</w:t>
            </w:r>
            <w:r>
              <w:rPr>
                <w:rFonts w:ascii="Times New Roman" w:eastAsia="Times New Roman" w:hAnsi="Times New Roman" w:cs="Times New Roman"/>
                <w:b/>
                <w:i/>
                <w:strike w:val="0"/>
                <w:color w:val="000000"/>
                <w:sz w:val="24"/>
                <w:highlight w:val="none"/>
                <w:u w:val="none" w:color="auto"/>
              </w:rPr>
              <w:t xml:space="preserve">  és arcképmásokkal </w:t>
            </w:r>
            <w:r>
              <w:t>, az összehasonlítások eredményeinek továbbítására, valamint a nyilvántartott adatok jelölésére és törlésére. Ezek a szabályok a harmadik országbeli állampolgárok vagy hontalan személyek különböző csoportjaira nézve eltérőek lehetnek, illetve az adott csoportok jellegéhez kell igazodniuk.</w:t>
            </w:r>
          </w:p>
        </w:tc>
        <w:tc>
          <w:tcPr/>
          <w:p>
            <w:pPr>
              <w:pStyle w:val="Normal6"/>
            </w:pPr>
            <w:r>
              <w:t>(27)</w:t>
            </w:r>
            <w:r>
              <w:tab/>
            </w:r>
            <w:r>
              <w:t>Pontos szabályokat kell megállapítani ezen ujjnyomatadatok</w:t>
            </w:r>
            <w:r>
              <w:rPr>
                <w:rFonts w:ascii="Times New Roman" w:eastAsia="Times New Roman" w:hAnsi="Times New Roman" w:cs="Times New Roman"/>
                <w:b/>
                <w:i/>
                <w:strike w:val="0"/>
                <w:color w:val="000000"/>
                <w:sz w:val="24"/>
                <w:highlight w:val="none"/>
                <w:u w:val="none" w:color="auto"/>
              </w:rPr>
              <w:t xml:space="preserve"> és arcképmás-adatok, vagy mindkettő </w:t>
            </w:r>
            <w:r>
              <w:t>központi rendszerhez való továbbítására, ezen ujjnyomatadatoknak,</w:t>
            </w:r>
            <w:r>
              <w:rPr>
                <w:rFonts w:ascii="Times New Roman" w:eastAsia="Times New Roman" w:hAnsi="Times New Roman" w:cs="Times New Roman"/>
                <w:b/>
                <w:i/>
                <w:strike w:val="0"/>
                <w:color w:val="000000"/>
                <w:sz w:val="24"/>
                <w:highlight w:val="none"/>
                <w:u w:val="none" w:color="auto"/>
              </w:rPr>
              <w:t xml:space="preserve"> </w:t>
            </w:r>
            <w:r>
              <w:t>arcképmásoknak</w:t>
            </w:r>
            <w:r>
              <w:rPr>
                <w:rFonts w:ascii="Times New Roman" w:eastAsia="Times New Roman" w:hAnsi="Times New Roman" w:cs="Times New Roman"/>
                <w:b/>
                <w:i/>
                <w:strike w:val="0"/>
                <w:color w:val="000000"/>
                <w:sz w:val="24"/>
                <w:highlight w:val="none"/>
                <w:u w:val="none" w:color="auto"/>
              </w:rPr>
              <w:t xml:space="preserve"> </w:t>
            </w:r>
            <w:r>
              <w:t>és más lényeges</w:t>
            </w:r>
            <w:r>
              <w:rPr>
                <w:rFonts w:ascii="Times New Roman" w:eastAsia="Times New Roman" w:hAnsi="Times New Roman" w:cs="Times New Roman"/>
                <w:b/>
                <w:i/>
                <w:strike w:val="0"/>
                <w:color w:val="000000"/>
                <w:sz w:val="24"/>
                <w:highlight w:val="none"/>
                <w:u w:val="none" w:color="auto"/>
              </w:rPr>
              <w:t xml:space="preserve"> </w:t>
            </w:r>
            <w:r>
              <w:t>személyes</w:t>
            </w:r>
            <w:r>
              <w:rPr>
                <w:rFonts w:ascii="Times New Roman" w:eastAsia="Times New Roman" w:hAnsi="Times New Roman" w:cs="Times New Roman"/>
                <w:b/>
                <w:i/>
                <w:strike w:val="0"/>
                <w:color w:val="000000"/>
                <w:sz w:val="24"/>
                <w:highlight w:val="none"/>
                <w:u w:val="none" w:color="auto"/>
              </w:rPr>
              <w:t xml:space="preserve"> </w:t>
            </w:r>
            <w:r>
              <w:t>adatoknak a központi rendszerben való nyilvántartására, tárolására, összehasonlítására más ujjnyomattadatokkal</w:t>
            </w:r>
            <w:r>
              <w:rPr>
                <w:rFonts w:ascii="Times New Roman" w:eastAsia="Times New Roman" w:hAnsi="Times New Roman" w:cs="Times New Roman"/>
                <w:b/>
                <w:i/>
                <w:strike w:val="0"/>
                <w:color w:val="000000"/>
                <w:sz w:val="24"/>
                <w:highlight w:val="none"/>
                <w:u w:val="none" w:color="auto"/>
              </w:rPr>
              <w:t xml:space="preserve"> és arcképmás-adatokkal vagy mindkettővel</w:t>
            </w:r>
            <w:r>
              <w:t>, az összehasonlítások eredményeinek továbbítására, valamint a nyilvántartott adatok jelölésére és törlésére. Ezek a szabályok a harmadik országbeli állampolgárok vagy hontalan személyek különböző csoportjaira nézve eltérőek lehetnek, illetve az adott csoportok jellegéhez kell igazodniuk.</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114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28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(28)</w:t>
            </w:r>
            <w:r>
              <w:tab/>
            </w:r>
            <w:r>
              <w:t>A tagállamok biztosítják, hogy az ujjnyomatadatok</w:t>
            </w:r>
            <w:r>
              <w:rPr>
                <w:rFonts w:ascii="Times New Roman" w:eastAsia="Times New Roman" w:hAnsi="Times New Roman" w:cs="Times New Roman"/>
                <w:b/>
                <w:i/>
                <w:strike w:val="0"/>
                <w:color w:val="000000"/>
                <w:sz w:val="24"/>
                <w:highlight w:val="none"/>
                <w:u w:val="none" w:color="auto"/>
              </w:rPr>
              <w:t xml:space="preserve">  és arcképmások  </w:t>
            </w:r>
            <w:r>
              <w:t>továbbítása a számítógépes ujjnyomat-</w:t>
            </w:r>
            <w:r>
              <w:rPr>
                <w:rFonts w:ascii="Times New Roman" w:eastAsia="Times New Roman" w:hAnsi="Times New Roman" w:cs="Times New Roman"/>
                <w:b/>
                <w:i/>
                <w:strike w:val="0"/>
                <w:color w:val="000000"/>
                <w:sz w:val="24"/>
                <w:highlight w:val="none"/>
                <w:u w:val="none" w:color="auto"/>
              </w:rPr>
              <w:t xml:space="preserve">  </w:t>
            </w:r>
            <w:r>
              <w:t>és arcképfelismerő</w:t>
            </w:r>
            <w:r>
              <w:rPr>
                <w:rFonts w:ascii="Times New Roman" w:eastAsia="Times New Roman" w:hAnsi="Times New Roman" w:cs="Times New Roman"/>
                <w:b/>
                <w:i/>
                <w:strike w:val="0"/>
                <w:color w:val="000000"/>
                <w:sz w:val="24"/>
                <w:highlight w:val="none"/>
                <w:u w:val="none" w:color="auto"/>
              </w:rPr>
              <w:t xml:space="preserve">  </w:t>
            </w:r>
            <w:r>
              <w:t>rendszer általi összehasonlítás céljára megfelelő minőségben történjen. Az Eurodachoz hozzáféréssel rendelkező valamennyi hatóságnak gondoskodnia kell a megfelelő képzésről és a szükséges műszaki felszerelésekről. Az Eurodachoz hozzáféréssel rendelkező hatóságoknak tájékoztatniuk kell a szabadságon, a biztonságon és a jog érvényesülésén alapuló térség nagyméretű IT-rendszereinek üzemeltetési igazgatását végző, az 1077/2011/EU európai parlamenti és tanácsi rendelet</w:t>
            </w:r>
            <w:r>
              <w:rPr>
                <w:rStyle w:val="Sup"/>
              </w:rPr>
              <w:t>33</w:t>
            </w:r>
            <w:r>
              <w:t xml:space="preserve"> által létrehozott európai ügynökséget (a továbbiakban:</w:t>
            </w:r>
            <w:r>
              <w:rPr>
                <w:rFonts w:ascii="Times New Roman" w:eastAsia="Times New Roman" w:hAnsi="Times New Roman" w:cs="Times New Roman"/>
                <w:b/>
                <w:i/>
                <w:strike w:val="0"/>
                <w:color w:val="000000"/>
                <w:sz w:val="24"/>
                <w:highlight w:val="none"/>
                <w:u w:val="none" w:color="auto"/>
              </w:rPr>
              <w:t xml:space="preserve">  </w:t>
            </w:r>
            <w:r>
              <w:t>eu-LISA ) az adatok minőségével kapcsolatban tapasztalt egyedi nehézségekről, azok megoldása érdekében.</w:t>
            </w:r>
          </w:p>
        </w:tc>
        <w:tc>
          <w:tcPr/>
          <w:p>
            <w:pPr>
              <w:pStyle w:val="Normal6"/>
            </w:pPr>
            <w:r>
              <w:t>(28)</w:t>
            </w:r>
            <w:r>
              <w:tab/>
            </w:r>
            <w:r>
              <w:t>A tagállamok biztosítják, hogy az ujjnyomatadatok</w:t>
            </w:r>
            <w:r>
              <w:rPr>
                <w:rFonts w:ascii="Times New Roman" w:eastAsia="Times New Roman" w:hAnsi="Times New Roman" w:cs="Times New Roman"/>
                <w:b/>
                <w:i/>
                <w:strike w:val="0"/>
                <w:color w:val="000000"/>
                <w:sz w:val="24"/>
                <w:highlight w:val="none"/>
                <w:u w:val="none" w:color="auto"/>
              </w:rPr>
              <w:t xml:space="preserve"> és arcképmás-adatok vagy mindkettő </w:t>
            </w:r>
            <w:r>
              <w:t>továbbítása a számítógépes ujjnyomat-</w:t>
            </w:r>
            <w:r>
              <w:rPr>
                <w:rFonts w:ascii="Times New Roman" w:eastAsia="Times New Roman" w:hAnsi="Times New Roman" w:cs="Times New Roman"/>
                <w:b/>
                <w:i/>
                <w:strike w:val="0"/>
                <w:color w:val="000000"/>
                <w:sz w:val="24"/>
                <w:highlight w:val="none"/>
                <w:u w:val="none" w:color="auto"/>
              </w:rPr>
              <w:t xml:space="preserve"> </w:t>
            </w:r>
            <w:r>
              <w:t>és arcképfelismerő</w:t>
            </w:r>
            <w:r>
              <w:rPr>
                <w:rFonts w:ascii="Times New Roman" w:eastAsia="Times New Roman" w:hAnsi="Times New Roman" w:cs="Times New Roman"/>
                <w:b/>
                <w:i/>
                <w:strike w:val="0"/>
                <w:color w:val="000000"/>
                <w:sz w:val="24"/>
                <w:highlight w:val="none"/>
                <w:u w:val="none" w:color="auto"/>
              </w:rPr>
              <w:t xml:space="preserve"> </w:t>
            </w:r>
            <w:r>
              <w:t>rendszer általi összehasonlítás céljára megfelelő minőségben történjen. Az Eurodachoz hozzáféréssel rendelkező valamennyi hatóságnak gondoskodnia kell a megfelelő képzésről és a szükséges műszaki felszerelésekről. Az Eurodachoz hozzáféréssel rendelkező hatóságoknak tájékoztatniuk kell a szabadságon, a biztonságon és a jog érvényesülésén alapuló térség nagyméretű IT-rendszereinek üzemeltetési igazgatását végző, az 1077/2011/EU európai parlamenti és tanácsi rendelet</w:t>
            </w:r>
            <w:r>
              <w:rPr>
                <w:rStyle w:val="Sup"/>
              </w:rPr>
              <w:t>33</w:t>
            </w:r>
            <w:r>
              <w:t xml:space="preserve"> által létrehozott európai ügynökséget (a továbbiakban:</w:t>
            </w:r>
            <w:r>
              <w:rPr>
                <w:rFonts w:ascii="Times New Roman" w:eastAsia="Times New Roman" w:hAnsi="Times New Roman" w:cs="Times New Roman"/>
                <w:b/>
                <w:i/>
                <w:strike w:val="0"/>
                <w:color w:val="000000"/>
                <w:sz w:val="24"/>
                <w:highlight w:val="none"/>
                <w:u w:val="none" w:color="auto"/>
              </w:rPr>
              <w:t xml:space="preserve"> </w:t>
            </w:r>
            <w:r>
              <w:t>eu-LISA ) az adatok minőségével kapcsolatban tapasztalt egyedi nehézségekről, azok megoldása érdekében.</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
              </w:rPr>
              <w:t>33</w:t>
            </w:r>
            <w:r>
              <w:t xml:space="preserve"> </w:t>
            </w:r>
            <w:r>
              <w:t>Az Európai Parlament és a Tanács 1077/2011/EU rendelete a szabadságon, a biztonságon és a jog érvényesülésén alapuló térség nagyméretű IT-rendszereinek üzemeltetési igazgatását végző európai ügynökség létrehozásáról (HL L 286., 2011.11.1., 1. o.).</w:t>
            </w:r>
          </w:p>
        </w:tc>
        <w:tc>
          <w:tcPr/>
          <w:p>
            <w:pPr>
              <w:pStyle w:val="Normal6"/>
            </w:pPr>
            <w:r>
              <w:rPr>
                <w:rStyle w:val="Sup"/>
              </w:rPr>
              <w:t>33</w:t>
            </w:r>
            <w:r>
              <w:t xml:space="preserve"> </w:t>
            </w:r>
            <w:r>
              <w:t>Az Európai Parlament és a Tanács 1077/2011/EU rendelete a szabadságon, a biztonságon és a jog érvényesülésén alapuló térség nagyméretű IT-rendszereinek üzemeltetési igazgatását végző európai ügynökség létrehozásáról (HL L 286., 2011.11.1., 1. 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115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Nadine Morano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28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(28)</w:t>
            </w:r>
            <w:r>
              <w:tab/>
            </w:r>
            <w:r>
              <w:t>A tagállamok biztosítják, hogy az ujjnyomatadatok</w:t>
            </w:r>
            <w:r>
              <w:rPr>
                <w:rFonts w:ascii="Times New Roman" w:eastAsia="Times New Roman" w:hAnsi="Times New Roman" w:cs="Times New Roman"/>
                <w:b/>
                <w:i/>
                <w:strike w:val="0"/>
                <w:color w:val="000000"/>
                <w:sz w:val="24"/>
                <w:highlight w:val="none"/>
                <w:u w:val="none" w:color="auto"/>
              </w:rPr>
              <w:t xml:space="preserve">  </w:t>
            </w:r>
            <w:r>
              <w:t>és arcképmások</w:t>
            </w:r>
            <w:r>
              <w:rPr>
                <w:rFonts w:ascii="Times New Roman" w:eastAsia="Times New Roman" w:hAnsi="Times New Roman" w:cs="Times New Roman"/>
                <w:b/>
                <w:i/>
                <w:strike w:val="0"/>
                <w:color w:val="000000"/>
                <w:sz w:val="24"/>
                <w:highlight w:val="none"/>
                <w:u w:val="none" w:color="auto"/>
              </w:rPr>
              <w:t xml:space="preserve">  </w:t>
            </w:r>
            <w:r>
              <w:t>továbbítása a számítógépes ujjnyomat-</w:t>
            </w:r>
            <w:r>
              <w:rPr>
                <w:rFonts w:ascii="Times New Roman" w:eastAsia="Times New Roman" w:hAnsi="Times New Roman" w:cs="Times New Roman"/>
                <w:b/>
                <w:i/>
                <w:strike w:val="0"/>
                <w:color w:val="000000"/>
                <w:sz w:val="24"/>
                <w:highlight w:val="none"/>
                <w:u w:val="none" w:color="auto"/>
              </w:rPr>
              <w:t xml:space="preserve">  </w:t>
            </w:r>
            <w:r>
              <w:t>és arcképfelismerő</w:t>
            </w:r>
            <w:r>
              <w:rPr>
                <w:rFonts w:ascii="Times New Roman" w:eastAsia="Times New Roman" w:hAnsi="Times New Roman" w:cs="Times New Roman"/>
                <w:b/>
                <w:i/>
                <w:strike w:val="0"/>
                <w:color w:val="000000"/>
                <w:sz w:val="24"/>
                <w:highlight w:val="none"/>
                <w:u w:val="none" w:color="auto"/>
              </w:rPr>
              <w:t xml:space="preserve">  </w:t>
            </w:r>
            <w:r>
              <w:t>rendszer általi összehasonlítás céljára megfelelő minőségben történjen. Az Eurodachoz hozzáféréssel rendelkező valamennyi hatóságnak gondoskodnia kell a megfelelő képzésről és a szükséges műszaki felszerelésekről. Az Eurodachoz hozzáféréssel rendelkező hatóságoknak tájékoztatniuk kell a szabadságon, a biztonságon és a jog érvényesülésén alapuló térség nagyméretű IT-rendszereinek üzemeltetési igazgatását végző, az 1077/2011/EU európai parlamenti és tanácsi rendelet</w:t>
            </w:r>
            <w:r>
              <w:rPr>
                <w:rStyle w:val="Sup"/>
              </w:rPr>
              <w:t>33</w:t>
            </w:r>
            <w:r>
              <w:t xml:space="preserve"> által létrehozott európai ügynökséget (a továbbiakban:</w:t>
            </w:r>
            <w:r>
              <w:rPr>
                <w:rFonts w:ascii="Times New Roman" w:eastAsia="Times New Roman" w:hAnsi="Times New Roman" w:cs="Times New Roman"/>
                <w:b/>
                <w:i/>
                <w:strike w:val="0"/>
                <w:color w:val="000000"/>
                <w:sz w:val="24"/>
                <w:highlight w:val="none"/>
                <w:u w:val="none" w:color="auto"/>
              </w:rPr>
              <w:t xml:space="preserve">  </w:t>
            </w:r>
            <w:r>
              <w:t>eu-LISA ) az adatok minőségével kapcsolatban tapasztalt egyedi nehézségekről, azok megoldása érdekében.</w:t>
            </w:r>
          </w:p>
        </w:tc>
        <w:tc>
          <w:tcPr/>
          <w:p>
            <w:pPr>
              <w:pStyle w:val="Normal6"/>
            </w:pPr>
            <w:r>
              <w:t>(28)</w:t>
            </w:r>
            <w:r>
              <w:tab/>
            </w:r>
            <w:r>
              <w:t>A tagállamok biztosítják, hogy az ujjnyomatadatok</w:t>
            </w:r>
            <w:r>
              <w:rPr>
                <w:rFonts w:ascii="Times New Roman" w:eastAsia="Times New Roman" w:hAnsi="Times New Roman" w:cs="Times New Roman"/>
                <w:b/>
                <w:i/>
                <w:strike w:val="0"/>
                <w:color w:val="000000"/>
                <w:sz w:val="24"/>
                <w:highlight w:val="none"/>
                <w:u w:val="none" w:color="auto"/>
              </w:rPr>
              <w:t xml:space="preserve"> </w:t>
            </w:r>
            <w:r>
              <w:t>és arcképmások</w:t>
            </w:r>
            <w:r>
              <w:rPr>
                <w:rFonts w:ascii="Times New Roman" w:eastAsia="Times New Roman" w:hAnsi="Times New Roman" w:cs="Times New Roman"/>
                <w:b/>
                <w:i/>
                <w:strike w:val="0"/>
                <w:color w:val="000000"/>
                <w:sz w:val="24"/>
                <w:highlight w:val="none"/>
                <w:u w:val="none" w:color="auto"/>
              </w:rPr>
              <w:t xml:space="preserve"> </w:t>
            </w:r>
            <w:r>
              <w:t>továbbítása a számítógépes ujjnyomat-</w:t>
            </w:r>
            <w:r>
              <w:rPr>
                <w:rFonts w:ascii="Times New Roman" w:eastAsia="Times New Roman" w:hAnsi="Times New Roman" w:cs="Times New Roman"/>
                <w:b/>
                <w:i/>
                <w:strike w:val="0"/>
                <w:color w:val="000000"/>
                <w:sz w:val="24"/>
                <w:highlight w:val="none"/>
                <w:u w:val="none" w:color="auto"/>
              </w:rPr>
              <w:t xml:space="preserve"> </w:t>
            </w:r>
            <w:r>
              <w:t>és arcképfelismerő</w:t>
            </w:r>
            <w:r>
              <w:rPr>
                <w:rFonts w:ascii="Times New Roman" w:eastAsia="Times New Roman" w:hAnsi="Times New Roman" w:cs="Times New Roman"/>
                <w:b/>
                <w:i/>
                <w:strike w:val="0"/>
                <w:color w:val="000000"/>
                <w:sz w:val="24"/>
                <w:highlight w:val="none"/>
                <w:u w:val="none" w:color="auto"/>
              </w:rPr>
              <w:t xml:space="preserve"> </w:t>
            </w:r>
            <w:r>
              <w:t>rendszer általi összehasonlítás céljára megfelelő minőségben történjen. Az Eurodachoz hozzáféréssel rendelkező valamennyi hatóságnak gondoskodnia kell a megfelelő képzésről és a szükséges műszaki felszerelésekről. Az Eurodachoz hozzáféréssel rendelkező hatóságoknak tájékoztatniuk kell a szabadságon, a biztonságon és a jog érvényesülésén alapuló térség nagyméretű IT-rendszereinek üzemeltetési igazgatását végző, az 1077/2011/EU európai parlamenti és tanácsi rendelet</w:t>
            </w:r>
            <w:r>
              <w:rPr>
                <w:rStyle w:val="Sup"/>
              </w:rPr>
              <w:t>33</w:t>
            </w:r>
            <w:r>
              <w:t xml:space="preserve"> által létrehozott európai ügynökséget (a továbbiakban:</w:t>
            </w:r>
            <w:r>
              <w:rPr>
                <w:rFonts w:ascii="Times New Roman" w:eastAsia="Times New Roman" w:hAnsi="Times New Roman" w:cs="Times New Roman"/>
                <w:b/>
                <w:i/>
                <w:strike w:val="0"/>
                <w:color w:val="000000"/>
                <w:sz w:val="24"/>
                <w:highlight w:val="none"/>
                <w:u w:val="none" w:color="auto"/>
              </w:rPr>
              <w:t xml:space="preserve"> </w:t>
            </w:r>
            <w:r>
              <w:t>eu-LISA ) az adatok minőségével kapcsolatban tapasztalt egyedi nehézségekről, azok megoldása</w:t>
            </w:r>
            <w:r>
              <w:rPr>
                <w:rFonts w:ascii="Times New Roman" w:eastAsia="Times New Roman" w:hAnsi="Times New Roman" w:cs="Times New Roman"/>
                <w:b/>
                <w:i/>
                <w:strike w:val="0"/>
                <w:color w:val="000000"/>
                <w:sz w:val="24"/>
                <w:highlight w:val="none"/>
                <w:u w:val="none" w:color="auto"/>
              </w:rPr>
              <w:t xml:space="preserve"> és közös normák létrehozása</w:t>
            </w:r>
            <w:r>
              <w:t xml:space="preserve"> érdekében.</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
              </w:rPr>
              <w:t>33</w:t>
            </w:r>
            <w:r>
              <w:t xml:space="preserve"> </w:t>
            </w:r>
            <w:r>
              <w:t>Az Európai Parlament és a Tanács 1077/2011/EU rendelete a szabadságon, a biztonságon és a jog érvényesülésén alapuló térség nagyméretű IT-rendszereinek üzemeltetési igazgatását végző európai ügynökség létrehozásáról (HL L 286., 2011.11.1., 1. o.).</w:t>
            </w:r>
          </w:p>
        </w:tc>
        <w:tc>
          <w:tcPr/>
          <w:p>
            <w:pPr>
              <w:pStyle w:val="Normal6"/>
            </w:pPr>
            <w:r>
              <w:rPr>
                <w:rStyle w:val="Sup"/>
              </w:rPr>
              <w:t>33</w:t>
            </w:r>
            <w:r>
              <w:t xml:space="preserve"> </w:t>
            </w:r>
            <w:r>
              <w:t>Az Európai Parlament és a Tanács 1077/2011/EU rendelete a szabadságon, a biztonságon és a jog érvényesülésén alapuló térség nagyméretű IT-rendszereinek üzemeltetési igazgatását végző európai ügynökség létrehozásáról (HL L 286., 2011.11.1., 1. 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 hatékonyság érdekében harmonizálni kell az adatok tagállamok általi létrehozását és továbbítását. A visszajelzések alapján az eu-LISA közös normákat dolgozhatna ki és terjeszthetne.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116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29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(29)</w:t>
            </w:r>
            <w:r>
              <w:tab/>
            </w:r>
            <w:r>
              <w:t>Az ujjnyomatadatok vételének</w:t>
            </w:r>
            <w:r>
              <w:rPr>
                <w:rFonts w:ascii="Times New Roman" w:eastAsia="Times New Roman" w:hAnsi="Times New Roman" w:cs="Times New Roman"/>
                <w:b/>
                <w:i/>
                <w:strike w:val="0"/>
                <w:color w:val="000000"/>
                <w:sz w:val="24"/>
                <w:highlight w:val="none"/>
                <w:u w:val="none" w:color="auto"/>
              </w:rPr>
              <w:t xml:space="preserve">  és arcképmások  </w:t>
            </w:r>
            <w:r>
              <w:t>készítésének és/vagy továbbításának bármely ideiglenes vagy tartós kivitelezhetetlensége – olyan okokból kifolyólag, mint az adatok megfelelő összehasonlításhoz elégtelen minősége, műszaki problémák, az egészség védelméhez kapcsolódó okok, vagy mert az érintett rajta kívül álló ok miatt alkalmatlan vagy nem képes arra, hogy tőle ujjnyomatot vegyenek</w:t>
            </w:r>
            <w:r>
              <w:rPr>
                <w:rFonts w:ascii="Times New Roman" w:eastAsia="Times New Roman" w:hAnsi="Times New Roman" w:cs="Times New Roman"/>
                <w:b/>
                <w:i/>
                <w:strike w:val="0"/>
                <w:color w:val="000000"/>
                <w:sz w:val="24"/>
                <w:highlight w:val="none"/>
                <w:u w:val="none" w:color="auto"/>
              </w:rPr>
              <w:t xml:space="preserve">  </w:t>
            </w:r>
            <w:r>
              <w:t>és róla arcképmást</w:t>
            </w:r>
            <w:r>
              <w:rPr>
                <w:rFonts w:ascii="Times New Roman" w:eastAsia="Times New Roman" w:hAnsi="Times New Roman" w:cs="Times New Roman"/>
                <w:b/>
                <w:i/>
                <w:strike w:val="0"/>
                <w:color w:val="000000"/>
                <w:sz w:val="24"/>
                <w:highlight w:val="none"/>
                <w:u w:val="none" w:color="auto"/>
              </w:rPr>
              <w:t xml:space="preserve">  </w:t>
            </w:r>
            <w:r>
              <w:t>készítsenek – nem érintheti hátrányosan az e személy által benyújtott nemzetközi védelem iránti kérelem megvizsgálását vagy az erről szóló határozatot.</w:t>
            </w:r>
          </w:p>
        </w:tc>
        <w:tc>
          <w:tcPr/>
          <w:p>
            <w:pPr>
              <w:pStyle w:val="Normal6"/>
            </w:pPr>
            <w:r>
              <w:t>(29)</w:t>
            </w:r>
            <w:r>
              <w:tab/>
            </w:r>
            <w:r>
              <w:t>Az ujjnyomatadatok vételének</w:t>
            </w:r>
            <w:r>
              <w:rPr>
                <w:rFonts w:ascii="Times New Roman" w:eastAsia="Times New Roman" w:hAnsi="Times New Roman" w:cs="Times New Roman"/>
                <w:b/>
                <w:i/>
                <w:strike w:val="0"/>
                <w:color w:val="000000"/>
                <w:sz w:val="24"/>
                <w:highlight w:val="none"/>
                <w:u w:val="none" w:color="auto"/>
              </w:rPr>
              <w:t xml:space="preserve"> és arcképmás-adatok vagy mindkettő </w:t>
            </w:r>
            <w:r>
              <w:t>készítésének és/vagy továbbításának bármely ideiglenes vagy tartós kivitelezhetetlensége – olyan okokból kifolyólag, mint az adatok megfelelő összehasonlításhoz elégtelen minősége, műszaki problémák, az egészség védelméhez kapcsolódó okok, vagy mert az érintett rajta kívül álló ok miatt alkalmatlan vagy nem képes arra, hogy tőle ujjnyomatot vegyenek</w:t>
            </w:r>
            <w:r>
              <w:rPr>
                <w:rFonts w:ascii="Times New Roman" w:eastAsia="Times New Roman" w:hAnsi="Times New Roman" w:cs="Times New Roman"/>
                <w:b/>
                <w:i/>
                <w:strike w:val="0"/>
                <w:color w:val="000000"/>
                <w:sz w:val="24"/>
                <w:highlight w:val="none"/>
                <w:u w:val="none" w:color="auto"/>
              </w:rPr>
              <w:t xml:space="preserve"> </w:t>
            </w:r>
            <w:r>
              <w:t>és róla arcképmást</w:t>
            </w:r>
            <w:r>
              <w:rPr>
                <w:rFonts w:ascii="Times New Roman" w:eastAsia="Times New Roman" w:hAnsi="Times New Roman" w:cs="Times New Roman"/>
                <w:b/>
                <w:i/>
                <w:strike w:val="0"/>
                <w:color w:val="000000"/>
                <w:sz w:val="24"/>
                <w:highlight w:val="none"/>
                <w:u w:val="none" w:color="auto"/>
              </w:rPr>
              <w:t xml:space="preserve"> </w:t>
            </w:r>
            <w:r>
              <w:t>készítsenek – nem érintheti hátrányosan az e személy által benyújtott nemzetközi védelem iránti kérelem megvizsgálását vagy az erről szóló határozatot.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117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Sophia in 't Veld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30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(30)</w:t>
            </w:r>
            <w:r>
              <w:tab/>
            </w:r>
            <w:r>
              <w:t xml:space="preserve">A tagállamoknak </w:t>
            </w:r>
            <w:r>
              <w:rPr>
                <w:rFonts w:ascii="Times New Roman" w:eastAsia="Times New Roman" w:hAnsi="Times New Roman" w:cs="Times New Roman"/>
                <w:b/>
                <w:i/>
                <w:strike w:val="0"/>
                <w:color w:val="000000"/>
                <w:sz w:val="24"/>
                <w:highlight w:val="none"/>
                <w:u w:val="none" w:color="auto"/>
              </w:rPr>
              <w:t>figyelembe kell venniük az Eurodac-rendeletnek az ujjnyomatvételi kötelezettség tekintetében való végrehajtásáról szóló, a Tanács által 2015. július 20-án elfogadott bizottsági szolgálati munkadokumentumot</w:t>
            </w:r>
            <w:r>
              <w:rPr>
                <w:rStyle w:val="SupBoldItalic"/>
              </w:rPr>
              <w:t>34</w:t>
            </w:r>
            <w:r>
              <w:rPr>
                <w:rFonts w:ascii="Times New Roman" w:eastAsia="Times New Roman" w:hAnsi="Times New Roman" w:cs="Times New Roman"/>
                <w:b/>
                <w:i/>
                <w:strike w:val="0"/>
                <w:color w:val="000000"/>
                <w:sz w:val="24"/>
                <w:highlight w:val="none"/>
                <w:u w:val="none" w:color="auto"/>
              </w:rPr>
              <w:t xml:space="preserve"> , amely bevett gyakorlatot képező megközelítést határoz meg a szabálytalan harmadik országbeli állampolgároktól való ujjnyomatvételre vonatkozóan</w:t>
            </w:r>
            <w:r>
              <w:t xml:space="preserve">. Amennyiben egy tagállam nemzeti joga végső esetben lehetővé teszi </w:t>
            </w:r>
            <w:r>
              <w:rPr>
                <w:rFonts w:ascii="Times New Roman" w:eastAsia="Times New Roman" w:hAnsi="Times New Roman" w:cs="Times New Roman"/>
                <w:b/>
                <w:i/>
                <w:strike w:val="0"/>
                <w:color w:val="000000"/>
                <w:sz w:val="24"/>
                <w:highlight w:val="none"/>
                <w:u w:val="none" w:color="auto"/>
              </w:rPr>
              <w:t>az erőszak vagy</w:t>
            </w:r>
            <w:r>
              <w:t xml:space="preserve"> kényszer alkalmazásával történő ujjnyomatvételt, ezen intézkedéseknek teljes mértékben tiszteletben kell tartaniuk az EU Alapjogi Chartáját. A kiszolgáltatott helyzetűnek ítélt harmadik országbeli állampolgárok és a kiskorúak nem kényszeríthetők ujjnyomatvételre vagy arcképmás készítésére</w:t>
            </w:r>
            <w:r>
              <w:rPr>
                <w:rFonts w:ascii="Times New Roman" w:eastAsia="Times New Roman" w:hAnsi="Times New Roman" w:cs="Times New Roman"/>
                <w:b/>
                <w:i/>
                <w:strike w:val="0"/>
                <w:color w:val="000000"/>
                <w:sz w:val="24"/>
                <w:highlight w:val="none"/>
                <w:u w:val="none" w:color="auto"/>
              </w:rPr>
              <w:t>, kivéve a nemzeti jog alapján megengedett, kellően indokolt esetekben</w:t>
            </w:r>
            <w:r>
              <w:t>.</w:t>
            </w:r>
          </w:p>
        </w:tc>
        <w:tc>
          <w:tcPr/>
          <w:p>
            <w:pPr>
              <w:pStyle w:val="Normal6"/>
            </w:pPr>
            <w:r>
              <w:t>(30)</w:t>
            </w:r>
            <w:r>
              <w:tab/>
            </w:r>
            <w:r>
              <w:t xml:space="preserve">A tagállamoknak </w:t>
            </w:r>
            <w:r>
              <w:rPr>
                <w:rFonts w:ascii="Times New Roman" w:eastAsia="Times New Roman" w:hAnsi="Times New Roman" w:cs="Times New Roman"/>
                <w:b/>
                <w:i/>
                <w:strike w:val="0"/>
                <w:color w:val="000000"/>
                <w:sz w:val="24"/>
                <w:highlight w:val="none"/>
                <w:u w:val="none" w:color="auto"/>
              </w:rPr>
              <w:t>alkalmazniuk kell az iránymutatásokat, hogy az Európai Unió Menekültügyi Ügynökségével és az Európai Unió Alapjogi Ügynökségével (FRA) közösen kialakítsák és ellenőrizzék az irreguláris harmadik országbeli állampolgárok ujjnyomatvételének és arcképmásrögzítésének közös gyakorlatát az Európai Unió Alapjogi Chartájának megfelelően és a FRA 2015-ös ellenőrzőlistájára</w:t>
            </w:r>
            <w:r>
              <w:rPr>
                <w:rStyle w:val="SupBoldItalic"/>
              </w:rPr>
              <w:t>1a</w:t>
            </w:r>
            <w:r>
              <w:rPr>
                <w:rFonts w:ascii="Times New Roman" w:eastAsia="Times New Roman" w:hAnsi="Times New Roman" w:cs="Times New Roman"/>
                <w:b/>
                <w:i/>
                <w:strike w:val="0"/>
                <w:color w:val="000000"/>
                <w:sz w:val="24"/>
                <w:highlight w:val="none"/>
                <w:u w:val="none" w:color="auto"/>
              </w:rPr>
              <w:t xml:space="preserve"> építve</w:t>
            </w:r>
            <w:r>
              <w:t xml:space="preserve">. Amennyiben egy tagállam nemzeti joga végső esetben lehetővé teszi </w:t>
            </w:r>
            <w:r>
              <w:rPr>
                <w:rFonts w:ascii="Times New Roman" w:eastAsia="Times New Roman" w:hAnsi="Times New Roman" w:cs="Times New Roman"/>
                <w:b/>
                <w:i/>
                <w:strike w:val="0"/>
                <w:color w:val="000000"/>
                <w:sz w:val="24"/>
                <w:highlight w:val="none"/>
                <w:u w:val="none" w:color="auto"/>
              </w:rPr>
              <w:t>a</w:t>
            </w:r>
            <w:r>
              <w:t xml:space="preserve"> kényszer alkalmazásával történő ujjnyomatvételt, ezen intézkedéseknek teljes mértékben tiszteletben kell tartaniuk az EU Alapjogi Chartáját. A kiszolgáltatott helyzetűnek ítélt harmadik országbeli állampolgárok és a kiskorúak nem kényszeríthetők ujjnyomatvételre vagy arcképmás készítésére.</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Style w:val="SupBoldItalic"/>
              </w:rPr>
              <w:t>1a</w:t>
            </w:r>
            <w:r>
              <w:t xml:space="preserve"> </w:t>
            </w:r>
            <w:r>
              <w:rPr>
                <w:rFonts w:ascii="Times New Roman" w:eastAsia="Times New Roman" w:hAnsi="Times New Roman" w:cs="Times New Roman"/>
                <w:b/>
                <w:i/>
                <w:strike w:val="0"/>
                <w:color w:val="000000"/>
                <w:sz w:val="24"/>
                <w:highlight w:val="none"/>
                <w:u w:val="none" w:color="auto"/>
              </w:rPr>
              <w:t>A FRA ellenőrzőlistája az alapvető jogok betartásával történő eljáráshoz az Eurodac céljaira történő ujjnyomatvétel során, 2015http://fra.europa</w:t>
            </w:r>
            <w:r>
              <w:t>.</w:t>
            </w:r>
            <w:r>
              <w:rPr>
                <w:rFonts w:ascii="Times New Roman" w:eastAsia="Times New Roman" w:hAnsi="Times New Roman" w:cs="Times New Roman"/>
                <w:b/>
                <w:i/>
                <w:strike w:val="0"/>
                <w:color w:val="000000"/>
                <w:sz w:val="24"/>
                <w:highlight w:val="none"/>
                <w:u w:val="none" w:color="auto"/>
              </w:rPr>
              <w:t>eu/en/publication/2015/fundamental-rights-implications-obligation-provide-fingerprints-eurodac#checklist</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BoldItalic"/>
              </w:rPr>
              <w:t>34</w:t>
            </w:r>
            <w:r>
              <w:t xml:space="preserve"> </w:t>
            </w:r>
            <w:r>
              <w:rPr>
                <w:rFonts w:ascii="Times New Roman" w:eastAsia="Times New Roman" w:hAnsi="Times New Roman" w:cs="Times New Roman"/>
                <w:b/>
                <w:i/>
                <w:strike w:val="0"/>
                <w:color w:val="000000"/>
                <w:sz w:val="24"/>
                <w:highlight w:val="none"/>
                <w:u w:val="none" w:color="auto"/>
              </w:rPr>
              <w:t>COM(2015) 150 final, 2015.5.27</w:t>
            </w:r>
            <w:r>
              <w:t>.</w:t>
            </w:r>
          </w:p>
        </w:tc>
        <w:tc>
          <w:tcPr/>
          <w:p>
            <w:pPr>
              <w:pStyle w:val="Normal6"/>
            </w:pP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118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30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(30)</w:t>
            </w:r>
            <w:r>
              <w:tab/>
            </w:r>
            <w:r>
              <w:t>A tagállamoknak figyelembe kell venniük az Eurodac-rendeletnek az ujjnyomatvételi kötelezettség tekintetében való végrehajtásáról szóló, a Tanács által 2015. július 20-án elfogadott bizottsági szolgálati munkadokumentumot</w:t>
            </w:r>
            <w:r>
              <w:rPr>
                <w:rStyle w:val="Sup"/>
              </w:rPr>
              <w:t>34</w:t>
            </w:r>
            <w:r>
              <w:rPr>
                <w:rFonts w:ascii="Times New Roman" w:eastAsia="Times New Roman" w:hAnsi="Times New Roman" w:cs="Times New Roman"/>
                <w:b/>
                <w:i/>
                <w:strike w:val="0"/>
                <w:color w:val="000000"/>
                <w:sz w:val="24"/>
                <w:highlight w:val="none"/>
                <w:u w:val="none" w:color="auto"/>
              </w:rPr>
              <w:t xml:space="preserve"> </w:t>
            </w:r>
            <w:r>
              <w:t xml:space="preserve">, amely bevett gyakorlatot képező megközelítést határoz meg a szabálytalan harmadik országbeli állampolgároktól való ujjnyomatvételre vonatkozóan. Amennyiben egy tagállam nemzeti joga végső esetben lehetővé teszi az erőszak vagy kényszer alkalmazásával történő ujjnyomatvételt, ezen intézkedéseknek teljes mértékben tiszteletben kell tartaniuk az EU Alapjogi Chartáját. A </w:t>
            </w:r>
            <w:r>
              <w:rPr>
                <w:rFonts w:ascii="Times New Roman" w:eastAsia="Times New Roman" w:hAnsi="Times New Roman" w:cs="Times New Roman"/>
                <w:b/>
                <w:i/>
                <w:strike w:val="0"/>
                <w:color w:val="000000"/>
                <w:sz w:val="24"/>
                <w:highlight w:val="none"/>
                <w:u w:val="none" w:color="auto"/>
              </w:rPr>
              <w:t xml:space="preserve">kiszolgáltatott helyzetűnek ítélt </w:t>
            </w:r>
            <w:r>
              <w:t>harmadik országbeli állampolgárok és a kiskorúak nem kényszeríthetők ujjnyomatvételre vagy arcképmás készítésére</w:t>
            </w:r>
            <w:r>
              <w:rPr>
                <w:rFonts w:ascii="Times New Roman" w:eastAsia="Times New Roman" w:hAnsi="Times New Roman" w:cs="Times New Roman"/>
                <w:b/>
                <w:i/>
                <w:strike w:val="0"/>
                <w:color w:val="000000"/>
                <w:sz w:val="24"/>
                <w:highlight w:val="none"/>
                <w:u w:val="none" w:color="auto"/>
              </w:rPr>
              <w:t>, kivéve a nemzeti jog alapján megengedett, kellően indokolt esetekben</w:t>
            </w:r>
            <w:r>
              <w:t>.</w:t>
            </w:r>
          </w:p>
        </w:tc>
        <w:tc>
          <w:tcPr/>
          <w:p>
            <w:pPr>
              <w:pStyle w:val="Normal6"/>
            </w:pPr>
            <w:r>
              <w:t>(30)</w:t>
            </w:r>
            <w:r>
              <w:tab/>
            </w:r>
            <w:r>
              <w:t>A tagállamoknak figyelembe kell venniük az Eurodac-rendeletnek az ujjnyomatvételi kötelezettség tekintetében való végrehajtásáról szóló, a Tanács által 2015. július 20-án elfogadott bizottsági szolgálati munkadokumentumot</w:t>
            </w:r>
            <w:r>
              <w:rPr>
                <w:rStyle w:val="Sup"/>
              </w:rPr>
              <w:t>34</w:t>
            </w:r>
            <w:r>
              <w:t xml:space="preserve">, amely bevett gyakorlatot képező megközelítést határoz meg a szabálytalan harmadik országbeli állampolgároktól való ujjnyomatvételre vonatkozóan. </w:t>
            </w:r>
            <w:r>
              <w:rPr>
                <w:rFonts w:ascii="Times New Roman" w:eastAsia="Times New Roman" w:hAnsi="Times New Roman" w:cs="Times New Roman"/>
                <w:b/>
                <w:i/>
                <w:strike w:val="0"/>
                <w:color w:val="000000"/>
                <w:sz w:val="24"/>
                <w:highlight w:val="none"/>
                <w:u w:val="none" w:color="auto"/>
              </w:rPr>
              <w:t>A tagállamoknak továbbá figyelembe kell venniük az Európai Unió Alapjogi Ügynöksége által „Az Eurodacnak való ujjnyomatadási kötelezettség alapjogi vonatkozásai” című, 2015. májusi stratégiai dokumentumában</w:t>
            </w:r>
            <w:r>
              <w:rPr>
                <w:rStyle w:val="SupBoldItalic"/>
              </w:rPr>
              <w:t>34a</w:t>
            </w:r>
            <w:r>
              <w:rPr>
                <w:rFonts w:ascii="Times New Roman" w:eastAsia="Times New Roman" w:hAnsi="Times New Roman" w:cs="Times New Roman"/>
                <w:b/>
                <w:i/>
                <w:strike w:val="0"/>
                <w:color w:val="000000"/>
                <w:sz w:val="24"/>
                <w:highlight w:val="none"/>
                <w:u w:val="none" w:color="auto"/>
              </w:rPr>
              <w:t xml:space="preserve"> meghatározott iránymutatásokat. </w:t>
            </w:r>
            <w:r>
              <w:t>Amennyiben egy tagállam nemzeti joga végső esetben lehetővé teszi az erőszak vagy kényszer alkalmazásával történő ujjnyomatvételt, ezen intézkedéseknek teljes mértékben tiszteletben kell tartaniuk az EU Alapjogi Chartáját. A harmadik országbeli állampolgárok és a kiskorúak nem kényszeríthetők ujjnyomatvételre vagy arcképmás készítésére.</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
              </w:rPr>
              <w:t>34</w:t>
            </w:r>
            <w:r>
              <w:t xml:space="preserve"> </w:t>
            </w:r>
            <w:r>
              <w:rPr>
                <w:rFonts w:ascii="Times New Roman" w:eastAsia="Times New Roman" w:hAnsi="Times New Roman" w:cs="Times New Roman"/>
                <w:b/>
                <w:i/>
                <w:strike w:val="0"/>
                <w:color w:val="000000"/>
                <w:sz w:val="24"/>
                <w:highlight w:val="none"/>
                <w:u w:val="none" w:color="auto"/>
              </w:rPr>
              <w:t>COM(2015) 150 final</w:t>
            </w:r>
            <w:r>
              <w:t>, 2015.5.27.</w:t>
            </w:r>
          </w:p>
        </w:tc>
        <w:tc>
          <w:tcPr/>
          <w:p>
            <w:pPr>
              <w:pStyle w:val="Normal6"/>
            </w:pPr>
            <w:r>
              <w:rPr>
                <w:rStyle w:val="Sup"/>
              </w:rPr>
              <w:t>34</w:t>
            </w:r>
            <w:r>
              <w:t xml:space="preserve"> </w:t>
            </w:r>
            <w:r>
              <w:rPr>
                <w:rFonts w:ascii="Times New Roman" w:eastAsia="Times New Roman" w:hAnsi="Times New Roman" w:cs="Times New Roman"/>
                <w:b/>
                <w:i/>
                <w:strike w:val="0"/>
                <w:color w:val="000000"/>
                <w:sz w:val="24"/>
                <w:highlight w:val="none"/>
                <w:u w:val="none" w:color="auto"/>
              </w:rPr>
              <w:t>COM(2015)0150</w:t>
            </w:r>
            <w:r>
              <w:t>, 2015.5.27.</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Style w:val="SupBoldItalic"/>
              </w:rPr>
              <w:t>34a</w:t>
            </w:r>
            <w:r>
              <w:t xml:space="preserve"> </w:t>
            </w:r>
            <w:r>
              <w:rPr>
                <w:rFonts w:ascii="Times New Roman" w:eastAsia="Times New Roman" w:hAnsi="Times New Roman" w:cs="Times New Roman"/>
                <w:b/>
                <w:i/>
                <w:strike w:val="0"/>
                <w:color w:val="000000"/>
                <w:sz w:val="24"/>
                <w:highlight w:val="none"/>
                <w:u w:val="none" w:color="auto"/>
              </w:rPr>
              <w:t>http://fra.europa.eu/sites/default/files/fra_uploads/fra-2015-fingerprinting-focus-paper_en.pdf</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119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Sylvia-Yvonne Kaufmann</w:t>
      </w:r>
      <w:r>
        <w:t xml:space="preserve">, </w:t>
      </w:r>
      <w:r>
        <w:t>Josef Weidenholzer</w:t>
      </w:r>
      <w:r>
        <w:t xml:space="preserve">, </w:t>
      </w:r>
      <w:r>
        <w:t>Vilija Blinkevičiūtė</w:t>
      </w:r>
      <w:r>
        <w:t xml:space="preserve">, </w:t>
      </w:r>
      <w:r>
        <w:t>Péter Niedermüller</w:t>
      </w:r>
      <w:r>
        <w:t xml:space="preserve">, </w:t>
      </w:r>
      <w:r>
        <w:t>Kati Piri</w:t>
      </w:r>
      <w:r>
        <w:t xml:space="preserve">, </w:t>
      </w:r>
      <w:r>
        <w:t>Maria Grapini</w:t>
      </w:r>
      <w:r>
        <w:t xml:space="preserve">, </w:t>
      </w:r>
      <w:r>
        <w:t>Juan Fernando López Aguilar</w:t>
      </w:r>
      <w:r>
        <w:t xml:space="preserve">, </w:t>
      </w:r>
      <w:r>
        <w:t>Caterina Chinnici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30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(30)</w:t>
            </w:r>
            <w:r>
              <w:tab/>
            </w:r>
            <w:r>
              <w:t>A tagállamoknak figyelembe kell venniük az Eurodac-rendeletnek az ujjnyomatvételi kötelezettség tekintetében való végrehajtásáról szóló, a Tanács által 2015. július 20-án elfogadott bizottsági szolgálati munkadokumentumot</w:t>
            </w:r>
            <w:r>
              <w:rPr>
                <w:rStyle w:val="Sup"/>
              </w:rPr>
              <w:t>34</w:t>
            </w:r>
            <w:r>
              <w:rPr>
                <w:rFonts w:ascii="Times New Roman" w:eastAsia="Times New Roman" w:hAnsi="Times New Roman" w:cs="Times New Roman"/>
                <w:b/>
                <w:i/>
                <w:strike w:val="0"/>
                <w:color w:val="000000"/>
                <w:sz w:val="24"/>
                <w:highlight w:val="none"/>
                <w:u w:val="none" w:color="auto"/>
              </w:rPr>
              <w:t xml:space="preserve"> </w:t>
            </w:r>
            <w:r>
              <w:t>, amely bevett gyakorlatot képező megközelítést határoz meg a szabálytalan harmadik országbeli állampolgároktól való ujjnyomatvételre vonatkozóan. Amennyiben egy tagállam nemzeti joga végső esetben lehetővé teszi az erőszak vagy kényszer alkalmazásával történő ujjnyomatvételt, ezen intézkedéseknek teljes mértékben tiszteletben kell tartaniuk az EU Alapjogi Chartáját. A kiszolgáltatott helyzetűnek ítélt harmadik országbeli állampolgárok és a kiskorúak nem kényszeríthetők ujjnyomatvételre vagy arcképmás készítésére</w:t>
            </w:r>
            <w:r>
              <w:rPr>
                <w:rFonts w:ascii="Times New Roman" w:eastAsia="Times New Roman" w:hAnsi="Times New Roman" w:cs="Times New Roman"/>
                <w:b/>
                <w:i/>
                <w:strike w:val="0"/>
                <w:color w:val="000000"/>
                <w:sz w:val="24"/>
                <w:highlight w:val="none"/>
                <w:u w:val="none" w:color="auto"/>
              </w:rPr>
              <w:t>, kivéve a nemzeti jog alapján megengedett, kellően indokolt esetekben</w:t>
            </w:r>
            <w:r>
              <w:t>.</w:t>
            </w:r>
          </w:p>
        </w:tc>
        <w:tc>
          <w:tcPr/>
          <w:p>
            <w:pPr>
              <w:pStyle w:val="Normal6"/>
            </w:pPr>
            <w:r>
              <w:t>(30)</w:t>
            </w:r>
            <w:r>
              <w:tab/>
            </w:r>
            <w:r>
              <w:t>A tagállamoknak figyelembe kell venniük az Eurodac-rendeletnek az ujjnyomatvételi kötelezettség tekintetében való végrehajtásáról szóló, a Tanács által 2015. július 20-án elfogadott bizottsági szolgálati munkadokumentumot</w:t>
            </w:r>
            <w:r>
              <w:rPr>
                <w:rStyle w:val="Sup"/>
              </w:rPr>
              <w:t>34</w:t>
            </w:r>
            <w:r>
              <w:t xml:space="preserve">, amely bevett gyakorlatot képező megközelítést határoz meg a szabálytalan harmadik országbeli állampolgároktól </w:t>
            </w:r>
            <w:r>
              <w:rPr>
                <w:rFonts w:ascii="Times New Roman" w:eastAsia="Times New Roman" w:hAnsi="Times New Roman" w:cs="Times New Roman"/>
                <w:b/>
                <w:i/>
                <w:strike w:val="0"/>
                <w:color w:val="000000"/>
                <w:sz w:val="24"/>
                <w:highlight w:val="none"/>
                <w:u w:val="none" w:color="auto"/>
              </w:rPr>
              <w:t xml:space="preserve">vagy hontalan személyektől </w:t>
            </w:r>
            <w:r>
              <w:t>való ujjnyomatvételre vonatkozóan</w:t>
            </w:r>
            <w:r>
              <w:rPr>
                <w:rFonts w:ascii="Times New Roman" w:eastAsia="Times New Roman" w:hAnsi="Times New Roman" w:cs="Times New Roman"/>
                <w:b/>
                <w:i/>
                <w:strike w:val="0"/>
                <w:color w:val="000000"/>
                <w:sz w:val="24"/>
                <w:highlight w:val="none"/>
                <w:u w:val="none" w:color="auto"/>
              </w:rPr>
              <w:t>, valamint az Európai Unió Alapjogi Ügynökségének (FRA) ellenőrzőlistáját annak érdekében, hogy az alapvető jogok betartásával lépjenek fel az Eurodac céljaira történő ujjnyomatvétel során</w:t>
            </w:r>
            <w:r>
              <w:rPr>
                <w:rStyle w:val="SupBoldItalic"/>
              </w:rPr>
              <w:t>34a</w:t>
            </w:r>
            <w:r>
              <w:t>. Amennyiben egy tagállam nemzeti joga végső esetben lehetővé teszi az erőszak vagy kényszer alkalmazásával történő ujjnyomatvételt, ezen intézkedéseknek teljes mértékben tiszteletben kell tartaniuk az EU Alapjogi Chartáját. A kiszolgáltatott helyzetűnek ítélt harmadik országbeli állampolgárok és a kiskorúak</w:t>
            </w:r>
            <w:r>
              <w:rPr>
                <w:rFonts w:ascii="Times New Roman" w:eastAsia="Times New Roman" w:hAnsi="Times New Roman" w:cs="Times New Roman"/>
                <w:b/>
                <w:i/>
                <w:strike w:val="0"/>
                <w:color w:val="000000"/>
                <w:sz w:val="24"/>
                <w:highlight w:val="none"/>
                <w:u w:val="none" w:color="auto"/>
              </w:rPr>
              <w:t>, valamint a hontalan személyek</w:t>
            </w:r>
            <w:r>
              <w:t xml:space="preserve"> nem kényszeríthetők ujjnyomatvételre vagy arcképmás készítésére.</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
              </w:rPr>
              <w:t>34</w:t>
            </w:r>
            <w:r>
              <w:t xml:space="preserve"> </w:t>
            </w:r>
            <w:r>
              <w:rPr>
                <w:rFonts w:ascii="Times New Roman" w:eastAsia="Times New Roman" w:hAnsi="Times New Roman" w:cs="Times New Roman"/>
                <w:b/>
                <w:i/>
                <w:strike w:val="0"/>
                <w:color w:val="000000"/>
                <w:sz w:val="24"/>
                <w:highlight w:val="none"/>
                <w:u w:val="none" w:color="auto"/>
              </w:rPr>
              <w:t>COM(2015) 150 final, 2015.5.27</w:t>
            </w:r>
            <w:r>
              <w:t>.</w:t>
            </w:r>
          </w:p>
        </w:tc>
        <w:tc>
          <w:tcPr/>
          <w:p>
            <w:pPr>
              <w:pStyle w:val="Normal6"/>
            </w:pPr>
            <w:r>
              <w:rPr>
                <w:rStyle w:val="Sup"/>
              </w:rPr>
              <w:t>34</w:t>
            </w:r>
            <w:r>
              <w:t xml:space="preserve"> </w:t>
            </w:r>
            <w:r>
              <w:rPr>
                <w:rFonts w:ascii="Times New Roman" w:eastAsia="Times New Roman" w:hAnsi="Times New Roman" w:cs="Times New Roman"/>
                <w:b/>
                <w:i/>
                <w:strike w:val="0"/>
                <w:color w:val="000000"/>
                <w:sz w:val="24"/>
                <w:highlight w:val="none"/>
                <w:u w:val="none" w:color="auto"/>
              </w:rPr>
              <w:t>COM(2015)0150, 2015.5.27.</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Style w:val="SupBoldItalic"/>
              </w:rPr>
              <w:t>34a</w:t>
            </w:r>
            <w:r>
              <w:t xml:space="preserve"> </w:t>
            </w:r>
            <w:r>
              <w:rPr>
                <w:rFonts w:ascii="Times New Roman" w:eastAsia="Times New Roman" w:hAnsi="Times New Roman" w:cs="Times New Roman"/>
                <w:b/>
                <w:i/>
                <w:strike w:val="0"/>
                <w:color w:val="000000"/>
                <w:sz w:val="24"/>
                <w:highlight w:val="none"/>
                <w:u w:val="none" w:color="auto"/>
              </w:rPr>
              <w:t>„Az Eurodacnak való ujjnyomatadási kötelezettség alapjogi vonatkozásai”, FRA (2015), 2015.10.22</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120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30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(30)</w:t>
            </w:r>
            <w:r>
              <w:tab/>
            </w:r>
            <w:r>
              <w:t xml:space="preserve">A tagállamoknak figyelembe </w:t>
            </w:r>
            <w:r>
              <w:rPr>
                <w:rFonts w:ascii="Times New Roman" w:eastAsia="Times New Roman" w:hAnsi="Times New Roman" w:cs="Times New Roman"/>
                <w:b/>
                <w:i/>
                <w:strike w:val="0"/>
                <w:color w:val="000000"/>
                <w:sz w:val="24"/>
                <w:highlight w:val="none"/>
                <w:u w:val="none" w:color="auto"/>
              </w:rPr>
              <w:t>kell</w:t>
            </w:r>
            <w:r>
              <w:t xml:space="preserve"> venniük az Eurodac-rendeletnek az ujjnyomatvételi kötelezettség tekintetében való végrehajtásáról szóló, a Tanács által 2015. július 20-án elfogadott bizottsági </w:t>
            </w:r>
            <w:r>
              <w:rPr>
                <w:rFonts w:ascii="Times New Roman" w:eastAsia="Times New Roman" w:hAnsi="Times New Roman" w:cs="Times New Roman"/>
                <w:b/>
                <w:i/>
                <w:strike w:val="0"/>
                <w:color w:val="000000"/>
                <w:sz w:val="24"/>
                <w:highlight w:val="none"/>
                <w:u w:val="none" w:color="auto"/>
              </w:rPr>
              <w:t>szolgálati munkadokumentumot</w:t>
            </w:r>
            <w:r>
              <w:rPr>
                <w:rStyle w:val="SupBoldItalic"/>
              </w:rPr>
              <w:t>34</w:t>
            </w:r>
            <w:r>
              <w:rPr>
                <w:rFonts w:ascii="Times New Roman" w:eastAsia="Times New Roman" w:hAnsi="Times New Roman" w:cs="Times New Roman"/>
                <w:b/>
                <w:i/>
                <w:strike w:val="0"/>
                <w:color w:val="000000"/>
                <w:sz w:val="24"/>
                <w:highlight w:val="none"/>
                <w:u w:val="none" w:color="auto"/>
              </w:rPr>
              <w:t xml:space="preserve"> </w:t>
            </w:r>
            <w:r>
              <w:t>, amely bevett gyakorlatot képező megközelítést határoz meg a szabálytalan harmadik országbeli állampolgároktól való ujjnyomatvételre vonatkozóan. Amennyiben egy tagállam nemzeti joga végső esetben lehetővé teszi az erőszak vagy kényszer alkalmazásával történő ujjnyomatvételt, ezen intézkedéseknek teljes mértékben tiszteletben kell tartaniuk az EU Alapjogi Chartáját. A kiszolgáltatott helyzetűnek ítélt harmadik országbeli állampolgárok és a kiskorúak nem kényszeríthetők ujjnyomatvételre vagy arcképmás készítésére, kivéve a nemzeti jog alapján megengedett, kellően indokolt esetekben.</w:t>
            </w:r>
          </w:p>
        </w:tc>
        <w:tc>
          <w:tcPr/>
          <w:p>
            <w:pPr>
              <w:pStyle w:val="Normal6"/>
            </w:pPr>
            <w:r>
              <w:t>(30)</w:t>
            </w:r>
            <w:r>
              <w:tab/>
            </w:r>
            <w:r>
              <w:t xml:space="preserve">A tagállamoknak figyelembe </w:t>
            </w:r>
            <w:r>
              <w:rPr>
                <w:rFonts w:ascii="Times New Roman" w:eastAsia="Times New Roman" w:hAnsi="Times New Roman" w:cs="Times New Roman"/>
                <w:b/>
                <w:i/>
                <w:strike w:val="0"/>
                <w:color w:val="000000"/>
                <w:sz w:val="24"/>
                <w:highlight w:val="none"/>
                <w:u w:val="none" w:color="auto"/>
              </w:rPr>
              <w:t>kellene</w:t>
            </w:r>
            <w:r>
              <w:t xml:space="preserve"> venniük az Eurodac-rendeletnek az ujjnyomatvételi kötelezettség tekintetében való végrehajtásáról szóló, a Tanács által 2015. július 20-án elfogadott</w:t>
            </w:r>
            <w:r>
              <w:rPr>
                <w:rFonts w:ascii="Times New Roman" w:eastAsia="Times New Roman" w:hAnsi="Times New Roman" w:cs="Times New Roman"/>
                <w:b/>
                <w:i/>
                <w:strike w:val="0"/>
                <w:color w:val="000000"/>
                <w:sz w:val="24"/>
                <w:highlight w:val="none"/>
                <w:u w:val="none" w:color="auto"/>
              </w:rPr>
              <w:t>, és a jelen rendelethez melléklet formájában csatolt, a</w:t>
            </w:r>
            <w:r>
              <w:t xml:space="preserve"> bizottsági </w:t>
            </w:r>
            <w:r>
              <w:rPr>
                <w:rFonts w:ascii="Times New Roman" w:eastAsia="Times New Roman" w:hAnsi="Times New Roman" w:cs="Times New Roman"/>
                <w:b/>
                <w:i/>
                <w:strike w:val="0"/>
                <w:color w:val="000000"/>
                <w:sz w:val="24"/>
                <w:highlight w:val="none"/>
                <w:u w:val="none" w:color="auto"/>
              </w:rPr>
              <w:t>szolgálatok által kidolgozott közös megközelítést</w:t>
            </w:r>
            <w:r>
              <w:rPr>
                <w:rStyle w:val="SupBoldItalic"/>
              </w:rPr>
              <w:t>34</w:t>
            </w:r>
            <w:r>
              <w:t>, amely bevett gyakorlatot képező megközelítést határoz meg a szabálytalan harmadik országbeli állampolgároktól való ujjnyomatvételre vonatkozóan. Amennyiben egy tagállam nemzeti joga végső esetben lehetővé teszi az erőszak vagy kényszer alkalmazásával történő ujjnyomatvételt, ezen intézkedéseknek teljes mértékben tiszteletben kell tartaniuk az EU Alapjogi Chartáját. A kiszolgáltatott helyzetűnek ítélt harmadik országbeli állampolgárok és a kiskorúak nem kényszeríthetők ujjnyomatvételre vagy arcképmás készítésére, kivéve a nemzeti jog alapján megengedett, kellően indokolt esetekben.</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BoldItalic"/>
              </w:rPr>
              <w:t>34</w:t>
            </w:r>
            <w:r>
              <w:t xml:space="preserve"> </w:t>
            </w:r>
            <w:r>
              <w:rPr>
                <w:rFonts w:ascii="Times New Roman" w:eastAsia="Times New Roman" w:hAnsi="Times New Roman" w:cs="Times New Roman"/>
                <w:b/>
                <w:i/>
                <w:strike w:val="0"/>
                <w:color w:val="000000"/>
                <w:sz w:val="24"/>
                <w:highlight w:val="none"/>
                <w:u w:val="none" w:color="auto"/>
              </w:rPr>
              <w:t>COM(2015) 150 final</w:t>
            </w:r>
            <w:r>
              <w:t>, 2015.5.27.</w:t>
            </w:r>
          </w:p>
        </w:tc>
        <w:tc>
          <w:tcPr/>
          <w:p>
            <w:pPr>
              <w:pStyle w:val="Normal6"/>
            </w:pPr>
            <w:r>
              <w:rPr>
                <w:rStyle w:val="SupBoldItalic"/>
              </w:rPr>
              <w:t>34</w:t>
            </w:r>
            <w:r>
              <w:t xml:space="preserve"> </w:t>
            </w:r>
            <w:r>
              <w:rPr>
                <w:rFonts w:ascii="Times New Roman" w:eastAsia="Times New Roman" w:hAnsi="Times New Roman" w:cs="Times New Roman"/>
                <w:b/>
                <w:i/>
                <w:strike w:val="0"/>
                <w:color w:val="000000"/>
                <w:sz w:val="24"/>
                <w:highlight w:val="none"/>
                <w:u w:val="none" w:color="auto"/>
              </w:rPr>
              <w:t>COM(2015)0150</w:t>
            </w:r>
            <w:r>
              <w:t>, 2015.5.27.</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Átdolgozás: Egy felmérés eredményei szerint egyes tagállamok engedélyezik a fogva tartást a migránsok ujjnyomatvételének biztosítása érdekében, egyesek engedélyezik a kényszer arányos alkalmazását, míg más tagállamok nem alkalmaznak sem fogva tartást, sem kényszert. Ezért szükség van a jelenlegi gyakorlatok harmonizálására annak biztosítása érdekében, hogy a tagállamok teljesítik az Eurodac-rendelet szerinti kötelezettségeiket, és azonos szintű garanciákat nyújtanak. A Bizottság által az SWD(2015)0150 dokumentumban kidolgozott közös megközelítés.</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121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30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(30)</w:t>
            </w:r>
            <w:r>
              <w:tab/>
            </w:r>
            <w:r>
              <w:t>A tagállamoknak figyelembe kell venniük az Eurodac-rendeletnek az ujjnyomatvételi kötelezettség tekintetében való végrehajtásáról szóló, a Tanács által 2015. július 20-án elfogadott bizottsági szolgálati munkadokumentumot</w:t>
            </w:r>
            <w:r>
              <w:rPr>
                <w:rStyle w:val="Sup"/>
              </w:rPr>
              <w:t>34</w:t>
            </w:r>
            <w:r>
              <w:rPr>
                <w:rFonts w:ascii="Times New Roman" w:eastAsia="Times New Roman" w:hAnsi="Times New Roman" w:cs="Times New Roman"/>
                <w:b/>
                <w:i/>
                <w:strike w:val="0"/>
                <w:color w:val="000000"/>
                <w:sz w:val="24"/>
                <w:highlight w:val="none"/>
                <w:u w:val="none" w:color="auto"/>
              </w:rPr>
              <w:t xml:space="preserve"> </w:t>
            </w:r>
            <w:r>
              <w:t>, amely bevett gyakorlatot képező megközelítést határoz meg a szabálytalan harmadik országbeli állampolgároktól való ujjnyomatvételre vonatkozóan. Amennyiben egy tagállam nemzeti joga végső esetben lehetővé teszi az erőszak vagy kényszer alkalmazásával történő ujjnyomatvételt, ezen intézkedéseknek teljes mértékben tiszteletben kell tartaniuk az EU Alapjogi Chartáját. A kiszolgáltatott helyzetűnek ítélt harmadik országbeli állampolgárok és a kiskorúak nem kényszeríthetők ujjnyomatvételre vagy arcképmás készítésére, kivéve a nemzeti jog alapján megengedett, kellően indokolt esetekben.</w:t>
            </w:r>
          </w:p>
        </w:tc>
        <w:tc>
          <w:tcPr/>
          <w:p>
            <w:pPr>
              <w:pStyle w:val="Normal6"/>
            </w:pPr>
            <w:r>
              <w:t>(30)</w:t>
            </w:r>
            <w:r>
              <w:tab/>
            </w:r>
            <w:r>
              <w:t>A </w:t>
            </w:r>
            <w:r>
              <w:rPr>
                <w:rFonts w:ascii="Times New Roman" w:eastAsia="Times New Roman" w:hAnsi="Times New Roman" w:cs="Times New Roman"/>
                <w:b/>
                <w:i/>
                <w:strike w:val="0"/>
                <w:color w:val="000000"/>
                <w:sz w:val="24"/>
                <w:highlight w:val="none"/>
                <w:u w:val="none" w:color="auto"/>
              </w:rPr>
              <w:t xml:space="preserve">közös európai menekültügyi rendszer jó működéséhez alapvető fontosságú a 100%-os nyilvántartásbavételi arány elérése a harmadik országbeli állampolgárok vagy hontalan személyek, az Unió külső határainak jogellenes átlépése miatt letartóztatott személyek, valamint egy tagállam területén jogszerűtlenül tartózkodó harmadik országbeli állampolgárok vagy hontalan személyek által a tagállamok egyikében benyújtott nemzetközi védelem iránti kérelmek vonatkozásában. A nyilvántartásbavételi arány elérése érdekében a </w:t>
            </w:r>
            <w:r>
              <w:t>tagállamoknak figyelembe kell venniük az Eurodac-rendeletnek az ujjnyomatvételi kötelezettség tekintetében való végrehajtásáról szóló, a Tanács által 2015. július 20-án elfogadott bizottsági szolgálati munkadokumentumot</w:t>
            </w:r>
            <w:r>
              <w:rPr>
                <w:rStyle w:val="Sup"/>
              </w:rPr>
              <w:t>34</w:t>
            </w:r>
            <w:r>
              <w:t xml:space="preserve">, amely bevett gyakorlatot képező megközelítést határoz meg a szabálytalan harmadik országbeli állampolgároktól </w:t>
            </w:r>
            <w:r>
              <w:rPr>
                <w:rFonts w:ascii="Times New Roman" w:eastAsia="Times New Roman" w:hAnsi="Times New Roman" w:cs="Times New Roman"/>
                <w:b/>
                <w:i/>
                <w:strike w:val="0"/>
                <w:color w:val="000000"/>
                <w:sz w:val="24"/>
                <w:highlight w:val="none"/>
                <w:u w:val="none" w:color="auto"/>
              </w:rPr>
              <w:t xml:space="preserve">vagy hontalan személyektől </w:t>
            </w:r>
            <w:r>
              <w:t>való ujjnyomatvételre vonatkozóan. Amennyiben egy tagállam nemzeti joga végső esetben lehetővé teszi az erőszak vagy kényszer alkalmazásával történő ujjnyomatvételt, ezen intézkedéseknek teljes mértékben tiszteletben kell tartaniuk az EU Alapjogi Chartáját. A kiszolgáltatott helyzetűnek ítélt harmadik országbeli állampolgárok</w:t>
            </w:r>
            <w:r>
              <w:rPr>
                <w:rFonts w:ascii="Times New Roman" w:eastAsia="Times New Roman" w:hAnsi="Times New Roman" w:cs="Times New Roman"/>
                <w:b/>
                <w:i/>
                <w:strike w:val="0"/>
                <w:color w:val="000000"/>
                <w:sz w:val="24"/>
                <w:highlight w:val="none"/>
                <w:u w:val="none" w:color="auto"/>
              </w:rPr>
              <w:t>, illetve hontalan személyek</w:t>
            </w:r>
            <w:r>
              <w:t xml:space="preserve"> és a kiskorúak nem kényszeríthetők ujjnyomatvételre vagy arcképmás készítésére, kivéve a nemzeti jog alapján megengedett, kellően indokolt esetekben.</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
              </w:rPr>
              <w:t>34</w:t>
            </w:r>
            <w:r>
              <w:t xml:space="preserve"> </w:t>
            </w:r>
            <w:r>
              <w:rPr>
                <w:rFonts w:ascii="Times New Roman" w:eastAsia="Times New Roman" w:hAnsi="Times New Roman" w:cs="Times New Roman"/>
                <w:b/>
                <w:i/>
                <w:strike w:val="0"/>
                <w:color w:val="000000"/>
                <w:sz w:val="24"/>
                <w:highlight w:val="none"/>
                <w:u w:val="none" w:color="auto"/>
              </w:rPr>
              <w:t>COM(2015) 150 final</w:t>
            </w:r>
            <w:r>
              <w:t>, 2015.5.27.</w:t>
            </w:r>
          </w:p>
        </w:tc>
        <w:tc>
          <w:tcPr/>
          <w:p>
            <w:pPr>
              <w:pStyle w:val="Normal6"/>
            </w:pPr>
            <w:r>
              <w:rPr>
                <w:rStyle w:val="Sup"/>
              </w:rPr>
              <w:t>34</w:t>
            </w:r>
            <w:r>
              <w:t xml:space="preserve"> </w:t>
            </w:r>
            <w:r>
              <w:rPr>
                <w:rFonts w:ascii="Times New Roman" w:eastAsia="Times New Roman" w:hAnsi="Times New Roman" w:cs="Times New Roman"/>
                <w:b/>
                <w:i/>
                <w:strike w:val="0"/>
                <w:color w:val="000000"/>
                <w:sz w:val="24"/>
                <w:highlight w:val="none"/>
                <w:u w:val="none" w:color="auto"/>
              </w:rPr>
              <w:t>COM(2015)0150</w:t>
            </w:r>
            <w:r>
              <w:t>, 2015.5.27.</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122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Sophia in 't Veld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31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(31)</w:t>
            </w:r>
            <w:r>
              <w:tab/>
            </w:r>
            <w:r>
              <w:t xml:space="preserve">Az Eurodacból származó találatokat egy képzett </w:t>
            </w:r>
            <w:r>
              <w:rPr>
                <w:rFonts w:ascii="Times New Roman" w:eastAsia="Times New Roman" w:hAnsi="Times New Roman" w:cs="Times New Roman"/>
                <w:b/>
                <w:i/>
                <w:strike w:val="0"/>
                <w:color w:val="000000"/>
                <w:sz w:val="24"/>
                <w:highlight w:val="none"/>
                <w:u w:val="none" w:color="auto"/>
              </w:rPr>
              <w:t>ujjnyomat-szakértőnek</w:t>
            </w:r>
            <w:r>
              <w:t xml:space="preserve"> kell ellenőriznie az EU [</w:t>
            </w:r>
            <w:r>
              <w:rPr>
                <w:rFonts w:ascii="Times New Roman" w:eastAsia="Times New Roman" w:hAnsi="Times New Roman" w:cs="Times New Roman"/>
                <w:b/>
                <w:i/>
                <w:strike w:val="0"/>
                <w:color w:val="000000"/>
                <w:sz w:val="24"/>
                <w:highlight w:val="none"/>
                <w:u w:val="none" w:color="auto"/>
              </w:rPr>
              <w:t>2016</w:t>
            </w:r>
            <w:r>
              <w:t>/…] rendelet szerinti felelősség pontos meghatározásának;</w:t>
            </w:r>
            <w:r>
              <w:rPr>
                <w:rFonts w:ascii="Times New Roman" w:eastAsia="Times New Roman" w:hAnsi="Times New Roman" w:cs="Times New Roman"/>
                <w:b/>
                <w:i/>
                <w:strike w:val="0"/>
                <w:color w:val="000000"/>
                <w:sz w:val="24"/>
                <w:highlight w:val="none"/>
                <w:u w:val="none" w:color="auto"/>
              </w:rPr>
              <w:t xml:space="preserve">  </w:t>
            </w:r>
            <w:r>
              <w:t>a harmadik országbeli állampolgár vagy hontalan személy pontos beazonosításának,</w:t>
            </w:r>
            <w:r>
              <w:rPr>
                <w:rFonts w:ascii="Times New Roman" w:eastAsia="Times New Roman" w:hAnsi="Times New Roman" w:cs="Times New Roman"/>
                <w:b/>
                <w:i/>
                <w:strike w:val="0"/>
                <w:color w:val="000000"/>
                <w:sz w:val="24"/>
                <w:highlight w:val="none"/>
                <w:u w:val="none" w:color="auto"/>
              </w:rPr>
              <w:t xml:space="preserve">  </w:t>
            </w:r>
            <w:r>
              <w:t>valamint a bűncselekmény elkövetésével gyanúsított személy vagy a bűncselekmény sértettje – akik adatait esetleg tárolják az Eurodacban – pontos beazonosításának biztosítása érdekében.</w:t>
            </w:r>
            <w:r>
              <w:rPr>
                <w:rFonts w:ascii="Times New Roman" w:eastAsia="Times New Roman" w:hAnsi="Times New Roman" w:cs="Times New Roman"/>
                <w:b/>
                <w:i/>
                <w:strike w:val="0"/>
                <w:color w:val="000000"/>
                <w:sz w:val="24"/>
                <w:highlight w:val="none"/>
                <w:u w:val="none" w:color="auto"/>
              </w:rPr>
              <w:t xml:space="preserve">  Az Eurodacból származó arcképmás-találatokat ugyancsak ellenőrizni kell, amennyiben kétség merül fel afelől, hogy az eredmény ugyanazon személyre vonatkozik.</w:t>
            </w:r>
          </w:p>
        </w:tc>
        <w:tc>
          <w:tcPr/>
          <w:p>
            <w:pPr>
              <w:pStyle w:val="Normal6"/>
            </w:pPr>
            <w:r>
              <w:t>(31)</w:t>
            </w:r>
            <w:r>
              <w:tab/>
            </w:r>
            <w:r>
              <w:t xml:space="preserve">Az Eurodacból származó találatokat egy képzett </w:t>
            </w:r>
            <w:r>
              <w:rPr>
                <w:rFonts w:ascii="Times New Roman" w:eastAsia="Times New Roman" w:hAnsi="Times New Roman" w:cs="Times New Roman"/>
                <w:b/>
                <w:i/>
                <w:strike w:val="0"/>
                <w:color w:val="000000"/>
                <w:sz w:val="24"/>
                <w:highlight w:val="none"/>
                <w:u w:val="none" w:color="auto"/>
              </w:rPr>
              <w:t>ujjnyomat- és arcképmásszakértőnek</w:t>
            </w:r>
            <w:r>
              <w:t xml:space="preserve"> kell ellenőriznie az EU [</w:t>
            </w:r>
            <w:r>
              <w:rPr>
                <w:rFonts w:ascii="Times New Roman" w:eastAsia="Times New Roman" w:hAnsi="Times New Roman" w:cs="Times New Roman"/>
                <w:b/>
                <w:i/>
                <w:strike w:val="0"/>
                <w:color w:val="000000"/>
                <w:sz w:val="24"/>
                <w:highlight w:val="none"/>
                <w:u w:val="none" w:color="auto"/>
              </w:rPr>
              <w:t>…</w:t>
            </w:r>
            <w:r>
              <w:t>/…] rendelet szerinti felelősség pontos meghatározásának; a harmadik országbeli állampolgár vagy hontalan személy pontos beazonosításának,</w:t>
            </w:r>
            <w:r>
              <w:rPr>
                <w:rFonts w:ascii="Times New Roman" w:eastAsia="Times New Roman" w:hAnsi="Times New Roman" w:cs="Times New Roman"/>
                <w:b/>
                <w:i/>
                <w:strike w:val="0"/>
                <w:color w:val="000000"/>
                <w:sz w:val="24"/>
                <w:highlight w:val="none"/>
                <w:u w:val="none" w:color="auto"/>
              </w:rPr>
              <w:t xml:space="preserve"> </w:t>
            </w:r>
            <w:r>
              <w:t>valamint a bűncselekmény elkövetésével gyanúsított személy vagy a bűncselekmény sértettje – akik adatait esetleg tárolják az Eurodacban – pontos beazonosításának biztosítása érdekében.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Az eljárási szabályzat 104. cikkével összhangban e módosítás azért szükséges, mert elválaszthatatlanul összefügg más olyan elfogadható módosításokkal az Eurodac céljait illetően (1. cikk), amelyek az azonosításra vonatkozó biztosítékokat vezetnek be.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123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32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(32)</w:t>
            </w:r>
            <w:r>
              <w:tab/>
            </w:r>
            <w:r>
              <w:rPr>
                <w:rFonts w:ascii="Times New Roman" w:eastAsia="Times New Roman" w:hAnsi="Times New Roman" w:cs="Times New Roman"/>
                <w:b/>
                <w:i/>
                <w:strike w:val="0"/>
                <w:color w:val="000000"/>
                <w:sz w:val="24"/>
                <w:highlight w:val="none"/>
                <w:u w:val="none" w:color="auto"/>
              </w:rPr>
              <w:t>Valamely tagállamban nemzetközi védelmet kérelmező</w:t>
            </w:r>
            <w:r>
              <w:t xml:space="preserve"> harmadik országbeli </w:t>
            </w:r>
            <w:r>
              <w:rPr>
                <w:rFonts w:ascii="Times New Roman" w:eastAsia="Times New Roman" w:hAnsi="Times New Roman" w:cs="Times New Roman"/>
                <w:b/>
                <w:i/>
                <w:strike w:val="0"/>
                <w:color w:val="000000"/>
                <w:sz w:val="24"/>
                <w:highlight w:val="none"/>
                <w:u w:val="none" w:color="auto"/>
              </w:rPr>
              <w:t>állampolgároknak</w:t>
            </w:r>
            <w:r>
              <w:t xml:space="preserve"> vagy hontalan személyek </w:t>
            </w:r>
            <w:r>
              <w:rPr>
                <w:rFonts w:ascii="Times New Roman" w:eastAsia="Times New Roman" w:hAnsi="Times New Roman" w:cs="Times New Roman"/>
                <w:b/>
                <w:i/>
                <w:strike w:val="0"/>
                <w:color w:val="000000"/>
                <w:sz w:val="24"/>
                <w:highlight w:val="none"/>
                <w:u w:val="none" w:color="auto"/>
              </w:rPr>
              <w:t>még hosszú évekig  próbálhatnak  más tagállamban nemzetközi védelmet kérni. Ennek megfelelően</w:t>
            </w:r>
            <w:r>
              <w:t xml:space="preserve"> elegendően hosszú maximális időtartamot kell meghatározni az ujjnyomatadatok</w:t>
            </w:r>
            <w:r>
              <w:rPr>
                <w:rFonts w:ascii="Times New Roman" w:eastAsia="Times New Roman" w:hAnsi="Times New Roman" w:cs="Times New Roman"/>
                <w:b/>
                <w:i/>
                <w:strike w:val="0"/>
                <w:color w:val="000000"/>
                <w:sz w:val="24"/>
                <w:highlight w:val="none"/>
                <w:u w:val="none" w:color="auto"/>
              </w:rPr>
              <w:t xml:space="preserve">  </w:t>
            </w:r>
            <w:r>
              <w:t>és arcképmások</w:t>
            </w:r>
            <w:r>
              <w:rPr>
                <w:rFonts w:ascii="Times New Roman" w:eastAsia="Times New Roman" w:hAnsi="Times New Roman" w:cs="Times New Roman"/>
                <w:b/>
                <w:i/>
                <w:strike w:val="0"/>
                <w:color w:val="000000"/>
                <w:sz w:val="24"/>
                <w:highlight w:val="none"/>
                <w:u w:val="none" w:color="auto"/>
              </w:rPr>
              <w:t xml:space="preserve">  </w:t>
            </w:r>
            <w:r>
              <w:t>központi rendszerben</w:t>
            </w:r>
            <w:r>
              <w:rPr>
                <w:rFonts w:ascii="Times New Roman" w:eastAsia="Times New Roman" w:hAnsi="Times New Roman" w:cs="Times New Roman"/>
                <w:b/>
                <w:i/>
                <w:strike w:val="0"/>
                <w:color w:val="000000"/>
                <w:sz w:val="24"/>
                <w:highlight w:val="none"/>
                <w:u w:val="none" w:color="auto"/>
              </w:rPr>
              <w:t xml:space="preserve">  </w:t>
            </w:r>
            <w:r>
              <w:t>történő tárolására</w:t>
            </w:r>
            <w:r>
              <w:rPr>
                <w:rFonts w:ascii="Times New Roman" w:eastAsia="Times New Roman" w:hAnsi="Times New Roman" w:cs="Times New Roman"/>
                <w:b/>
                <w:i/>
                <w:strike w:val="0"/>
                <w:color w:val="000000"/>
                <w:sz w:val="24"/>
                <w:highlight w:val="none"/>
                <w:u w:val="none" w:color="auto"/>
              </w:rPr>
              <w:t xml:space="preserve">. </w:t>
            </w:r>
            <w:r>
              <w:t>Mivel a már több éve az Unióban tartózkodó harmadik országbeli állampolgárok vagy hontalan személyek többsége ez idő alatt letelepedett jogállást, sőt akár állampolgárságot is szerez az egyes tagállamokban, a tízéves időtartamot megfelelő időtartamnak lehet tekinteni az ujjnyomatadatok</w:t>
            </w:r>
            <w:r>
              <w:rPr>
                <w:rFonts w:ascii="Times New Roman" w:eastAsia="Times New Roman" w:hAnsi="Times New Roman" w:cs="Times New Roman"/>
                <w:b/>
                <w:i/>
                <w:strike w:val="0"/>
                <w:color w:val="000000"/>
                <w:sz w:val="24"/>
                <w:highlight w:val="none"/>
                <w:u w:val="none" w:color="auto"/>
              </w:rPr>
              <w:t xml:space="preserve">  </w:t>
            </w:r>
            <w:r>
              <w:t>és arcképmások</w:t>
            </w:r>
            <w:r>
              <w:rPr>
                <w:rFonts w:ascii="Times New Roman" w:eastAsia="Times New Roman" w:hAnsi="Times New Roman" w:cs="Times New Roman"/>
                <w:b/>
                <w:i/>
                <w:strike w:val="0"/>
                <w:color w:val="000000"/>
                <w:sz w:val="24"/>
                <w:highlight w:val="none"/>
                <w:u w:val="none" w:color="auto"/>
              </w:rPr>
              <w:t xml:space="preserve">  </w:t>
            </w:r>
            <w:r>
              <w:t>tárolására.</w:t>
            </w:r>
          </w:p>
        </w:tc>
        <w:tc>
          <w:tcPr/>
          <w:p>
            <w:pPr>
              <w:pStyle w:val="Normal6"/>
            </w:pPr>
            <w:r>
              <w:t>(32)</w:t>
            </w:r>
            <w:r>
              <w:tab/>
            </w:r>
            <w:r>
              <w:rPr>
                <w:rFonts w:ascii="Times New Roman" w:eastAsia="Times New Roman" w:hAnsi="Times New Roman" w:cs="Times New Roman"/>
                <w:b/>
                <w:i/>
                <w:strike w:val="0"/>
                <w:color w:val="000000"/>
                <w:sz w:val="24"/>
                <w:highlight w:val="none"/>
                <w:u w:val="none" w:color="auto"/>
              </w:rPr>
              <w:t>Az illegális bevándorlás ellenőrzésének, valamint a szabálytalanul tartózkodó</w:t>
            </w:r>
            <w:r>
              <w:t xml:space="preserve"> harmadik országbeli </w:t>
            </w:r>
            <w:r>
              <w:rPr>
                <w:rFonts w:ascii="Times New Roman" w:eastAsia="Times New Roman" w:hAnsi="Times New Roman" w:cs="Times New Roman"/>
                <w:b/>
                <w:i/>
                <w:strike w:val="0"/>
                <w:color w:val="000000"/>
                <w:sz w:val="24"/>
                <w:highlight w:val="none"/>
                <w:u w:val="none" w:color="auto"/>
              </w:rPr>
              <w:t>állampolgárok</w:t>
            </w:r>
            <w:r>
              <w:t xml:space="preserve"> vagy hontalan személyek </w:t>
            </w:r>
            <w:r>
              <w:rPr>
                <w:rFonts w:ascii="Times New Roman" w:eastAsia="Times New Roman" w:hAnsi="Times New Roman" w:cs="Times New Roman"/>
                <w:b/>
                <w:i/>
                <w:strike w:val="0"/>
                <w:color w:val="000000"/>
                <w:sz w:val="24"/>
                <w:highlight w:val="none"/>
                <w:u w:val="none" w:color="auto"/>
              </w:rPr>
              <w:t>azonosításának hatékony segítése érdekében</w:t>
            </w:r>
            <w:r>
              <w:t xml:space="preserve"> elegendően hosszú maximális időtartamot kell meghatározni az ujjnyomatadatok</w:t>
            </w:r>
            <w:r>
              <w:rPr>
                <w:rFonts w:ascii="Times New Roman" w:eastAsia="Times New Roman" w:hAnsi="Times New Roman" w:cs="Times New Roman"/>
                <w:b/>
                <w:i/>
                <w:strike w:val="0"/>
                <w:color w:val="000000"/>
                <w:sz w:val="24"/>
                <w:highlight w:val="none"/>
                <w:u w:val="none" w:color="auto"/>
              </w:rPr>
              <w:t xml:space="preserve"> </w:t>
            </w:r>
            <w:r>
              <w:t>és arcképmások</w:t>
            </w:r>
            <w:r>
              <w:rPr>
                <w:rFonts w:ascii="Times New Roman" w:eastAsia="Times New Roman" w:hAnsi="Times New Roman" w:cs="Times New Roman"/>
                <w:b/>
                <w:i/>
                <w:strike w:val="0"/>
                <w:color w:val="000000"/>
                <w:sz w:val="24"/>
                <w:highlight w:val="none"/>
                <w:u w:val="none" w:color="auto"/>
              </w:rPr>
              <w:t xml:space="preserve"> </w:t>
            </w:r>
            <w:r>
              <w:t>központi rendszerben</w:t>
            </w:r>
            <w:r>
              <w:rPr>
                <w:rFonts w:ascii="Times New Roman" w:eastAsia="Times New Roman" w:hAnsi="Times New Roman" w:cs="Times New Roman"/>
                <w:b/>
                <w:i/>
                <w:strike w:val="0"/>
                <w:color w:val="000000"/>
                <w:sz w:val="24"/>
                <w:highlight w:val="none"/>
                <w:u w:val="none" w:color="auto"/>
              </w:rPr>
              <w:t xml:space="preserve"> </w:t>
            </w:r>
            <w:r>
              <w:t>történő tárolására</w:t>
            </w:r>
            <w:r>
              <w:rPr>
                <w:rFonts w:ascii="Times New Roman" w:eastAsia="Times New Roman" w:hAnsi="Times New Roman" w:cs="Times New Roman"/>
                <w:b/>
                <w:i/>
                <w:strike w:val="0"/>
                <w:color w:val="000000"/>
                <w:sz w:val="24"/>
                <w:highlight w:val="none"/>
                <w:u w:val="none" w:color="auto"/>
              </w:rPr>
              <w:t xml:space="preserve">, hogy meg lehessen akadályozni a tagállamok egyikében nemzetközi védelmet kérő harmadik országbeli állampolgárokat vagy hontalan személyeket abban, hogy egy másik tagállamban is nemzetközi védelmet kérjenek. </w:t>
            </w:r>
            <w:r>
              <w:t>Mivel a már több éve az Unióban tartózkodó harmadik országbeli állampolgárok vagy hontalan személyek többsége ez idő alatt letelepedett jogállást, sőt akár állampolgárságot is szerez az egyes tagállamokban, a tízéves időtartamot megfelelő időtartamnak lehet tekinteni az ujjnyomatadatok</w:t>
            </w:r>
            <w:r>
              <w:rPr>
                <w:rFonts w:ascii="Times New Roman" w:eastAsia="Times New Roman" w:hAnsi="Times New Roman" w:cs="Times New Roman"/>
                <w:b/>
                <w:i/>
                <w:strike w:val="0"/>
                <w:color w:val="000000"/>
                <w:sz w:val="24"/>
                <w:highlight w:val="none"/>
                <w:u w:val="none" w:color="auto"/>
              </w:rPr>
              <w:t xml:space="preserve"> </w:t>
            </w:r>
            <w:r>
              <w:t>és arcképmások</w:t>
            </w:r>
            <w:r>
              <w:rPr>
                <w:rFonts w:ascii="Times New Roman" w:eastAsia="Times New Roman" w:hAnsi="Times New Roman" w:cs="Times New Roman"/>
                <w:b/>
                <w:i/>
                <w:strike w:val="0"/>
                <w:color w:val="000000"/>
                <w:sz w:val="24"/>
                <w:highlight w:val="none"/>
                <w:u w:val="none" w:color="auto"/>
              </w:rPr>
              <w:t xml:space="preserve"> </w:t>
            </w:r>
            <w:r>
              <w:t>tárolására.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Ezzel a módosítással egyértelműbb a magyarázat, hogy miért szükséges az adatokat tízéves időtartamra tárolni.</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124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Sophia in 't Veld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32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(32)</w:t>
            </w:r>
            <w:r>
              <w:tab/>
            </w:r>
            <w:r>
              <w:rPr>
                <w:rFonts w:ascii="Times New Roman" w:eastAsia="Times New Roman" w:hAnsi="Times New Roman" w:cs="Times New Roman"/>
                <w:b/>
                <w:i/>
                <w:strike w:val="0"/>
                <w:color w:val="000000"/>
                <w:sz w:val="24"/>
                <w:highlight w:val="none"/>
                <w:u w:val="none" w:color="auto"/>
              </w:rPr>
              <w:t>Valamely tagállamban</w:t>
            </w:r>
            <w:r>
              <w:t xml:space="preserve"> nemzetközi védelmet kérelmező harmadik országbeli </w:t>
            </w:r>
            <w:r>
              <w:rPr>
                <w:rFonts w:ascii="Times New Roman" w:eastAsia="Times New Roman" w:hAnsi="Times New Roman" w:cs="Times New Roman"/>
                <w:b/>
                <w:i/>
                <w:strike w:val="0"/>
                <w:color w:val="000000"/>
                <w:sz w:val="24"/>
                <w:highlight w:val="none"/>
                <w:u w:val="none" w:color="auto"/>
              </w:rPr>
              <w:t>állampolgároknak</w:t>
            </w:r>
            <w:r>
              <w:t xml:space="preserve"> vagy hontalan személyek </w:t>
            </w:r>
            <w:r>
              <w:rPr>
                <w:rFonts w:ascii="Times New Roman" w:eastAsia="Times New Roman" w:hAnsi="Times New Roman" w:cs="Times New Roman"/>
                <w:b/>
                <w:i/>
                <w:strike w:val="0"/>
                <w:color w:val="000000"/>
                <w:sz w:val="24"/>
                <w:highlight w:val="none"/>
                <w:u w:val="none" w:color="auto"/>
              </w:rPr>
              <w:t>még hosszú évekig  próbálhatnak  más tagállamban nemzetközi védelmet kérni. Ennek megfelelően elegendően hosszú maximális időtartamot kell meghatározni az ujjnyomatadatok  és arcképmások  központi rendszerben  történő tárolására</w:t>
            </w:r>
            <w:r>
              <w:t xml:space="preserve">. Mivel a már több éve az Unióban tartózkodó harmadik országbeli állampolgárok vagy hontalan személyek többsége ez idő alatt letelepedett jogállást, sőt akár állampolgárságot is szerez az egyes tagállamokban, </w:t>
            </w:r>
            <w:r>
              <w:rPr>
                <w:rFonts w:ascii="Times New Roman" w:eastAsia="Times New Roman" w:hAnsi="Times New Roman" w:cs="Times New Roman"/>
                <w:b/>
                <w:i/>
                <w:strike w:val="0"/>
                <w:color w:val="000000"/>
                <w:sz w:val="24"/>
                <w:highlight w:val="none"/>
                <w:u w:val="none" w:color="auto"/>
              </w:rPr>
              <w:t>a tízéves</w:t>
            </w:r>
            <w:r>
              <w:t xml:space="preserve"> időtartamot megfelelő időtartamnak lehet tekinteni az ujjnyomatadatok</w:t>
            </w:r>
            <w:r>
              <w:rPr>
                <w:rFonts w:ascii="Times New Roman" w:eastAsia="Times New Roman" w:hAnsi="Times New Roman" w:cs="Times New Roman"/>
                <w:b/>
                <w:i/>
                <w:strike w:val="0"/>
                <w:color w:val="000000"/>
                <w:sz w:val="24"/>
                <w:highlight w:val="none"/>
                <w:u w:val="none" w:color="auto"/>
              </w:rPr>
              <w:t xml:space="preserve">  </w:t>
            </w:r>
            <w:r>
              <w:t>és arcképmások</w:t>
            </w:r>
            <w:r>
              <w:rPr>
                <w:rFonts w:ascii="Times New Roman" w:eastAsia="Times New Roman" w:hAnsi="Times New Roman" w:cs="Times New Roman"/>
                <w:b/>
                <w:i/>
                <w:strike w:val="0"/>
                <w:color w:val="000000"/>
                <w:sz w:val="24"/>
                <w:highlight w:val="none"/>
                <w:u w:val="none" w:color="auto"/>
              </w:rPr>
              <w:t xml:space="preserve">  </w:t>
            </w:r>
            <w:r>
              <w:t>tárolására.</w:t>
            </w:r>
          </w:p>
        </w:tc>
        <w:tc>
          <w:tcPr/>
          <w:p>
            <w:pPr>
              <w:pStyle w:val="Normal6"/>
            </w:pPr>
            <w:r>
              <w:t>(32)</w:t>
            </w:r>
            <w:r>
              <w:tab/>
            </w:r>
            <w:r>
              <w:rPr>
                <w:rFonts w:ascii="Times New Roman" w:eastAsia="Times New Roman" w:hAnsi="Times New Roman" w:cs="Times New Roman"/>
                <w:b/>
                <w:i/>
                <w:strike w:val="0"/>
                <w:color w:val="000000"/>
                <w:sz w:val="24"/>
                <w:highlight w:val="none"/>
                <w:u w:val="none" w:color="auto"/>
              </w:rPr>
              <w:t>A</w:t>
            </w:r>
            <w:r>
              <w:t xml:space="preserve"> nemzetközi védelmet kérelmező harmadik országbeli </w:t>
            </w:r>
            <w:r>
              <w:rPr>
                <w:rFonts w:ascii="Times New Roman" w:eastAsia="Times New Roman" w:hAnsi="Times New Roman" w:cs="Times New Roman"/>
                <w:b/>
                <w:i/>
                <w:strike w:val="0"/>
                <w:color w:val="000000"/>
                <w:sz w:val="24"/>
                <w:highlight w:val="none"/>
                <w:u w:val="none" w:color="auto"/>
              </w:rPr>
              <w:t>állampolgárok</w:t>
            </w:r>
            <w:r>
              <w:t xml:space="preserve"> vagy hontalan személyek </w:t>
            </w:r>
            <w:r>
              <w:rPr>
                <w:rFonts w:ascii="Times New Roman" w:eastAsia="Times New Roman" w:hAnsi="Times New Roman" w:cs="Times New Roman"/>
                <w:b/>
                <w:i/>
                <w:strike w:val="0"/>
                <w:color w:val="000000"/>
                <w:sz w:val="24"/>
                <w:highlight w:val="none"/>
                <w:u w:val="none" w:color="auto"/>
              </w:rPr>
              <w:t>ujjnyomat- és arcképmásadatai központi rendszerben történő tárolásának maximális időtartama a legszükségesebb és arányos időtartamra kell hogy korlátozódjon, összhangban a Charter 52. cikkének (1) bekezdésében rögzített arányosság elvével és az EUB ítélkezési gyakorlata által értelmezettekkel</w:t>
            </w:r>
            <w:r>
              <w:t xml:space="preserve">. Mivel a már több éve az Unióban tartózkodó harmadik országbeli állampolgárok vagy hontalan személyek többsége ez idő alatt letelepedett jogállást, sőt akár állampolgárságot is szerez az egyes tagállamokban, </w:t>
            </w:r>
            <w:r>
              <w:rPr>
                <w:rFonts w:ascii="Times New Roman" w:eastAsia="Times New Roman" w:hAnsi="Times New Roman" w:cs="Times New Roman"/>
                <w:b/>
                <w:i/>
                <w:strike w:val="0"/>
                <w:color w:val="000000"/>
                <w:sz w:val="24"/>
                <w:highlight w:val="none"/>
                <w:u w:val="none" w:color="auto"/>
              </w:rPr>
              <w:t>az ötéves</w:t>
            </w:r>
            <w:r>
              <w:t xml:space="preserve"> időtartamot megfelelő időtartamnak lehet tekinteni az ujjnyomatadatok</w:t>
            </w:r>
            <w:r>
              <w:rPr>
                <w:rFonts w:ascii="Times New Roman" w:eastAsia="Times New Roman" w:hAnsi="Times New Roman" w:cs="Times New Roman"/>
                <w:b/>
                <w:i/>
                <w:strike w:val="0"/>
                <w:color w:val="000000"/>
                <w:sz w:val="24"/>
                <w:highlight w:val="none"/>
                <w:u w:val="none" w:color="auto"/>
              </w:rPr>
              <w:t xml:space="preserve"> </w:t>
            </w:r>
            <w:r>
              <w:t>és arcképmások</w:t>
            </w:r>
            <w:r>
              <w:rPr>
                <w:rFonts w:ascii="Times New Roman" w:eastAsia="Times New Roman" w:hAnsi="Times New Roman" w:cs="Times New Roman"/>
                <w:b/>
                <w:i/>
                <w:strike w:val="0"/>
                <w:color w:val="000000"/>
                <w:sz w:val="24"/>
                <w:highlight w:val="none"/>
                <w:u w:val="none" w:color="auto"/>
              </w:rPr>
              <w:t xml:space="preserve"> </w:t>
            </w:r>
            <w:r>
              <w:t>tárolására.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Az eljárási szabályzat 104. cikkével összhangban e módosítás azért szükséges, mert elválaszthatatlanul összefügg más olyan elfogadható módosításokkal az Eurodac céljait illetően (1. cikk), amelyek a szükségességre és az arányosságra vonatkozó elvek tiszteletben tartására utaló hivatkozásokat vezetnek be a Charta 52. cikkének (1) bekezdésének, valamint a Bíróság vonatkozó ítélkezési gyakorlatának megfelelően.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125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Monika Hohlmeier</w:t>
      </w:r>
      <w:r>
        <w:t xml:space="preserve">, </w:t>
      </w:r>
      <w:r>
        <w:t>Heinz K. Becker</w:t>
      </w:r>
      <w:r>
        <w:t xml:space="preserve">, </w:t>
      </w:r>
      <w:r>
        <w:t>Rachida Dati</w:t>
      </w:r>
      <w:r>
        <w:t xml:space="preserve">, </w:t>
      </w:r>
      <w:r>
        <w:t>Brice Hortefeux</w:t>
      </w:r>
      <w:r>
        <w:t xml:space="preserve">, </w:t>
      </w:r>
      <w:r>
        <w:t>Mariya Gabriel</w:t>
      </w:r>
      <w:r>
        <w:t xml:space="preserve">, </w:t>
      </w:r>
      <w:r>
        <w:t>Artis Pabriks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32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(32)</w:t>
            </w:r>
            <w:r>
              <w:tab/>
            </w:r>
            <w:r>
              <w:t>Valamely tagállamban nemzetközi védelmet kérelmező harmadik országbeli állampolgároknak vagy hontalan személyek még hosszú évekig</w:t>
            </w:r>
            <w:r>
              <w:rPr>
                <w:rFonts w:ascii="Times New Roman" w:eastAsia="Times New Roman" w:hAnsi="Times New Roman" w:cs="Times New Roman"/>
                <w:b/>
                <w:i/>
                <w:strike w:val="0"/>
                <w:color w:val="000000"/>
                <w:sz w:val="24"/>
                <w:highlight w:val="none"/>
                <w:u w:val="none" w:color="auto"/>
              </w:rPr>
              <w:t xml:space="preserve">  </w:t>
            </w:r>
            <w:r>
              <w:t>próbálhatnak</w:t>
            </w:r>
            <w:r>
              <w:rPr>
                <w:rFonts w:ascii="Times New Roman" w:eastAsia="Times New Roman" w:hAnsi="Times New Roman" w:cs="Times New Roman"/>
                <w:b/>
                <w:i/>
                <w:strike w:val="0"/>
                <w:color w:val="000000"/>
                <w:sz w:val="24"/>
                <w:highlight w:val="none"/>
                <w:u w:val="none" w:color="auto"/>
              </w:rPr>
              <w:t xml:space="preserve">  </w:t>
            </w:r>
            <w:r>
              <w:t xml:space="preserve">más tagállamban nemzetközi védelmet kérni. Ennek megfelelően elegendően hosszú maximális időtartamot kell meghatározni </w:t>
            </w:r>
            <w:r>
              <w:rPr>
                <w:rFonts w:ascii="Times New Roman" w:eastAsia="Times New Roman" w:hAnsi="Times New Roman" w:cs="Times New Roman"/>
                <w:b/>
                <w:i/>
                <w:strike w:val="0"/>
                <w:color w:val="000000"/>
                <w:sz w:val="24"/>
                <w:highlight w:val="none"/>
                <w:u w:val="none" w:color="auto"/>
              </w:rPr>
              <w:t xml:space="preserve">az ujjnyomatadatok  és arcképmások  </w:t>
            </w:r>
            <w:r>
              <w:t>központi rendszerben</w:t>
            </w:r>
            <w:r>
              <w:rPr>
                <w:rFonts w:ascii="Times New Roman" w:eastAsia="Times New Roman" w:hAnsi="Times New Roman" w:cs="Times New Roman"/>
                <w:b/>
                <w:i/>
                <w:strike w:val="0"/>
                <w:color w:val="000000"/>
                <w:sz w:val="24"/>
                <w:highlight w:val="none"/>
                <w:u w:val="none" w:color="auto"/>
              </w:rPr>
              <w:t xml:space="preserve">  </w:t>
            </w:r>
            <w:r>
              <w:t xml:space="preserve">történő tárolására. Mivel a már több éve az Unióban tartózkodó harmadik országbeli állampolgárok vagy hontalan személyek többsége ez idő alatt letelepedett jogállást, sőt akár állampolgárságot is szerez az egyes tagállamokban, a tízéves időtartamot megfelelő időtartamnak lehet tekinteni </w:t>
            </w:r>
            <w:r>
              <w:rPr>
                <w:rFonts w:ascii="Times New Roman" w:eastAsia="Times New Roman" w:hAnsi="Times New Roman" w:cs="Times New Roman"/>
                <w:b/>
                <w:i/>
                <w:strike w:val="0"/>
                <w:color w:val="000000"/>
                <w:sz w:val="24"/>
                <w:highlight w:val="none"/>
                <w:u w:val="none" w:color="auto"/>
              </w:rPr>
              <w:t xml:space="preserve">az ujjnyomatadatok  és arcképmások  </w:t>
            </w:r>
            <w:r>
              <w:t>tárolására.</w:t>
            </w:r>
          </w:p>
        </w:tc>
        <w:tc>
          <w:tcPr/>
          <w:p>
            <w:pPr>
              <w:pStyle w:val="Normal6"/>
            </w:pPr>
            <w:r>
              <w:t>(32)</w:t>
            </w:r>
            <w:r>
              <w:tab/>
            </w:r>
            <w:r>
              <w:t>Valamely tagállamban nemzetközi védelmet kérelmező harmadik országbeli állampolgároknak vagy hontalan személyek még hosszú évekig</w:t>
            </w:r>
            <w:r>
              <w:rPr>
                <w:rFonts w:ascii="Times New Roman" w:eastAsia="Times New Roman" w:hAnsi="Times New Roman" w:cs="Times New Roman"/>
                <w:b/>
                <w:i/>
                <w:strike w:val="0"/>
                <w:color w:val="000000"/>
                <w:sz w:val="24"/>
                <w:highlight w:val="none"/>
                <w:u w:val="none" w:color="auto"/>
              </w:rPr>
              <w:t xml:space="preserve"> </w:t>
            </w:r>
            <w:r>
              <w:t>próbálhatnak</w:t>
            </w:r>
            <w:r>
              <w:rPr>
                <w:rFonts w:ascii="Times New Roman" w:eastAsia="Times New Roman" w:hAnsi="Times New Roman" w:cs="Times New Roman"/>
                <w:b/>
                <w:i/>
                <w:strike w:val="0"/>
                <w:color w:val="000000"/>
                <w:sz w:val="24"/>
                <w:highlight w:val="none"/>
                <w:u w:val="none" w:color="auto"/>
              </w:rPr>
              <w:t xml:space="preserve"> </w:t>
            </w:r>
            <w:r>
              <w:t xml:space="preserve">más tagállamban nemzetközi védelmet kérni. Ennek megfelelően elegendően hosszú maximális időtartamot kell meghatározni </w:t>
            </w:r>
            <w:r>
              <w:rPr>
                <w:rFonts w:ascii="Times New Roman" w:eastAsia="Times New Roman" w:hAnsi="Times New Roman" w:cs="Times New Roman"/>
                <w:b/>
                <w:i/>
                <w:strike w:val="0"/>
                <w:color w:val="000000"/>
                <w:sz w:val="24"/>
                <w:highlight w:val="none"/>
                <w:u w:val="none" w:color="auto"/>
              </w:rPr>
              <w:t>a biometrikus és alfanumerikus adatok </w:t>
            </w:r>
            <w:r>
              <w:t>központi rendszerben</w:t>
            </w:r>
            <w:r>
              <w:rPr>
                <w:rFonts w:ascii="Times New Roman" w:eastAsia="Times New Roman" w:hAnsi="Times New Roman" w:cs="Times New Roman"/>
                <w:b/>
                <w:i/>
                <w:strike w:val="0"/>
                <w:color w:val="000000"/>
                <w:sz w:val="24"/>
                <w:highlight w:val="none"/>
                <w:u w:val="none" w:color="auto"/>
              </w:rPr>
              <w:t xml:space="preserve"> </w:t>
            </w:r>
            <w:r>
              <w:t xml:space="preserve">történő tárolására. Mivel a már több éve az Unióban tartózkodó harmadik országbeli állampolgárok vagy hontalan személyek többsége ez idő alatt letelepedett jogállást, sőt akár állampolgárságot is szerez az egyes tagállamokban, a tízéves időtartamot megfelelő időtartamnak lehet tekinteni </w:t>
            </w:r>
            <w:r>
              <w:rPr>
                <w:rFonts w:ascii="Times New Roman" w:eastAsia="Times New Roman" w:hAnsi="Times New Roman" w:cs="Times New Roman"/>
                <w:b/>
                <w:i/>
                <w:strike w:val="0"/>
                <w:color w:val="000000"/>
                <w:sz w:val="24"/>
                <w:highlight w:val="none"/>
                <w:u w:val="none" w:color="auto"/>
              </w:rPr>
              <w:t xml:space="preserve">a biometrikus és alfanumerikus adatok </w:t>
            </w:r>
            <w:r>
              <w:t>tárolására.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 nemzeti bűnüldözési hatóságok és az Europol nem kérhet a specifikus alfanumerikus adatokkal való összehasonlítást. Néhány esetben a nemzeti bűnüldözési hatóságoknak ujjnyomatok nem állnak rendelkezésükre, alfanumerikus adatok viszont igen.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126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32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(32)</w:t>
            </w:r>
            <w:r>
              <w:tab/>
            </w:r>
            <w:r>
              <w:t>Valamely tagállamban nemzetközi védelmet kérelmező harmadik országbeli állampolgároknak vagy hontalan személyek még hosszú évekig</w:t>
            </w:r>
            <w:r>
              <w:rPr>
                <w:rFonts w:ascii="Times New Roman" w:eastAsia="Times New Roman" w:hAnsi="Times New Roman" w:cs="Times New Roman"/>
                <w:b/>
                <w:i/>
                <w:strike w:val="0"/>
                <w:color w:val="000000"/>
                <w:sz w:val="24"/>
                <w:highlight w:val="none"/>
                <w:u w:val="none" w:color="auto"/>
              </w:rPr>
              <w:t xml:space="preserve">  próbálhatnak  </w:t>
            </w:r>
            <w:r>
              <w:t>más tagállamban nemzetközi védelmet</w:t>
            </w:r>
            <w:r>
              <w:rPr>
                <w:rFonts w:ascii="Times New Roman" w:eastAsia="Times New Roman" w:hAnsi="Times New Roman" w:cs="Times New Roman"/>
                <w:b/>
                <w:i/>
                <w:strike w:val="0"/>
                <w:color w:val="000000"/>
                <w:sz w:val="24"/>
                <w:highlight w:val="none"/>
                <w:u w:val="none" w:color="auto"/>
              </w:rPr>
              <w:t xml:space="preserve"> kérni</w:t>
            </w:r>
            <w:r>
              <w:t>. Ennek megfelelően elegendően hosszú maximális időtartamot kell meghatározni az ujjnyomatadatok</w:t>
            </w:r>
            <w:r>
              <w:rPr>
                <w:rFonts w:ascii="Times New Roman" w:eastAsia="Times New Roman" w:hAnsi="Times New Roman" w:cs="Times New Roman"/>
                <w:b/>
                <w:i/>
                <w:strike w:val="0"/>
                <w:color w:val="000000"/>
                <w:sz w:val="24"/>
                <w:highlight w:val="none"/>
                <w:u w:val="none" w:color="auto"/>
              </w:rPr>
              <w:t xml:space="preserve">  </w:t>
            </w:r>
            <w:r>
              <w:t>és arcképmások</w:t>
            </w:r>
            <w:r>
              <w:rPr>
                <w:rFonts w:ascii="Times New Roman" w:eastAsia="Times New Roman" w:hAnsi="Times New Roman" w:cs="Times New Roman"/>
                <w:b/>
                <w:i/>
                <w:strike w:val="0"/>
                <w:color w:val="000000"/>
                <w:sz w:val="24"/>
                <w:highlight w:val="none"/>
                <w:u w:val="none" w:color="auto"/>
              </w:rPr>
              <w:t xml:space="preserve">  </w:t>
            </w:r>
            <w:r>
              <w:t>központi rendszerben</w:t>
            </w:r>
            <w:r>
              <w:rPr>
                <w:rFonts w:ascii="Times New Roman" w:eastAsia="Times New Roman" w:hAnsi="Times New Roman" w:cs="Times New Roman"/>
                <w:b/>
                <w:i/>
                <w:strike w:val="0"/>
                <w:color w:val="000000"/>
                <w:sz w:val="24"/>
                <w:highlight w:val="none"/>
                <w:u w:val="none" w:color="auto"/>
              </w:rPr>
              <w:t xml:space="preserve">  </w:t>
            </w:r>
            <w:r>
              <w:t>történő tárolására. Mivel a már több éve az Unióban tartózkodó harmadik országbeli állampolgárok vagy hontalan személyek többsége ez idő alatt letelepedett jogállást, sőt akár állampolgárságot is szerez az egyes tagállamokban, a tízéves időtartamot megfelelő időtartamnak lehet tekinteni az ujjnyomatadatok</w:t>
            </w:r>
            <w:r>
              <w:rPr>
                <w:rFonts w:ascii="Times New Roman" w:eastAsia="Times New Roman" w:hAnsi="Times New Roman" w:cs="Times New Roman"/>
                <w:b/>
                <w:i/>
                <w:strike w:val="0"/>
                <w:color w:val="000000"/>
                <w:sz w:val="24"/>
                <w:highlight w:val="none"/>
                <w:u w:val="none" w:color="auto"/>
              </w:rPr>
              <w:t xml:space="preserve">  és arcképmások  </w:t>
            </w:r>
            <w:r>
              <w:t>tárolására.</w:t>
            </w:r>
          </w:p>
        </w:tc>
        <w:tc>
          <w:tcPr/>
          <w:p>
            <w:pPr>
              <w:pStyle w:val="Normal6"/>
            </w:pPr>
            <w:r>
              <w:t>(32)</w:t>
            </w:r>
            <w:r>
              <w:tab/>
            </w:r>
            <w:r>
              <w:t>Valamely tagállamban nemzetközi védelmet kérelmező harmadik országbeli állampolgároknak vagy hontalan személyek még hosszú évekig</w:t>
            </w:r>
            <w:r>
              <w:rPr>
                <w:rFonts w:ascii="Times New Roman" w:eastAsia="Times New Roman" w:hAnsi="Times New Roman" w:cs="Times New Roman"/>
                <w:b/>
                <w:i/>
                <w:strike w:val="0"/>
                <w:color w:val="000000"/>
                <w:sz w:val="24"/>
                <w:highlight w:val="none"/>
                <w:u w:val="none" w:color="auto"/>
              </w:rPr>
              <w:t xml:space="preserve"> kérhetnek </w:t>
            </w:r>
            <w:r>
              <w:t>más tagállamban nemzetközi védelmet. Ennek megfelelően elegendően hosszú maximális időtartamot kell meghatározni az ujjnyomatadatok</w:t>
            </w:r>
            <w:r>
              <w:rPr>
                <w:rFonts w:ascii="Times New Roman" w:eastAsia="Times New Roman" w:hAnsi="Times New Roman" w:cs="Times New Roman"/>
                <w:b/>
                <w:i/>
                <w:strike w:val="0"/>
                <w:color w:val="000000"/>
                <w:sz w:val="24"/>
                <w:highlight w:val="none"/>
                <w:u w:val="none" w:color="auto"/>
              </w:rPr>
              <w:t xml:space="preserve"> </w:t>
            </w:r>
            <w:r>
              <w:t>és arcképmások</w:t>
            </w:r>
            <w:r>
              <w:rPr>
                <w:rFonts w:ascii="Times New Roman" w:eastAsia="Times New Roman" w:hAnsi="Times New Roman" w:cs="Times New Roman"/>
                <w:b/>
                <w:i/>
                <w:strike w:val="0"/>
                <w:color w:val="000000"/>
                <w:sz w:val="24"/>
                <w:highlight w:val="none"/>
                <w:u w:val="none" w:color="auto"/>
              </w:rPr>
              <w:t xml:space="preserve"> </w:t>
            </w:r>
            <w:r>
              <w:t>központi rendszerben</w:t>
            </w:r>
            <w:r>
              <w:rPr>
                <w:rFonts w:ascii="Times New Roman" w:eastAsia="Times New Roman" w:hAnsi="Times New Roman" w:cs="Times New Roman"/>
                <w:b/>
                <w:i/>
                <w:strike w:val="0"/>
                <w:color w:val="000000"/>
                <w:sz w:val="24"/>
                <w:highlight w:val="none"/>
                <w:u w:val="none" w:color="auto"/>
              </w:rPr>
              <w:t xml:space="preserve"> </w:t>
            </w:r>
            <w:r>
              <w:t>történő tárolására. Mivel a már több éve az Unióban tartózkodó harmadik országbeli állampolgárok vagy hontalan személyek többsége ez idő alatt letelepedett jogállást, sőt akár állampolgárságot is szerez az egyes tagállamokban, a tízéves időtartamot megfelelő időtartamnak lehet tekinteni az ujjnyomatadatok</w:t>
            </w:r>
            <w:r>
              <w:rPr>
                <w:rFonts w:ascii="Times New Roman" w:eastAsia="Times New Roman" w:hAnsi="Times New Roman" w:cs="Times New Roman"/>
                <w:b/>
                <w:i/>
                <w:strike w:val="0"/>
                <w:color w:val="000000"/>
                <w:sz w:val="24"/>
                <w:highlight w:val="none"/>
                <w:u w:val="none" w:color="auto"/>
              </w:rPr>
              <w:t xml:space="preserve">, az arcképmásadatok, vagy mindekettő </w:t>
            </w:r>
            <w:r>
              <w:t>tárolására.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127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32 a preambulumbekezdés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(32a)</w:t>
            </w:r>
            <w:r>
              <w:tab/>
            </w:r>
            <w:r>
              <w:rPr>
                <w:rFonts w:ascii="Times New Roman" w:eastAsia="Times New Roman" w:hAnsi="Times New Roman" w:cs="Times New Roman"/>
                <w:b/>
                <w:i/>
                <w:strike w:val="0"/>
                <w:color w:val="000000"/>
                <w:sz w:val="24"/>
                <w:highlight w:val="none"/>
                <w:u w:val="none" w:color="auto"/>
              </w:rPr>
              <w:t>A(z) XXX/XXX rendelet alapján egy tagállamban letelepedett harmadik országbeli állampolgárra vagy hontalan személyre vonatkozó adatokat tízéves időtartamig kell tárolni. Ezt a tárolási időszakot alkalmazzák már más, nemzetközi védelmet kért kérelmezők vagy nemzetközi védelemben részesülők esetében.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Átdolgozás: A preambulumbekezdés meghatározza azt az időszakot, amelynek során a tagállamok egyikében letelepedett személyekre vonatkozó adatokat a(z) XXX/XXX rendelet értelmében tárolni kell. A javasolt időszak tíz év annak érdekében, hogy össze lehessen hangolni a már letelepedett személyekre vonatkozó adatok feldolgozását a nemzetközi védelemben részesülő más személyek adatainak a feldolgozásával.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128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Sylvia-Yvonne Kaufmann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32 a preambulumbekezdés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(32a)</w:t>
            </w:r>
            <w:r>
              <w:tab/>
            </w:r>
            <w:r>
              <w:rPr>
                <w:rFonts w:ascii="Times New Roman" w:eastAsia="Times New Roman" w:hAnsi="Times New Roman" w:cs="Times New Roman"/>
                <w:b/>
                <w:i/>
                <w:strike w:val="0"/>
                <w:color w:val="000000"/>
                <w:sz w:val="24"/>
                <w:highlight w:val="none"/>
                <w:u w:val="none" w:color="auto"/>
              </w:rPr>
              <w:t>A hontalanságról szóló 2015. december 4-i következtetéseiben a Tanács és a tagállamok kormányainak képviselői emlékeztettek az Unió 2012. szeptemberi kötelezettségvállalására, miszerint valamennyi tagállam csatlakozik a Hontalan Személyek Jogállásáról szóló, 1954. évi Egyezményhez, és fontolóra veszi az 1961. évi egyezményhez való csatlakozást. Az „Emberi jogok és migráció a harmadik országokban” című, 2016. október 25-i állásfoglalásában az Európai parlament emlékeztetett a hontalan személyek azonosításának fontosságára annak érdekében, hogy biztosítani lehessen számukra a nemzetközi jog értelmében rendelkezésre álló védelmet.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Ez a módosítás a 12. cikk (1) bekezdése d) pontjának módosításaihoz kapcsolódik.</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129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33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(33)</w:t>
            </w:r>
            <w:r>
              <w:tab/>
            </w:r>
            <w:r>
              <w:rPr>
                <w:rFonts w:ascii="Times New Roman" w:eastAsia="Times New Roman" w:hAnsi="Times New Roman" w:cs="Times New Roman"/>
                <w:b/>
                <w:i/>
                <w:strike w:val="0"/>
                <w:color w:val="000000"/>
                <w:sz w:val="24"/>
                <w:highlight w:val="none"/>
                <w:u w:val="none" w:color="auto"/>
              </w:rPr>
              <w:t>Az Unión belüli tartózkodásra jogosulatlan harmadik országbeli állampolgárok vagy hontalan személyek engedélyezetlen mozgásának sikeres megakadályozása és figyelemmel kísérése, valamint – a 2008/115/EK</w:t>
            </w:r>
            <w:r>
              <w:rPr>
                <w:rStyle w:val="SupBoldItalic"/>
              </w:rPr>
              <w:t>35</w:t>
            </w:r>
            <w:r>
              <w:rPr>
                <w:rFonts w:ascii="Times New Roman" w:eastAsia="Times New Roman" w:hAnsi="Times New Roman" w:cs="Times New Roman"/>
                <w:b/>
                <w:i/>
                <w:strike w:val="0"/>
                <w:color w:val="000000"/>
                <w:sz w:val="24"/>
                <w:highlight w:val="none"/>
                <w:u w:val="none" w:color="auto"/>
              </w:rPr>
              <w:t xml:space="preserve"> irányelvvel összhangban – a harmadik országokba való hatékony visszatérés és visszafogadás eredményes végrehajtásához, valamint a személyes adatok védelméhez való jog hatékony érvényesítéséhez szükséges intézkedések meghozatala céljából, az ötéves időszak tekintendő az ujjnyomatok és arcképmások szükséges megőrzési időtartamának.</w:t>
            </w:r>
          </w:p>
        </w:tc>
        <w:tc>
          <w:tcPr/>
          <w:p>
            <w:pPr>
              <w:pStyle w:val="Normal6"/>
            </w:pPr>
            <w:r>
              <w:rPr>
                <w:rFonts w:ascii="Times New Roman" w:eastAsia="Times New Roman" w:hAnsi="Times New Roman" w:cs="Times New Roman"/>
                <w:b/>
                <w:i/>
                <w:strike w:val="0"/>
                <w:color w:val="000000"/>
                <w:sz w:val="24"/>
                <w:highlight w:val="none"/>
                <w:u w:val="none" w:color="auto"/>
              </w:rPr>
              <w:t>törölve</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BoldItalic"/>
              </w:rPr>
              <w:t>35</w:t>
            </w:r>
            <w:r>
              <w:t xml:space="preserve"> </w:t>
            </w:r>
            <w:r>
              <w:rPr>
                <w:rFonts w:ascii="Times New Roman" w:eastAsia="Times New Roman" w:hAnsi="Times New Roman" w:cs="Times New Roman"/>
                <w:b/>
                <w:i/>
                <w:strike w:val="0"/>
                <w:color w:val="000000"/>
                <w:sz w:val="24"/>
                <w:highlight w:val="none"/>
                <w:u w:val="none" w:color="auto"/>
              </w:rPr>
              <w:t>HL L 348., 2008.12.24., 98.</w:t>
            </w:r>
          </w:p>
        </w:tc>
        <w:tc>
          <w:tcPr/>
          <w:p>
            <w:pPr>
              <w:pStyle w:val="Normal6"/>
            </w:pP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130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Monika Hohlmeier</w:t>
      </w:r>
      <w:r>
        <w:t xml:space="preserve">, </w:t>
      </w:r>
      <w:r>
        <w:t>Mariya Gabriel</w:t>
      </w:r>
      <w:r>
        <w:t xml:space="preserve">, </w:t>
      </w:r>
      <w:r>
        <w:t>Rachida Dati</w:t>
      </w:r>
      <w:r>
        <w:t xml:space="preserve">, </w:t>
      </w:r>
      <w:r>
        <w:t>Mariya Gabriel</w:t>
      </w:r>
      <w:r>
        <w:t xml:space="preserve">, </w:t>
      </w:r>
      <w:r>
        <w:t>Mariya Gabriel</w:t>
      </w:r>
      <w:r>
        <w:t xml:space="preserve">, </w:t>
      </w:r>
      <w:r>
        <w:t>Artis Pabriks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33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(33)</w:t>
            </w:r>
            <w:r>
              <w:tab/>
            </w:r>
            <w:r>
              <w:t>Az Unión belüli tartózkodásra jogosulatlan harmadik országbeli állampolgárok vagy hontalan személyek engedélyezetlen mozgásának sikeres megakadályozása és figyelemmel kísérése, valamint – a 2008/115/EK</w:t>
            </w:r>
            <w:r>
              <w:rPr>
                <w:rStyle w:val="Sup"/>
              </w:rPr>
              <w:t>35</w:t>
            </w:r>
            <w:r>
              <w:t xml:space="preserve"> irányelvvel összhangban – a harmadik országokba való hatékony visszatérés és visszafogadás eredményes végrehajtásához, valamint a személyes adatok védelméhez való jog hatékony érvényesítéséhez szükséges intézkedések meghozatala céljából</w:t>
            </w:r>
            <w:r>
              <w:rPr>
                <w:rFonts w:ascii="Times New Roman" w:eastAsia="Times New Roman" w:hAnsi="Times New Roman" w:cs="Times New Roman"/>
                <w:b/>
                <w:i/>
                <w:strike w:val="0"/>
                <w:color w:val="000000"/>
                <w:sz w:val="24"/>
                <w:highlight w:val="none"/>
                <w:u w:val="none" w:color="auto"/>
              </w:rPr>
              <w:t>, az ötéves</w:t>
            </w:r>
            <w:r>
              <w:t xml:space="preserve"> időszak tekintendő </w:t>
            </w:r>
            <w:r>
              <w:rPr>
                <w:rFonts w:ascii="Times New Roman" w:eastAsia="Times New Roman" w:hAnsi="Times New Roman" w:cs="Times New Roman"/>
                <w:b/>
                <w:i/>
                <w:strike w:val="0"/>
                <w:color w:val="000000"/>
                <w:sz w:val="24"/>
                <w:highlight w:val="none"/>
                <w:u w:val="none" w:color="auto"/>
              </w:rPr>
              <w:t>az ujjnyomatok és arcképmások</w:t>
            </w:r>
            <w:r>
              <w:t xml:space="preserve"> szükséges megőrzési időtartamának.</w:t>
            </w:r>
          </w:p>
        </w:tc>
        <w:tc>
          <w:tcPr/>
          <w:p>
            <w:pPr>
              <w:pStyle w:val="Normal6"/>
            </w:pPr>
            <w:r>
              <w:t>(33)</w:t>
            </w:r>
            <w:r>
              <w:tab/>
            </w:r>
            <w:r>
              <w:t>Az Unión belüli tartózkodásra jogosulatlan harmadik országbeli állampolgárok vagy hontalan személyek engedélyezetlen mozgásának sikeres megakadályozása és figyelemmel kísérése, valamint – a 2008/115/EK irányelvvel</w:t>
            </w:r>
            <w:r>
              <w:rPr>
                <w:rStyle w:val="Sup"/>
              </w:rPr>
              <w:t>35</w:t>
            </w:r>
            <w:r>
              <w:t xml:space="preserve"> összhangban – a harmadik országokba való hatékony visszatérés és visszafogadás eredményes végrehajtásához, valamint a személyes adatok védelméhez való jog hatékony érvényesítéséhez szükséges intézkedések meghozatala céljából</w:t>
            </w:r>
            <w:r>
              <w:rPr>
                <w:rFonts w:ascii="Times New Roman" w:eastAsia="Times New Roman" w:hAnsi="Times New Roman" w:cs="Times New Roman"/>
                <w:b/>
                <w:i/>
                <w:strike w:val="0"/>
                <w:color w:val="000000"/>
                <w:sz w:val="24"/>
                <w:highlight w:val="none"/>
                <w:u w:val="none" w:color="auto"/>
              </w:rPr>
              <w:t xml:space="preserve"> a tízéves</w:t>
            </w:r>
            <w:r>
              <w:t xml:space="preserve"> időszak tekintendő </w:t>
            </w:r>
            <w:r>
              <w:rPr>
                <w:rFonts w:ascii="Times New Roman" w:eastAsia="Times New Roman" w:hAnsi="Times New Roman" w:cs="Times New Roman"/>
                <w:b/>
                <w:i/>
                <w:strike w:val="0"/>
                <w:color w:val="000000"/>
                <w:sz w:val="24"/>
                <w:highlight w:val="none"/>
                <w:u w:val="none" w:color="auto"/>
              </w:rPr>
              <w:t>a biometrikus és alfanumerikus adatok</w:t>
            </w:r>
            <w:r>
              <w:t xml:space="preserve"> szükséges megőrzési időtartamának.</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
              </w:rPr>
              <w:t>35</w:t>
            </w:r>
            <w:r>
              <w:t xml:space="preserve"> </w:t>
            </w:r>
            <w:r>
              <w:t>HL L 348., 2008.12.24., 98.</w:t>
            </w:r>
          </w:p>
        </w:tc>
        <w:tc>
          <w:tcPr/>
          <w:p>
            <w:pPr>
              <w:pStyle w:val="Normal6"/>
            </w:pPr>
            <w:r>
              <w:rPr>
                <w:rStyle w:val="Sup"/>
              </w:rPr>
              <w:t>35</w:t>
            </w:r>
            <w:r>
              <w:t xml:space="preserve"> </w:t>
            </w:r>
            <w:r>
              <w:t>HL L 348., 2008.12.24., 98.</w:t>
            </w:r>
            <w:r>
              <w:rPr>
                <w:rFonts w:ascii="Times New Roman" w:eastAsia="Times New Roman" w:hAnsi="Times New Roman" w:cs="Times New Roman"/>
                <w:b/>
                <w:i/>
                <w:strike w:val="0"/>
                <w:color w:val="000000"/>
                <w:sz w:val="24"/>
                <w:highlight w:val="none"/>
                <w:u w:val="none" w:color="auto"/>
              </w:rPr>
              <w:t xml:space="preserve"> 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131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33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(33)</w:t>
            </w:r>
            <w:r>
              <w:tab/>
            </w:r>
            <w:r>
              <w:t>Az Unión belüli tartózkodásra jogosulatlan harmadik országbeli állampolgárok vagy hontalan személyek engedélyezetlen mozgásának sikeres megakadályozása és figyelemmel kísérése, valamint – a 2008/115/EK</w:t>
            </w:r>
            <w:r>
              <w:rPr>
                <w:rStyle w:val="Sup"/>
              </w:rPr>
              <w:t>35</w:t>
            </w:r>
            <w:r>
              <w:t xml:space="preserve"> irányelvvel összhangban – a harmadik országokba való hatékony visszatérés és visszafogadás eredményes végrehajtásához, valamint a személyes adatok védelméhez való jog hatékony érvényesítéséhez szükséges intézkedések meghozatala céljából, </w:t>
            </w:r>
            <w:r>
              <w:rPr>
                <w:rFonts w:ascii="Times New Roman" w:eastAsia="Times New Roman" w:hAnsi="Times New Roman" w:cs="Times New Roman"/>
                <w:b/>
                <w:i/>
                <w:strike w:val="0"/>
                <w:color w:val="000000"/>
                <w:sz w:val="24"/>
                <w:highlight w:val="none"/>
                <w:u w:val="none" w:color="auto"/>
              </w:rPr>
              <w:t>az ötéves</w:t>
            </w:r>
            <w:r>
              <w:t xml:space="preserve"> időszak tekintendő az ujjnyomatok és arcképmások szükséges megőrzési időtartamának.</w:t>
            </w:r>
          </w:p>
        </w:tc>
        <w:tc>
          <w:tcPr/>
          <w:p>
            <w:pPr>
              <w:pStyle w:val="Normal6"/>
            </w:pPr>
            <w:r>
              <w:t>(33)</w:t>
            </w:r>
            <w:r>
              <w:tab/>
            </w:r>
            <w:r>
              <w:t>Az Unión belüli tartózkodásra jogosulatlan harmadik országbeli állampolgárok vagy hontalan személyek engedélyezetlen mozgásának sikeres megakadályozása és figyelemmel kísérése, valamint – a 2008/115/EK</w:t>
            </w:r>
            <w:r>
              <w:rPr>
                <w:rStyle w:val="Sup"/>
              </w:rPr>
              <w:t>35</w:t>
            </w:r>
            <w:r>
              <w:t xml:space="preserve"> irányelvvel összhangban – a harmadik országokba való hatékony visszatérés és visszafogadás eredményes végrehajtásához, valamint a személyes adatok védelméhez való jog hatékony érvényesítéséhez szükséges intézkedések meghozatala céljából, </w:t>
            </w:r>
            <w:r>
              <w:rPr>
                <w:rFonts w:ascii="Times New Roman" w:eastAsia="Times New Roman" w:hAnsi="Times New Roman" w:cs="Times New Roman"/>
                <w:b/>
                <w:i/>
                <w:strike w:val="0"/>
                <w:color w:val="000000"/>
                <w:sz w:val="24"/>
                <w:highlight w:val="none"/>
                <w:u w:val="none" w:color="auto"/>
              </w:rPr>
              <w:t>a tízéves</w:t>
            </w:r>
            <w:r>
              <w:t xml:space="preserve"> időszak tekintendő az ujjnyomatok és arcképmások szükséges megőrzési időtartamának.</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
              </w:rPr>
              <w:t>35</w:t>
            </w:r>
            <w:r>
              <w:t xml:space="preserve"> </w:t>
            </w:r>
            <w:r>
              <w:t>HL L 348., 2008.12.24., 98.</w:t>
            </w:r>
          </w:p>
        </w:tc>
        <w:tc>
          <w:tcPr/>
          <w:p>
            <w:pPr>
              <w:pStyle w:val="Normal6"/>
            </w:pPr>
            <w:r>
              <w:rPr>
                <w:rStyle w:val="Sup"/>
              </w:rPr>
              <w:t>35</w:t>
            </w:r>
            <w:r>
              <w:t xml:space="preserve"> </w:t>
            </w:r>
            <w:r>
              <w:t>HL L 348., 2008.12.24., 98.</w:t>
            </w:r>
            <w:r>
              <w:rPr>
                <w:rFonts w:ascii="Times New Roman" w:eastAsia="Times New Roman" w:hAnsi="Times New Roman" w:cs="Times New Roman"/>
                <w:b/>
                <w:i/>
                <w:strike w:val="0"/>
                <w:color w:val="000000"/>
                <w:sz w:val="24"/>
                <w:highlight w:val="none"/>
                <w:u w:val="none" w:color="auto"/>
              </w:rPr>
              <w:t xml:space="preserve"> 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132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34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(34)</w:t>
            </w:r>
            <w:r>
              <w:tab/>
            </w:r>
            <w:r>
              <w:t>Egyes különleges esetekben, amikor nincs szükség az ujjnyomatadatok,</w:t>
            </w:r>
            <w:r>
              <w:rPr>
                <w:rFonts w:ascii="Times New Roman" w:eastAsia="Times New Roman" w:hAnsi="Times New Roman" w:cs="Times New Roman"/>
                <w:b/>
                <w:i/>
                <w:strike w:val="0"/>
                <w:color w:val="000000"/>
                <w:sz w:val="24"/>
                <w:highlight w:val="none"/>
                <w:u w:val="none" w:color="auto"/>
              </w:rPr>
              <w:t xml:space="preserve">  </w:t>
            </w:r>
            <w:r>
              <w:t>arcképmások és minden egyéb személyes adat</w:t>
            </w:r>
            <w:r>
              <w:rPr>
                <w:rFonts w:ascii="Times New Roman" w:eastAsia="Times New Roman" w:hAnsi="Times New Roman" w:cs="Times New Roman"/>
                <w:b/>
                <w:i/>
                <w:strike w:val="0"/>
                <w:color w:val="000000"/>
                <w:sz w:val="24"/>
                <w:highlight w:val="none"/>
                <w:u w:val="none" w:color="auto"/>
              </w:rPr>
              <w:t xml:space="preserve">  </w:t>
            </w:r>
            <w:r>
              <w:t>ilyen hosszú ideig történő tárolására, a megőrzési időtartam ennél rövidebb lehet . Az ujjnyomatadatokat,</w:t>
            </w:r>
            <w:r>
              <w:rPr>
                <w:rFonts w:ascii="Times New Roman" w:eastAsia="Times New Roman" w:hAnsi="Times New Roman" w:cs="Times New Roman"/>
                <w:b/>
                <w:i/>
                <w:strike w:val="0"/>
                <w:color w:val="000000"/>
                <w:sz w:val="24"/>
                <w:highlight w:val="none"/>
                <w:u w:val="none" w:color="auto"/>
              </w:rPr>
              <w:t xml:space="preserve">  </w:t>
            </w:r>
            <w:r>
              <w:t>arcképmásokat és minden egyéb személyes adatot</w:t>
            </w:r>
            <w:r>
              <w:rPr>
                <w:rFonts w:ascii="Times New Roman" w:eastAsia="Times New Roman" w:hAnsi="Times New Roman" w:cs="Times New Roman"/>
                <w:b/>
                <w:i/>
                <w:strike w:val="0"/>
                <w:color w:val="000000"/>
                <w:sz w:val="24"/>
                <w:highlight w:val="none"/>
                <w:u w:val="none" w:color="auto"/>
              </w:rPr>
              <w:t xml:space="preserve">  </w:t>
            </w:r>
            <w:r>
              <w:t>azonnal törölni kell, amint a harmadik országbeli állampolgárok vagy hontalan személyek állampolgárságot szereznek valamely tagállamban.</w:t>
            </w:r>
          </w:p>
        </w:tc>
        <w:tc>
          <w:tcPr/>
          <w:p>
            <w:pPr>
              <w:pStyle w:val="Normal6"/>
            </w:pPr>
            <w:r>
              <w:t>(34)</w:t>
            </w:r>
            <w:r>
              <w:tab/>
            </w:r>
            <w:r>
              <w:t>Egyes különleges esetekben, amikor nincs szükség az ujjnyomatadatok,</w:t>
            </w:r>
            <w:r>
              <w:rPr>
                <w:rFonts w:ascii="Times New Roman" w:eastAsia="Times New Roman" w:hAnsi="Times New Roman" w:cs="Times New Roman"/>
                <w:b/>
                <w:i/>
                <w:strike w:val="0"/>
                <w:color w:val="000000"/>
                <w:sz w:val="24"/>
                <w:highlight w:val="none"/>
                <w:u w:val="none" w:color="auto"/>
              </w:rPr>
              <w:t xml:space="preserve"> </w:t>
            </w:r>
            <w:r>
              <w:t>arcképmások</w:t>
            </w:r>
            <w:r>
              <w:rPr>
                <w:rFonts w:ascii="Times New Roman" w:eastAsia="Times New Roman" w:hAnsi="Times New Roman" w:cs="Times New Roman"/>
                <w:b/>
                <w:i/>
                <w:strike w:val="0"/>
                <w:color w:val="000000"/>
                <w:sz w:val="24"/>
                <w:highlight w:val="none"/>
                <w:u w:val="none" w:color="auto"/>
              </w:rPr>
              <w:t xml:space="preserve"> – vagy mindkettő –</w:t>
            </w:r>
            <w:r>
              <w:t xml:space="preserve"> és minden egyéb személyes adat</w:t>
            </w:r>
            <w:r>
              <w:rPr>
                <w:rFonts w:ascii="Times New Roman" w:eastAsia="Times New Roman" w:hAnsi="Times New Roman" w:cs="Times New Roman"/>
                <w:b/>
                <w:i/>
                <w:strike w:val="0"/>
                <w:color w:val="000000"/>
                <w:sz w:val="24"/>
                <w:highlight w:val="none"/>
                <w:u w:val="none" w:color="auto"/>
              </w:rPr>
              <w:t xml:space="preserve"> </w:t>
            </w:r>
            <w:r>
              <w:t>ilyen hosszú ideig történő tárolására, a megőrzési időtartam ennél rövidebb lehet . Az ujjnyomatadatokat,</w:t>
            </w:r>
            <w:r>
              <w:rPr>
                <w:rFonts w:ascii="Times New Roman" w:eastAsia="Times New Roman" w:hAnsi="Times New Roman" w:cs="Times New Roman"/>
                <w:b/>
                <w:i/>
                <w:strike w:val="0"/>
                <w:color w:val="000000"/>
                <w:sz w:val="24"/>
                <w:highlight w:val="none"/>
                <w:u w:val="none" w:color="auto"/>
              </w:rPr>
              <w:t xml:space="preserve"> </w:t>
            </w:r>
            <w:r>
              <w:t xml:space="preserve">arcképmásokat </w:t>
            </w:r>
            <w:r>
              <w:rPr>
                <w:rFonts w:ascii="Times New Roman" w:eastAsia="Times New Roman" w:hAnsi="Times New Roman" w:cs="Times New Roman"/>
                <w:b/>
                <w:i/>
                <w:strike w:val="0"/>
                <w:color w:val="000000"/>
                <w:sz w:val="24"/>
                <w:highlight w:val="none"/>
                <w:u w:val="none" w:color="auto"/>
              </w:rPr>
              <w:t xml:space="preserve">– vagy mindkettőt – </w:t>
            </w:r>
            <w:r>
              <w:t>és minden egyéb személyes adatot</w:t>
            </w:r>
            <w:r>
              <w:rPr>
                <w:rFonts w:ascii="Times New Roman" w:eastAsia="Times New Roman" w:hAnsi="Times New Roman" w:cs="Times New Roman"/>
                <w:b/>
                <w:i/>
                <w:strike w:val="0"/>
                <w:color w:val="000000"/>
                <w:sz w:val="24"/>
                <w:highlight w:val="none"/>
                <w:u w:val="none" w:color="auto"/>
              </w:rPr>
              <w:t xml:space="preserve"> </w:t>
            </w:r>
            <w:r>
              <w:t>azonnal törölni kell, amint a harmadik országbeli állampolgárok vagy hontalan személyek állampolgárságot szereznek valamely tagállamban</w:t>
            </w:r>
            <w:r>
              <w:rPr>
                <w:rFonts w:ascii="Times New Roman" w:eastAsia="Times New Roman" w:hAnsi="Times New Roman" w:cs="Times New Roman"/>
                <w:b/>
                <w:i/>
                <w:strike w:val="0"/>
                <w:color w:val="000000"/>
                <w:sz w:val="24"/>
                <w:highlight w:val="none"/>
                <w:u w:val="none" w:color="auto"/>
              </w:rPr>
              <w:t>, illetve gyermekek esetén amint 18. életévüket betöltik</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Erre a módosításra a szöveg logikájának fenntartása érdekében van szükség, mivel annak az emberkereskedelem áldozatául esett gyermekek védelmét és a kíséret nélküli, eltűnt vagy megszökött gyermekek azonosítását és védelmét kell szolgálnia, ahogyan azt az Európai Bizottság hangsúlyozta a javaslatban szereplő, átdolgozott Eurodac-rendeletet kísérő indokolásában. A Charta 7., 8. és 24. cikkének való megfelelés érdekében a hatéves gyermekek biometrikus adatainak feldolgozása csak abban az esetben indokolható, ha kifejezetten a gyermekvédelmi célt szolgál.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133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Sophia in 't Veld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34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(34)</w:t>
            </w:r>
            <w:r>
              <w:tab/>
            </w:r>
            <w:r>
              <w:t>Egyes különleges esetekben, amikor nincs szükség az ujjnyomatadatok,</w:t>
            </w:r>
            <w:r>
              <w:rPr>
                <w:rFonts w:ascii="Times New Roman" w:eastAsia="Times New Roman" w:hAnsi="Times New Roman" w:cs="Times New Roman"/>
                <w:b/>
                <w:i/>
                <w:strike w:val="0"/>
                <w:color w:val="000000"/>
                <w:sz w:val="24"/>
                <w:highlight w:val="none"/>
                <w:u w:val="none" w:color="auto"/>
              </w:rPr>
              <w:t xml:space="preserve">  </w:t>
            </w:r>
            <w:r>
              <w:t>arcképmások és minden egyéb személyes adat</w:t>
            </w:r>
            <w:r>
              <w:rPr>
                <w:rFonts w:ascii="Times New Roman" w:eastAsia="Times New Roman" w:hAnsi="Times New Roman" w:cs="Times New Roman"/>
                <w:b/>
                <w:i/>
                <w:strike w:val="0"/>
                <w:color w:val="000000"/>
                <w:sz w:val="24"/>
                <w:highlight w:val="none"/>
                <w:u w:val="none" w:color="auto"/>
              </w:rPr>
              <w:t xml:space="preserve">  </w:t>
            </w:r>
            <w:r>
              <w:t>ilyen hosszú ideig történő tárolására, a megőrzési időtartam ennél rövidebb lehet . Az ujjnyomatadatokat,</w:t>
            </w:r>
            <w:r>
              <w:rPr>
                <w:rFonts w:ascii="Times New Roman" w:eastAsia="Times New Roman" w:hAnsi="Times New Roman" w:cs="Times New Roman"/>
                <w:b/>
                <w:i/>
                <w:strike w:val="0"/>
                <w:color w:val="000000"/>
                <w:sz w:val="24"/>
                <w:highlight w:val="none"/>
                <w:u w:val="none" w:color="auto"/>
              </w:rPr>
              <w:t xml:space="preserve">  </w:t>
            </w:r>
            <w:r>
              <w:t>arcképmásokat és minden egyéb személyes adatot</w:t>
            </w:r>
            <w:r>
              <w:rPr>
                <w:rFonts w:ascii="Times New Roman" w:eastAsia="Times New Roman" w:hAnsi="Times New Roman" w:cs="Times New Roman"/>
                <w:b/>
                <w:i/>
                <w:strike w:val="0"/>
                <w:color w:val="000000"/>
                <w:sz w:val="24"/>
                <w:highlight w:val="none"/>
                <w:u w:val="none" w:color="auto"/>
              </w:rPr>
              <w:t xml:space="preserve">  </w:t>
            </w:r>
            <w:r>
              <w:t>azonnal törölni kell, amint a harmadik országbeli állampolgárok vagy hontalan személyek állampolgárságot szereznek valamely tagállamban.</w:t>
            </w:r>
          </w:p>
        </w:tc>
        <w:tc>
          <w:tcPr/>
          <w:p>
            <w:pPr>
              <w:pStyle w:val="Normal6"/>
            </w:pPr>
            <w:r>
              <w:t>(34)</w:t>
            </w:r>
            <w:r>
              <w:tab/>
            </w:r>
            <w:r>
              <w:t>Egyes különleges esetekben, amikor nincs szükség az ujjnyomatadatok,</w:t>
            </w:r>
            <w:r>
              <w:rPr>
                <w:rFonts w:ascii="Times New Roman" w:eastAsia="Times New Roman" w:hAnsi="Times New Roman" w:cs="Times New Roman"/>
                <w:b/>
                <w:i/>
                <w:strike w:val="0"/>
                <w:color w:val="000000"/>
                <w:sz w:val="24"/>
                <w:highlight w:val="none"/>
                <w:u w:val="none" w:color="auto"/>
              </w:rPr>
              <w:t xml:space="preserve"> </w:t>
            </w:r>
            <w:r>
              <w:t>arcképmások és minden egyéb személyes adat</w:t>
            </w:r>
            <w:r>
              <w:rPr>
                <w:rFonts w:ascii="Times New Roman" w:eastAsia="Times New Roman" w:hAnsi="Times New Roman" w:cs="Times New Roman"/>
                <w:b/>
                <w:i/>
                <w:strike w:val="0"/>
                <w:color w:val="000000"/>
                <w:sz w:val="24"/>
                <w:highlight w:val="none"/>
                <w:u w:val="none" w:color="auto"/>
              </w:rPr>
              <w:t xml:space="preserve"> </w:t>
            </w:r>
            <w:r>
              <w:t>ilyen hosszú ideig történő tárolására, a megőrzési időtartam ennél rövidebb lehet . Az ujjnyomatadatokat,</w:t>
            </w:r>
            <w:r>
              <w:rPr>
                <w:rFonts w:ascii="Times New Roman" w:eastAsia="Times New Roman" w:hAnsi="Times New Roman" w:cs="Times New Roman"/>
                <w:b/>
                <w:i/>
                <w:strike w:val="0"/>
                <w:color w:val="000000"/>
                <w:sz w:val="24"/>
                <w:highlight w:val="none"/>
                <w:u w:val="none" w:color="auto"/>
              </w:rPr>
              <w:t xml:space="preserve"> </w:t>
            </w:r>
            <w:r>
              <w:t>arcképmásokat és minden egyéb személyes adatot</w:t>
            </w:r>
            <w:r>
              <w:rPr>
                <w:rFonts w:ascii="Times New Roman" w:eastAsia="Times New Roman" w:hAnsi="Times New Roman" w:cs="Times New Roman"/>
                <w:b/>
                <w:i/>
                <w:strike w:val="0"/>
                <w:color w:val="000000"/>
                <w:sz w:val="24"/>
                <w:highlight w:val="none"/>
                <w:u w:val="none" w:color="auto"/>
              </w:rPr>
              <w:t xml:space="preserve"> </w:t>
            </w:r>
            <w:r>
              <w:t>azonnal</w:t>
            </w:r>
            <w:r>
              <w:rPr>
                <w:rFonts w:ascii="Times New Roman" w:eastAsia="Times New Roman" w:hAnsi="Times New Roman" w:cs="Times New Roman"/>
                <w:b/>
                <w:i/>
                <w:strike w:val="0"/>
                <w:color w:val="000000"/>
                <w:sz w:val="24"/>
                <w:highlight w:val="none"/>
                <w:u w:val="none" w:color="auto"/>
              </w:rPr>
              <w:t xml:space="preserve"> és véglegesen</w:t>
            </w:r>
            <w:r>
              <w:t xml:space="preserve"> törölni kell, amint a harmadik országbeli állampolgárok vagy hontalan személyek állampolgárságot szereznek valamely tagállamban.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Az eljárási szabályzat 104. cikkével összhangban e módosítás azért szükséges, mert elválaszthatatlanul összefügg más olyan elfogadható módosításokkal az Eurodac céljait illetően (1. cikk), amelyek a szükségességre és az arányosságra vonatkozó elvek tiszteletben tartására utaló hivatkozásokat vezetnek be a Charta 52. cikkének (1) bekezdésének, valamint a Bíróság vonatkozó ítélkezési gyakorlatának megfelelően.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134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34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(34)</w:t>
            </w:r>
            <w:r>
              <w:tab/>
            </w:r>
            <w:r>
              <w:t>Egyes különleges esetekben, amikor nincs szükség az ujjnyomatadatok,  arcképmások és minden egyéb személyes adat  ilyen hosszú ideig történő tárolására, a megőrzési időtartam ennél rövidebb lehet . Az ujjnyomatadatokat,  arcképmásokat és minden egyéb személyes adatot  azonnal törölni kell, amint a harmadik országbeli állampolgárok vagy hontalan személyek állampolgárságot szereznek valamely tagállamban.</w:t>
            </w:r>
          </w:p>
        </w:tc>
        <w:tc>
          <w:tcPr/>
          <w:p>
            <w:pPr>
              <w:pStyle w:val="Normal6"/>
            </w:pPr>
            <w:r>
              <w:rPr>
                <w:rFonts w:ascii="Times New Roman" w:eastAsia="Times New Roman" w:hAnsi="Times New Roman" w:cs="Times New Roman"/>
                <w:b w:val="0"/>
                <w:i/>
                <w:strike w:val="0"/>
                <w:color w:val="000000"/>
                <w:sz w:val="24"/>
                <w:highlight w:val="none"/>
                <w:u w:val="none" w:color="auto"/>
              </w:rPr>
              <w:t>(A magyar változatot nem érinti.)</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r>
        <w:t>(A magyar változatot nem érinti.)</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135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37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(37)</w:t>
            </w:r>
            <w:r>
              <w:tab/>
            </w:r>
            <w:r>
              <w:t>Egyértelműen meg kell állapítani a Bizottság és az</w:t>
            </w:r>
            <w:r>
              <w:rPr>
                <w:rFonts w:ascii="Times New Roman" w:eastAsia="Times New Roman" w:hAnsi="Times New Roman" w:cs="Times New Roman"/>
                <w:b/>
                <w:i/>
                <w:strike w:val="0"/>
                <w:color w:val="000000"/>
                <w:sz w:val="24"/>
                <w:highlight w:val="none"/>
                <w:u w:val="none" w:color="auto"/>
              </w:rPr>
              <w:t xml:space="preserve">  eu-LISA  </w:t>
            </w:r>
            <w:r>
              <w:t>feladatkörét a központi rendszer</w:t>
            </w:r>
            <w:r>
              <w:rPr>
                <w:rFonts w:ascii="Times New Roman" w:eastAsia="Times New Roman" w:hAnsi="Times New Roman" w:cs="Times New Roman"/>
                <w:b/>
                <w:i/>
                <w:strike w:val="0"/>
                <w:color w:val="000000"/>
                <w:sz w:val="24"/>
                <w:highlight w:val="none"/>
                <w:u w:val="none" w:color="auto"/>
              </w:rPr>
              <w:t xml:space="preserve"> és</w:t>
            </w:r>
            <w:r>
              <w:t xml:space="preserve"> a kommunikációs infrastruktúra tekintetében, valamint a tagállamok feladatkörét az adatfeldolgozást, az adatbiztonságot és a nyilvántartott adatokhoz való hozzáférést és azok helyesbítését illetően.</w:t>
            </w:r>
          </w:p>
        </w:tc>
        <w:tc>
          <w:tcPr/>
          <w:p>
            <w:pPr>
              <w:pStyle w:val="Normal6"/>
            </w:pPr>
            <w:r>
              <w:t>(37)</w:t>
            </w:r>
            <w:r>
              <w:tab/>
            </w:r>
            <w:r>
              <w:t>Egyértelműen meg kell állapítani a Bizottság és az</w:t>
            </w:r>
            <w:r>
              <w:rPr>
                <w:rFonts w:ascii="Times New Roman" w:eastAsia="Times New Roman" w:hAnsi="Times New Roman" w:cs="Times New Roman"/>
                <w:b/>
                <w:i/>
                <w:strike w:val="0"/>
                <w:color w:val="000000"/>
                <w:sz w:val="24"/>
                <w:highlight w:val="none"/>
                <w:u w:val="none" w:color="auto"/>
              </w:rPr>
              <w:t xml:space="preserve"> eu-LISA </w:t>
            </w:r>
            <w:r>
              <w:t>feladatkörét a központi rendszer</w:t>
            </w:r>
            <w:r>
              <w:rPr>
                <w:rFonts w:ascii="Times New Roman" w:eastAsia="Times New Roman" w:hAnsi="Times New Roman" w:cs="Times New Roman"/>
                <w:b/>
                <w:i/>
                <w:strike w:val="0"/>
                <w:color w:val="000000"/>
                <w:sz w:val="24"/>
                <w:highlight w:val="none"/>
                <w:u w:val="none" w:color="auto"/>
              </w:rPr>
              <w:t>,</w:t>
            </w:r>
            <w:r>
              <w:t xml:space="preserve"> a kommunikációs infrastruktúra</w:t>
            </w:r>
            <w:r>
              <w:rPr>
                <w:rFonts w:ascii="Times New Roman" w:eastAsia="Times New Roman" w:hAnsi="Times New Roman" w:cs="Times New Roman"/>
                <w:b/>
                <w:i/>
                <w:strike w:val="0"/>
                <w:color w:val="000000"/>
                <w:sz w:val="24"/>
                <w:highlight w:val="none"/>
                <w:u w:val="none" w:color="auto"/>
              </w:rPr>
              <w:t xml:space="preserve"> és más információs rendszerekkel való interoperabilitás</w:t>
            </w:r>
            <w:r>
              <w:t xml:space="preserve"> tekintetében, valamint a tagállamok feladatkörét az adatfeldolgozást, az adatbiztonságot és a nyilvántartott adatokhoz való hozzáférést és azok helyesbítését illetően.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Egyértelműen meg kell állapítani az eu-Lisa feladatkörét a rendszer jövőbeli fejlesztése és más információs rendszerekkel való interoperabilitása tekintetében.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136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41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(41)</w:t>
            </w:r>
            <w:r>
              <w:tab/>
            </w:r>
            <w:r>
              <w:rPr>
                <w:rFonts w:ascii="Times New Roman" w:eastAsia="Times New Roman" w:hAnsi="Times New Roman" w:cs="Times New Roman"/>
                <w:b/>
                <w:i/>
                <w:strike w:val="0"/>
                <w:color w:val="000000"/>
                <w:sz w:val="24"/>
                <w:highlight w:val="none"/>
                <w:u w:val="none" w:color="auto"/>
              </w:rPr>
              <w:t>A személyes adatok védelme érdekében és különösen a tiltott szisztematikus összehasonlítást megakadályozandó, az Eurodac-adatokat egyedi alapon</w:t>
            </w:r>
            <w:r>
              <w:t xml:space="preserve"> kell feldolgozni, és csak akkor, amikor ez a terrorcselekmények vagy egyéb súlyos bűncselekmények megelőzése, felderítése vagy kivizsgálása érdekében szükséges.</w:t>
            </w:r>
            <w:r>
              <w:rPr>
                <w:rFonts w:ascii="Times New Roman" w:eastAsia="Times New Roman" w:hAnsi="Times New Roman" w:cs="Times New Roman"/>
                <w:b/>
                <w:i/>
                <w:strike w:val="0"/>
                <w:color w:val="000000"/>
                <w:sz w:val="24"/>
                <w:highlight w:val="none"/>
                <w:u w:val="none" w:color="auto"/>
              </w:rPr>
              <w:t xml:space="preserve"> </w:t>
            </w:r>
            <w:r>
              <w:t>Ilyen eset áll fenn különösen akkor, amikor az összehasonlításra irányuló kérés egyedi és konkrét helyzethez, terrorcselekménnyel vagy egyéb súlyos bűncselekménnyel összefüggő egyedi és konkrét fenyegetéshez vagy olyan meghatározott személyekhez kötődik, akikkel kapcsolatban alapos okkal feltételezhető, hogy ilyen cselekményeket követtek el. Ilyen eset áll fenn akkor is, amikor az összehasonlításra irányuló kérés olyan személyhez kötődik, aki terrorcselekmény vagy egyéb súlyos bűncselekmény áldozata. A kijelölt hatóságok és az Europol kizárólag akkor kérhetik az Eurodac-adatokkal történő összehasonlítást, ha komoly okkal feltételezik, hogy ez olyan információkkal szolgál majd, amelyek érdemben segítik őket terrorcselekmények vagy egyéb súlyos bűncselekmények megelőzésében, felderítésében vagy kivizsgálásában.</w:t>
            </w:r>
          </w:p>
        </w:tc>
        <w:tc>
          <w:tcPr/>
          <w:p>
            <w:pPr>
              <w:pStyle w:val="Normal6"/>
            </w:pPr>
            <w:r>
              <w:t>(41)</w:t>
            </w:r>
            <w:r>
              <w:tab/>
            </w:r>
            <w:r>
              <w:rPr>
                <w:rFonts w:ascii="Times New Roman" w:eastAsia="Times New Roman" w:hAnsi="Times New Roman" w:cs="Times New Roman"/>
                <w:b/>
                <w:i/>
                <w:strike w:val="0"/>
                <w:color w:val="000000"/>
                <w:sz w:val="24"/>
                <w:highlight w:val="none"/>
                <w:u w:val="none" w:color="auto"/>
              </w:rPr>
              <w:t>Az Eurodac-adatokat egyedi alapon, a személyes adatok védelméről szóló uniós jogszabályokkal összhangban</w:t>
            </w:r>
            <w:r>
              <w:t xml:space="preserve"> kell feldolgozni, és csak akkor, amikor ez a terrorcselekmények vagy egyéb súlyos bűncselekmények megelőzése, felderítése vagy kivizsgálása érdekében szükséges.</w:t>
            </w:r>
            <w:r>
              <w:rPr>
                <w:rFonts w:ascii="Times New Roman" w:eastAsia="Times New Roman" w:hAnsi="Times New Roman" w:cs="Times New Roman"/>
                <w:b/>
                <w:i/>
                <w:strike w:val="0"/>
                <w:color w:val="000000"/>
                <w:sz w:val="24"/>
                <w:highlight w:val="none"/>
                <w:u w:val="none" w:color="auto"/>
              </w:rPr>
              <w:t xml:space="preserve"> </w:t>
            </w:r>
            <w:r>
              <w:t>Ilyen eset áll fenn különösen akkor, amikor az összehasonlításra irányuló kérés egyedi és konkrét helyzethez, terrorcselekménnyel vagy egyéb súlyos bűncselekménnyel összefüggő egyedi és konkrét fenyegetéshez vagy olyan meghatározott személyekhez kötődik, akikkel kapcsolatban alapos okkal feltételezhető, hogy ilyen cselekményeket követtek el. Ilyen eset áll fenn akkor is, amikor az összehasonlításra irányuló kérés olyan személyhez kötődik, aki terrorcselekmény vagy egyéb súlyos bűncselekmény áldozata. A kijelölt hatóságok és az Europol kizárólag akkor kérhetik az Eurodac-adatokkal történő összehasonlítást, ha komoly okkal feltételezik, hogy ez olyan információkkal szolgál majd, amelyek érdemben segítik őket terrorcselekmények vagy egyéb súlyos bűncselekmények megelőzésében, felderítésében vagy kivizsgálásában.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Az Eurodac-adatok csak egyedi alapon és a személyes adatok felhasználását szabályozó uniós jogszabályokkal összhangban dolgozhatók fel.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137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42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(42)</w:t>
            </w:r>
            <w:r>
              <w:tab/>
            </w:r>
            <w:r>
              <w:t xml:space="preserve">A hozzáférés ezenfelül csak akkor engedélyezhető, ha </w:t>
            </w:r>
            <w:r>
              <w:rPr>
                <w:rFonts w:ascii="Times New Roman" w:eastAsia="Times New Roman" w:hAnsi="Times New Roman" w:cs="Times New Roman"/>
                <w:b/>
                <w:i/>
                <w:strike w:val="0"/>
                <w:color w:val="000000"/>
                <w:sz w:val="24"/>
                <w:highlight w:val="none"/>
                <w:u w:val="none" w:color="auto"/>
              </w:rPr>
              <w:t>a 2008/615/IB tanácsi határozat</w:t>
            </w:r>
            <w:r>
              <w:rPr>
                <w:rStyle w:val="SupBoldItalic"/>
              </w:rPr>
              <w:t>36</w:t>
            </w:r>
            <w:r>
              <w:rPr>
                <w:rFonts w:ascii="Times New Roman" w:eastAsia="Times New Roman" w:hAnsi="Times New Roman" w:cs="Times New Roman"/>
                <w:b/>
                <w:i/>
                <w:strike w:val="0"/>
                <w:color w:val="000000"/>
                <w:sz w:val="24"/>
                <w:highlight w:val="none"/>
                <w:u w:val="none" w:color="auto"/>
              </w:rPr>
              <w:t xml:space="preserve"> alapján</w:t>
            </w:r>
            <w:r>
              <w:t xml:space="preserve"> a tagállam </w:t>
            </w:r>
            <w:r>
              <w:rPr>
                <w:rFonts w:ascii="Times New Roman" w:eastAsia="Times New Roman" w:hAnsi="Times New Roman" w:cs="Times New Roman"/>
                <w:b/>
                <w:i/>
                <w:strike w:val="0"/>
                <w:color w:val="000000"/>
                <w:sz w:val="24"/>
                <w:highlight w:val="none"/>
                <w:u w:val="none" w:color="auto"/>
              </w:rPr>
              <w:t>ujjnyomat-adatbázisaival és az összes többi tagállam automatizált ujjnyomat-azonosító rendszereivel elvégzett összehasonlítás nem vezetett az érintett személyazonosságának a megállapításához</w:t>
            </w:r>
            <w:r>
              <w:t>. E feltétel megköveteli a megkereső tagállamtól, hogy az összes többi tagállam automatizált ujjnyomat-azonosító rendszereivel a 2008/615/IB határozat értelmében összehasonlításokat végezzen, kivéve, ha igazolni tudja, hogy az megalapozott indokok alapján, feltételezhetően nem vezetne az érintett személyazonosságának a megállapításához. Megalapozott indokok állnak fenn különösen akkor, amikor az egyedi eset nem mutat semmilyen üzemeltetési vagy nyomozati kapcsolatot egy adott tagállammal. E feltétel a 2008/615/IB határozat előzetes jogi és technikai végrehajtását követeli meg a megkereső tagállam részéről az ujjnyomatadatok területén, mivel nem lehet bűnüldözési célú Eurodac-ellenőrzést végezni a fenti lépések megtétele előtt.</w:t>
            </w:r>
          </w:p>
        </w:tc>
        <w:tc>
          <w:tcPr/>
          <w:p>
            <w:pPr>
              <w:pStyle w:val="Normal6"/>
            </w:pPr>
            <w:r>
              <w:t>(42)</w:t>
            </w:r>
            <w:r>
              <w:tab/>
            </w:r>
            <w:r>
              <w:t xml:space="preserve">A hozzáférés ezenfelül csak akkor engedélyezhető, ha </w:t>
            </w:r>
            <w:r>
              <w:rPr>
                <w:rFonts w:ascii="Times New Roman" w:eastAsia="Times New Roman" w:hAnsi="Times New Roman" w:cs="Times New Roman"/>
                <w:b/>
                <w:i/>
                <w:strike w:val="0"/>
                <w:color w:val="000000"/>
                <w:sz w:val="24"/>
                <w:highlight w:val="none"/>
                <w:u w:val="none" w:color="auto"/>
              </w:rPr>
              <w:t>végeztek előzetes keresést</w:t>
            </w:r>
            <w:r>
              <w:t xml:space="preserve"> a tagállam </w:t>
            </w:r>
            <w:r>
              <w:rPr>
                <w:rFonts w:ascii="Times New Roman" w:eastAsia="Times New Roman" w:hAnsi="Times New Roman" w:cs="Times New Roman"/>
                <w:b/>
                <w:i/>
                <w:strike w:val="0"/>
                <w:color w:val="000000"/>
                <w:sz w:val="24"/>
                <w:highlight w:val="none"/>
                <w:u w:val="none" w:color="auto"/>
              </w:rPr>
              <w:t>ujjnyomatadatokat és arcképmásokat tartalmazó adatbázisaiban és az összes többi tagállamnak a 2008/615/IB tanácsi határozatban</w:t>
            </w:r>
            <w:r>
              <w:rPr>
                <w:rStyle w:val="SupBoldItalic"/>
              </w:rPr>
              <w:t>36</w:t>
            </w:r>
            <w:r>
              <w:rPr>
                <w:rFonts w:ascii="Times New Roman" w:eastAsia="Times New Roman" w:hAnsi="Times New Roman" w:cs="Times New Roman"/>
                <w:b/>
                <w:i/>
                <w:strike w:val="0"/>
                <w:color w:val="000000"/>
                <w:sz w:val="24"/>
                <w:highlight w:val="none"/>
                <w:u w:val="none" w:color="auto"/>
              </w:rPr>
              <w:t xml:space="preserve"> említett automatizált ujjnyomat-azonosító rendszereiben</w:t>
            </w:r>
            <w:r>
              <w:t>. E feltétel megköveteli a megkereső tagállamtól, hogy az összes többi tagállam automatizált ujjnyomat-azonosító rendszereivel a 2008/615/IB határozat értelmében összehasonlításokat végezzen, kivéve, ha igazolni tudja, hogy az megalapozott indokok alapján, feltételezhetően nem vezetne az érintett személyazonosságának a megállapításához. Megalapozott indokok állnak fenn különösen akkor, amikor az egyedi eset nem mutat semmilyen üzemeltetési vagy nyomozati kapcsolatot egy adott tagállammal. E feltétel a 2008/615/IB határozat előzetes jogi és technikai végrehajtását követeli meg a megkereső tagállam részéről az ujjnyomatadatok területén, mivel nem lehet bűnüldözési célú Eurodac-ellenőrzést végezni a fenti lépések megtétele előtt.</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BoldItalic"/>
              </w:rPr>
              <w:t>36</w:t>
            </w:r>
            <w:r>
              <w:t xml:space="preserve"> </w:t>
            </w:r>
            <w:r>
              <w:t>A Tanács 2008. június 23-i 2008/615/IB határozata a különösen a terrorizmus és a határokon átnyúló bűnözés elleni küzdelemre irányuló, határokon átnyúló együttműködés megerősítéséről (HL L 210., 2008.8.6., 1. o.).</w:t>
            </w:r>
          </w:p>
        </w:tc>
        <w:tc>
          <w:tcPr/>
          <w:p>
            <w:pPr>
              <w:pStyle w:val="Normal6"/>
            </w:pPr>
            <w:r>
              <w:rPr>
                <w:rStyle w:val="SupBoldItalic"/>
              </w:rPr>
              <w:t>36</w:t>
            </w:r>
            <w:r>
              <w:t xml:space="preserve"> </w:t>
            </w:r>
            <w:r>
              <w:t>A Tanács 2008. június 23-i 2008/615/IB határozata a különösen a terrorizmus és a határokon átnyúló bűnözés elleni küzdelemre irányuló, határokon átnyúló együttműködés megerősítéséről (HL L 210., 2008.8.6., 1. 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 célnak a (nem kodifikált) javaslat 1. cikke (1) bekezdésének c) pontjában megállapított kiterjesztésével összhangban, amely előírja, hogy az Eurodac nem csak a Dublini Rendelet végrehajtására, hanem bűnüldözési célokra is szolgál. A tagállami kijelölt hatóságok és az Europol kötelezettségeinek teljesítése érdekében az Eurodachoz való hozzáférést célzó eljárásnak gyorsnak és hatékonynak kell lennie, ugyanakkor figyelembe kell venni, hogy az Eurodac fő célja a tagállamok a Dublini Rendelet alkalmazásában való támogatása.</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138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43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(43)</w:t>
            </w:r>
            <w:r>
              <w:tab/>
            </w:r>
            <w:r>
              <w:rPr>
                <w:rFonts w:ascii="Times New Roman" w:eastAsia="Times New Roman" w:hAnsi="Times New Roman" w:cs="Times New Roman"/>
                <w:b/>
                <w:i/>
                <w:strike w:val="0"/>
                <w:color w:val="000000"/>
                <w:sz w:val="24"/>
                <w:highlight w:val="none"/>
                <w:u w:val="none" w:color="auto"/>
              </w:rPr>
              <w:t>A 2008/633/IB tanácsi határozat</w:t>
            </w:r>
            <w:r>
              <w:rPr>
                <w:rStyle w:val="SupBoldItalic"/>
              </w:rPr>
              <w:t>37</w:t>
            </w:r>
            <w:r>
              <w:rPr>
                <w:rFonts w:ascii="Times New Roman" w:eastAsia="Times New Roman" w:hAnsi="Times New Roman" w:cs="Times New Roman"/>
                <w:b/>
                <w:i/>
                <w:strike w:val="0"/>
                <w:color w:val="000000"/>
                <w:sz w:val="24"/>
                <w:highlight w:val="none"/>
                <w:u w:val="none" w:color="auto"/>
              </w:rPr>
              <w:t xml:space="preserve"> alapján a kijelölt hatóságoknak az Eurodacba való betekintést megelőzően – amennyiben az összehasonlítás feltételei teljesülnek – be kell tekinteniük a vízuminformációs rendszerbe.</w:t>
            </w:r>
          </w:p>
        </w:tc>
        <w:tc>
          <w:tcPr/>
          <w:p>
            <w:pPr>
              <w:pStyle w:val="Normal6"/>
            </w:pPr>
            <w:r>
              <w:rPr>
                <w:rFonts w:ascii="Times New Roman" w:eastAsia="Times New Roman" w:hAnsi="Times New Roman" w:cs="Times New Roman"/>
                <w:b/>
                <w:i/>
                <w:strike w:val="0"/>
                <w:color w:val="000000"/>
                <w:sz w:val="24"/>
                <w:highlight w:val="none"/>
                <w:u w:val="none" w:color="auto"/>
              </w:rPr>
              <w:t>törölve</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BoldItalic"/>
              </w:rPr>
              <w:t>37</w:t>
            </w:r>
            <w:r>
              <w:t xml:space="preserve"> </w:t>
            </w:r>
            <w:r>
              <w:rPr>
                <w:rFonts w:ascii="Times New Roman" w:eastAsia="Times New Roman" w:hAnsi="Times New Roman" w:cs="Times New Roman"/>
                <w:b/>
                <w:i/>
                <w:strike w:val="0"/>
                <w:color w:val="000000"/>
                <w:sz w:val="24"/>
                <w:highlight w:val="none"/>
                <w:u w:val="none" w:color="auto"/>
              </w:rPr>
              <w:t>A Tanács 2008. június 23-i 2008/633/IB határozata a vízuminformációs rendszerhez (VIS) a tagállamok kijelölt hatóságai, valamint az Europol számára a terrorcselekmények és egyéb súlyos bűncselekmények megelőzése, felderítése és kivizsgálása érdekében, betekintés céljából történő hozzáférésről (HL L 218., 2008.8.13., 129. o.).</w:t>
            </w:r>
          </w:p>
        </w:tc>
        <w:tc>
          <w:tcPr/>
          <w:p>
            <w:pPr>
              <w:pStyle w:val="Normal6"/>
            </w:pP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 célnak a nem kodifikált javaslat 1. cikke (1) bekezdése c) pontjában megállapított kiterjesztésével összhangban, amely előírja, hogy az Eurodac nem csak a Dublini Rendelet végrehajtására, hanem bűnüldözési célokra is szolgál. A tagállami kijelölt hatóságok és az Europol – az e rendeletben meghatározott bűnüldöző hatóságok – kötelezettségeinek teljesítése érdekében az Eurodachoz való hozzáférést célzó eljárásnak gyorsnak és hatékonynak kell lennie, ugyanakkor figyelembe kell venni, hogy az Eurodac fő célja a tagállamok a Dublini Rendelet alkalmazásában való támogatása.</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139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46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(46)</w:t>
            </w:r>
            <w:r>
              <w:tab/>
            </w:r>
            <w:r>
              <w:t>Mivel e rendelet célját – nevezetesen az Unió menedékjogi</w:t>
            </w:r>
            <w:r>
              <w:rPr>
                <w:rFonts w:ascii="Times New Roman" w:eastAsia="Times New Roman" w:hAnsi="Times New Roman" w:cs="Times New Roman"/>
                <w:b/>
                <w:i/>
                <w:strike w:val="0"/>
                <w:color w:val="000000"/>
                <w:sz w:val="24"/>
                <w:highlight w:val="none"/>
                <w:u w:val="none" w:color="auto"/>
              </w:rPr>
              <w:t xml:space="preserve">  </w:t>
            </w:r>
            <w:r>
              <w:t>és migrációs</w:t>
            </w:r>
            <w:r>
              <w:rPr>
                <w:rFonts w:ascii="Times New Roman" w:eastAsia="Times New Roman" w:hAnsi="Times New Roman" w:cs="Times New Roman"/>
                <w:b/>
                <w:i/>
                <w:strike w:val="0"/>
                <w:color w:val="000000"/>
                <w:sz w:val="24"/>
                <w:highlight w:val="none"/>
                <w:u w:val="none" w:color="auto"/>
              </w:rPr>
              <w:t xml:space="preserve">  </w:t>
            </w:r>
            <w:r>
              <w:t>politikája végrehajtásának elősegítése céljából az ujjnyomatadatok</w:t>
            </w:r>
            <w:r>
              <w:rPr>
                <w:rFonts w:ascii="Times New Roman" w:eastAsia="Times New Roman" w:hAnsi="Times New Roman" w:cs="Times New Roman"/>
                <w:b/>
                <w:i/>
                <w:strike w:val="0"/>
                <w:color w:val="000000"/>
                <w:sz w:val="24"/>
                <w:highlight w:val="none"/>
                <w:u w:val="none" w:color="auto"/>
              </w:rPr>
              <w:t xml:space="preserve">  és</w:t>
            </w:r>
            <w:r>
              <w:t xml:space="preserve"> arcképmások</w:t>
            </w:r>
            <w:r>
              <w:rPr>
                <w:rFonts w:ascii="Times New Roman" w:eastAsia="Times New Roman" w:hAnsi="Times New Roman" w:cs="Times New Roman"/>
                <w:b/>
                <w:i/>
                <w:strike w:val="0"/>
                <w:color w:val="000000"/>
                <w:sz w:val="24"/>
                <w:highlight w:val="none"/>
                <w:u w:val="none" w:color="auto"/>
              </w:rPr>
              <w:t xml:space="preserve">  </w:t>
            </w:r>
            <w:r>
              <w:t>összehasonlítására szolgáló rendszer létrehozása – annak jellegénél fogva a tagállamok nem tudják kielégítően megvalósítani, és ezért az uniós szinten jobban megvalósítható, az Unió intézkedéseket hozhat az Európai Unióról szóló szerződés (EUSZ) 5. cikkében foglalt szubszidiaritás elvének megfelelően. Az említett cikkben foglalt arányossági elvének megfelelően ez a rendelet nem lépi túl az e cél eléréséhez szükséges mértéket.</w:t>
            </w:r>
          </w:p>
        </w:tc>
        <w:tc>
          <w:tcPr/>
          <w:p>
            <w:pPr>
              <w:pStyle w:val="Normal6"/>
            </w:pPr>
            <w:r>
              <w:t>(46)</w:t>
            </w:r>
            <w:r>
              <w:tab/>
            </w:r>
            <w:r>
              <w:t>Mivel e rendelet célját – nevezetesen az Unió menedékjogi</w:t>
            </w:r>
            <w:r>
              <w:rPr>
                <w:rFonts w:ascii="Times New Roman" w:eastAsia="Times New Roman" w:hAnsi="Times New Roman" w:cs="Times New Roman"/>
                <w:b/>
                <w:i/>
                <w:strike w:val="0"/>
                <w:color w:val="000000"/>
                <w:sz w:val="24"/>
                <w:highlight w:val="none"/>
                <w:u w:val="none" w:color="auto"/>
              </w:rPr>
              <w:t xml:space="preserve"> </w:t>
            </w:r>
            <w:r>
              <w:t>és migrációs</w:t>
            </w:r>
            <w:r>
              <w:rPr>
                <w:rFonts w:ascii="Times New Roman" w:eastAsia="Times New Roman" w:hAnsi="Times New Roman" w:cs="Times New Roman"/>
                <w:b/>
                <w:i/>
                <w:strike w:val="0"/>
                <w:color w:val="000000"/>
                <w:sz w:val="24"/>
                <w:highlight w:val="none"/>
                <w:u w:val="none" w:color="auto"/>
              </w:rPr>
              <w:t xml:space="preserve"> </w:t>
            </w:r>
            <w:r>
              <w:t>politikája végrehajtásának elősegítése céljából az ujjnyomatadatok</w:t>
            </w:r>
            <w:r>
              <w:rPr>
                <w:rFonts w:ascii="Times New Roman" w:eastAsia="Times New Roman" w:hAnsi="Times New Roman" w:cs="Times New Roman"/>
                <w:b/>
                <w:i/>
                <w:strike w:val="0"/>
                <w:color w:val="000000"/>
                <w:sz w:val="24"/>
                <w:highlight w:val="none"/>
                <w:u w:val="none" w:color="auto"/>
              </w:rPr>
              <w:t>,</w:t>
            </w:r>
            <w:r>
              <w:t xml:space="preserve"> arcképmások</w:t>
            </w:r>
            <w:r>
              <w:rPr>
                <w:rFonts w:ascii="Times New Roman" w:eastAsia="Times New Roman" w:hAnsi="Times New Roman" w:cs="Times New Roman"/>
                <w:b/>
                <w:i/>
                <w:strike w:val="0"/>
                <w:color w:val="000000"/>
                <w:sz w:val="24"/>
                <w:highlight w:val="none"/>
                <w:u w:val="none" w:color="auto"/>
              </w:rPr>
              <w:t xml:space="preserve">, illetve mindkettő </w:t>
            </w:r>
            <w:r>
              <w:t>összehasonlítására szolgáló rendszer létrehozása – annak jellegénél fogva a tagállamok nem tudják kielégítően megvalósítani, és ezért az uniós szinten jobban megvalósítható, az Unió intézkedéseket hozhat az Európai Unióról szóló szerződés (EUSZ) 5. cikkében foglalt szubszidiaritás elvének megfelelően. Az említett cikkben foglalt arányossági elvének megfelelően ez a rendelet nem lépi túl az e cél eléréséhez szükséges mértéket.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140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50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(50)</w:t>
            </w:r>
            <w:r>
              <w:tab/>
            </w:r>
            <w:r>
              <w:t>A központi rendszerből valamely tagállam vagy az Europol által e rendelet alapján megszerzett személyes adatokat tilos harmadik ország, nemzetközi szervezet vagy az Unióban vagy azon kívül letelepedett magánfél számára továbbítani a menedékjog biztosítása érdekében és a nemzetközi védelmet kérő személyek védelmében, megakadályozandó, hogy adataikhoz harmadik országok hozzájussanak. Ez azt jelenti, hogy a tagállamok nem továbbíthatnak a központi rendszerből az alábbiak vonatkozásában szerzett információkat:</w:t>
            </w:r>
            <w:r>
              <w:rPr>
                <w:rFonts w:ascii="Times New Roman" w:eastAsia="Times New Roman" w:hAnsi="Times New Roman" w:cs="Times New Roman"/>
                <w:b/>
                <w:i/>
                <w:strike w:val="0"/>
                <w:color w:val="000000"/>
                <w:sz w:val="24"/>
                <w:highlight w:val="none"/>
                <w:u w:val="none" w:color="auto"/>
              </w:rPr>
              <w:t xml:space="preserve">  </w:t>
            </w:r>
            <w:r>
              <w:t>név (nevek), születési idő, állampolgárság,</w:t>
            </w:r>
            <w:r>
              <w:rPr>
                <w:rFonts w:ascii="Times New Roman" w:eastAsia="Times New Roman" w:hAnsi="Times New Roman" w:cs="Times New Roman"/>
                <w:b/>
                <w:i/>
                <w:strike w:val="0"/>
                <w:color w:val="000000"/>
                <w:sz w:val="24"/>
                <w:highlight w:val="none"/>
                <w:u w:val="none" w:color="auto"/>
              </w:rPr>
              <w:t xml:space="preserve">  </w:t>
            </w:r>
            <w:r>
              <w:t>a származási hely szerinti tagállam</w:t>
            </w:r>
            <w:r>
              <w:rPr>
                <w:rFonts w:ascii="Times New Roman" w:eastAsia="Times New Roman" w:hAnsi="Times New Roman" w:cs="Times New Roman"/>
                <w:b/>
                <w:i/>
                <w:strike w:val="0"/>
                <w:color w:val="000000"/>
                <w:sz w:val="24"/>
                <w:highlight w:val="none"/>
                <w:u w:val="none" w:color="auto"/>
              </w:rPr>
              <w:t xml:space="preserve">  </w:t>
            </w:r>
            <w:r>
              <w:t>vagy elosztás szerinti tagállam; a személyazonosító okmány vagy úti okmány részletei;</w:t>
            </w:r>
            <w:r>
              <w:rPr>
                <w:rFonts w:ascii="Times New Roman" w:eastAsia="Times New Roman" w:hAnsi="Times New Roman" w:cs="Times New Roman"/>
                <w:b/>
                <w:i/>
                <w:strike w:val="0"/>
                <w:color w:val="000000"/>
                <w:sz w:val="24"/>
                <w:highlight w:val="none"/>
                <w:u w:val="none" w:color="auto"/>
              </w:rPr>
              <w:t xml:space="preserve">  </w:t>
            </w:r>
            <w:r>
              <w:t>a nemzetközi védelem iránti kérelem benyújtásának helye és időpontja; a származási hely szerinti tagállam által használt referenciaszám; az ujjnyomatvétel dátuma, valamint annak időpontja, amikor a tagállam az adatot az Eurodacba továbbította; az operátor felhasználói azonosítója; a(z) [604/2013/EU rendelet] hatálya alá tartozó adatok továbbításához kapcsolódó valamennyi információ. E tilalom nem sérti a tagállamok azon jogát, hogy – [ az (EU) […/2016] rendelettel és a [2016/…/EU] irányelv alapján elfogadott nemzeti szabályokkal összhangban ] – ilyen adatokat továbbítsanak a 604/2013/EU rendelet hatálya alá tartozó harmadik országoknak annak biztosítása érdekében, hogy a tagállamok e rendelet alkalmazásában együttműködhessenek ilyen harmadik országokkal.</w:t>
            </w:r>
          </w:p>
        </w:tc>
        <w:tc>
          <w:tcPr/>
          <w:p>
            <w:pPr>
              <w:pStyle w:val="Normal6"/>
            </w:pPr>
            <w:r>
              <w:t>(50)</w:t>
            </w:r>
            <w:r>
              <w:tab/>
            </w:r>
            <w:r>
              <w:t>A központi rendszerből valamely tagállam vagy az Europol által e rendelet alapján megszerzett személyes adatokat tilos harmadik ország, nemzetközi szervezet vagy az Unióban vagy azon kívül letelepedett magánfél számára továbbítani a menedékjog biztosítása érdekében és a nemzetközi védelmet kérő személyek</w:t>
            </w:r>
            <w:r>
              <w:rPr>
                <w:rFonts w:ascii="Times New Roman" w:eastAsia="Times New Roman" w:hAnsi="Times New Roman" w:cs="Times New Roman"/>
                <w:b/>
                <w:i/>
                <w:strike w:val="0"/>
                <w:color w:val="000000"/>
                <w:sz w:val="24"/>
                <w:highlight w:val="none"/>
                <w:u w:val="none" w:color="auto"/>
              </w:rPr>
              <w:t>, valamint olyan harmadik országbeli állampolgárok és hontalan személyek</w:t>
            </w:r>
            <w:r>
              <w:t xml:space="preserve"> védelmében, </w:t>
            </w:r>
            <w:r>
              <w:rPr>
                <w:rFonts w:ascii="Times New Roman" w:eastAsia="Times New Roman" w:hAnsi="Times New Roman" w:cs="Times New Roman"/>
                <w:b/>
                <w:i/>
                <w:strike w:val="0"/>
                <w:color w:val="000000"/>
                <w:sz w:val="24"/>
                <w:highlight w:val="none"/>
                <w:u w:val="none" w:color="auto"/>
              </w:rPr>
              <w:t xml:space="preserve">akik esetében a tagállamok az XXX/XXX rendelet értelmében áttelepítési eljárást kívánnak lefolytatni, </w:t>
            </w:r>
            <w:r>
              <w:t>megakadályozandó, hogy adataikhoz harmadik országok hozzájussanak. Ez azt jelenti, hogy a tagállamok nem továbbíthatnak a központi rendszerből az alábbiak vonatkozásában szerzett információkat: név (nevek), születési idő, állampolgárság, a származási hely szerinti tagállam</w:t>
            </w:r>
            <w:r>
              <w:rPr>
                <w:rFonts w:ascii="Times New Roman" w:eastAsia="Times New Roman" w:hAnsi="Times New Roman" w:cs="Times New Roman"/>
                <w:b/>
                <w:i/>
                <w:strike w:val="0"/>
                <w:color w:val="000000"/>
                <w:sz w:val="24"/>
                <w:highlight w:val="none"/>
                <w:u w:val="none" w:color="auto"/>
              </w:rPr>
              <w:t xml:space="preserve"> </w:t>
            </w:r>
            <w:r>
              <w:t>vagy elosztás szerinti tagállam</w:t>
            </w:r>
            <w:r>
              <w:rPr>
                <w:rFonts w:ascii="Times New Roman" w:eastAsia="Times New Roman" w:hAnsi="Times New Roman" w:cs="Times New Roman"/>
                <w:b/>
                <w:i/>
                <w:strike w:val="0"/>
                <w:color w:val="000000"/>
                <w:sz w:val="24"/>
                <w:highlight w:val="none"/>
                <w:u w:val="none" w:color="auto"/>
              </w:rPr>
              <w:t>, illetve áttelepítés helye szerinti tagállam</w:t>
            </w:r>
            <w:r>
              <w:t>; a személyazonosító okmány vagy úti okmány részletei; a nemzetközi védelem</w:t>
            </w:r>
            <w:r>
              <w:rPr>
                <w:rFonts w:ascii="Times New Roman" w:eastAsia="Times New Roman" w:hAnsi="Times New Roman" w:cs="Times New Roman"/>
                <w:b/>
                <w:i/>
                <w:strike w:val="0"/>
                <w:color w:val="000000"/>
                <w:sz w:val="24"/>
                <w:highlight w:val="none"/>
                <w:u w:val="none" w:color="auto"/>
              </w:rPr>
              <w:t xml:space="preserve"> vagy áttelepítés</w:t>
            </w:r>
            <w:r>
              <w:t xml:space="preserve"> iránti kérelem benyújtásának helye és időpontja; a származási hely szerinti tagállam által használt referenciaszám; az ujjnyomatvétel dátuma, valamint annak időpontja, amikor a tagállam az adatot az Eurodacba továbbította; az operátor felhasználói azonosítója; a(z) [604/2013/EU rendelet] hatálya alá tartozó adatok továbbításához kapcsolódó valamennyi információ. E tilalom nem sérti a tagállamok azon jogát, hogy – [ az (EU) […/2016] rendelettel és a [2016/…/EU] irányelv alapján elfogadott nemzeti szabályokkal összhangban ] – ilyen adatokat továbbítsanak a 604/2013/EU rendelet hatálya alá tartozó harmadik országoknak annak biztosítása érdekében, hogy a tagállamok e rendelet alkalmazásában együttműködhessenek ilyen harmadik országokkal.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Átdolgozás: A módosítás célja, hogy garantálja az egyenértékű biztosítékok alkalmazását azon harmadik országbeli állampolgárok és hontalan személyek személyes adatai tekintetében, akik esetében a tagállamok áttelepítési eljárás szándékoznak lefolytatni az uniós áttelepítési keret létrehozásáról szóló rendelet alapján.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141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50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(50)</w:t>
            </w:r>
            <w:r>
              <w:tab/>
            </w:r>
            <w:r>
              <w:t>A központi rendszerből valamely tagállam vagy az Europol által e rendelet alapján megszerzett személyes adatokat tilos harmadik ország, nemzetközi szervezet vagy az Unióban vagy azon kívül letelepedett magánfél számára továbbítani a menedékjog biztosítása érdekében és a nemzetközi védelmet kérő személyek védelmében, megakadályozandó, hogy adataikhoz harmadik országok hozzájussanak. Ez azt jelenti, hogy a tagállamok nem továbbíthatnak a központi rendszerből az alábbiak vonatkozásában szerzett információkat:</w:t>
            </w:r>
            <w:r>
              <w:rPr>
                <w:rFonts w:ascii="Times New Roman" w:eastAsia="Times New Roman" w:hAnsi="Times New Roman" w:cs="Times New Roman"/>
                <w:b/>
                <w:i/>
                <w:strike w:val="0"/>
                <w:color w:val="000000"/>
                <w:sz w:val="24"/>
                <w:highlight w:val="none"/>
                <w:u w:val="none" w:color="auto"/>
              </w:rPr>
              <w:t xml:space="preserve">  </w:t>
            </w:r>
            <w:r>
              <w:t>név (nevek), születési idő, állampolgárság,</w:t>
            </w:r>
            <w:r>
              <w:rPr>
                <w:rFonts w:ascii="Times New Roman" w:eastAsia="Times New Roman" w:hAnsi="Times New Roman" w:cs="Times New Roman"/>
                <w:b/>
                <w:i/>
                <w:strike w:val="0"/>
                <w:color w:val="000000"/>
                <w:sz w:val="24"/>
                <w:highlight w:val="none"/>
                <w:u w:val="none" w:color="auto"/>
              </w:rPr>
              <w:t xml:space="preserve">  </w:t>
            </w:r>
            <w:r>
              <w:t>a származási hely szerinti tagállam</w:t>
            </w:r>
            <w:r>
              <w:rPr>
                <w:rFonts w:ascii="Times New Roman" w:eastAsia="Times New Roman" w:hAnsi="Times New Roman" w:cs="Times New Roman"/>
                <w:b/>
                <w:i/>
                <w:strike w:val="0"/>
                <w:color w:val="000000"/>
                <w:sz w:val="24"/>
                <w:highlight w:val="none"/>
                <w:u w:val="none" w:color="auto"/>
              </w:rPr>
              <w:t xml:space="preserve">  </w:t>
            </w:r>
            <w:r>
              <w:t>vagy elosztás szerinti tagállam; a személyazonosító okmány vagy úti okmány részletei;</w:t>
            </w:r>
            <w:r>
              <w:rPr>
                <w:rFonts w:ascii="Times New Roman" w:eastAsia="Times New Roman" w:hAnsi="Times New Roman" w:cs="Times New Roman"/>
                <w:b/>
                <w:i/>
                <w:strike w:val="0"/>
                <w:color w:val="000000"/>
                <w:sz w:val="24"/>
                <w:highlight w:val="none"/>
                <w:u w:val="none" w:color="auto"/>
              </w:rPr>
              <w:t xml:space="preserve">  </w:t>
            </w:r>
            <w:r>
              <w:t xml:space="preserve">a nemzetközi védelem iránti kérelem benyújtásának helye és időpontja; a származási hely szerinti tagállam által használt referenciaszám; az </w:t>
            </w:r>
            <w:r>
              <w:rPr>
                <w:rFonts w:ascii="Times New Roman" w:eastAsia="Times New Roman" w:hAnsi="Times New Roman" w:cs="Times New Roman"/>
                <w:b/>
                <w:i/>
                <w:strike w:val="0"/>
                <w:color w:val="000000"/>
                <w:sz w:val="24"/>
                <w:highlight w:val="none"/>
                <w:u w:val="none" w:color="auto"/>
              </w:rPr>
              <w:t>ujjnyomatvétel</w:t>
            </w:r>
            <w:r>
              <w:t xml:space="preserve"> dátuma, valamint annak időpontja, amikor a tagállam az adatot az Eurodacba továbbította; az operátor felhasználói azonosítója; a(z) [604/2013/EU rendelet] hatálya alá tartozó adatok továbbításához kapcsolódó valamennyi információ. E tilalom nem sérti a tagállamok azon jogát, hogy – [ az (EU) […/2016] rendelettel és a [2016/…/EU] irányelv alapján elfogadott nemzeti szabályokkal összhangban ] – ilyen adatokat továbbítsanak a 604/2013/EU rendelet hatálya alá tartozó harmadik országoknak annak biztosítása érdekében, hogy a tagállamok e rendelet alkalmazásában együttműködhessenek ilyen harmadik országokkal.</w:t>
            </w:r>
          </w:p>
        </w:tc>
        <w:tc>
          <w:tcPr/>
          <w:p>
            <w:pPr>
              <w:pStyle w:val="Normal6"/>
            </w:pPr>
            <w:r>
              <w:t>(50)</w:t>
            </w:r>
            <w:r>
              <w:tab/>
            </w:r>
            <w:r>
              <w:t>A központi rendszerből valamely tagállam vagy az Europol által e rendelet alapján megszerzett személyes adatokat tilos harmadik ország, nemzetközi szervezet vagy az Unióban vagy azon kívül letelepedett magánfél számára továbbítani a menedékjog biztosítása érdekében és a nemzetközi védelmet kérő személyek védelmében, megakadályozandó, hogy adataikhoz harmadik országok hozzájussanak. Ez azt jelenti, hogy a tagállamok nem továbbíthatnak a központi rendszerből az alábbiak vonatkozásában szerzett információkat: név (nevek), születési idő, állampolgárság, a származási hely szerinti tagállam</w:t>
            </w:r>
            <w:r>
              <w:rPr>
                <w:rFonts w:ascii="Times New Roman" w:eastAsia="Times New Roman" w:hAnsi="Times New Roman" w:cs="Times New Roman"/>
                <w:b/>
                <w:i/>
                <w:strike w:val="0"/>
                <w:color w:val="000000"/>
                <w:sz w:val="24"/>
                <w:highlight w:val="none"/>
                <w:u w:val="none" w:color="auto"/>
              </w:rPr>
              <w:t xml:space="preserve"> </w:t>
            </w:r>
            <w:r>
              <w:t xml:space="preserve">vagy elosztás szerinti tagállam; a személyazonosító okmány vagy úti okmány részletei; a nemzetközi védelem iránti kérelem benyújtásának helye és időpontja; a származási hely szerinti tagállam által használt referenciaszám; az </w:t>
            </w:r>
            <w:r>
              <w:rPr>
                <w:rFonts w:ascii="Times New Roman" w:eastAsia="Times New Roman" w:hAnsi="Times New Roman" w:cs="Times New Roman"/>
                <w:b/>
                <w:i/>
                <w:strike w:val="0"/>
                <w:color w:val="000000"/>
                <w:sz w:val="24"/>
                <w:highlight w:val="none"/>
                <w:u w:val="none" w:color="auto"/>
              </w:rPr>
              <w:t>ujjnyomat vagy az arcképmás rögzítésének</w:t>
            </w:r>
            <w:r>
              <w:t xml:space="preserve"> dátuma, valamint annak időpontja, amikor a tagállam az adatot az Eurodacba továbbította; az operátor felhasználói azonosítója; a(z) [604/2013/EU rendelet] hatálya alá tartozó adatok továbbításához kapcsolódó valamennyi információ. E tilalom nem sérti a tagállamok azon jogát, hogy – [ az (EU) […/2016] rendelettel és a [2016/…/EU] irányelv alapján elfogadott nemzeti szabályokkal összhangban ] – ilyen adatokat továbbítsanak a 604/2013/EU rendelet hatálya alá tartozó harmadik országoknak annak biztosítása érdekében, hogy a tagállamok e rendelet alkalmazásában együttműködhessenek ilyen harmadik országokkal.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 bizottsági javaslat javítása, amely nem illeszti be az összes előírt helyen mind az „ujjlenyomat”, mind az „arcképmás” szót, ami összhangban van a 2. cikkben említett kötelezettséggel.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142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51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(51)</w:t>
            </w:r>
            <w:r>
              <w:tab/>
            </w:r>
            <w:r>
              <w:rPr>
                <w:rFonts w:ascii="Times New Roman" w:eastAsia="Times New Roman" w:hAnsi="Times New Roman" w:cs="Times New Roman"/>
                <w:b/>
                <w:i/>
                <w:strike w:val="0"/>
                <w:color w:val="000000"/>
                <w:sz w:val="24"/>
                <w:highlight w:val="none"/>
                <w:u w:val="none" w:color="auto"/>
              </w:rPr>
              <w:t xml:space="preserve">Egyedi esetekben </w:t>
            </w:r>
            <w:r>
              <w:rPr>
                <w:rFonts w:ascii="Times New Roman" w:eastAsia="Times New Roman" w:hAnsi="Times New Roman" w:cs="Times New Roman"/>
                <w:b/>
                <w:i/>
                <w:strike w:val="0"/>
                <w:color w:val="000000"/>
                <w:sz w:val="24"/>
                <w:highlight w:val="none"/>
                <w:u w:val="none" w:color="auto"/>
              </w:rPr>
              <w:t>a</w:t>
            </w:r>
            <w:r>
              <w:t xml:space="preserve"> központi rendszerből kapott információk </w:t>
            </w:r>
            <w:r>
              <w:rPr>
                <w:rFonts w:ascii="Times New Roman" w:eastAsia="Times New Roman" w:hAnsi="Times New Roman" w:cs="Times New Roman"/>
                <w:b/>
                <w:i/>
                <w:strike w:val="0"/>
                <w:color w:val="000000"/>
                <w:sz w:val="24"/>
                <w:highlight w:val="none"/>
                <w:u w:val="none" w:color="auto"/>
              </w:rPr>
              <w:t>megoszthatók</w:t>
            </w:r>
            <w:r>
              <w:t xml:space="preserve"> harmadik országgal a harmadik országbeli állampolgár visszaküldésével kapcsolatban történő beazonosításának elősegítése céljából.</w:t>
            </w:r>
            <w:r>
              <w:rPr>
                <w:rFonts w:ascii="Times New Roman" w:eastAsia="Times New Roman" w:hAnsi="Times New Roman" w:cs="Times New Roman"/>
                <w:b/>
                <w:i/>
                <w:strike w:val="0"/>
                <w:color w:val="000000"/>
                <w:sz w:val="24"/>
                <w:highlight w:val="none"/>
                <w:u w:val="none" w:color="auto"/>
              </w:rPr>
              <w:t xml:space="preserve"> A személyes adatok megosztását szigorú feltételekhez kell kötni. Amennyiben ilyen információkat osztanak meg, semmilyen információt nem közölhetnek harmadik országokkal azzal kapcsolatban, hogy egy harmadik országbeli állampolgár nemzetközi védelem iránti kérelmet nyújtott be, amennyiben az az ország, ahová az egyént visszafogadják, egyben az egyén származási országa vagy egy másik olyan harmadik ország, ahová vissza fogják fogadni. A harmadik országbeli állampolgár azonosítása céljából harmadik ország felé történő adattovábbítást az (EU) […2016] rendelet V. fejezetének rendelkezéseivel összhangban kell végrehajtani.</w:t>
            </w:r>
          </w:p>
        </w:tc>
        <w:tc>
          <w:tcPr/>
          <w:p>
            <w:pPr>
              <w:pStyle w:val="Normal6"/>
            </w:pPr>
            <w:r>
              <w:t>(51)</w:t>
            </w:r>
            <w:r>
              <w:tab/>
            </w:r>
            <w:r>
              <w:rPr>
                <w:rFonts w:ascii="Times New Roman" w:eastAsia="Times New Roman" w:hAnsi="Times New Roman" w:cs="Times New Roman"/>
                <w:b/>
                <w:i/>
                <w:strike w:val="0"/>
                <w:color w:val="000000"/>
                <w:sz w:val="24"/>
                <w:highlight w:val="none"/>
                <w:u w:val="none" w:color="auto"/>
              </w:rPr>
              <w:t>A</w:t>
            </w:r>
            <w:r>
              <w:t xml:space="preserve"> központi rendszerből kapott információk </w:t>
            </w:r>
            <w:r>
              <w:rPr>
                <w:rFonts w:ascii="Times New Roman" w:eastAsia="Times New Roman" w:hAnsi="Times New Roman" w:cs="Times New Roman"/>
                <w:b/>
                <w:i/>
                <w:strike w:val="0"/>
                <w:color w:val="000000"/>
                <w:sz w:val="24"/>
                <w:highlight w:val="none"/>
                <w:u w:val="none" w:color="auto"/>
              </w:rPr>
              <w:t>nem oszthatók meg</w:t>
            </w:r>
            <w:r>
              <w:t xml:space="preserve"> harmadik országgal a harmadik országbeli állampolgár visszaküldésével kapcsolatban történő beazonosításának elősegítése céljából.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143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69 preambulumbekezdés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(69)</w:t>
            </w:r>
            <w:r>
              <w:tab/>
            </w:r>
            <w:r>
              <w:rPr>
                <w:rFonts w:ascii="Times New Roman" w:eastAsia="Times New Roman" w:hAnsi="Times New Roman" w:cs="Times New Roman"/>
                <w:b/>
                <w:i/>
                <w:strike w:val="0"/>
                <w:color w:val="000000"/>
                <w:sz w:val="24"/>
                <w:highlight w:val="none"/>
                <w:u w:val="none" w:color="auto"/>
              </w:rPr>
              <w:t>Indokolt</w:t>
            </w:r>
            <w:r>
              <w:t xml:space="preserve"> e rendelet területi hatályát oly módon korlátozni, hogy az összhangba kerüljön a(z) (EU) […/…] rendelet területi hatályával,</w:t>
            </w:r>
          </w:p>
        </w:tc>
        <w:tc>
          <w:tcPr/>
          <w:p>
            <w:pPr>
              <w:pStyle w:val="Normal6"/>
            </w:pPr>
            <w:r>
              <w:t>(69)</w:t>
            </w:r>
            <w:r>
              <w:tab/>
            </w:r>
            <w:r>
              <w:rPr>
                <w:rFonts w:ascii="Times New Roman" w:eastAsia="Times New Roman" w:hAnsi="Times New Roman" w:cs="Times New Roman"/>
                <w:b/>
                <w:i/>
                <w:strike w:val="0"/>
                <w:color w:val="000000"/>
                <w:sz w:val="24"/>
                <w:highlight w:val="none"/>
                <w:u w:val="none" w:color="auto"/>
              </w:rPr>
              <w:t xml:space="preserve">Az XXX/XXX rendelet alkalmazásával összefüggő rendelkezések sérelme nélkül </w:t>
            </w:r>
            <w:r>
              <w:rPr>
                <w:rFonts w:ascii="Times New Roman" w:eastAsia="Times New Roman" w:hAnsi="Times New Roman" w:cs="Times New Roman"/>
                <w:b/>
                <w:i/>
                <w:strike w:val="0"/>
                <w:color w:val="000000"/>
                <w:sz w:val="24"/>
                <w:highlight w:val="none"/>
                <w:u w:val="none" w:color="auto"/>
              </w:rPr>
              <w:t>indokolt</w:t>
            </w:r>
            <w:r>
              <w:t xml:space="preserve"> e rendelet területi hatályát oly módon korlátozni, hogy az összhangba kerüljön a(z) (EU) […/…] rendelet területi hatályával,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Átdolgozás: Szükség van az uniós áttelepítési keret létrehozásáról szóló rendelet jövőbeli hatályára történő utalásra annak megállapításához, hogy e rendelet milyen mértékig alkalmazandó arra.</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144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cikk – 1 bekezdés – a a pont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aa)</w:t>
            </w:r>
            <w:r>
              <w:tab/>
            </w:r>
            <w:r>
              <w:rPr>
                <w:rFonts w:ascii="Times New Roman" w:eastAsia="Times New Roman" w:hAnsi="Times New Roman" w:cs="Times New Roman"/>
                <w:b/>
                <w:i/>
                <w:strike w:val="0"/>
                <w:color w:val="000000"/>
                <w:sz w:val="24"/>
                <w:highlight w:val="none"/>
                <w:u w:val="none" w:color="auto"/>
              </w:rPr>
              <w:t>megkönnyítse az XXX/XXX rendelet végrehajtását az említett rendelet vonatkozó rendelkezéseivel összhangban;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Átdolgozás: A módosítás célja, hogy egy újabb céllal kiegészítse a rendeletet, mivel a javaslat hatálya immár kiterjed azon személyek adataira is, akik esetében a tagállamok áttelepítési eljárást kívánnak lefolytatni az XXX/XXX rendelet szerint.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145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Malin Björk</w:t>
      </w:r>
      <w:r>
        <w:t xml:space="preserve">, </w:t>
      </w:r>
      <w:r>
        <w:t>Barbara Spinelli</w:t>
      </w:r>
      <w:r>
        <w:t xml:space="preserve">, </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cikk – 1 bekezdés – b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w:t>
            </w:r>
            <w:r>
              <w:tab/>
            </w:r>
            <w:r>
              <w:rPr>
                <w:rFonts w:ascii="Times New Roman" w:eastAsia="Times New Roman" w:hAnsi="Times New Roman" w:cs="Times New Roman"/>
                <w:b/>
                <w:i/>
                <w:strike w:val="0"/>
                <w:color w:val="000000"/>
                <w:sz w:val="24"/>
                <w:highlight w:val="none"/>
                <w:u w:val="none" w:color="auto"/>
              </w:rPr>
              <w:t>segítséget nyújtson az Unióba irányuló illegális bevándorlás és az Unión belüli továbbutazás ellenőrzéséhez, valamint az ott jogellenesen tartózkodó harmadik országbeli állampolgárok azonosításához a tagállamok által meghozandó megfelelő intézkedések – ideértve az engedély nélkül tartózkodó személyek kitoloncolását és hazatelepítését is – megállapítása céljából.</w:t>
            </w:r>
          </w:p>
        </w:tc>
        <w:tc>
          <w:tcPr/>
          <w:p>
            <w:pPr>
              <w:pStyle w:val="Normal6"/>
            </w:pPr>
            <w:r>
              <w:rPr>
                <w:rFonts w:ascii="Times New Roman" w:eastAsia="Times New Roman" w:hAnsi="Times New Roman" w:cs="Times New Roman"/>
                <w:b/>
                <w:i/>
                <w:strike w:val="0"/>
                <w:color w:val="000000"/>
                <w:sz w:val="24"/>
                <w:highlight w:val="none"/>
                <w:u w:val="none" w:color="auto"/>
              </w:rPr>
              <w:t>törölve</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Italic"/>
            </w:pPr>
            <w:r>
              <w:t>(E módosítás a teljes szövegre vonatkozik. Elfogadása esetén a szövegben mindenütt el kell végezni a szükséges módosításokat.)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The enlargement of the scope and purpose of Eurodac to irregular migration and to enable the use of data for return purpose clearly runs contrary to the principle of purpose limitation, protected under Article 8 of the Charter of Fundamental Rights, the EU Data Protection Directive, and the new Data Protection Regulation. There are also three other databases (Visa Information System (VIS), Schengen Information System (SIS) and Entry/Exit System (EES)) that already covers irregular entry and stay.</w:t>
      </w:r>
    </w:p>
    <w:p>
      <w:pPr>
        <w:pStyle w:val="Normal12Italic"/>
      </w:pPr>
      <w:r>
        <w:t>As long as necessity and proportionality have not been proven, the Regulation risks violating the Charter and could be challenged before the CJEU. As recommended by the EDPS, such an expansion should not be done before a careful assessment of the suitability of Eurodac to meet these objectives.</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146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Christine Revault D'Allonnes Bonnefoy</w:t>
      </w:r>
      <w:r>
        <w:t xml:space="preserve">, </w:t>
      </w:r>
      <w:r>
        <w:t>Sylvie Guillaume</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cikk – 1 bekezdés – b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w:t>
            </w:r>
            <w:r>
              <w:tab/>
            </w:r>
            <w:r>
              <w:rPr>
                <w:rFonts w:ascii="Times New Roman" w:eastAsia="Times New Roman" w:hAnsi="Times New Roman" w:cs="Times New Roman"/>
                <w:b/>
                <w:i/>
                <w:strike w:val="0"/>
                <w:color w:val="000000"/>
                <w:sz w:val="24"/>
                <w:highlight w:val="none"/>
                <w:u w:val="none" w:color="auto"/>
              </w:rPr>
              <w:t>segítséget nyújtson az Unióba irányuló illegális bevándorlás és az Unión belüli továbbutazás ellenőrzéséhez, valamint az ott jogellenesen tartózkodó harmadik országbeli állampolgárok azonosításához a tagállamok által meghozandó megfelelő intézkedések – ideértve az engedély nélkül tartózkodó személyek kitoloncolását és hazatelepítését is – megállapítása céljából.</w:t>
            </w:r>
          </w:p>
        </w:tc>
        <w:tc>
          <w:tcPr/>
          <w:p>
            <w:pPr>
              <w:pStyle w:val="Normal6"/>
            </w:pPr>
            <w:r>
              <w:rPr>
                <w:rFonts w:ascii="Times New Roman" w:eastAsia="Times New Roman" w:hAnsi="Times New Roman" w:cs="Times New Roman"/>
                <w:b/>
                <w:i/>
                <w:strike w:val="0"/>
                <w:color w:val="000000"/>
                <w:sz w:val="24"/>
                <w:highlight w:val="none"/>
                <w:u w:val="none" w:color="auto"/>
              </w:rPr>
              <w:t>törölve</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Italic"/>
            </w:pPr>
            <w:r>
              <w:t>(E módosítás a teljes szövegre vonatkozik. Elfogadása esetén a szövegben mindenütt el kell végezni a szükséges módosításokat.)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Eurodac was primarily designed to serve the implementation of the Dublin Regulation. With this new proposal, the scope of Eurodac is radically modified for immigration purposes, including removal and repatriation of persons. I do not agree with this extension of the scope. It also raises many issues regarding data protection. The purpose limitation principle should be respected - cf articles 8(2) of the Charter of Fundamental Rights in the EU and 5(b) of the Convention of the Council of Europe for the Protection of Individuals with regard to Automatic Processing of Personal Data.Indeed, data shall be used in accordance with the original purpose for which they have been collected. Eurodac was designed as a database for implementing the Dublin Regulation.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147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cikk – 1 bekezdés – b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w:t>
            </w:r>
            <w:r>
              <w:tab/>
            </w:r>
            <w:r>
              <w:rPr>
                <w:rFonts w:ascii="Times New Roman" w:eastAsia="Times New Roman" w:hAnsi="Times New Roman" w:cs="Times New Roman"/>
                <w:b/>
                <w:i/>
                <w:strike w:val="0"/>
                <w:color w:val="000000"/>
                <w:sz w:val="24"/>
                <w:highlight w:val="none"/>
                <w:u w:val="none" w:color="auto"/>
              </w:rPr>
              <w:t>segítséget nyújtson az Unióba irányuló illegális bevándorlás és az Unión belüli továbbutazás ellenőrzéséhez, valamint az ott jogellenesen tartózkodó harmadik országbeli állampolgárok azonosításához a tagállamok által meghozandó megfelelő intézkedések – ideértve az engedély nélkül tartózkodó személyek kitoloncolását és hazatelepítését is – megállapítása céljából.</w:t>
            </w:r>
          </w:p>
        </w:tc>
        <w:tc>
          <w:tcPr/>
          <w:p>
            <w:pPr>
              <w:pStyle w:val="Normal6"/>
            </w:pPr>
            <w:r>
              <w:rPr>
                <w:rFonts w:ascii="Times New Roman" w:eastAsia="Times New Roman" w:hAnsi="Times New Roman" w:cs="Times New Roman"/>
                <w:b/>
                <w:i/>
                <w:strike w:val="0"/>
                <w:color w:val="000000"/>
                <w:sz w:val="24"/>
                <w:highlight w:val="none"/>
                <w:u w:val="none" w:color="auto"/>
              </w:rPr>
              <w:t>törölve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148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Carlos Coelho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cikk – 1 bekezdés – b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b)</w:t>
            </w:r>
            <w:r>
              <w:tab/>
            </w:r>
            <w:r>
              <w:t xml:space="preserve">segítséget nyújtson </w:t>
            </w:r>
            <w:r>
              <w:rPr>
                <w:rFonts w:ascii="Times New Roman" w:eastAsia="Times New Roman" w:hAnsi="Times New Roman" w:cs="Times New Roman"/>
                <w:b/>
                <w:i/>
                <w:strike w:val="0"/>
                <w:color w:val="000000"/>
                <w:sz w:val="24"/>
                <w:highlight w:val="none"/>
                <w:u w:val="none" w:color="auto"/>
              </w:rPr>
              <w:t>az Unióba irányuló illegális bevándorlás és az Unión belüli továbbutazás ellenőrzéséhez, valamint az ott</w:t>
            </w:r>
            <w:r>
              <w:t xml:space="preserve"> jogellenesen tartózkodó harmadik országbeli állampolgárok azonosításához a tagállamok által meghozandó megfelelő intézkedések – ideértve az engedély nélkül tartózkodó személyek kitoloncolását és hazatelepítését is – megállapítása céljából.</w:t>
            </w:r>
          </w:p>
        </w:tc>
        <w:tc>
          <w:tcPr/>
          <w:p>
            <w:pPr>
              <w:pStyle w:val="Normal6"/>
            </w:pPr>
            <w:r>
              <w:t>b)</w:t>
            </w:r>
            <w:r>
              <w:tab/>
            </w:r>
            <w:r>
              <w:t xml:space="preserve">segítséget nyújtson </w:t>
            </w:r>
            <w:r>
              <w:rPr>
                <w:rFonts w:ascii="Times New Roman" w:eastAsia="Times New Roman" w:hAnsi="Times New Roman" w:cs="Times New Roman"/>
                <w:b/>
                <w:i/>
                <w:strike w:val="0"/>
                <w:color w:val="000000"/>
                <w:sz w:val="24"/>
                <w:highlight w:val="none"/>
                <w:u w:val="none" w:color="auto"/>
              </w:rPr>
              <w:t>a</w:t>
            </w:r>
            <w:r>
              <w:t xml:space="preserve"> jogellenesen tartózkodó harmadik országbeli állampolgárok azonosításához a tagállamok által meghozandó megfelelő intézkedések – ideértve az engedély nélkül tartózkodó személyek kitoloncolását és hazatelepítését is – megállapítása céljából.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149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Lorenzo Fontana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cikk – 1 bekezdés – b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b)</w:t>
            </w:r>
            <w:r>
              <w:tab/>
            </w:r>
            <w:r>
              <w:rPr>
                <w:rFonts w:ascii="Times New Roman" w:eastAsia="Times New Roman" w:hAnsi="Times New Roman" w:cs="Times New Roman"/>
                <w:b/>
                <w:i/>
                <w:strike w:val="0"/>
                <w:color w:val="000000"/>
                <w:sz w:val="24"/>
                <w:highlight w:val="none"/>
                <w:u w:val="none" w:color="auto"/>
              </w:rPr>
              <w:t>segítséget nyújtson</w:t>
            </w:r>
            <w:r>
              <w:t xml:space="preserve"> az Unióba irányuló illegális bevándorlás és az Unión belüli továbbutazás </w:t>
            </w:r>
            <w:r>
              <w:rPr>
                <w:rFonts w:ascii="Times New Roman" w:eastAsia="Times New Roman" w:hAnsi="Times New Roman" w:cs="Times New Roman"/>
                <w:b/>
                <w:i/>
                <w:strike w:val="0"/>
                <w:color w:val="000000"/>
                <w:sz w:val="24"/>
                <w:highlight w:val="none"/>
                <w:u w:val="none" w:color="auto"/>
              </w:rPr>
              <w:t>ellenőrzéséhez</w:t>
            </w:r>
            <w:r>
              <w:t xml:space="preserve">, valamint az ott jogellenesen tartózkodó harmadik országbeli állampolgárok </w:t>
            </w:r>
            <w:r>
              <w:rPr>
                <w:rFonts w:ascii="Times New Roman" w:eastAsia="Times New Roman" w:hAnsi="Times New Roman" w:cs="Times New Roman"/>
                <w:b/>
                <w:i/>
                <w:strike w:val="0"/>
                <w:color w:val="000000"/>
                <w:sz w:val="24"/>
                <w:highlight w:val="none"/>
                <w:u w:val="none" w:color="auto"/>
              </w:rPr>
              <w:t>azonosításához</w:t>
            </w:r>
            <w:r>
              <w:t xml:space="preserve"> a tagállamok által meghozandó megfelelő intézkedések – ideértve az engedély nélkül tartózkodó személyek kitoloncolását és hazatelepítését is – megállapítása céljából.</w:t>
            </w:r>
          </w:p>
        </w:tc>
        <w:tc>
          <w:tcPr/>
          <w:p>
            <w:pPr>
              <w:pStyle w:val="Normal6"/>
            </w:pPr>
            <w:r>
              <w:t>b)</w:t>
            </w:r>
            <w:r>
              <w:tab/>
            </w:r>
            <w:r>
              <w:rPr>
                <w:rFonts w:ascii="Times New Roman" w:eastAsia="Times New Roman" w:hAnsi="Times New Roman" w:cs="Times New Roman"/>
                <w:b/>
                <w:i/>
                <w:strike w:val="0"/>
                <w:color w:val="000000"/>
                <w:sz w:val="24"/>
                <w:highlight w:val="none"/>
                <w:u w:val="none" w:color="auto"/>
              </w:rPr>
              <w:t>létrehozzon egy olyan eszközt, amely segíti</w:t>
            </w:r>
            <w:r>
              <w:t xml:space="preserve"> az Unióba irányuló illegális bevándorlás és az Unión belüli továbbutazás </w:t>
            </w:r>
            <w:r>
              <w:rPr>
                <w:rFonts w:ascii="Times New Roman" w:eastAsia="Times New Roman" w:hAnsi="Times New Roman" w:cs="Times New Roman"/>
                <w:b/>
                <w:i/>
                <w:strike w:val="0"/>
                <w:color w:val="000000"/>
                <w:sz w:val="24"/>
                <w:highlight w:val="none"/>
                <w:u w:val="none" w:color="auto"/>
              </w:rPr>
              <w:t>elleni fellépést</w:t>
            </w:r>
            <w:r>
              <w:t xml:space="preserve">, valamint az ott jogellenesen tartózkodó harmadik országbeli állampolgárok </w:t>
            </w:r>
            <w:r>
              <w:rPr>
                <w:rFonts w:ascii="Times New Roman" w:eastAsia="Times New Roman" w:hAnsi="Times New Roman" w:cs="Times New Roman"/>
                <w:b/>
                <w:i/>
                <w:strike w:val="0"/>
                <w:color w:val="000000"/>
                <w:sz w:val="24"/>
                <w:highlight w:val="none"/>
                <w:u w:val="none" w:color="auto"/>
              </w:rPr>
              <w:t>azonosítását</w:t>
            </w:r>
            <w:r>
              <w:t xml:space="preserve"> a tagállamok által meghozandó megfelelő intézkedések – ideértve az engedély nélkül tartózkodó személyek kitoloncolását és hazatelepítését is – megállapítása céljából.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IT</w:t>
      </w:r>
      <w:r>
        <w:rPr>
          <w:rStyle w:val="HideTWBInt"/>
        </w:rPr>
        <w:t>}</w:t>
      </w:r>
      <w:r>
        <w:t>it</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150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cikk – 1 bekezdés – b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b)</w:t>
            </w:r>
            <w:r>
              <w:tab/>
            </w:r>
            <w:r>
              <w:t xml:space="preserve">segítséget nyújtson az Unióba irányuló illegális bevándorlás és az Unión belüli továbbutazás ellenőrzéséhez, valamint az ott jogellenesen tartózkodó harmadik országbeli állampolgárok </w:t>
            </w:r>
            <w:r>
              <w:rPr>
                <w:rFonts w:ascii="Times New Roman" w:eastAsia="Times New Roman" w:hAnsi="Times New Roman" w:cs="Times New Roman"/>
                <w:b/>
                <w:i/>
                <w:strike w:val="0"/>
                <w:color w:val="000000"/>
                <w:sz w:val="24"/>
                <w:highlight w:val="none"/>
                <w:u w:val="none" w:color="auto"/>
              </w:rPr>
              <w:t>azonosításához a tagállamok által meghozandó</w:t>
            </w:r>
            <w:r>
              <w:t xml:space="preserve"> megfelelő intézkedések – ideértve az </w:t>
            </w:r>
            <w:r>
              <w:rPr>
                <w:rFonts w:ascii="Times New Roman" w:eastAsia="Times New Roman" w:hAnsi="Times New Roman" w:cs="Times New Roman"/>
                <w:b/>
                <w:i/>
                <w:strike w:val="0"/>
                <w:color w:val="000000"/>
                <w:sz w:val="24"/>
                <w:highlight w:val="none"/>
                <w:u w:val="none" w:color="auto"/>
              </w:rPr>
              <w:t>engedély nélkül tartózkodó</w:t>
            </w:r>
            <w:r>
              <w:t xml:space="preserve"> személyek kitoloncolását és </w:t>
            </w:r>
            <w:r>
              <w:rPr>
                <w:rFonts w:ascii="Times New Roman" w:eastAsia="Times New Roman" w:hAnsi="Times New Roman" w:cs="Times New Roman"/>
                <w:b/>
                <w:i/>
                <w:strike w:val="0"/>
                <w:color w:val="000000"/>
                <w:sz w:val="24"/>
                <w:highlight w:val="none"/>
                <w:u w:val="none" w:color="auto"/>
              </w:rPr>
              <w:t>hazatelepítését is – megállapítása</w:t>
            </w:r>
            <w:r>
              <w:t xml:space="preserve"> céljából.</w:t>
            </w:r>
          </w:p>
        </w:tc>
        <w:tc>
          <w:tcPr/>
          <w:p>
            <w:pPr>
              <w:pStyle w:val="Normal6"/>
            </w:pPr>
            <w:r>
              <w:t>b)</w:t>
            </w:r>
            <w:r>
              <w:tab/>
            </w:r>
            <w:r>
              <w:t xml:space="preserve">segítséget nyújtson az Unióba irányuló illegális bevándorlás és az Unión belüli továbbutazás ellenőrzéséhez, valamint az ott jogellenesen tartózkodó harmadik országbeli állampolgárok </w:t>
            </w:r>
            <w:r>
              <w:rPr>
                <w:rFonts w:ascii="Times New Roman" w:eastAsia="Times New Roman" w:hAnsi="Times New Roman" w:cs="Times New Roman"/>
                <w:b/>
                <w:i/>
                <w:strike w:val="0"/>
                <w:color w:val="000000"/>
                <w:sz w:val="24"/>
                <w:highlight w:val="none"/>
                <w:u w:val="none" w:color="auto"/>
              </w:rPr>
              <w:t>vagy hontalan személyek azonosításához a</w:t>
            </w:r>
            <w:r>
              <w:t xml:space="preserve"> megfelelő intézkedések – ideértve az </w:t>
            </w:r>
            <w:r>
              <w:rPr>
                <w:rFonts w:ascii="Times New Roman" w:eastAsia="Times New Roman" w:hAnsi="Times New Roman" w:cs="Times New Roman"/>
                <w:b/>
                <w:i/>
                <w:strike w:val="0"/>
                <w:color w:val="000000"/>
                <w:sz w:val="24"/>
                <w:highlight w:val="none"/>
                <w:u w:val="none" w:color="auto"/>
              </w:rPr>
              <w:t>illegálisan tartózkodó harmadik országbeli állampolgárok és hontalan</w:t>
            </w:r>
            <w:r>
              <w:t xml:space="preserve"> személyek kitoloncolását és </w:t>
            </w:r>
            <w:r>
              <w:rPr>
                <w:rFonts w:ascii="Times New Roman" w:eastAsia="Times New Roman" w:hAnsi="Times New Roman" w:cs="Times New Roman"/>
                <w:b/>
                <w:i/>
                <w:strike w:val="0"/>
                <w:color w:val="000000"/>
                <w:sz w:val="24"/>
                <w:highlight w:val="none"/>
                <w:u w:val="none" w:color="auto"/>
              </w:rPr>
              <w:t>a visszatérési intézkedéseket is – végrehajtásáért felelős tagállam meghatározása</w:t>
            </w:r>
            <w:r>
              <w:t xml:space="preserve"> céljából.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151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Sophia in 't Veld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cikk – 1 bekezdés – b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b)</w:t>
            </w:r>
            <w:r>
              <w:tab/>
            </w:r>
            <w:r>
              <w:t>segítséget nyújtson az Unióba irányuló illegális bevándorlás és az Unión belüli továbbutazás ellenőrzéséhez, valamint az ott jogellenesen tartózkodó harmadik országbeli állampolgárok azonosításához a tagállamok által meghozandó megfelelő intézkedések – ideértve az engedély nélkül tartózkodó személyek kitoloncolását és hazatelepítését is – megállapítása céljából.</w:t>
            </w:r>
          </w:p>
        </w:tc>
        <w:tc>
          <w:tcPr/>
          <w:p>
            <w:pPr>
              <w:pStyle w:val="Normal6"/>
            </w:pPr>
            <w:r>
              <w:t>b)</w:t>
            </w:r>
            <w:r>
              <w:tab/>
            </w:r>
            <w:r>
              <w:t>segítséget nyújtson az Unióba irányuló illegális bevándorlás és az Unión belüli továbbutazás ellenőrzéséhez, valamint az ott jogellenesen tartózkodó harmadik országbeli állampolgárok azonosításához a tagállamok által meghozandó megfelelő intézkedések – ideértve az engedély nélkül tartózkodó személyek kitoloncolását és hazatelepítését is – megállapítása céljából</w:t>
            </w:r>
            <w:r>
              <w:rPr>
                <w:rFonts w:ascii="Times New Roman" w:eastAsia="Times New Roman" w:hAnsi="Times New Roman" w:cs="Times New Roman"/>
                <w:b/>
                <w:i/>
                <w:strike w:val="0"/>
                <w:color w:val="000000"/>
                <w:sz w:val="24"/>
                <w:highlight w:val="none"/>
                <w:u w:val="none" w:color="auto"/>
              </w:rPr>
              <w:t>, a Charta 52. cikkének (1) bekezdésében és az EUB vonatkozó ítélkezési gyakorlatában meghatározott szükségesség és arányosság elvével összhangban</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152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t xml:space="preserve">, </w:t>
      </w:r>
      <w:r>
        <w:t>Laura Ferrara</w:t>
      </w:r>
      <w:r>
        <w:t xml:space="preserve">, </w:t>
      </w:r>
      <w:r>
        <w:t>Ignazio Corrao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cikk – 1 bekezdés – b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b)</w:t>
            </w:r>
            <w:r>
              <w:tab/>
            </w:r>
            <w:r>
              <w:t xml:space="preserve">segítséget nyújtson az Unióba irányuló </w:t>
            </w:r>
            <w:r>
              <w:rPr>
                <w:rFonts w:ascii="Times New Roman" w:eastAsia="Times New Roman" w:hAnsi="Times New Roman" w:cs="Times New Roman"/>
                <w:b/>
                <w:i/>
                <w:strike w:val="0"/>
                <w:color w:val="000000"/>
                <w:sz w:val="24"/>
                <w:highlight w:val="none"/>
                <w:u w:val="none" w:color="auto"/>
              </w:rPr>
              <w:t>illegális</w:t>
            </w:r>
            <w:r>
              <w:t xml:space="preserve"> bevándorlás és az Unión belüli továbbutazás ellenőrzéséhez, valamint az ott jogellenesen tartózkodó harmadik országbeli állampolgárok azonosításához a tagállamok által meghozandó megfelelő intézkedések – ideértve az engedély nélkül tartózkodó személyek kitoloncolását és hazatelepítését is – megállapítása céljából.</w:t>
            </w:r>
          </w:p>
        </w:tc>
        <w:tc>
          <w:tcPr/>
          <w:p>
            <w:pPr>
              <w:pStyle w:val="Normal6"/>
            </w:pPr>
            <w:r>
              <w:t>b)</w:t>
            </w:r>
            <w:r>
              <w:tab/>
            </w:r>
            <w:r>
              <w:t xml:space="preserve">segítséget nyújtson az Unióba irányuló </w:t>
            </w:r>
            <w:r>
              <w:rPr>
                <w:rFonts w:ascii="Times New Roman" w:eastAsia="Times New Roman" w:hAnsi="Times New Roman" w:cs="Times New Roman"/>
                <w:b/>
                <w:i/>
                <w:strike w:val="0"/>
                <w:color w:val="000000"/>
                <w:sz w:val="24"/>
                <w:highlight w:val="none"/>
                <w:u w:val="none" w:color="auto"/>
              </w:rPr>
              <w:t>irreguláris</w:t>
            </w:r>
            <w:r>
              <w:t xml:space="preserve"> bevándorlás és az Unión belüli továbbutazás ellenőrzéséhez, valamint az ott jogellenesen tartózkodó harmadik országbeli állampolgárok</w:t>
            </w:r>
            <w:r>
              <w:rPr>
                <w:rFonts w:ascii="Times New Roman" w:eastAsia="Times New Roman" w:hAnsi="Times New Roman" w:cs="Times New Roman"/>
                <w:b/>
                <w:i/>
                <w:strike w:val="0"/>
                <w:color w:val="000000"/>
                <w:sz w:val="24"/>
                <w:highlight w:val="none"/>
                <w:u w:val="none" w:color="auto"/>
              </w:rPr>
              <w:t xml:space="preserve"> – akik esetében már kiadták a kiutasítási végzést –</w:t>
            </w:r>
            <w:r>
              <w:t xml:space="preserve"> azonosításához a tagállamok által meghozandó megfelelő intézkedések – ideértve az engedély nélkül tartózkodó személyek kitoloncolását és hazatelepítését is – megállapítása céljából.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IT</w:t>
      </w:r>
      <w:r>
        <w:rPr>
          <w:rStyle w:val="HideTWBInt"/>
        </w:rPr>
        <w:t>}</w:t>
      </w:r>
      <w:r>
        <w:t>it</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153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Sylvia-Yvonne Kaufmann</w:t>
      </w:r>
      <w:r>
        <w:t xml:space="preserve">, </w:t>
      </w:r>
      <w:r>
        <w:t>Josef Weidenholzer</w:t>
      </w:r>
      <w:r>
        <w:t xml:space="preserve">, </w:t>
      </w:r>
      <w:r>
        <w:t>Vilija Blinkevičiūtė</w:t>
      </w:r>
      <w:r>
        <w:t xml:space="preserve">, </w:t>
      </w:r>
      <w:r>
        <w:t>Péter Niedermüller</w:t>
      </w:r>
      <w:r>
        <w:t xml:space="preserve">, </w:t>
      </w:r>
      <w:r>
        <w:t>Maria Grapini</w:t>
      </w:r>
      <w:r>
        <w:t xml:space="preserve">, </w:t>
      </w:r>
      <w:r>
        <w:t>Juan Fernando López Aguilar</w:t>
      </w:r>
      <w:r>
        <w:t xml:space="preserve">, </w:t>
      </w:r>
      <w:r>
        <w:t>Caterina Chinnici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cikk – 1 bekezdés – b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b)</w:t>
            </w:r>
            <w:r>
              <w:tab/>
            </w:r>
            <w:r>
              <w:t xml:space="preserve">segítséget nyújtson az </w:t>
            </w:r>
            <w:r>
              <w:rPr>
                <w:rFonts w:ascii="Times New Roman" w:eastAsia="Times New Roman" w:hAnsi="Times New Roman" w:cs="Times New Roman"/>
                <w:b/>
                <w:i/>
                <w:strike w:val="0"/>
                <w:color w:val="000000"/>
                <w:sz w:val="24"/>
                <w:highlight w:val="none"/>
                <w:u w:val="none" w:color="auto"/>
              </w:rPr>
              <w:t>Unióba irányuló illegális bevándorlás és az Unión belüli továbbutazás ellenőrzéséhez, valamint az ott jogellenesen</w:t>
            </w:r>
            <w:r>
              <w:t xml:space="preserve"> tartózkodó harmadik országbeli állampolgárok azonosításához a tagállamok által meghozandó megfelelő intézkedések – ideértve az engedély nélkül tartózkodó személyek kitoloncolását és hazatelepítését is – megállapítása céljából.</w:t>
            </w:r>
          </w:p>
        </w:tc>
        <w:tc>
          <w:tcPr/>
          <w:p>
            <w:pPr>
              <w:pStyle w:val="Normal6"/>
            </w:pPr>
            <w:r>
              <w:t>b)</w:t>
            </w:r>
            <w:r>
              <w:tab/>
            </w:r>
            <w:r>
              <w:t xml:space="preserve">segítséget nyújtson az </w:t>
            </w:r>
            <w:r>
              <w:rPr>
                <w:rFonts w:ascii="Times New Roman" w:eastAsia="Times New Roman" w:hAnsi="Times New Roman" w:cs="Times New Roman"/>
                <w:b/>
                <w:i/>
                <w:strike w:val="0"/>
                <w:color w:val="000000"/>
                <w:sz w:val="24"/>
                <w:highlight w:val="none"/>
                <w:u w:val="none" w:color="auto"/>
              </w:rPr>
              <w:t>irreguláris módon</w:t>
            </w:r>
            <w:r>
              <w:t xml:space="preserve"> tartózkodó harmadik országbeli állampolgárok </w:t>
            </w:r>
            <w:r>
              <w:rPr>
                <w:rFonts w:ascii="Times New Roman" w:eastAsia="Times New Roman" w:hAnsi="Times New Roman" w:cs="Times New Roman"/>
                <w:b/>
                <w:i/>
                <w:strike w:val="0"/>
                <w:color w:val="000000"/>
                <w:sz w:val="24"/>
                <w:highlight w:val="none"/>
                <w:u w:val="none" w:color="auto"/>
              </w:rPr>
              <w:t xml:space="preserve">és hontalan személyek </w:t>
            </w:r>
            <w:r>
              <w:t xml:space="preserve">azonosításához a tagállamok által meghozandó megfelelő intézkedések – ideértve </w:t>
            </w:r>
            <w:r>
              <w:rPr>
                <w:rFonts w:ascii="Times New Roman" w:eastAsia="Times New Roman" w:hAnsi="Times New Roman" w:cs="Times New Roman"/>
                <w:b/>
                <w:i/>
                <w:strike w:val="0"/>
                <w:color w:val="000000"/>
                <w:sz w:val="24"/>
                <w:highlight w:val="none"/>
                <w:u w:val="none" w:color="auto"/>
              </w:rPr>
              <w:t xml:space="preserve">adott esetben </w:t>
            </w:r>
            <w:r>
              <w:t>az engedély nélkül tartózkodó személyek kitoloncolását és hazatelepítését</w:t>
            </w:r>
            <w:r>
              <w:rPr>
                <w:rFonts w:ascii="Times New Roman" w:eastAsia="Times New Roman" w:hAnsi="Times New Roman" w:cs="Times New Roman"/>
                <w:b/>
                <w:i/>
                <w:strike w:val="0"/>
                <w:color w:val="000000"/>
                <w:sz w:val="24"/>
                <w:highlight w:val="none"/>
                <w:u w:val="none" w:color="auto"/>
              </w:rPr>
              <w:t xml:space="preserve"> vagy az „állandó tartózkodási engedéllyel rendelkező” jogállás megadását</w:t>
            </w:r>
            <w:r>
              <w:t xml:space="preserve"> is – megállapítása céljából.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154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Christine Revault D'Allonnes Bonnefoy</w:t>
      </w:r>
      <w:r>
        <w:t xml:space="preserve">, </w:t>
      </w:r>
      <w:r>
        <w:t>Christine Revault D'Allonnes Bonnefoy</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cikk – 1 bekezdés – c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új szöveg( c)</w:t>
            </w:r>
            <w:r>
              <w:tab/>
            </w:r>
            <w:r>
              <w:t>megállapítsa azon feltételeket, amelyek mellett a tagállamok kijelölt hatóságai és az Európai Rendőrségi Hivatal (Europol) bűnüldözési célból kérhetik az ujjnyomatadatok</w:t>
            </w:r>
            <w:r>
              <w:rPr>
                <w:rFonts w:ascii="Times New Roman" w:eastAsia="Times New Roman" w:hAnsi="Times New Roman" w:cs="Times New Roman"/>
                <w:b/>
                <w:i/>
                <w:strike w:val="0"/>
                <w:color w:val="000000"/>
                <w:sz w:val="24"/>
                <w:highlight w:val="none"/>
                <w:u w:val="none" w:color="auto"/>
              </w:rPr>
              <w:t xml:space="preserve">  </w:t>
            </w:r>
            <w:r>
              <w:t>és arcképmások</w:t>
            </w:r>
            <w:r>
              <w:rPr>
                <w:rFonts w:ascii="Times New Roman" w:eastAsia="Times New Roman" w:hAnsi="Times New Roman" w:cs="Times New Roman"/>
                <w:b/>
                <w:i/>
                <w:strike w:val="0"/>
                <w:color w:val="000000"/>
                <w:sz w:val="24"/>
                <w:highlight w:val="none"/>
                <w:u w:val="none" w:color="auto"/>
              </w:rPr>
              <w:t>  összehasoníltását</w:t>
            </w:r>
            <w:r>
              <w:t xml:space="preserve"> a központi rendszerben tárolt ujjnyomatadatokkal</w:t>
            </w:r>
            <w:r>
              <w:rPr>
                <w:rFonts w:ascii="Times New Roman" w:eastAsia="Times New Roman" w:hAnsi="Times New Roman" w:cs="Times New Roman"/>
                <w:b/>
                <w:i/>
                <w:strike w:val="0"/>
                <w:color w:val="000000"/>
                <w:sz w:val="24"/>
                <w:highlight w:val="none"/>
                <w:u w:val="none" w:color="auto"/>
              </w:rPr>
              <w:t xml:space="preserve">  terrorcselekmények vagy más súlyos bűncselekmények megelőzése, felderítése és kivizsgálása céljából </w:t>
            </w:r>
            <w:r>
              <w:t>.</w:t>
            </w:r>
          </w:p>
        </w:tc>
        <w:tc>
          <w:tcPr/>
          <w:p>
            <w:pPr>
              <w:pStyle w:val="Normal6"/>
            </w:pPr>
            <w:r>
              <w:rPr>
                <w:rFonts w:ascii="Times New Roman" w:eastAsia="Times New Roman" w:hAnsi="Times New Roman" w:cs="Times New Roman"/>
                <w:b/>
                <w:i/>
                <w:strike w:val="0"/>
                <w:color w:val="000000"/>
                <w:sz w:val="24"/>
                <w:highlight w:val="none"/>
                <w:u w:val="none" w:color="auto"/>
              </w:rPr>
              <w:t>c)</w:t>
            </w:r>
            <w:r>
              <w:tab/>
            </w:r>
            <w:r>
              <w:t>megállapítsa azon feltételeket, amelyek mellett a tagállamok kijelölt hatóságai és az Európai Rendőrségi Hivatal (Europol) bűnüldözési célból kérhetik az ujjnyomatadatok</w:t>
            </w:r>
            <w:r>
              <w:rPr>
                <w:rFonts w:ascii="Times New Roman" w:eastAsia="Times New Roman" w:hAnsi="Times New Roman" w:cs="Times New Roman"/>
                <w:b/>
                <w:i/>
                <w:strike w:val="0"/>
                <w:color w:val="000000"/>
                <w:sz w:val="24"/>
                <w:highlight w:val="none"/>
                <w:u w:val="none" w:color="auto"/>
              </w:rPr>
              <w:t xml:space="preserve"> </w:t>
            </w:r>
            <w:r>
              <w:t>és arcképmások</w:t>
            </w:r>
            <w:r>
              <w:rPr>
                <w:rFonts w:ascii="Times New Roman" w:eastAsia="Times New Roman" w:hAnsi="Times New Roman" w:cs="Times New Roman"/>
                <w:b/>
                <w:i/>
                <w:strike w:val="0"/>
                <w:color w:val="000000"/>
                <w:sz w:val="24"/>
                <w:highlight w:val="none"/>
                <w:u w:val="none" w:color="auto"/>
              </w:rPr>
              <w:t xml:space="preserve"> összehasonlítását</w:t>
            </w:r>
            <w:r>
              <w:t xml:space="preserve"> a központi rendszerben tárolt ujjnyomatadatokkal.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Ez az említés szükségtelen, és veszélyes párhuzamot von a migráció és a terroristák, illetve a bűnözők között.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155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Malin Björk</w:t>
      </w:r>
      <w:r>
        <w:t xml:space="preserve">, </w:t>
      </w:r>
      <w:r>
        <w:t>Barbara Spinelli</w:t>
      </w:r>
      <w:r>
        <w:t xml:space="preserve">, </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cikk – 1 bekezdés – c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új szöveg( c)</w:t>
            </w:r>
            <w:r>
              <w:tab/>
            </w:r>
            <w:r>
              <w:rPr>
                <w:rFonts w:ascii="Times New Roman" w:eastAsia="Times New Roman" w:hAnsi="Times New Roman" w:cs="Times New Roman"/>
                <w:b/>
                <w:i/>
                <w:strike w:val="0"/>
                <w:color w:val="000000"/>
                <w:sz w:val="24"/>
                <w:highlight w:val="none"/>
                <w:u w:val="none" w:color="auto"/>
              </w:rPr>
              <w:t>megállapítsa azon feltételeket, amelyek mellett a tagállamok kijelölt hatóságai és az Európai Rendőrségi Hivatal (Europol) bűnüldözési célból kérhetik az ujjnyomatadatok  és arcképmások  összehasoníltását a központi rendszerben tárolt ujjnyomatadatokkal  terrorcselekmények vagy más súlyos bűncselekmények megelőzése, felderítése és kivizsgálása céljából .</w:t>
            </w:r>
          </w:p>
        </w:tc>
        <w:tc>
          <w:tcPr/>
          <w:p>
            <w:pPr>
              <w:pStyle w:val="Normal6"/>
            </w:pPr>
            <w:r>
              <w:rPr>
                <w:rFonts w:ascii="Times New Roman" w:eastAsia="Times New Roman" w:hAnsi="Times New Roman" w:cs="Times New Roman"/>
                <w:b/>
                <w:i/>
                <w:strike w:val="0"/>
                <w:color w:val="000000"/>
                <w:sz w:val="24"/>
                <w:highlight w:val="none"/>
                <w:u w:val="none" w:color="auto"/>
              </w:rPr>
              <w:t>törölve</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Italic"/>
            </w:pPr>
            <w:r>
              <w:t>(E módosítás a teljes szövegre vonatkozik. Elfogadása esetén a szövegben mindenütt el kell végezni a szükséges módosításokat.)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was hard to reconcile with the principle of purpose limitation, and that the access to a database of vulnerable persons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156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Sophia in 't Veld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cikk – 1 bekezdés – c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új szöveg( c)</w:t>
            </w:r>
            <w:r>
              <w:tab/>
            </w:r>
            <w:r>
              <w:t>megállapítsa azon feltételeket, amelyek mellett a tagállamok kijelölt hatóságai és az Európai Rendőrségi Hivatal (Europol) bűnüldözési célból kérhetik az ujjnyomatadatok</w:t>
            </w:r>
            <w:r>
              <w:rPr>
                <w:rFonts w:ascii="Times New Roman" w:eastAsia="Times New Roman" w:hAnsi="Times New Roman" w:cs="Times New Roman"/>
                <w:b/>
                <w:i/>
                <w:strike w:val="0"/>
                <w:color w:val="000000"/>
                <w:sz w:val="24"/>
                <w:highlight w:val="none"/>
                <w:u w:val="none" w:color="auto"/>
              </w:rPr>
              <w:t xml:space="preserve">  </w:t>
            </w:r>
            <w:r>
              <w:t>és arcképmások</w:t>
            </w:r>
            <w:r>
              <w:rPr>
                <w:rFonts w:ascii="Times New Roman" w:eastAsia="Times New Roman" w:hAnsi="Times New Roman" w:cs="Times New Roman"/>
                <w:b/>
                <w:i/>
                <w:strike w:val="0"/>
                <w:color w:val="000000"/>
                <w:sz w:val="24"/>
                <w:highlight w:val="none"/>
                <w:u w:val="none" w:color="auto"/>
              </w:rPr>
              <w:t>  összehasoníltását</w:t>
            </w:r>
            <w:r>
              <w:t xml:space="preserve"> a központi rendszerben tárolt ujjnyomatadatokkal</w:t>
            </w:r>
            <w:r>
              <w:rPr>
                <w:rFonts w:ascii="Times New Roman" w:eastAsia="Times New Roman" w:hAnsi="Times New Roman" w:cs="Times New Roman"/>
                <w:b/>
                <w:i/>
                <w:strike w:val="0"/>
                <w:color w:val="000000"/>
                <w:sz w:val="24"/>
                <w:highlight w:val="none"/>
                <w:u w:val="none" w:color="auto"/>
              </w:rPr>
              <w:t xml:space="preserve">  </w:t>
            </w:r>
            <w:r>
              <w:t>terrorcselekmények vagy más súlyos bűncselekmények megelőzése, felderítése és kivizsgálása céljából</w:t>
            </w:r>
            <w:r>
              <w:rPr>
                <w:rFonts w:ascii="Times New Roman" w:eastAsia="Times New Roman" w:hAnsi="Times New Roman" w:cs="Times New Roman"/>
                <w:b/>
                <w:i/>
                <w:strike w:val="0"/>
                <w:color w:val="000000"/>
                <w:sz w:val="24"/>
                <w:highlight w:val="none"/>
                <w:u w:val="none" w:color="auto"/>
              </w:rPr>
              <w:t> </w:t>
            </w:r>
            <w:r>
              <w:t>.</w:t>
            </w:r>
          </w:p>
        </w:tc>
        <w:tc>
          <w:tcPr/>
          <w:p>
            <w:pPr>
              <w:pStyle w:val="Normal6"/>
            </w:pPr>
            <w:r>
              <w:rPr>
                <w:rFonts w:ascii="Times New Roman" w:eastAsia="Times New Roman" w:hAnsi="Times New Roman" w:cs="Times New Roman"/>
                <w:b/>
                <w:i/>
                <w:strike w:val="0"/>
                <w:color w:val="000000"/>
                <w:sz w:val="24"/>
                <w:highlight w:val="none"/>
                <w:u w:val="none" w:color="auto"/>
              </w:rPr>
              <w:t>c)</w:t>
            </w:r>
            <w:r>
              <w:tab/>
            </w:r>
            <w:r>
              <w:t>megállapítsa azon feltételeket, amelyek mellett a tagállamok kijelölt hatóságai és az Európai Rendőrségi Hivatal (Europol) bűnüldözési célból kérhetik az ujjnyomatadatok</w:t>
            </w:r>
            <w:r>
              <w:rPr>
                <w:rFonts w:ascii="Times New Roman" w:eastAsia="Times New Roman" w:hAnsi="Times New Roman" w:cs="Times New Roman"/>
                <w:b/>
                <w:i/>
                <w:strike w:val="0"/>
                <w:color w:val="000000"/>
                <w:sz w:val="24"/>
                <w:highlight w:val="none"/>
                <w:u w:val="none" w:color="auto"/>
              </w:rPr>
              <w:t xml:space="preserve"> </w:t>
            </w:r>
            <w:r>
              <w:t>és arcképmások</w:t>
            </w:r>
            <w:r>
              <w:rPr>
                <w:rFonts w:ascii="Times New Roman" w:eastAsia="Times New Roman" w:hAnsi="Times New Roman" w:cs="Times New Roman"/>
                <w:b/>
                <w:i/>
                <w:strike w:val="0"/>
                <w:color w:val="000000"/>
                <w:sz w:val="24"/>
                <w:highlight w:val="none"/>
                <w:u w:val="none" w:color="auto"/>
              </w:rPr>
              <w:t xml:space="preserve"> összehasonlítását</w:t>
            </w:r>
            <w:r>
              <w:t xml:space="preserve"> a központi rendszerben tárolt ujjnyomatadatokkal</w:t>
            </w:r>
            <w:r>
              <w:rPr>
                <w:rFonts w:ascii="Times New Roman" w:eastAsia="Times New Roman" w:hAnsi="Times New Roman" w:cs="Times New Roman"/>
                <w:b/>
                <w:i/>
                <w:strike w:val="0"/>
                <w:color w:val="000000"/>
                <w:sz w:val="24"/>
                <w:highlight w:val="none"/>
                <w:u w:val="none" w:color="auto"/>
              </w:rPr>
              <w:t xml:space="preserve"> </w:t>
            </w:r>
            <w:r>
              <w:t>terrorcselekmények vagy más súlyos bűncselekmények megelőzése, felderítése és kivizsgálása céljából</w:t>
            </w:r>
            <w:r>
              <w:rPr>
                <w:rFonts w:ascii="Times New Roman" w:eastAsia="Times New Roman" w:hAnsi="Times New Roman" w:cs="Times New Roman"/>
                <w:b/>
                <w:i/>
                <w:strike w:val="0"/>
                <w:color w:val="000000"/>
                <w:sz w:val="24"/>
                <w:highlight w:val="none"/>
                <w:u w:val="none" w:color="auto"/>
              </w:rPr>
              <w:t>, összhangban a Charta 52. cikkének (1) bekezdésében és az EUB vonatkozó ítélkezési gyakorlatában meghatározott szükségesség és arányosság elvével</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Az eljárási szabályzat 104. cikkével összhangban e módosítás azért szükséges, mert elválaszthatatlanul összefügg más olyan elfogadható módosításokkal az Eurodac céljait illetően (1. cikk), amelyek a szükségességre és az arányosságra vonatkozó elvek tiszteletben tartására utaló hivatkozásokat vezetnek be a Charta 52. cikkének (1) bekezdésének, valamint a Bíróság vonatkozó ítélkezési gyakorlatának megfelelően.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157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cikk – 1 bekezdés – c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új szöveg( c)</w:t>
            </w:r>
            <w:r>
              <w:tab/>
            </w:r>
            <w:r>
              <w:t>megállapítsa azon feltételeket, amelyek mellett a tagállamok kijelölt hatóságai és az Európai Rendőrségi Hivatal (Europol) bűnüldözési célból kérhetik az ujjnyomatadatok</w:t>
            </w:r>
            <w:r>
              <w:rPr>
                <w:rFonts w:ascii="Times New Roman" w:eastAsia="Times New Roman" w:hAnsi="Times New Roman" w:cs="Times New Roman"/>
                <w:b/>
                <w:i/>
                <w:strike w:val="0"/>
                <w:color w:val="000000"/>
                <w:sz w:val="24"/>
                <w:highlight w:val="none"/>
                <w:u w:val="none" w:color="auto"/>
              </w:rPr>
              <w:t xml:space="preserve">  és</w:t>
            </w:r>
            <w:r>
              <w:t xml:space="preserve"> arcképmások</w:t>
            </w:r>
            <w:r>
              <w:rPr>
                <w:rFonts w:ascii="Times New Roman" w:eastAsia="Times New Roman" w:hAnsi="Times New Roman" w:cs="Times New Roman"/>
                <w:b/>
                <w:i/>
                <w:strike w:val="0"/>
                <w:color w:val="000000"/>
                <w:sz w:val="24"/>
                <w:highlight w:val="none"/>
                <w:u w:val="none" w:color="auto"/>
              </w:rPr>
              <w:t>  összehasoníltását</w:t>
            </w:r>
            <w:r>
              <w:t xml:space="preserve"> a központi rendszerben </w:t>
            </w:r>
            <w:r>
              <w:rPr>
                <w:rFonts w:ascii="Times New Roman" w:eastAsia="Times New Roman" w:hAnsi="Times New Roman" w:cs="Times New Roman"/>
                <w:b/>
                <w:i/>
                <w:strike w:val="0"/>
                <w:color w:val="000000"/>
                <w:sz w:val="24"/>
                <w:highlight w:val="none"/>
                <w:u w:val="none" w:color="auto"/>
              </w:rPr>
              <w:t>tárolt ujjnyomatadatokkal  </w:t>
            </w:r>
            <w:r>
              <w:t>terrorcselekmények vagy más súlyos bűncselekmények megelőzése, felderítése és kivizsgálása céljából .</w:t>
            </w:r>
          </w:p>
        </w:tc>
        <w:tc>
          <w:tcPr/>
          <w:p>
            <w:pPr>
              <w:pStyle w:val="Normal6"/>
            </w:pPr>
            <w:r>
              <w:rPr>
                <w:rFonts w:ascii="Times New Roman" w:eastAsia="Times New Roman" w:hAnsi="Times New Roman" w:cs="Times New Roman"/>
                <w:b/>
                <w:i/>
                <w:strike w:val="0"/>
                <w:color w:val="000000"/>
                <w:sz w:val="24"/>
                <w:highlight w:val="none"/>
                <w:u w:val="none" w:color="auto"/>
              </w:rPr>
              <w:t>c)</w:t>
            </w:r>
            <w:r>
              <w:tab/>
            </w:r>
            <w:r>
              <w:t>megállapítsa azon feltételeket, amelyek mellett a tagállamok kijelölt hatóságai és az Európai Rendőrségi Hivatal (Europol) bűnüldözési célból kérhetik az ujjnyomatadatok</w:t>
            </w:r>
            <w:r>
              <w:rPr>
                <w:rFonts w:ascii="Times New Roman" w:eastAsia="Times New Roman" w:hAnsi="Times New Roman" w:cs="Times New Roman"/>
                <w:b/>
                <w:i/>
                <w:strike w:val="0"/>
                <w:color w:val="000000"/>
                <w:sz w:val="24"/>
                <w:highlight w:val="none"/>
                <w:u w:val="none" w:color="auto"/>
              </w:rPr>
              <w:t>,</w:t>
            </w:r>
            <w:r>
              <w:t xml:space="preserve"> arcképmások</w:t>
            </w:r>
            <w:r>
              <w:rPr>
                <w:rFonts w:ascii="Times New Roman" w:eastAsia="Times New Roman" w:hAnsi="Times New Roman" w:cs="Times New Roman"/>
                <w:b/>
                <w:i/>
                <w:strike w:val="0"/>
                <w:color w:val="000000"/>
                <w:sz w:val="24"/>
                <w:highlight w:val="none"/>
                <w:u w:val="none" w:color="auto"/>
              </w:rPr>
              <w:t xml:space="preserve"> és alfanumerikus adatok összehasonlítását</w:t>
            </w:r>
            <w:r>
              <w:t xml:space="preserve"> a központi rendszerben </w:t>
            </w:r>
            <w:r>
              <w:rPr>
                <w:rFonts w:ascii="Times New Roman" w:eastAsia="Times New Roman" w:hAnsi="Times New Roman" w:cs="Times New Roman"/>
                <w:b/>
                <w:i/>
                <w:strike w:val="0"/>
                <w:color w:val="000000"/>
                <w:sz w:val="24"/>
                <w:highlight w:val="none"/>
                <w:u w:val="none" w:color="auto"/>
              </w:rPr>
              <w:t xml:space="preserve">tároltakkal </w:t>
            </w:r>
            <w:r>
              <w:t>terrorcselekmények vagy más súlyos bűncselekmények megelőzése, felderítése és kivizsgálása céljából .</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Under the proposal, national law enforcementauthorities and Europol cannot request comparison with specific alphanumeric data, which ishighly detrimental to investigations, especially in the counter-terrorismfield, trying to establish the places and dates of entry in the EU of suspectsfor which a used identity is known, but no fingerprint is available. In thiscontext, and given that Art.1.1(c) of the proposal, extends its scope ofEurodac to law enforcement purposes, it would be essential for national law enforcementauthorities and Europol to have access to all data contained in Eurodac inorder to properly carry out their tasks.</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158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Monika Hohlmeier</w:t>
      </w:r>
      <w:r>
        <w:t xml:space="preserve">, </w:t>
      </w:r>
      <w:r>
        <w:t>Heinz K. Becker</w:t>
      </w:r>
      <w:r>
        <w:t xml:space="preserve">, </w:t>
      </w:r>
      <w:r>
        <w:t>Jeroen Lenaers</w:t>
      </w:r>
      <w:r>
        <w:t xml:space="preserve">, </w:t>
      </w:r>
      <w:r>
        <w:t>Rachida Dati</w:t>
      </w:r>
      <w:r>
        <w:t xml:space="preserve">, </w:t>
      </w:r>
      <w:r>
        <w:t>Brice Hortefeux</w:t>
      </w:r>
      <w:r>
        <w:t xml:space="preserve">, </w:t>
      </w:r>
      <w:r>
        <w:t>Mariya Gabriel</w:t>
      </w:r>
      <w:r>
        <w:t xml:space="preserve">, </w:t>
      </w:r>
      <w:r>
        <w:t>Artis Pabriks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cikk – 1 bekezdés – c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új szöveg( c)</w:t>
            </w:r>
            <w:r>
              <w:tab/>
            </w:r>
            <w:r>
              <w:t>megállapítsa azon feltételeket, amelyek mellett a tagállamok kijelölt hatóságai és az Európai Rendőrségi Hivatal (Europol) bűnüldözési célból kérhetik az ujjnyomatadatok</w:t>
            </w:r>
            <w:r>
              <w:rPr>
                <w:rFonts w:ascii="Times New Roman" w:eastAsia="Times New Roman" w:hAnsi="Times New Roman" w:cs="Times New Roman"/>
                <w:b/>
                <w:i/>
                <w:strike w:val="0"/>
                <w:color w:val="000000"/>
                <w:sz w:val="24"/>
                <w:highlight w:val="none"/>
                <w:u w:val="none" w:color="auto"/>
              </w:rPr>
              <w:t xml:space="preserve">  </w:t>
            </w:r>
            <w:r>
              <w:t>és arcképmások</w:t>
            </w:r>
            <w:r>
              <w:rPr>
                <w:rFonts w:ascii="Times New Roman" w:eastAsia="Times New Roman" w:hAnsi="Times New Roman" w:cs="Times New Roman"/>
                <w:b/>
                <w:i/>
                <w:strike w:val="0"/>
                <w:color w:val="000000"/>
                <w:sz w:val="24"/>
                <w:highlight w:val="none"/>
                <w:u w:val="none" w:color="auto"/>
              </w:rPr>
              <w:t>  összehasoníltását</w:t>
            </w:r>
            <w:r>
              <w:t xml:space="preserve"> a központi rendszerben tárolt ujjnyomatadatokkal</w:t>
            </w:r>
            <w:r>
              <w:rPr>
                <w:rFonts w:ascii="Times New Roman" w:eastAsia="Times New Roman" w:hAnsi="Times New Roman" w:cs="Times New Roman"/>
                <w:b/>
                <w:i/>
                <w:strike w:val="0"/>
                <w:color w:val="000000"/>
                <w:sz w:val="24"/>
                <w:highlight w:val="none"/>
                <w:u w:val="none" w:color="auto"/>
              </w:rPr>
              <w:t xml:space="preserve">  </w:t>
            </w:r>
            <w:r>
              <w:t>terrorcselekmények vagy más súlyos bűncselekmények megelőzése, felderítése</w:t>
            </w:r>
            <w:r>
              <w:rPr>
                <w:rFonts w:ascii="Times New Roman" w:eastAsia="Times New Roman" w:hAnsi="Times New Roman" w:cs="Times New Roman"/>
                <w:b/>
                <w:i/>
                <w:strike w:val="0"/>
                <w:color w:val="000000"/>
                <w:sz w:val="24"/>
                <w:highlight w:val="none"/>
                <w:u w:val="none" w:color="auto"/>
              </w:rPr>
              <w:t xml:space="preserve"> és kivizsgálása</w:t>
            </w:r>
            <w:r>
              <w:t xml:space="preserve"> céljából .</w:t>
            </w:r>
          </w:p>
        </w:tc>
        <w:tc>
          <w:tcPr/>
          <w:p>
            <w:pPr>
              <w:pStyle w:val="Normal6"/>
            </w:pPr>
            <w:r>
              <w:rPr>
                <w:rFonts w:ascii="Times New Roman" w:eastAsia="Times New Roman" w:hAnsi="Times New Roman" w:cs="Times New Roman"/>
                <w:b/>
                <w:i/>
                <w:strike w:val="0"/>
                <w:color w:val="000000"/>
                <w:sz w:val="24"/>
                <w:highlight w:val="none"/>
                <w:u w:val="none" w:color="auto"/>
              </w:rPr>
              <w:t>c)</w:t>
            </w:r>
            <w:r>
              <w:tab/>
            </w:r>
            <w:r>
              <w:t>megállapítsa azon feltételeket, amelyek mellett a tagállamok kijelölt hatóságai és az Európai Rendőrségi Hivatal (Europol) bűnüldözési célból kérhetik az ujjnyomatadatok</w:t>
            </w:r>
            <w:r>
              <w:rPr>
                <w:rFonts w:ascii="Times New Roman" w:eastAsia="Times New Roman" w:hAnsi="Times New Roman" w:cs="Times New Roman"/>
                <w:b/>
                <w:i/>
                <w:strike w:val="0"/>
                <w:color w:val="000000"/>
                <w:sz w:val="24"/>
                <w:highlight w:val="none"/>
                <w:u w:val="none" w:color="auto"/>
              </w:rPr>
              <w:t xml:space="preserve"> </w:t>
            </w:r>
            <w:r>
              <w:t>és arcképmások</w:t>
            </w:r>
            <w:r>
              <w:rPr>
                <w:rFonts w:ascii="Times New Roman" w:eastAsia="Times New Roman" w:hAnsi="Times New Roman" w:cs="Times New Roman"/>
                <w:b/>
                <w:i/>
                <w:strike w:val="0"/>
                <w:color w:val="000000"/>
                <w:sz w:val="24"/>
                <w:highlight w:val="none"/>
                <w:u w:val="none" w:color="auto"/>
              </w:rPr>
              <w:t xml:space="preserve"> összehasonlítását</w:t>
            </w:r>
            <w:r>
              <w:t xml:space="preserve"> a központi rendszerben tárolt ujjnyomatadatokkal</w:t>
            </w:r>
            <w:r>
              <w:rPr>
                <w:rFonts w:ascii="Times New Roman" w:eastAsia="Times New Roman" w:hAnsi="Times New Roman" w:cs="Times New Roman"/>
                <w:b/>
                <w:i/>
                <w:strike w:val="0"/>
                <w:color w:val="000000"/>
                <w:sz w:val="24"/>
                <w:highlight w:val="none"/>
                <w:u w:val="none" w:color="auto"/>
              </w:rPr>
              <w:t xml:space="preserve"> </w:t>
            </w:r>
            <w:r>
              <w:t>terrorcselekmények vagy más súlyos bűncselekmények megelőzése, felderítése</w:t>
            </w:r>
            <w:r>
              <w:rPr>
                <w:rFonts w:ascii="Times New Roman" w:eastAsia="Times New Roman" w:hAnsi="Times New Roman" w:cs="Times New Roman"/>
                <w:b/>
                <w:i/>
                <w:strike w:val="0"/>
                <w:color w:val="000000"/>
                <w:sz w:val="24"/>
                <w:highlight w:val="none"/>
                <w:u w:val="none" w:color="auto"/>
              </w:rPr>
              <w:t>, kivizsgálása vagy büntetőeljárás alá vonása</w:t>
            </w:r>
            <w:r>
              <w:t xml:space="preserve"> céljából .</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Italic"/>
            </w:pPr>
            <w:r>
              <w:t>(E módosítás a teljes szövegre vonatkozik. Elfogadása esetén a szövegben mindenütt el kell végezni a szükséges módosításokat.)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Ez a módosítás az egész szövegre alkalmazandó és összhangban áll az 1. cikk egy új (c) bekezdéssel való kiegészítésével.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159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cikk – 1 bekezdés – c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új szöveg( c)</w:t>
            </w:r>
            <w:r>
              <w:tab/>
            </w:r>
            <w:r>
              <w:t>megállapítsa azon feltételeket, amelyek mellett a tagállamok kijelölt hatóságai és az Európai Rendőrségi Hivatal (Europol) bűnüldözési célból kérhetik az ujjnyomatadatok</w:t>
            </w:r>
            <w:r>
              <w:rPr>
                <w:rFonts w:ascii="Times New Roman" w:eastAsia="Times New Roman" w:hAnsi="Times New Roman" w:cs="Times New Roman"/>
                <w:b/>
                <w:i/>
                <w:strike w:val="0"/>
                <w:color w:val="000000"/>
                <w:sz w:val="24"/>
                <w:highlight w:val="none"/>
                <w:u w:val="none" w:color="auto"/>
              </w:rPr>
              <w:t xml:space="preserve">  és</w:t>
            </w:r>
            <w:r>
              <w:t xml:space="preserve"> arcképmások</w:t>
            </w:r>
            <w:r>
              <w:rPr>
                <w:rFonts w:ascii="Times New Roman" w:eastAsia="Times New Roman" w:hAnsi="Times New Roman" w:cs="Times New Roman"/>
                <w:b/>
                <w:i/>
                <w:strike w:val="0"/>
                <w:color w:val="000000"/>
                <w:sz w:val="24"/>
                <w:highlight w:val="none"/>
                <w:u w:val="none" w:color="auto"/>
              </w:rPr>
              <w:t>  összehasoníltását</w:t>
            </w:r>
            <w:r>
              <w:t xml:space="preserve"> a központi rendszerben tárolt ujjnyomatadatokkal</w:t>
            </w:r>
            <w:r>
              <w:rPr>
                <w:rFonts w:ascii="Times New Roman" w:eastAsia="Times New Roman" w:hAnsi="Times New Roman" w:cs="Times New Roman"/>
                <w:b/>
                <w:i/>
                <w:strike w:val="0"/>
                <w:color w:val="000000"/>
                <w:sz w:val="24"/>
                <w:highlight w:val="none"/>
                <w:u w:val="none" w:color="auto"/>
              </w:rPr>
              <w:t xml:space="preserve">  </w:t>
            </w:r>
            <w:r>
              <w:t>terrorcselekmények vagy más súlyos bűncselekmények megelőzése, felderítése és kivizsgálása céljából .</w:t>
            </w:r>
          </w:p>
        </w:tc>
        <w:tc>
          <w:tcPr/>
          <w:p>
            <w:pPr>
              <w:pStyle w:val="Normal6"/>
            </w:pPr>
            <w:r>
              <w:rPr>
                <w:rFonts w:ascii="Times New Roman" w:eastAsia="Times New Roman" w:hAnsi="Times New Roman" w:cs="Times New Roman"/>
                <w:b/>
                <w:i/>
                <w:strike w:val="0"/>
                <w:color w:val="000000"/>
                <w:sz w:val="24"/>
                <w:highlight w:val="none"/>
                <w:u w:val="none" w:color="auto"/>
              </w:rPr>
              <w:t>c)</w:t>
            </w:r>
            <w:r>
              <w:tab/>
            </w:r>
            <w:r>
              <w:t>megállapítsa azon feltételeket, amelyek mellett a tagállamok kijelölt hatóságai és az Európai Rendőrségi Hivatal (Europol) bűnüldözési célból kérhetik az ujjnyomatadatok</w:t>
            </w:r>
            <w:r>
              <w:rPr>
                <w:rFonts w:ascii="Times New Roman" w:eastAsia="Times New Roman" w:hAnsi="Times New Roman" w:cs="Times New Roman"/>
                <w:b/>
                <w:i/>
                <w:strike w:val="0"/>
                <w:color w:val="000000"/>
                <w:sz w:val="24"/>
                <w:highlight w:val="none"/>
                <w:u w:val="none" w:color="auto"/>
              </w:rPr>
              <w:t>,</w:t>
            </w:r>
            <w:r>
              <w:t xml:space="preserve"> arcképmások</w:t>
            </w:r>
            <w:r>
              <w:rPr>
                <w:rFonts w:ascii="Times New Roman" w:eastAsia="Times New Roman" w:hAnsi="Times New Roman" w:cs="Times New Roman"/>
                <w:b/>
                <w:i/>
                <w:strike w:val="0"/>
                <w:color w:val="000000"/>
                <w:sz w:val="24"/>
                <w:highlight w:val="none"/>
                <w:u w:val="none" w:color="auto"/>
              </w:rPr>
              <w:t xml:space="preserve"> vagy mindkettő összehasonlítását</w:t>
            </w:r>
            <w:r>
              <w:t xml:space="preserve"> a központi rendszerben tárolt ujjnyomatadatokkal</w:t>
            </w:r>
            <w:r>
              <w:rPr>
                <w:rFonts w:ascii="Times New Roman" w:eastAsia="Times New Roman" w:hAnsi="Times New Roman" w:cs="Times New Roman"/>
                <w:b/>
                <w:i/>
                <w:strike w:val="0"/>
                <w:color w:val="000000"/>
                <w:sz w:val="24"/>
                <w:highlight w:val="none"/>
                <w:u w:val="none" w:color="auto"/>
              </w:rPr>
              <w:t xml:space="preserve"> </w:t>
            </w:r>
            <w:r>
              <w:t>terrorcselekmények vagy más súlyos bűncselekmények megelőzése, felderítése és kivizsgálása céljából .</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160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cikk – 1 bekezdés – c a pont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ca)</w:t>
            </w:r>
            <w:r>
              <w:tab/>
            </w:r>
            <w:r>
              <w:rPr>
                <w:rFonts w:ascii="Times New Roman" w:eastAsia="Times New Roman" w:hAnsi="Times New Roman" w:cs="Times New Roman"/>
                <w:b/>
                <w:i/>
                <w:strike w:val="0"/>
                <w:color w:val="000000"/>
                <w:sz w:val="24"/>
                <w:highlight w:val="none"/>
                <w:u w:val="none" w:color="auto"/>
              </w:rPr>
              <w:t>megvédje és azonosítsa az embercsempészet vagy a visszaélések áldozataivá vált, eltűnt vagy elrabolt gyermekeket, megállapítsa a gyermekek személyazonosságát, és segítséget nyújtson a tagállamoknak hozzátartozóik felkutatásában, illetve a tagállamokkal esetlegesen fennálló kapcsolataik azonosításában az ilyen gyermekek mindenek felett álló érdekének megfelelően.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Az ujjnyomatvétel korhatárának 14-ről 6 éves korra való leszállításának célja, hogy jobb védelmet nyújtson a gyermekek számára az emberkereskedelemmel és az emberrablással szemben. Ezt egyértelműen meg kell határozni.</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161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Sophia in 't Veld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cikk – 1 bekezdés – c a pont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ca)</w:t>
            </w:r>
            <w:r>
              <w:tab/>
            </w:r>
            <w:r>
              <w:rPr>
                <w:rFonts w:ascii="Times New Roman" w:eastAsia="Times New Roman" w:hAnsi="Times New Roman" w:cs="Times New Roman"/>
                <w:b/>
                <w:i/>
                <w:strike w:val="0"/>
                <w:color w:val="000000"/>
                <w:sz w:val="24"/>
                <w:highlight w:val="none"/>
                <w:u w:val="none" w:color="auto"/>
              </w:rPr>
              <w:t>elősegítse a családok újraegyesítését, továbbá azonosítsa és védje az emberkereskedelem áldozatává gyermekeket. A kiskorúaktól megszerzett személyes adatok mentesülnek a b) és c) pontban foglalt célok hatálya alól. Különös figyelmet kell fordítani a kísérő nélküli kiskorúak jogaira.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In accordance with rule 104 of the rules of procedure, this amendment is necessary because it is inextricably linked to other admissible amendments related to further purposes of Eurodac (Article 1), related to family reunification and the identification and protection of minors. While lowering the age of taking fingerprints and facial images to six years (Article 10, 13 and 14), the purpose of Eurodac should also be facilitating family reunification and identify and protect child victims of human trafficking. This purpose will positively contribute to the protection of the rights of the child, including the rights of unaccompanied minors.</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162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Sylvia-Yvonne Kaufmann</w:t>
      </w:r>
      <w:r>
        <w:t xml:space="preserve">, </w:t>
      </w:r>
      <w:r>
        <w:t>Josef Weidenholzer</w:t>
      </w:r>
      <w:r>
        <w:t xml:space="preserve">, </w:t>
      </w:r>
      <w:r>
        <w:t>Vilija Blinkevičiūtė</w:t>
      </w:r>
      <w:r>
        <w:t xml:space="preserve">, </w:t>
      </w:r>
      <w:r>
        <w:t>Péter Niedermüller</w:t>
      </w:r>
      <w:r>
        <w:t xml:space="preserve">, </w:t>
      </w:r>
      <w:r>
        <w:t>Kati Piri</w:t>
      </w:r>
      <w:r>
        <w:t xml:space="preserve">, </w:t>
      </w:r>
      <w:r>
        <w:t>Maria Grapini</w:t>
      </w:r>
      <w:r>
        <w:t xml:space="preserve">, </w:t>
      </w:r>
      <w:r>
        <w:t>Juan Fernando López Aguilar</w:t>
      </w:r>
      <w:r>
        <w:t xml:space="preserve">, </w:t>
      </w:r>
      <w:r>
        <w:t>Caterina Chinnici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cikk – 1 bekezdés – c a pont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ca)</w:t>
            </w:r>
            <w:r>
              <w:tab/>
            </w:r>
            <w:r>
              <w:rPr>
                <w:rFonts w:ascii="Times New Roman" w:eastAsia="Times New Roman" w:hAnsi="Times New Roman" w:cs="Times New Roman"/>
                <w:b/>
                <w:i/>
                <w:strike w:val="0"/>
                <w:color w:val="000000"/>
                <w:sz w:val="24"/>
                <w:highlight w:val="none"/>
                <w:u w:val="none" w:color="auto"/>
              </w:rPr>
              <w:t>segítséget nyújtson a tagállamoknak az emberkereskedelem áldozataivá vált gyermekek védelméhez és azonosításához, az eltűnt gyermekek védelméhez és azonosításához, valamint a családok felkutatására és újraegyesítésére irányuló intézkedések meghozatalához.</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childrens' biometric data could be only justified by a child protection purpose. Therefore this amendment is directly linked to the changes which the Commission proposed.</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163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cikk – 1 bekezdés – c a pont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ca)</w:t>
            </w:r>
            <w:r>
              <w:tab/>
            </w:r>
            <w:r>
              <w:rPr>
                <w:rFonts w:ascii="Times New Roman" w:eastAsia="Times New Roman" w:hAnsi="Times New Roman" w:cs="Times New Roman"/>
                <w:b/>
                <w:i/>
                <w:strike w:val="0"/>
                <w:color w:val="000000"/>
                <w:sz w:val="24"/>
                <w:highlight w:val="none"/>
                <w:u w:val="none" w:color="auto"/>
              </w:rPr>
              <w:t>segítséget nyújtson a tagállamoknak az emberkereskedelem áldozataivá vált gyermekek védelméhez és azonosításához, az eltűnt gyermekek védelméhez és azonosításához.</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Erre a módosításra a szöveg logikájának fenntartása érdekében van szükség, mivel annak az emberkereskedelem áldozatául esett gyermekek védelmét és a kíséret nélküli, eltűnt vagy megszökött gyermekek azonosítását és védelmét kell szolgálnia, ahogyan azt az Európai Bizottság hangsúlyozta a javaslatban szereplő, átdolgozott Eurodac-rendeletet kísérő indokolásában. A Charta 7., 8. és 24. cikkének való megfelelés érdekében a hatéves gyermekek biometrikus adatainak feldolgozása csak abban az esetben indokolható, ha kifejezetten a gyermekvédelmi célt szolgál.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164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cikk – 2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Függetlenül attól, hogy a származási hely szerinti tagállam az adott tagállam nemzeti jogának megfelelően létesített adatbázisokban milyen célra dolgozza fel az Eurodac-nak szánt adatokat, az Eurodacban ujjnyomatadatokat és más személyes adatokat kizárólag az e rendeletben és a(z) [604/2013/EU rendelet] 34. cikkének (1) bekezdésében rögzített célokra lehet feldolgozni.</w:t>
            </w:r>
          </w:p>
        </w:tc>
        <w:tc>
          <w:tcPr/>
          <w:p>
            <w:pPr>
              <w:pStyle w:val="Normal6"/>
            </w:pPr>
            <w:r>
              <w:t>(2)</w:t>
            </w:r>
            <w:r>
              <w:tab/>
            </w:r>
            <w:r>
              <w:t>Függetlenül attól, hogy a származási hely szerinti tagállam az adott tagállam nemzeti jogának megfelelően létesített adatbázisokban milyen célra dolgozza fel az Eurodac-nak szánt adatokat, az Eurodacban ujjnyomatadatokat</w:t>
            </w:r>
            <w:r>
              <w:rPr>
                <w:rFonts w:ascii="Times New Roman" w:eastAsia="Times New Roman" w:hAnsi="Times New Roman" w:cs="Times New Roman"/>
                <w:b/>
                <w:i/>
                <w:strike w:val="0"/>
                <w:color w:val="000000"/>
                <w:sz w:val="24"/>
                <w:highlight w:val="none"/>
                <w:u w:val="none" w:color="auto"/>
              </w:rPr>
              <w:t>, arcképmásokat</w:t>
            </w:r>
            <w:r>
              <w:t xml:space="preserve"> és más személyes adatokat kizárólag az e rendeletben és a(z) [604/2013/EU rendelet] 34. cikkének (1) bekezdésében rögzített célokra lehet feldolgozni.</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 bizottsági javaslat javítása, amely nem illeszti be az összes előírt helyen mind az „ujjlenyomat”, mind az „arcképmás” szót, ami összhangban van a 2. cikkben említett kötelezettséggel.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165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cím</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Az ujjnyomatvételre és arcképmás készítésére vonatkozó kötelezettség</w:t>
            </w:r>
          </w:p>
        </w:tc>
        <w:tc>
          <w:tcPr/>
          <w:p>
            <w:pPr>
              <w:pStyle w:val="Normal6"/>
            </w:pPr>
            <w:r>
              <w:rPr>
                <w:rFonts w:ascii="Times New Roman" w:eastAsia="Times New Roman" w:hAnsi="Times New Roman" w:cs="Times New Roman"/>
                <w:b/>
                <w:i/>
                <w:strike w:val="0"/>
                <w:color w:val="000000"/>
                <w:sz w:val="24"/>
                <w:highlight w:val="none"/>
                <w:u w:val="none" w:color="auto"/>
              </w:rPr>
              <w:t>A gyermekek és a kiszolgáltatott személyek védelmét szolgáló eljárási biztosítékok</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166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Malin Björk</w:t>
      </w:r>
      <w:r>
        <w:t xml:space="preserve">, </w:t>
      </w:r>
      <w:r>
        <w:t>Barbara Spinelli</w:t>
      </w:r>
      <w:r>
        <w:t xml:space="preserve">, </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cím</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 xml:space="preserve">Az </w:t>
            </w:r>
            <w:r>
              <w:rPr>
                <w:rFonts w:ascii="Times New Roman" w:eastAsia="Times New Roman" w:hAnsi="Times New Roman" w:cs="Times New Roman"/>
                <w:b/>
                <w:i/>
                <w:strike w:val="0"/>
                <w:color w:val="000000"/>
                <w:sz w:val="24"/>
                <w:highlight w:val="none"/>
                <w:u w:val="none" w:color="auto"/>
              </w:rPr>
              <w:t>ujjnyomatvételre</w:t>
            </w:r>
            <w:r>
              <w:rPr>
                <w:rFonts w:ascii="Times New Roman" w:eastAsia="Times New Roman" w:hAnsi="Times New Roman" w:cs="Times New Roman"/>
                <w:b/>
                <w:i/>
                <w:strike w:val="0"/>
                <w:color w:val="000000"/>
                <w:sz w:val="24"/>
                <w:highlight w:val="none"/>
                <w:u w:val="none" w:color="auto"/>
              </w:rPr>
              <w:t xml:space="preserve"> és arcképmás készítésére</w:t>
            </w:r>
            <w:r>
              <w:t xml:space="preserve"> vonatkozó kötelezettség</w:t>
            </w:r>
          </w:p>
        </w:tc>
        <w:tc>
          <w:tcPr/>
          <w:p>
            <w:pPr>
              <w:pStyle w:val="Normal6"/>
            </w:pPr>
            <w:r>
              <w:rPr>
                <w:rFonts w:ascii="Times New Roman" w:eastAsia="Times New Roman" w:hAnsi="Times New Roman" w:cs="Times New Roman"/>
                <w:b/>
                <w:i/>
                <w:strike w:val="0"/>
                <w:color w:val="000000"/>
                <w:sz w:val="24"/>
                <w:highlight w:val="none"/>
                <w:u w:val="none" w:color="auto"/>
              </w:rPr>
              <w:t>Ujjnyomatvételre</w:t>
            </w:r>
            <w:r>
              <w:t>vonatkozó kötelezettség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Italic"/>
            </w:pPr>
            <w:r>
              <w:t>(E módosítás a teljes szövegre vonatkozik. Elfogadása esetén a szövegben mindenütt el kell végezni a szükséges módosításokat.)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167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1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(1)</w:t>
            </w:r>
            <w:r>
              <w:tab/>
            </w:r>
            <w:r>
              <w:rPr>
                <w:rFonts w:ascii="Times New Roman" w:eastAsia="Times New Roman" w:hAnsi="Times New Roman" w:cs="Times New Roman"/>
                <w:b/>
                <w:i/>
                <w:strike w:val="0"/>
                <w:color w:val="000000"/>
                <w:sz w:val="24"/>
                <w:highlight w:val="none"/>
                <w:u w:val="none" w:color="auto"/>
              </w:rPr>
              <w:t>Az e rendelet 1. cikke (1) bekezdésének a) és b) pontjában említett célokból a tagállamoknak kötelező ujjnyomatot venni és arcképmást készíteni a 10. cikk (1) bekezdésében, a 13. cikk (1) bekezdésében és a 14. cikk (1) bekezdésében említett személyekről, és az érintetteket kötelezniük kell arra, hogy alávessék magukat az ujjnyomatvételnek és arcképmás-készítésnek, valamint erről e rendelet 30. cikkével összhangban tájékoztatniuk kell őket.</w:t>
            </w:r>
          </w:p>
        </w:tc>
        <w:tc>
          <w:tcPr/>
          <w:p>
            <w:pPr>
              <w:pStyle w:val="Normal6"/>
            </w:pPr>
            <w:r>
              <w:rPr>
                <w:rFonts w:ascii="Times New Roman" w:eastAsia="Times New Roman" w:hAnsi="Times New Roman" w:cs="Times New Roman"/>
                <w:b/>
                <w:i/>
                <w:strike w:val="0"/>
                <w:color w:val="000000"/>
                <w:sz w:val="24"/>
                <w:highlight w:val="none"/>
                <w:u w:val="none" w:color="auto"/>
              </w:rPr>
              <w:t>törölve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168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1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rPr>
                <w:rFonts w:ascii="Times New Roman" w:eastAsia="Times New Roman" w:hAnsi="Times New Roman" w:cs="Times New Roman"/>
                <w:b/>
                <w:i/>
                <w:strike w:val="0"/>
                <w:color w:val="000000"/>
                <w:sz w:val="24"/>
                <w:highlight w:val="none"/>
                <w:u w:val="none" w:color="auto"/>
              </w:rPr>
              <w:t>Az e rendelet 1. cikke (1) bekezdésének a) és b) pontjában említett célokból a tagállamoknak kötelező ujjnyomatot</w:t>
            </w:r>
            <w:r>
              <w:t xml:space="preserve"> venni</w:t>
            </w:r>
            <w:r>
              <w:rPr>
                <w:rFonts w:ascii="Times New Roman" w:eastAsia="Times New Roman" w:hAnsi="Times New Roman" w:cs="Times New Roman"/>
                <w:b/>
                <w:i/>
                <w:strike w:val="0"/>
                <w:color w:val="000000"/>
                <w:sz w:val="24"/>
                <w:highlight w:val="none"/>
                <w:u w:val="none" w:color="auto"/>
              </w:rPr>
              <w:t xml:space="preserve"> és arcképmást készíteni a 10. cikk (1) bekezdésében, a 13. cikk (1) bekezdésében és a 14. cikk (1) bekezdésében említett személyekről</w:t>
            </w:r>
            <w:r>
              <w:t>, és az érintetteket kötelezniük kell arra, hogy alávessék magukat az ujjnyomatvételnek és arcképmás-készítésnek, valamint erről e rendelet 30. cikkével összhangban tájékoztatniuk kell őket.</w:t>
            </w:r>
          </w:p>
        </w:tc>
        <w:tc>
          <w:tcPr/>
          <w:p>
            <w:pPr>
              <w:pStyle w:val="Normal6"/>
            </w:pPr>
            <w:r>
              <w:t>(1)</w:t>
            </w:r>
            <w:r>
              <w:tab/>
            </w:r>
            <w:r>
              <w:rPr>
                <w:rFonts w:ascii="Times New Roman" w:eastAsia="Times New Roman" w:hAnsi="Times New Roman" w:cs="Times New Roman"/>
                <w:b/>
                <w:i/>
                <w:strike w:val="0"/>
                <w:color w:val="000000"/>
                <w:sz w:val="24"/>
                <w:highlight w:val="none"/>
                <w:u w:val="none" w:color="auto"/>
              </w:rPr>
              <w:t>A 10. cikk (1) bekezdésében, a 13. cikk (1) bekezdésében és a 14. cikk (1) bekezdésében említett személyeket nyilvántartásba kell</w:t>
            </w:r>
            <w:r>
              <w:t xml:space="preserve"> venni</w:t>
            </w:r>
            <w:r>
              <w:rPr>
                <w:rFonts w:ascii="Times New Roman" w:eastAsia="Times New Roman" w:hAnsi="Times New Roman" w:cs="Times New Roman"/>
                <w:b/>
                <w:i/>
                <w:strike w:val="0"/>
                <w:color w:val="000000"/>
                <w:sz w:val="24"/>
                <w:highlight w:val="none"/>
                <w:u w:val="none" w:color="auto"/>
              </w:rPr>
              <w:t>. Ezért az e rendelet 1. cikke (1) bekezdésének a) és b) pontjában említett célokból a tagállamoknak kötelező ujjnyomatot venni és arcképmást készíteni róluk</w:t>
            </w:r>
            <w:r>
              <w:t>, és az érintetteket kötelezniük kell arra, hogy alávessék magukat az ujjnyomatvételnek és arcképmás-készítésnek, valamint erről e rendelet 30. cikkével összhangban tájékoztatniuk kell őket.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 hangsúlyt a 100%-os nyilvántartásba vételi arányra kell helyezni.</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169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Sylvia-Yvonne Kaufmann</w:t>
      </w:r>
      <w:r>
        <w:t xml:space="preserve">, </w:t>
      </w:r>
      <w:r>
        <w:t>Josef Weidenholzer</w:t>
      </w:r>
      <w:r>
        <w:t xml:space="preserve">, </w:t>
      </w:r>
      <w:r>
        <w:t>Vilija Blinkevičiūtė</w:t>
      </w:r>
      <w:r>
        <w:t xml:space="preserve">, </w:t>
      </w:r>
      <w:r>
        <w:t>Péter Niedermüller</w:t>
      </w:r>
      <w:r>
        <w:t xml:space="preserve">, </w:t>
      </w:r>
      <w:r>
        <w:t>Kati Piri</w:t>
      </w:r>
      <w:r>
        <w:t xml:space="preserve">, </w:t>
      </w:r>
      <w:r>
        <w:t>Maria Grapini</w:t>
      </w:r>
      <w:r>
        <w:t xml:space="preserve">, </w:t>
      </w:r>
      <w:r>
        <w:t>Juan Fernando López Aguilar</w:t>
      </w:r>
      <w:r>
        <w:t xml:space="preserve">, </w:t>
      </w:r>
      <w:r>
        <w:t>Caterina Chinnici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1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Az e rendelet 1. cikke (1) bekezdésének a)</w:t>
            </w:r>
            <w:r>
              <w:rPr>
                <w:rFonts w:ascii="Times New Roman" w:eastAsia="Times New Roman" w:hAnsi="Times New Roman" w:cs="Times New Roman"/>
                <w:b/>
                <w:i/>
                <w:strike w:val="0"/>
                <w:color w:val="000000"/>
                <w:sz w:val="24"/>
                <w:highlight w:val="none"/>
                <w:u w:val="none" w:color="auto"/>
              </w:rPr>
              <w:t xml:space="preserve"> és b)</w:t>
            </w:r>
            <w:r>
              <w:t xml:space="preserve"> pontjában említett célokból a tagállamoknak kötelező ujjnyomatot venni és arcképmást készíteni a 10. cikk (1) bekezdésében, a 13. cikk (1) bekezdésében és a 14. cikk (1) bekezdésében említett személyekről, és az érintetteket kötelezniük kell arra, hogy alávessék magukat az ujjnyomatvételnek és arcképmás-készítésnek, valamint erről e rendelet 30. cikkével összhangban tájékoztatniuk kell őket.</w:t>
            </w:r>
          </w:p>
        </w:tc>
        <w:tc>
          <w:tcPr/>
          <w:p>
            <w:pPr>
              <w:pStyle w:val="Normal6"/>
            </w:pPr>
            <w:r>
              <w:t>(1)</w:t>
            </w:r>
            <w:r>
              <w:tab/>
            </w:r>
            <w:r>
              <w:t>Az e rendelet 1. cikke (1) bekezdésének a)</w:t>
            </w:r>
            <w:r>
              <w:rPr>
                <w:rFonts w:ascii="Times New Roman" w:eastAsia="Times New Roman" w:hAnsi="Times New Roman" w:cs="Times New Roman"/>
                <w:b/>
                <w:i/>
                <w:strike w:val="0"/>
                <w:color w:val="000000"/>
                <w:sz w:val="24"/>
                <w:highlight w:val="none"/>
                <w:u w:val="none" w:color="auto"/>
              </w:rPr>
              <w:t>, b) és ca)</w:t>
            </w:r>
            <w:r>
              <w:t xml:space="preserve"> pontjában említett célokból a tagállamoknak kötelező ujjnyomatot venni és arcképmást készíteni a 10. cikk (1) bekezdésében, a 13. cikk (1) bekezdésében és a 14. cikk (1) bekezdésében említett személyekről, és az érintetteket kötelezniük kell arra, hogy alávessék magukat az ujjnyomatvételnek és arcképmás-készítésnek, valamint erről e rendelet 30. cikkével összhangban tájékoztatniuk kell őket. </w:t>
            </w:r>
            <w:r>
              <w:rPr>
                <w:rFonts w:ascii="Times New Roman" w:eastAsia="Times New Roman" w:hAnsi="Times New Roman" w:cs="Times New Roman"/>
                <w:b/>
                <w:i/>
                <w:strike w:val="0"/>
                <w:color w:val="000000"/>
                <w:sz w:val="24"/>
                <w:highlight w:val="none"/>
                <w:u w:val="none" w:color="auto"/>
              </w:rPr>
              <w:t>A tagállamoknak az ujjnyomatvétel és arcképmás-készítés ideje alatt mindenkor tiszteletben kell tartaniuk a személyek méltóságát és testi épségét.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170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1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Az e rendelet 1. cikke (1) bekezdésének a) és b) pontjában említett célokból a tagállamoknak kötelező ujjnyomatot venni és arcképmást készíteni a 10. cikk (1) bekezdésében, a 13. cikk (1) bekezdésében és a 14. cikk (1) bekezdésében említett személyekről, és az érintetteket kötelezniük kell arra, hogy alávessék magukat az ujjnyomatvételnek és arcképmás-készítésnek, valamint erről e rendelet 30. cikkével összhangban tájékoztatniuk kell őket.</w:t>
            </w:r>
          </w:p>
        </w:tc>
        <w:tc>
          <w:tcPr/>
          <w:p>
            <w:pPr>
              <w:pStyle w:val="Normal6"/>
            </w:pPr>
            <w:r>
              <w:t>(1)</w:t>
            </w:r>
            <w:r>
              <w:tab/>
            </w:r>
            <w:r>
              <w:t xml:space="preserve">Az e rendelet 1. cikke (1) bekezdésének a) és b) pontjában említett célokból a tagállamoknak kötelező ujjnyomatot venni és arcképmást készíteni a 10. cikk (1) bekezdésében, a </w:t>
            </w:r>
            <w:r>
              <w:rPr>
                <w:rFonts w:ascii="Times New Roman" w:eastAsia="Times New Roman" w:hAnsi="Times New Roman" w:cs="Times New Roman"/>
                <w:b/>
                <w:i/>
                <w:strike w:val="0"/>
                <w:color w:val="000000"/>
                <w:sz w:val="24"/>
                <w:highlight w:val="none"/>
                <w:u w:val="none" w:color="auto"/>
              </w:rPr>
              <w:t xml:space="preserve">12. cikk a) pontjában, a </w:t>
            </w:r>
            <w:r>
              <w:t>13. cikk (1) bekezdésében és a 14. cikk (1) bekezdésében említett személyekről, és az érintetteket kötelezniük kell arra, hogy alávessék magukat az ujjnyomatvételnek és arcképmás-készítésnek, valamint erről e rendelet 30. cikkével</w:t>
            </w:r>
            <w:r>
              <w:rPr>
                <w:rFonts w:ascii="Times New Roman" w:eastAsia="Times New Roman" w:hAnsi="Times New Roman" w:cs="Times New Roman"/>
                <w:b/>
                <w:i/>
                <w:strike w:val="0"/>
                <w:color w:val="000000"/>
                <w:sz w:val="24"/>
                <w:highlight w:val="none"/>
                <w:u w:val="none" w:color="auto"/>
              </w:rPr>
              <w:t xml:space="preserve"> és az e rendelet mellékletében foglalt rendelkezésekkel és garanciákkal</w:t>
            </w:r>
            <w:r>
              <w:t xml:space="preserve"> összhangban tájékoztatniuk kell őket.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171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Malin Björk</w:t>
      </w:r>
      <w:r>
        <w:t xml:space="preserve">, </w:t>
      </w:r>
      <w:r>
        <w:t>Barbara Spinelli</w:t>
      </w:r>
      <w:r>
        <w:t xml:space="preserve">, </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1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 xml:space="preserve">Az e rendelet 1. cikke (1) bekezdésének a) és b) pontjában említett célokból a tagállamoknak kötelező ujjnyomatot venni </w:t>
            </w:r>
            <w:r>
              <w:rPr>
                <w:rFonts w:ascii="Times New Roman" w:eastAsia="Times New Roman" w:hAnsi="Times New Roman" w:cs="Times New Roman"/>
                <w:b/>
                <w:i/>
                <w:strike w:val="0"/>
                <w:color w:val="000000"/>
                <w:sz w:val="24"/>
                <w:highlight w:val="none"/>
                <w:u w:val="none" w:color="auto"/>
              </w:rPr>
              <w:t xml:space="preserve">és arcképmást készíteni </w:t>
            </w:r>
            <w:r>
              <w:t>a 10. cikk (1) bekezdésében, a 13. cikk (1) bekezdésében és a 14. cikk (1) bekezdésében említett személyekről, és az érintetteket kötelezniük kell arra, hogy alávessék magukat az ujjnyomatvételnek</w:t>
            </w:r>
            <w:r>
              <w:rPr>
                <w:rFonts w:ascii="Times New Roman" w:eastAsia="Times New Roman" w:hAnsi="Times New Roman" w:cs="Times New Roman"/>
                <w:b/>
                <w:i/>
                <w:strike w:val="0"/>
                <w:color w:val="000000"/>
                <w:sz w:val="24"/>
                <w:highlight w:val="none"/>
                <w:u w:val="none" w:color="auto"/>
              </w:rPr>
              <w:t xml:space="preserve"> és arcképmás-készítésnek</w:t>
            </w:r>
            <w:r>
              <w:t>, valamint erről e rendelet 30. cikkével összhangban tájékoztatniuk kell őket.</w:t>
            </w:r>
          </w:p>
        </w:tc>
        <w:tc>
          <w:tcPr/>
          <w:p>
            <w:pPr>
              <w:pStyle w:val="Normal6"/>
            </w:pPr>
            <w:r>
              <w:t>(1)</w:t>
            </w:r>
            <w:r>
              <w:tab/>
            </w:r>
            <w:r>
              <w:t>Az e rendelet 1. cikke (1) bekezdésének a) és b) pontjában említett célokból a tagállamoknak kötelező ujjnyomatot venni a 10. cikk (1) bekezdésében, a 13. cikk (1) bekezdésében és a 14. cikk (1) bekezdésében említett személyekről, és az érintetteket kötelezniük kell arra, hogy alávessék magukat az ujjnyomatvételnek, valamint erről e rendelet 30. cikkével összhangban tájékoztatniuk kell őket.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172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1 a bekezdés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(1a)</w:t>
            </w:r>
            <w:r>
              <w:tab/>
            </w:r>
            <w:r>
              <w:rPr>
                <w:rFonts w:ascii="Times New Roman" w:eastAsia="Times New Roman" w:hAnsi="Times New Roman" w:cs="Times New Roman"/>
                <w:b/>
                <w:i/>
                <w:strike w:val="0"/>
                <w:color w:val="000000"/>
                <w:sz w:val="24"/>
                <w:highlight w:val="none"/>
                <w:u w:val="none" w:color="auto"/>
              </w:rPr>
              <w:t>A befogadó létesítményekből eltűnt gyermekeket a tagállamok eltűnt személyekként rögzítik a SIS-ben. A tagállami hatóságok által a 26. cikk szerinti találat alapján azonosított eltűnt gyermekeket azonnal az illetékes nemzeti gyermekvédelmi hatóságokhoz továbbítják, amelyek elvégzik a szükségletek felmérését annak érdekében, hogy a gyermek mindenek felett álló érdekének megfelelő tartós megoldást találjanak.</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Erre a módosításra a szöveg logikájának fenntartása érdekében van szükség, mivel annak az emberkereskedelem áldozatául esett gyermekek védelmét és a kíséret nélküli, eltűnt vagy megszökött gyermekek azonosítását és védelmét kell szolgálnia, ahogyan azt az Európai Bizottság hangsúlyozta a javaslatban szereplő, átdolgozott Eurodac-rendeletet kísérő indokolásában. A Charta 7., 8. és 24. cikkének való megfelelés érdekében a hatéves gyermekek biometrikus adatainak feldolgozása csak abban az esetben indokolható, ha kifejezetten a gyermekvédelmi célt szolgál.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173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Sophia in 't Veld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1 a bekezdés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(1a)</w:t>
            </w:r>
            <w:r>
              <w:tab/>
            </w:r>
            <w:r>
              <w:rPr>
                <w:rFonts w:ascii="Times New Roman" w:eastAsia="Times New Roman" w:hAnsi="Times New Roman" w:cs="Times New Roman"/>
                <w:b/>
                <w:i/>
                <w:strike w:val="0"/>
                <w:color w:val="000000"/>
                <w:sz w:val="24"/>
                <w:highlight w:val="none"/>
                <w:u w:val="none" w:color="auto"/>
              </w:rPr>
              <w:t>A nők és leányok ujjnyomatvételét és arcképmásának elkészítését képzett tisztviselőknek kell végezniük a nemek közötti egyenlőséget figyelembe vevő módon.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174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Sophia in 't Veld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2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 xml:space="preserve">A hatodik életévüket betöltött kiskorúak ujjlenyomatvételét és arcképmásának készítését gyermekbarát módon és a gyermekekre különös gondot fordítva, a kiskorúakról való ujjnyomatvételre és arcképmás-készítésre kifejezetten képzett tisztviselőknek kell végezniük. A kiskorút az életkorának megfelelő módon, kimondottan az ujjnyomatvétel és arcképmás-készítés kiskorúak számára történő elmagyarázása céljából készített szórólapok </w:t>
            </w:r>
            <w:r>
              <w:rPr>
                <w:rFonts w:ascii="Times New Roman" w:eastAsia="Times New Roman" w:hAnsi="Times New Roman" w:cs="Times New Roman"/>
                <w:b/>
                <w:i/>
                <w:strike w:val="0"/>
                <w:color w:val="000000"/>
                <w:sz w:val="24"/>
                <w:highlight w:val="none"/>
                <w:u w:val="none" w:color="auto"/>
              </w:rPr>
              <w:t>és/vagy</w:t>
            </w:r>
            <w:r>
              <w:t xml:space="preserve"> infografika </w:t>
            </w:r>
            <w:r>
              <w:rPr>
                <w:rFonts w:ascii="Times New Roman" w:eastAsia="Times New Roman" w:hAnsi="Times New Roman" w:cs="Times New Roman"/>
                <w:b/>
                <w:i/>
                <w:strike w:val="0"/>
                <w:color w:val="000000"/>
                <w:sz w:val="24"/>
                <w:highlight w:val="none"/>
                <w:u w:val="none" w:color="auto"/>
              </w:rPr>
              <w:t>és/vagy</w:t>
            </w:r>
            <w:r>
              <w:t xml:space="preserve"> ábrák alkalmazásával kell tájékoztatni, és az </w:t>
            </w:r>
            <w:r>
              <w:rPr>
                <w:rFonts w:ascii="Times New Roman" w:eastAsia="Times New Roman" w:hAnsi="Times New Roman" w:cs="Times New Roman"/>
                <w:b/>
                <w:i/>
                <w:strike w:val="0"/>
                <w:color w:val="000000"/>
                <w:sz w:val="24"/>
                <w:highlight w:val="none"/>
                <w:u w:val="none" w:color="auto"/>
              </w:rPr>
              <w:t>ujjnyomatvételre és arcképmás-készítésre</w:t>
            </w:r>
            <w:r>
              <w:t xml:space="preserve"> a kiskorút </w:t>
            </w:r>
            <w:r>
              <w:rPr>
                <w:rFonts w:ascii="Times New Roman" w:eastAsia="Times New Roman" w:hAnsi="Times New Roman" w:cs="Times New Roman"/>
                <w:b/>
                <w:i/>
                <w:strike w:val="0"/>
                <w:color w:val="000000"/>
                <w:sz w:val="24"/>
                <w:highlight w:val="none"/>
                <w:u w:val="none" w:color="auto"/>
              </w:rPr>
              <w:t>felelős felnőttnek,</w:t>
            </w:r>
            <w:r>
              <w:t xml:space="preserve"> gyámnak </w:t>
            </w:r>
            <w:r>
              <w:rPr>
                <w:rFonts w:ascii="Times New Roman" w:eastAsia="Times New Roman" w:hAnsi="Times New Roman" w:cs="Times New Roman"/>
                <w:b/>
                <w:i/>
                <w:strike w:val="0"/>
                <w:color w:val="000000"/>
                <w:sz w:val="24"/>
                <w:highlight w:val="none"/>
                <w:u w:val="none" w:color="auto"/>
              </w:rPr>
              <w:t>vagy képviselőnek kell elkísérnie</w:t>
            </w:r>
            <w:r>
              <w:t>. A tagállamoknak az ujjnyomatvétel és arcképmás-készítés ideje alatt mindenkor tiszteletben kell tartaniuk a kiskorú méltóságát és testi épségét.</w:t>
            </w:r>
          </w:p>
        </w:tc>
        <w:tc>
          <w:tcPr/>
          <w:p>
            <w:pPr>
              <w:pStyle w:val="Normal6"/>
            </w:pPr>
            <w:r>
              <w:t>(2)</w:t>
            </w:r>
            <w:r>
              <w:tab/>
            </w:r>
            <w:r>
              <w:t xml:space="preserve">A hatodik életévüket betöltött kiskorúak ujjlenyomatvételét és arcképmásának készítését gyermekbarát módon és a gyermekekre különös gondot fordítva, a kiskorúakról való ujjnyomatvételre és arcképmás-készítésre kifejezetten képzett tisztviselőknek kell végezniük. A kiskorút az életkorának megfelelő módon, kimondottan az ujjnyomatvétel és arcképmás-készítés kiskorúak számára történő elmagyarázása céljából készített szórólapok </w:t>
            </w:r>
            <w:r>
              <w:rPr>
                <w:rFonts w:ascii="Times New Roman" w:eastAsia="Times New Roman" w:hAnsi="Times New Roman" w:cs="Times New Roman"/>
                <w:b/>
                <w:i/>
                <w:strike w:val="0"/>
                <w:color w:val="000000"/>
                <w:sz w:val="24"/>
                <w:highlight w:val="none"/>
                <w:u w:val="none" w:color="auto"/>
              </w:rPr>
              <w:t>és</w:t>
            </w:r>
            <w:r>
              <w:t xml:space="preserve"> infografika </w:t>
            </w:r>
            <w:r>
              <w:rPr>
                <w:rFonts w:ascii="Times New Roman" w:eastAsia="Times New Roman" w:hAnsi="Times New Roman" w:cs="Times New Roman"/>
                <w:b/>
                <w:i/>
                <w:strike w:val="0"/>
                <w:color w:val="000000"/>
                <w:sz w:val="24"/>
                <w:highlight w:val="none"/>
                <w:u w:val="none" w:color="auto"/>
              </w:rPr>
              <w:t>és</w:t>
            </w:r>
            <w:r>
              <w:t xml:space="preserve"> ábrák alkalmazásával kell tájékoztatni, és az </w:t>
            </w:r>
            <w:r>
              <w:rPr>
                <w:rFonts w:ascii="Times New Roman" w:eastAsia="Times New Roman" w:hAnsi="Times New Roman" w:cs="Times New Roman"/>
                <w:b/>
                <w:i/>
                <w:strike w:val="0"/>
                <w:color w:val="000000"/>
                <w:sz w:val="24"/>
                <w:highlight w:val="none"/>
                <w:u w:val="none" w:color="auto"/>
              </w:rPr>
              <w:t>ujjnyomatvétel és arcképmás-készítés teljes időtartama alatt</w:t>
            </w:r>
            <w:r>
              <w:t xml:space="preserve"> a kiskorút </w:t>
            </w:r>
            <w:r>
              <w:rPr>
                <w:rFonts w:ascii="Times New Roman" w:eastAsia="Times New Roman" w:hAnsi="Times New Roman" w:cs="Times New Roman"/>
                <w:b/>
                <w:i/>
                <w:strike w:val="0"/>
                <w:color w:val="000000"/>
                <w:sz w:val="24"/>
                <w:highlight w:val="none"/>
                <w:u w:val="none" w:color="auto"/>
              </w:rPr>
              <w:t>törvényes</w:t>
            </w:r>
            <w:r>
              <w:t xml:space="preserve"> gyámnak </w:t>
            </w:r>
            <w:r>
              <w:rPr>
                <w:rFonts w:ascii="Times New Roman" w:eastAsia="Times New Roman" w:hAnsi="Times New Roman" w:cs="Times New Roman"/>
                <w:b/>
                <w:i/>
                <w:strike w:val="0"/>
                <w:color w:val="000000"/>
                <w:sz w:val="24"/>
                <w:highlight w:val="none"/>
                <w:u w:val="none" w:color="auto"/>
              </w:rPr>
              <w:t>kell kísérnie</w:t>
            </w:r>
            <w:r>
              <w:t>. A tagállamoknak az ujjnyomatvétel és arcképmás-készítés ideje alatt mindenkor tiszteletben kell tartaniuk a kiskorú méltóságát és testi épségét.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175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Sylvia-Yvonne Kaufmann</w:t>
      </w:r>
      <w:r>
        <w:t xml:space="preserve">, </w:t>
      </w:r>
      <w:r>
        <w:t>Josef Weidenholzer</w:t>
      </w:r>
      <w:r>
        <w:t xml:space="preserve">, </w:t>
      </w:r>
      <w:r>
        <w:t>Vilija Blinkevičiūtė</w:t>
      </w:r>
      <w:r>
        <w:t xml:space="preserve">, </w:t>
      </w:r>
      <w:r>
        <w:t>Péter Niedermüller</w:t>
      </w:r>
      <w:r>
        <w:t xml:space="preserve">, </w:t>
      </w:r>
      <w:r>
        <w:t>Kati Piri</w:t>
      </w:r>
      <w:r>
        <w:t xml:space="preserve">, </w:t>
      </w:r>
      <w:r>
        <w:t>Maria Grapini</w:t>
      </w:r>
      <w:r>
        <w:t xml:space="preserve">, </w:t>
      </w:r>
      <w:r>
        <w:t>Juan Fernando López Aguilar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2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A hatodik életévüket betöltött kiskorúak ujjlenyomatvételét és arcképmásának készítését gyermekbarát módon és a gyermekekre különös gondot fordítva, a kiskorúakról való ujjnyomatvételre és arcképmás-készítésre kifejezetten képzett tisztviselőknek kell végezniük. A kiskorút az életkorának megfelelő módon, kimondottan az ujjnyomatvétel és arcképmás-készítés kiskorúak számára történő elmagyarázása céljából készített szórólapok és/vagy infografika és/vagy ábrák alkalmazásával kell tájékoztatni, és az ujjnyomatvételre és arcképmás-készítésre a kiskorút felelős felnőttnek, gyámnak vagy képviselőnek kell elkísérnie. A tagállamoknak az ujjnyomatvétel és arcképmás-készítés ideje alatt mindenkor tiszteletben kell tartaniuk a kiskorú méltóságát és testi épségét.</w:t>
            </w:r>
          </w:p>
        </w:tc>
        <w:tc>
          <w:tcPr/>
          <w:p>
            <w:pPr>
              <w:pStyle w:val="Normal6"/>
            </w:pPr>
            <w:r>
              <w:t>(2)</w:t>
            </w:r>
            <w:r>
              <w:tab/>
            </w:r>
            <w:r>
              <w:t xml:space="preserve">A hatodik életévüket betöltött kiskorúak </w:t>
            </w:r>
            <w:r>
              <w:rPr>
                <w:rFonts w:ascii="Times New Roman" w:eastAsia="Times New Roman" w:hAnsi="Times New Roman" w:cs="Times New Roman"/>
                <w:b/>
                <w:i/>
                <w:strike w:val="0"/>
                <w:color w:val="000000"/>
                <w:sz w:val="24"/>
                <w:highlight w:val="none"/>
                <w:u w:val="none" w:color="auto"/>
              </w:rPr>
              <w:t xml:space="preserve">– különösen az 1. cikk (1) bekezdésének ca) pontjában említett célból történő – </w:t>
            </w:r>
            <w:r>
              <w:t xml:space="preserve">ujjlenyomatvételét és arcképmásának készítését gyermekbarát módon és a gyermekekre különös gondot fordítva, a kiskorúakról való ujjnyomatvételre és arcképmás-készítésre kifejezetten képzett tisztviselőknek kell végezniük. A kiskorút az életkorának megfelelő módon, kimondottan az ujjnyomatvétel és arcképmás-készítés kiskorúak számára történő elmagyarázása céljából készített szórólapok és/vagy infografika és/vagy ábrák alkalmazásával kell </w:t>
            </w:r>
            <w:r>
              <w:rPr>
                <w:rFonts w:ascii="Times New Roman" w:eastAsia="Times New Roman" w:hAnsi="Times New Roman" w:cs="Times New Roman"/>
                <w:b/>
                <w:i/>
                <w:strike w:val="0"/>
                <w:color w:val="000000"/>
                <w:sz w:val="24"/>
                <w:highlight w:val="none"/>
                <w:u w:val="none" w:color="auto"/>
              </w:rPr>
              <w:t xml:space="preserve">szóban és írásban </w:t>
            </w:r>
            <w:r>
              <w:t>tájékoztatni</w:t>
            </w:r>
            <w:r>
              <w:rPr>
                <w:rFonts w:ascii="Times New Roman" w:eastAsia="Times New Roman" w:hAnsi="Times New Roman" w:cs="Times New Roman"/>
                <w:b/>
                <w:i/>
                <w:strike w:val="0"/>
                <w:color w:val="000000"/>
                <w:sz w:val="24"/>
                <w:highlight w:val="none"/>
                <w:u w:val="none" w:color="auto"/>
              </w:rPr>
              <w:t xml:space="preserve"> egy általa értett nyelven</w:t>
            </w:r>
            <w:r>
              <w:t xml:space="preserve">, és az ujjnyomatvételre és arcképmás-készítésre a kiskorút felelős felnőttnek, gyámnak vagy képviselőnek kell elkísérnie. A tagállamoknak az ujjnyomatvétel és arcképmás-készítés ideje alatt mindenkor tiszteletben kell tartaniuk a kiskorú méltóságát és testi épségét. </w:t>
            </w:r>
            <w:r>
              <w:rPr>
                <w:rFonts w:ascii="Times New Roman" w:eastAsia="Times New Roman" w:hAnsi="Times New Roman" w:cs="Times New Roman"/>
                <w:b/>
                <w:i/>
                <w:strike w:val="0"/>
                <w:color w:val="000000"/>
                <w:sz w:val="24"/>
                <w:highlight w:val="none"/>
                <w:u w:val="none" w:color="auto"/>
              </w:rPr>
              <w:t>Az ujjnyomatvétel vagy az arcképmás-készítés céljából a kiskorúakkal vagy kiszolgáltatott személyekkel szemben mentális vagy fizikai kényszer alkalmazása nem megengedett.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176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t xml:space="preserve">, </w:t>
      </w:r>
      <w:r>
        <w:t>Laura Ferrara</w:t>
      </w:r>
      <w:r>
        <w:t xml:space="preserve">, </w:t>
      </w:r>
      <w:r>
        <w:t>Ignazio Corrao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2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A hatodik életévüket betöltött kiskorúak ujjlenyomatvételét és arcképmásának készítését gyermekbarát módon és a gyermekekre különös gondot fordítva, a kiskorúakról való ujjnyomatvételre és arcképmás-készítésre kifejezetten képzett tisztviselőknek kell végezniük. A kiskorút az életkorának megfelelő módon, kimondottan az ujjnyomatvétel és arcképmás-készítés kiskorúak számára történő elmagyarázása céljából készített szórólapok és/vagy infografika és/vagy ábrák alkalmazásával kell tájékoztatni, és az ujjnyomatvételre és arcképmás-készítésre a kiskorút felelős felnőttnek, gyámnak vagy képviselőnek kell elkísérnie. A tagállamoknak az ujjnyomatvétel és arcképmás-készítés ideje alatt mindenkor tiszteletben kell tartaniuk a kiskorú méltóságát és testi épségét.</w:t>
            </w:r>
          </w:p>
        </w:tc>
        <w:tc>
          <w:tcPr/>
          <w:p>
            <w:pPr>
              <w:pStyle w:val="Normal6"/>
            </w:pPr>
            <w:r>
              <w:t>(2)</w:t>
            </w:r>
            <w:r>
              <w:tab/>
            </w:r>
            <w:r>
              <w:t xml:space="preserve">A hatodik életévüket betöltött kiskorúak ujjlenyomatvételét és arcképmásának készítését </w:t>
            </w:r>
            <w:r>
              <w:rPr>
                <w:rFonts w:ascii="Times New Roman" w:eastAsia="Times New Roman" w:hAnsi="Times New Roman" w:cs="Times New Roman"/>
                <w:b/>
                <w:i/>
                <w:strike w:val="0"/>
                <w:color w:val="000000"/>
                <w:sz w:val="24"/>
                <w:highlight w:val="none"/>
                <w:u w:val="none" w:color="auto"/>
              </w:rPr>
              <w:t xml:space="preserve">kizárólag a gyermek mindenek felett álló érdekének megfelelően, az ENSZ gyermek jogairól szóló 1989. évi egyezményében rögzített más elvekkel összhangban, </w:t>
            </w:r>
            <w:r>
              <w:t xml:space="preserve">gyermekbarát módon és a gyermekekre különös gondot fordítva, </w:t>
            </w:r>
            <w:r>
              <w:rPr>
                <w:rFonts w:ascii="Times New Roman" w:eastAsia="Times New Roman" w:hAnsi="Times New Roman" w:cs="Times New Roman"/>
                <w:b/>
                <w:i/>
                <w:strike w:val="0"/>
                <w:color w:val="000000"/>
                <w:sz w:val="24"/>
                <w:highlight w:val="none"/>
                <w:u w:val="none" w:color="auto"/>
              </w:rPr>
              <w:t xml:space="preserve">valamint </w:t>
            </w:r>
            <w:r>
              <w:t>a kiskorúakról való ujjnyomatvételre és arcképmás-készítésre kifejezetten képzett tisztviselőknek kell végezniük. A kiskorút az életkorának megfelelő módon, kimondottan az ujjnyomatvétel és arcképmás-készítés kiskorúak számára történő elmagyarázása céljából készített szórólapok és/vagy infografika és/vagy ábrák alkalmazásával kell tájékoztatni, és az ujjnyomatvételre és arcképmás-készítésre a kiskorút felelős felnőttnek, gyámnak vagy képviselőnek kell elkísérnie. A tagállamoknak az ujjnyomatvétel és arcképmás-készítés ideje alatt mindenkor tiszteletben kell tartaniuk a kiskorú méltóságát és testi</w:t>
            </w:r>
            <w:r>
              <w:rPr>
                <w:rFonts w:ascii="Times New Roman" w:eastAsia="Times New Roman" w:hAnsi="Times New Roman" w:cs="Times New Roman"/>
                <w:b/>
                <w:i/>
                <w:strike w:val="0"/>
                <w:color w:val="000000"/>
                <w:sz w:val="24"/>
                <w:highlight w:val="none"/>
                <w:u w:val="none" w:color="auto"/>
              </w:rPr>
              <w:t xml:space="preserve"> és lelki</w:t>
            </w:r>
            <w:r>
              <w:t xml:space="preserve"> épségét.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IT</w:t>
      </w:r>
      <w:r>
        <w:rPr>
          <w:rStyle w:val="HideTWBInt"/>
        </w:rPr>
        <w:t>}</w:t>
      </w:r>
      <w:r>
        <w:t>it</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177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2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A hatodik életévüket betöltött kiskorúak ujjlenyomatvételét és arcképmásának készítését gyermekbarát módon és a gyermekekre különös gondot fordítva, a kiskorúakról való ujjnyomatvételre és arcképmás-készítésre kifejezetten képzett tisztviselőknek kell végezniük. A kiskorút az életkorának megfelelő módon, kimondottan az ujjnyomatvétel és arcképmás-készítés kiskorúak számára történő elmagyarázása céljából készített szórólapok és/vagy infografika és/vagy ábrák alkalmazásával kell tájékoztatni, és az ujjnyomatvételre és arcképmás-készítésre a kiskorút felelős felnőttnek, gyámnak vagy képviselőnek kell elkísérnie. A tagállamoknak az ujjnyomatvétel és arcképmás-készítés ideje alatt mindenkor tiszteletben kell tartaniuk a kiskorú méltóságát és testi épségét.</w:t>
            </w:r>
          </w:p>
        </w:tc>
        <w:tc>
          <w:tcPr/>
          <w:p>
            <w:pPr>
              <w:pStyle w:val="Normal6"/>
            </w:pPr>
            <w:r>
              <w:t>(2)</w:t>
            </w:r>
            <w:r>
              <w:tab/>
            </w:r>
            <w:r>
              <w:t xml:space="preserve">A hatodik életévüket betöltött kiskorúak ujjlenyomatvételét és arcképmásának készítését </w:t>
            </w:r>
            <w:r>
              <w:rPr>
                <w:rFonts w:ascii="Times New Roman" w:eastAsia="Times New Roman" w:hAnsi="Times New Roman" w:cs="Times New Roman"/>
                <w:b/>
                <w:i/>
                <w:strike w:val="0"/>
                <w:color w:val="000000"/>
                <w:sz w:val="24"/>
                <w:highlight w:val="none"/>
                <w:u w:val="none" w:color="auto"/>
              </w:rPr>
              <w:t xml:space="preserve">kizárólag az 1. cikk (1) bekezdésének a és ca) pontjában említett célból </w:t>
            </w:r>
            <w:r>
              <w:t>gyermekbarát módon és a gyermekekre különös gondot fordítva, a kiskorúakról való ujjnyomatvételre és arcképmás-készítésre kifejezetten képzett tisztviselőknek kell végezniük. A kiskorút az életkorának megfelelő módon, kimondottan az ujjnyomatvétel és arcképmás-készítés kiskorúak számára történő elmagyarázása céljából készített szórólapok és/vagy infografika és/vagy ábrák alkalmazásával kell tájékoztatni, és az ujjnyomatvételre és arcképmás-készítésre a kiskorút felelős felnőttnek, gyámnak vagy képviselőnek kell elkísérnie. A tagállamoknak az ujjnyomatvétel és arcképmás-készítés ideje alatt mindenkor tiszteletben kell tartaniuk a kiskorú méltóságát és testi épségét.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178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Hilde Vautmans</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2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A hatodik életévüket betöltött kiskorúak ujjlenyomatvételét és arcképmásának készítését gyermekbarát módon és a gyermekekre különös gondot fordítva, a kiskorúakról való ujjnyomatvételre és arcképmás-készítésre kifejezetten képzett tisztviselőknek kell végezniük. A kiskorút az életkorának megfelelő módon, kimondottan az ujjnyomatvétel és arcképmás-készítés kiskorúak számára történő elmagyarázása céljából készített szórólapok és/vagy infografika és/vagy ábrák alkalmazásával kell tájékoztatni, és az ujjnyomatvételre és arcképmás-készítésre a kiskorút felelős felnőttnek, gyámnak vagy képviselőnek kell elkísérnie. A tagállamoknak az ujjnyomatvétel és arcképmás-készítés ideje alatt mindenkor tiszteletben kell tartaniuk a kiskorú méltóságát és testi épségét.</w:t>
            </w:r>
          </w:p>
        </w:tc>
        <w:tc>
          <w:tcPr/>
          <w:p>
            <w:pPr>
              <w:pStyle w:val="Normal6"/>
            </w:pPr>
            <w:r>
              <w:t>(2)</w:t>
            </w:r>
            <w:r>
              <w:tab/>
            </w:r>
            <w:r>
              <w:t xml:space="preserve">A hatodik életévüket betöltött kiskorúak ujjlenyomatvételét és arcképmásának készítését gyermekbarát módon és a gyermekekre </w:t>
            </w:r>
            <w:r>
              <w:rPr>
                <w:rFonts w:ascii="Times New Roman" w:eastAsia="Times New Roman" w:hAnsi="Times New Roman" w:cs="Times New Roman"/>
                <w:b/>
                <w:i/>
                <w:strike w:val="0"/>
                <w:color w:val="000000"/>
                <w:sz w:val="24"/>
                <w:highlight w:val="none"/>
                <w:u w:val="none" w:color="auto"/>
              </w:rPr>
              <w:t xml:space="preserve">és a nemek közötti egyenlőségre </w:t>
            </w:r>
            <w:r>
              <w:t xml:space="preserve">különös gondot fordítva, a kiskorúakról való ujjnyomatvételre és arcképmás-készítésre kifejezetten képzett tisztviselőknek kell végezniük. A kiskorút az életkorának megfelelő módon, kimondottan az ujjnyomatvétel és arcképmás-készítés kiskorúak számára történő elmagyarázása céljából készített szórólapok és/vagy infografika és/vagy ábrák alkalmazásával </w:t>
            </w:r>
            <w:r>
              <w:rPr>
                <w:rFonts w:ascii="Times New Roman" w:eastAsia="Times New Roman" w:hAnsi="Times New Roman" w:cs="Times New Roman"/>
                <w:b/>
                <w:i/>
                <w:strike w:val="0"/>
                <w:color w:val="000000"/>
                <w:sz w:val="24"/>
                <w:highlight w:val="none"/>
                <w:u w:val="none" w:color="auto"/>
              </w:rPr>
              <w:t xml:space="preserve">szóban </w:t>
            </w:r>
            <w:r>
              <w:t>kell tájékoztatni</w:t>
            </w:r>
            <w:r>
              <w:rPr>
                <w:rFonts w:ascii="Times New Roman" w:eastAsia="Times New Roman" w:hAnsi="Times New Roman" w:cs="Times New Roman"/>
                <w:b/>
                <w:i/>
                <w:strike w:val="0"/>
                <w:color w:val="000000"/>
                <w:sz w:val="24"/>
                <w:highlight w:val="none"/>
                <w:u w:val="none" w:color="auto"/>
              </w:rPr>
              <w:t xml:space="preserve"> egy általa értett nyelven</w:t>
            </w:r>
            <w:r>
              <w:t>, és az ujjnyomatvételre és arcképmás-készítésre a kiskorút felelős felnőttnek, gyámnak vagy képviselőnek kell elkísérnie. A tagállamoknak az ujjnyomatvétel és arcképmás-készítés ideje alatt mindenkor tiszteletben kell tartaniuk a kiskorú méltóságát és testi épségét.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179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Maria Corazza Bildt</w:t>
      </w:r>
      <w:r>
        <w:t xml:space="preserve">, </w:t>
      </w:r>
      <w:r>
        <w:t>Damiano Zoffoli</w:t>
      </w:r>
      <w:r>
        <w:t xml:space="preserve">, </w:t>
      </w:r>
      <w:r>
        <w:t>Barbara Matera</w:t>
      </w:r>
      <w:r>
        <w:t xml:space="preserve">, </w:t>
      </w:r>
      <w:r>
        <w:t>Petras Auštrevičius</w:t>
      </w:r>
      <w:r>
        <w:t xml:space="preserve">, </w:t>
      </w:r>
      <w:r>
        <w:t>Beatriz Becerra Basterrechea</w:t>
      </w:r>
      <w:r>
        <w:t xml:space="preserve">, </w:t>
      </w:r>
      <w:r>
        <w:t>Carlos Coelho</w:t>
      </w:r>
      <w:r>
        <w:t xml:space="preserve">, </w:t>
      </w:r>
      <w:r>
        <w:t>Hilde Vautmans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2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A hatodik életévüket betöltött kiskorúak ujjlenyomatvételét és arcképmásának készítését gyermekbarát módon és a gyermekekre különös gondot fordítva, a kiskorúakról való ujjnyomatvételre és arcképmás-készítésre kifejezetten képzett tisztviselőknek kell végezniük. A kiskorút az életkorának megfelelő módon, kimondottan az ujjnyomatvétel és arcképmás-készítés kiskorúak számára történő elmagyarázása céljából készített szórólapok és/vagy infografika és/vagy ábrák alkalmazásával kell tájékoztatni, és az ujjnyomatvételre és arcképmás-készítésre a kiskorút felelős felnőttnek, gyámnak vagy képviselőnek kell elkísérnie. A tagállamoknak az ujjnyomatvétel és arcképmás-készítés ideje alatt mindenkor tiszteletben kell tartaniuk a kiskorú méltóságát és testi épségét.</w:t>
            </w:r>
          </w:p>
        </w:tc>
        <w:tc>
          <w:tcPr/>
          <w:p>
            <w:pPr>
              <w:pStyle w:val="Normal6"/>
            </w:pPr>
            <w:r>
              <w:t>(2)</w:t>
            </w:r>
            <w:r>
              <w:tab/>
            </w:r>
            <w:r>
              <w:t>A hatodik életévüket betöltött kiskorúak ujjlenyomatvételét és arcképmásának készítését gyermekbarát módon és a gyermekekre különös gondot fordítva, a kiskorúakról való ujjnyomatvételre és arcképmás-készítésre kifejezetten képzett tisztviselőknek kell végezniük. A kiskorút az életkorának megfelelő módon, kimondottan az ujjnyomatvétel és arcképmás-készítés kiskorúak számára történő elmagyarázása céljából készített szórólapok és/vagy infografika és/vagy ábrák alkalmazásával kell tájékoztatni</w:t>
            </w:r>
            <w:r>
              <w:rPr>
                <w:rFonts w:ascii="Times New Roman" w:eastAsia="Times New Roman" w:hAnsi="Times New Roman" w:cs="Times New Roman"/>
                <w:b/>
                <w:i/>
                <w:strike w:val="0"/>
                <w:color w:val="000000"/>
                <w:sz w:val="24"/>
                <w:highlight w:val="none"/>
                <w:u w:val="none" w:color="auto"/>
              </w:rPr>
              <w:t xml:space="preserve"> egy általa értett nyelven</w:t>
            </w:r>
            <w:r>
              <w:t>, és az ujjnyomatvételre és arcképmás-készítésre a kiskorút felelős felnőttnek, gyámnak vagy képviselőnek kell elkísérnie. A tagállamoknak az ujjnyomatvétel és arcképmás-készítés ideje alatt mindenkor tiszteletben kell tartaniuk a kiskorú méltóságát és testi épségét.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180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Caterina Chinnici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2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A hatodik életévüket betöltött kiskorúak ujjlenyomatvételét és arcképmásának készítését gyermekbarát módon és a gyermekekre különös gondot fordítva, a kiskorúakról való ujjnyomatvételre és arcképmás-készítésre kifejezetten képzett tisztviselőknek kell végezniük. A kiskorút az életkorának megfelelő módon, kimondottan az ujjnyomatvétel és arcképmás-készítés kiskorúak számára történő elmagyarázása céljából készített szórólapok és/vagy infografika és/vagy ábrák alkalmazásával kell tájékoztatni, és az ujjnyomatvételre és arcképmás-készítésre a kiskorút felelős felnőttnek, gyámnak vagy képviselőnek kell elkísérnie. A tagállamoknak az ujjnyomatvétel és arcképmás-készítés ideje alatt mindenkor tiszteletben kell tartaniuk a kiskorú méltóságát és testi épségét.</w:t>
            </w:r>
          </w:p>
        </w:tc>
        <w:tc>
          <w:tcPr/>
          <w:p>
            <w:pPr>
              <w:pStyle w:val="Normal6"/>
            </w:pPr>
            <w:r>
              <w:t>(2)</w:t>
            </w:r>
            <w:r>
              <w:tab/>
            </w:r>
            <w:r>
              <w:t xml:space="preserve">A hatodik életévüket betöltött kiskorúak ujjlenyomatvételét és arcképmásának készítését gyermekbarát módon és a gyermekekre különös gondot fordítva, a kiskorúakról való ujjnyomatvételre és arcképmás-készítésre kifejezetten képzett tisztviselőknek kell végezniük. A kiskorút az életkorának megfelelő módon, kimondottan az ujjnyomatvétel és arcképmás-készítés kiskorúak számára történő elmagyarázása céljából készített szórólapok és/vagy infografika és/vagy ábrák alkalmazásával kell </w:t>
            </w:r>
            <w:r>
              <w:rPr>
                <w:rFonts w:ascii="Times New Roman" w:eastAsia="Times New Roman" w:hAnsi="Times New Roman" w:cs="Times New Roman"/>
                <w:b/>
                <w:i/>
                <w:strike w:val="0"/>
                <w:color w:val="000000"/>
                <w:sz w:val="24"/>
                <w:highlight w:val="none"/>
                <w:u w:val="none" w:color="auto"/>
              </w:rPr>
              <w:t xml:space="preserve">írásban, szóban vagy mindkét módon </w:t>
            </w:r>
            <w:r>
              <w:t>tájékoztatni, és az ujjnyomatvételre és arcképmás-készítésre a kiskorút felelős felnőttnek, gyámnak vagy képviselőnek kell elkísérnie. A tagállamoknak az ujjnyomatvétel és arcképmás-készítés ideje alatt mindenkor tiszteletben kell tartaniuk a kiskorú méltóságát és testi épségét.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181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Christine Revault D'Allonnes Bonnefoy</w:t>
      </w:r>
      <w:r>
        <w:t xml:space="preserve">, </w:t>
      </w:r>
      <w:r>
        <w:t>Sylvie Guillaume</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2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 xml:space="preserve">A </w:t>
            </w:r>
            <w:r>
              <w:rPr>
                <w:rFonts w:ascii="Times New Roman" w:eastAsia="Times New Roman" w:hAnsi="Times New Roman" w:cs="Times New Roman"/>
                <w:b/>
                <w:i/>
                <w:strike w:val="0"/>
                <w:color w:val="000000"/>
                <w:sz w:val="24"/>
                <w:highlight w:val="none"/>
                <w:u w:val="none" w:color="auto"/>
              </w:rPr>
              <w:t>hatodik</w:t>
            </w:r>
            <w:r>
              <w:t xml:space="preserve"> életévüket betöltött kiskorúak ujjlenyomatvételét és arcképmásának készítését gyermekbarát módon és a gyermekekre különös gondot fordítva, a kiskorúakról való ujjnyomatvételre és arcképmás-készítésre kifejezetten képzett tisztviselőknek kell végezniük. A kiskorút az életkorának megfelelő módon, kimondottan az ujjnyomatvétel és arcképmás-készítés kiskorúak számára történő elmagyarázása céljából készített szórólapok és/vagy infografika és/vagy ábrák alkalmazásával kell tájékoztatni, és az ujjnyomatvételre és arcképmás-készítésre a kiskorút felelős felnőttnek, gyámnak vagy képviselőnek kell elkísérnie. A tagállamoknak az ujjnyomatvétel és arcképmás-készítés ideje alatt mindenkor tiszteletben kell tartaniuk a kiskorú méltóságát és testi épségét.</w:t>
            </w:r>
          </w:p>
        </w:tc>
        <w:tc>
          <w:tcPr/>
          <w:p>
            <w:pPr>
              <w:pStyle w:val="Normal6"/>
            </w:pPr>
            <w:r>
              <w:t>(2)</w:t>
            </w:r>
            <w:r>
              <w:tab/>
            </w:r>
            <w:r>
              <w:t>A </w:t>
            </w:r>
            <w:r>
              <w:rPr>
                <w:rFonts w:ascii="Times New Roman" w:eastAsia="Times New Roman" w:hAnsi="Times New Roman" w:cs="Times New Roman"/>
                <w:b/>
                <w:i/>
                <w:strike w:val="0"/>
                <w:color w:val="000000"/>
                <w:sz w:val="24"/>
                <w:highlight w:val="none"/>
                <w:u w:val="none" w:color="auto"/>
              </w:rPr>
              <w:t>14.</w:t>
            </w:r>
            <w:r>
              <w:t xml:space="preserve"> életévüket betöltött kiskorúak ujjlenyomatvételét és arcképmásának készítését gyermekbarát módon és a gyermekekre különös gondot fordítva, a kiskorúakról való ujjnyomatvételre és arcképmás-készítésre kifejezetten képzett tisztviselőknek kell végezniük. A kiskorút az életkorának megfelelő módon, kimondottan az ujjnyomatvétel és arcképmás-készítés kiskorúak számára történő elmagyarázása céljából készített szórólapok és/vagy infografika és/vagy ábrák alkalmazásával kell tájékoztatni, és az ujjnyomatvételre és arcképmás-készítésre a kiskorút felelős felnőttnek, gyámnak vagy képviselőnek kell elkísérnie. A tagállamoknak az ujjnyomatvétel és arcképmás-készítés ideje alatt mindenkor tiszteletben kell tartaniuk a kiskorú méltóságát és testi épségét.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The lowering of age from 14 to 6 years is not justified and not proportionate. It is questionable to consider that a 6-years child is in a position to fully understand such a process as well as the consequences on his/her private life. If some member states already collect data from minors (younger than 14years old),it does not make it more acceptable in an EU regulation. The Commission considers it would help with the identification of unaccompanied minors and with the establishment of family links but it does not clearly explain why and how. Moreover,the guarantees to protect the interest of the child are insufficient.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182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Malin Björk</w:t>
      </w:r>
      <w:r>
        <w:t xml:space="preserve">, </w:t>
      </w:r>
      <w:r>
        <w:t>Barbara Spinelli</w:t>
      </w:r>
      <w:r>
        <w:t xml:space="preserve">, </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3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w:t>
            </w:r>
            <w:r>
              <w:tab/>
            </w:r>
            <w:r>
              <w:rPr>
                <w:rFonts w:ascii="Times New Roman" w:eastAsia="Times New Roman" w:hAnsi="Times New Roman" w:cs="Times New Roman"/>
                <w:b/>
                <w:i/>
                <w:strike w:val="0"/>
                <w:color w:val="000000"/>
                <w:sz w:val="24"/>
                <w:highlight w:val="none"/>
                <w:u w:val="none" w:color="auto"/>
              </w:rPr>
              <w:t xml:space="preserve">A tagállamok – nemzeti jogukkal összhangban – közigazgatási szankciókat vezethetnek be </w:t>
            </w:r>
            <w:r>
              <w:rPr>
                <w:rFonts w:ascii="Times New Roman" w:eastAsia="Times New Roman" w:hAnsi="Times New Roman" w:cs="Times New Roman"/>
                <w:b/>
                <w:i/>
                <w:strike w:val="0"/>
                <w:color w:val="000000"/>
                <w:sz w:val="24"/>
                <w:highlight w:val="none"/>
                <w:u w:val="none" w:color="auto"/>
              </w:rPr>
              <w:t>az</w:t>
            </w:r>
            <w:r>
              <w:t xml:space="preserve"> e cikk (1) bekezdése szerinti ujjnyomatvételi eljárás és arcképmás-készítés szabályainak megszegése </w:t>
            </w:r>
            <w:r>
              <w:rPr>
                <w:rFonts w:ascii="Times New Roman" w:eastAsia="Times New Roman" w:hAnsi="Times New Roman" w:cs="Times New Roman"/>
                <w:b/>
                <w:i/>
                <w:strike w:val="0"/>
                <w:color w:val="000000"/>
                <w:sz w:val="24"/>
                <w:highlight w:val="none"/>
                <w:u w:val="none" w:color="auto"/>
              </w:rPr>
              <w:t>esetére. E szankcióknak hatékonynak, arányosnak és visszatartó erejűnek kell lenniük. Ebben az összefüggésben őrizetet csak végső esetben kell alkalmazni a harmadik országbeli állampolgár személyazonosságának megállapítására vagy ellenőrzésére</w:t>
            </w:r>
            <w:r>
              <w:t>.</w:t>
            </w:r>
          </w:p>
        </w:tc>
        <w:tc>
          <w:tcPr/>
          <w:p>
            <w:pPr>
              <w:pStyle w:val="Normal6"/>
            </w:pPr>
            <w:r>
              <w:t>(3)</w:t>
            </w:r>
            <w:r>
              <w:tab/>
            </w:r>
            <w:r>
              <w:rPr>
                <w:rFonts w:ascii="Times New Roman" w:eastAsia="Times New Roman" w:hAnsi="Times New Roman" w:cs="Times New Roman"/>
                <w:b/>
                <w:i/>
                <w:strike w:val="0"/>
                <w:color w:val="000000"/>
                <w:sz w:val="24"/>
                <w:highlight w:val="none"/>
                <w:u w:val="none" w:color="auto"/>
              </w:rPr>
              <w:t>Az</w:t>
            </w:r>
            <w:r>
              <w:t xml:space="preserve"> e cikk (1) bekezdése szerinti ujjnyomatvételi eljárás és arcképmás-készítés szabályainak megszegése </w:t>
            </w:r>
            <w:r>
              <w:rPr>
                <w:rFonts w:ascii="Times New Roman" w:eastAsia="Times New Roman" w:hAnsi="Times New Roman" w:cs="Times New Roman"/>
                <w:b/>
                <w:i/>
                <w:strike w:val="0"/>
                <w:color w:val="000000"/>
                <w:sz w:val="24"/>
                <w:highlight w:val="none"/>
                <w:u w:val="none" w:color="auto"/>
              </w:rPr>
              <w:t>esetén a tagállamok további tanácsadást és tájékoztatást nyújtanak az ujjnyomatvételi eljárásra, az érintett személy jogaira és a szabályok megszegésének lehetséges következményeire vonatkozóan</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Deprivation of liberty and the use of physical or psychological force to obtain fingerprints for Eurodac should be avoided because it entails a high risk of violating fundamental rights enshrined in the Charter, namely the right to human dignity (Article 1) and the right to the integrity of the person (Article 3), the prohibition of torture and inhuman or degrading treatment or punishment (Article 4) and the right to liberty and security (Article 6).Asylum seekers must provide fingerprints for Eurodac. As FRA pointed out in its 2015 Focus paper on ‘Fundamental rights implications of the obligation to provide fingerprints for Eurodac’, compliance with this obligation should primarily be secured through effective information and counselling. This can either be provided individually and/or through outreach actions targeting migrant communities, such as focus group discussions, information sessions and similar initiatives.</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183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3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w:t>
            </w:r>
            <w:r>
              <w:tab/>
            </w:r>
            <w:r>
              <w:t xml:space="preserve">A tagállamok </w:t>
            </w:r>
            <w:r>
              <w:rPr>
                <w:rFonts w:ascii="Times New Roman" w:eastAsia="Times New Roman" w:hAnsi="Times New Roman" w:cs="Times New Roman"/>
                <w:b/>
                <w:i/>
                <w:strike w:val="0"/>
                <w:color w:val="000000"/>
                <w:sz w:val="24"/>
                <w:highlight w:val="none"/>
                <w:u w:val="none" w:color="auto"/>
              </w:rPr>
              <w:t>– nemzeti jogukkal összhangban –</w:t>
            </w:r>
            <w:r>
              <w:t xml:space="preserve"> közigazgatási szankciókat</w:t>
            </w:r>
            <w:r>
              <w:rPr>
                <w:rFonts w:ascii="Times New Roman" w:eastAsia="Times New Roman" w:hAnsi="Times New Roman" w:cs="Times New Roman"/>
                <w:b/>
                <w:i/>
                <w:strike w:val="0"/>
                <w:color w:val="000000"/>
                <w:sz w:val="24"/>
                <w:highlight w:val="none"/>
                <w:u w:val="none" w:color="auto"/>
              </w:rPr>
              <w:t xml:space="preserve"> vezethetnek be</w:t>
            </w:r>
            <w:r>
              <w:t xml:space="preserve"> az e cikk (1) bekezdése szerinti ujjnyomatvételi eljárás és arcképmás-készítés szabályainak megszegése esetére.</w:t>
            </w:r>
            <w:r>
              <w:rPr>
                <w:rFonts w:ascii="Times New Roman" w:eastAsia="Times New Roman" w:hAnsi="Times New Roman" w:cs="Times New Roman"/>
                <w:b/>
                <w:i/>
                <w:strike w:val="0"/>
                <w:color w:val="000000"/>
                <w:sz w:val="24"/>
                <w:highlight w:val="none"/>
                <w:u w:val="none" w:color="auto"/>
              </w:rPr>
              <w:t xml:space="preserve"> E szankcióknak hatékonynak, arányosnak és visszatartó erejűnek kell lenniük. Ebben az összefüggésben őrizetet csak végső esetben kell alkalmazni a harmadik országbeli állampolgár személyazonosságának megállapítására vagy ellenőrzésére.</w:t>
            </w:r>
          </w:p>
        </w:tc>
        <w:tc>
          <w:tcPr/>
          <w:p>
            <w:pPr>
              <w:pStyle w:val="Normal6"/>
            </w:pPr>
            <w:r>
              <w:t>(3)</w:t>
            </w:r>
            <w:r>
              <w:tab/>
            </w:r>
            <w:r>
              <w:t xml:space="preserve">A tagállamok </w:t>
            </w:r>
            <w:r>
              <w:rPr>
                <w:rFonts w:ascii="Times New Roman" w:eastAsia="Times New Roman" w:hAnsi="Times New Roman" w:cs="Times New Roman"/>
                <w:b/>
                <w:i/>
                <w:strike w:val="0"/>
                <w:color w:val="000000"/>
                <w:sz w:val="24"/>
                <w:highlight w:val="none"/>
                <w:u w:val="none" w:color="auto"/>
              </w:rPr>
              <w:t>nem vezetnek be</w:t>
            </w:r>
            <w:r>
              <w:t xml:space="preserve"> közigazgatási szankciókat az e cikk (1) bekezdése szerinti ujjnyomatvételi eljárás és arcképmás-készítés szabályainak megszegése esetére.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184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3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w:t>
            </w:r>
            <w:r>
              <w:tab/>
            </w:r>
            <w:r>
              <w:rPr>
                <w:rFonts w:ascii="Times New Roman" w:eastAsia="Times New Roman" w:hAnsi="Times New Roman" w:cs="Times New Roman"/>
                <w:b/>
                <w:i/>
                <w:strike w:val="0"/>
                <w:color w:val="000000"/>
                <w:sz w:val="24"/>
                <w:highlight w:val="none"/>
                <w:u w:val="none" w:color="auto"/>
              </w:rPr>
              <w:t>A tagállamok – nemzeti jogukkal</w:t>
            </w:r>
            <w:r>
              <w:t xml:space="preserve"> összhangban </w:t>
            </w:r>
            <w:r>
              <w:rPr>
                <w:rFonts w:ascii="Times New Roman" w:eastAsia="Times New Roman" w:hAnsi="Times New Roman" w:cs="Times New Roman"/>
                <w:b/>
                <w:i/>
                <w:strike w:val="0"/>
                <w:color w:val="000000"/>
                <w:sz w:val="24"/>
                <w:highlight w:val="none"/>
                <w:u w:val="none" w:color="auto"/>
              </w:rPr>
              <w:t>–</w:t>
            </w:r>
            <w:r>
              <w:t xml:space="preserve"> közigazgatási szankciókat </w:t>
            </w:r>
            <w:r>
              <w:rPr>
                <w:rFonts w:ascii="Times New Roman" w:eastAsia="Times New Roman" w:hAnsi="Times New Roman" w:cs="Times New Roman"/>
                <w:b/>
                <w:i/>
                <w:strike w:val="0"/>
                <w:color w:val="000000"/>
                <w:sz w:val="24"/>
                <w:highlight w:val="none"/>
                <w:u w:val="none" w:color="auto"/>
              </w:rPr>
              <w:t>vezethetnek be az e cikk (1) bekezdése szerinti ujjnyomatvételi eljárás és arcképmás-készítés szabályainak megszegése esetére. E</w:t>
            </w:r>
            <w:r>
              <w:t xml:space="preserve"> szankcióknak hatékonynak, arányosnak és visszatartó erejűnek kell lenniük. Ebben az összefüggésben őrizetet csak végső esetben kell alkalmazni a harmadik országbeli állampolgár személyazonosságának megállapítására vagy ellenőrzésére.</w:t>
            </w:r>
          </w:p>
        </w:tc>
        <w:tc>
          <w:tcPr/>
          <w:p>
            <w:pPr>
              <w:pStyle w:val="Normal6"/>
            </w:pPr>
            <w:r>
              <w:t>(3)</w:t>
            </w:r>
            <w:r>
              <w:tab/>
            </w:r>
            <w:r>
              <w:rPr>
                <w:rFonts w:ascii="Times New Roman" w:eastAsia="Times New Roman" w:hAnsi="Times New Roman" w:cs="Times New Roman"/>
                <w:b/>
                <w:i/>
                <w:strike w:val="0"/>
                <w:color w:val="000000"/>
                <w:sz w:val="24"/>
                <w:highlight w:val="none"/>
                <w:u w:val="none" w:color="auto"/>
              </w:rPr>
              <w:t>Valamennyi személy (1) bekezdéssel</w:t>
            </w:r>
            <w:r>
              <w:t xml:space="preserve"> összhangban </w:t>
            </w:r>
            <w:r>
              <w:rPr>
                <w:rFonts w:ascii="Times New Roman" w:eastAsia="Times New Roman" w:hAnsi="Times New Roman" w:cs="Times New Roman"/>
                <w:b/>
                <w:i/>
                <w:strike w:val="0"/>
                <w:color w:val="000000"/>
                <w:sz w:val="24"/>
                <w:highlight w:val="none"/>
                <w:u w:val="none" w:color="auto"/>
              </w:rPr>
              <w:t>történő teljes körű nyilvántartásba vétele érdekében a tagállamok</w:t>
            </w:r>
            <w:r>
              <w:t xml:space="preserve"> közigazgatási szankciókat </w:t>
            </w:r>
            <w:r>
              <w:rPr>
                <w:rFonts w:ascii="Times New Roman" w:eastAsia="Times New Roman" w:hAnsi="Times New Roman" w:cs="Times New Roman"/>
                <w:b/>
                <w:i/>
                <w:strike w:val="0"/>
                <w:color w:val="000000"/>
                <w:sz w:val="24"/>
                <w:highlight w:val="none"/>
                <w:u w:val="none" w:color="auto"/>
              </w:rPr>
              <w:t>vezetnek be a biometrikus adatok rögzítése szabályainak megszegése esetére. A tagállamok gondoskodnak arról, hogy tanácsadási lehetőséget nyújtsanak az érintett személy számára annak érdekében, hogy meggyőzzék őt az eljárásban való közreműködésről. A</w:t>
            </w:r>
            <w:r>
              <w:t xml:space="preserve"> szankcióknak</w:t>
            </w:r>
            <w:r>
              <w:rPr>
                <w:rFonts w:ascii="Times New Roman" w:eastAsia="Times New Roman" w:hAnsi="Times New Roman" w:cs="Times New Roman"/>
                <w:b/>
                <w:i/>
                <w:strike w:val="0"/>
                <w:color w:val="000000"/>
                <w:sz w:val="24"/>
                <w:highlight w:val="none"/>
                <w:u w:val="none" w:color="auto"/>
              </w:rPr>
              <w:t xml:space="preserve"> – a kényszerítés eszközeit is beleértve –</w:t>
            </w:r>
            <w:r>
              <w:t xml:space="preserve"> hatékonynak, arányosnak és visszatartó erejűnek kell lenniük. Ebben az összefüggésben őrizetet csak végső esetben kell alkalmazni a harmadik országbeli állampolgár személyazonosságának megállapítására vagy ellenőrzésére.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Hangsúlyt kell helyezni a 100%-os nyilvántartásba vételi arányra.</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185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Sylvia-Yvonne Kaufmann</w:t>
      </w:r>
      <w:r>
        <w:t xml:space="preserve">, </w:t>
      </w:r>
      <w:r>
        <w:t>Josef Weidenholzer</w:t>
      </w:r>
      <w:r>
        <w:t xml:space="preserve">, </w:t>
      </w:r>
      <w:r>
        <w:t>Vilija Blinkevičiūtė</w:t>
      </w:r>
      <w:r>
        <w:t xml:space="preserve">, </w:t>
      </w:r>
      <w:r>
        <w:t>Péter Niedermüller</w:t>
      </w:r>
      <w:r>
        <w:t xml:space="preserve">, </w:t>
      </w:r>
      <w:r>
        <w:t>Kati Piri</w:t>
      </w:r>
      <w:r>
        <w:t xml:space="preserve">, </w:t>
      </w:r>
      <w:r>
        <w:t>Maria Grapini</w:t>
      </w:r>
      <w:r>
        <w:t xml:space="preserve">, </w:t>
      </w:r>
      <w:r>
        <w:t>Juan Fernando López Aguilar</w:t>
      </w:r>
      <w:r>
        <w:t xml:space="preserve">, </w:t>
      </w:r>
      <w:r>
        <w:t>Caterina Chinnici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3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w:t>
            </w:r>
            <w:r>
              <w:tab/>
            </w:r>
            <w:r>
              <w:t xml:space="preserve">A tagállamok – nemzeti jogukkal összhangban </w:t>
            </w:r>
            <w:r>
              <w:rPr>
                <w:rFonts w:ascii="Times New Roman" w:eastAsia="Times New Roman" w:hAnsi="Times New Roman" w:cs="Times New Roman"/>
                <w:b/>
                <w:i/>
                <w:strike w:val="0"/>
                <w:color w:val="000000"/>
                <w:sz w:val="24"/>
                <w:highlight w:val="none"/>
                <w:u w:val="none" w:color="auto"/>
              </w:rPr>
              <w:t xml:space="preserve">– </w:t>
            </w:r>
            <w:r>
              <w:t>közigazgatási szankciókat vezethetnek be az e cikk (1) bekezdése szerinti ujjnyomatvételi eljárás és arcképmás-készítés szabályainak megszegése esetére. E szankcióknak hatékonynak, arányosnak és visszatartó erejűnek kell lenniük. Ebben az összefüggésben őrizetet csak végső esetben</w:t>
            </w:r>
            <w:r>
              <w:rPr>
                <w:rFonts w:ascii="Times New Roman" w:eastAsia="Times New Roman" w:hAnsi="Times New Roman" w:cs="Times New Roman"/>
                <w:b/>
                <w:i/>
                <w:strike w:val="0"/>
                <w:color w:val="000000"/>
                <w:sz w:val="24"/>
                <w:highlight w:val="none"/>
                <w:u w:val="none" w:color="auto"/>
              </w:rPr>
              <w:t xml:space="preserve"> kell</w:t>
            </w:r>
            <w:r>
              <w:t xml:space="preserve"> alkalmazni a harmadik országbeli állampolgár személyazonosságának megállapítására vagy ellenőrzésére.</w:t>
            </w:r>
          </w:p>
        </w:tc>
        <w:tc>
          <w:tcPr/>
          <w:p>
            <w:pPr>
              <w:pStyle w:val="Normal6"/>
            </w:pPr>
            <w:r>
              <w:t>(3)</w:t>
            </w:r>
            <w:r>
              <w:tab/>
            </w:r>
            <w:r>
              <w:t xml:space="preserve">A tagállamok – nemzeti jogukkal összhangban </w:t>
            </w:r>
            <w:r>
              <w:rPr>
                <w:rFonts w:ascii="Times New Roman" w:eastAsia="Times New Roman" w:hAnsi="Times New Roman" w:cs="Times New Roman"/>
                <w:b/>
                <w:i/>
                <w:strike w:val="0"/>
                <w:color w:val="000000"/>
                <w:sz w:val="24"/>
                <w:highlight w:val="none"/>
                <w:u w:val="none" w:color="auto"/>
              </w:rPr>
              <w:t xml:space="preserve">és az Európai Unió Alapjogi Chartáját maradéktalanul tiszteletben tartva – adott esetben, alaposan megindokolt </w:t>
            </w:r>
            <w:r>
              <w:t>közigazgatási szankciókat vezethetnek be az e cikk (1) bekezdése szerinti ujjnyomatvételi eljárás és arcképmás-készítés szabályainak megszegése esetére. E szankcióknak hatékonynak, arányosnak és visszatartó erejűnek kell lenniük. Ebben az összefüggésben őrizetet csak végső esetben</w:t>
            </w:r>
            <w:r>
              <w:rPr>
                <w:rFonts w:ascii="Times New Roman" w:eastAsia="Times New Roman" w:hAnsi="Times New Roman" w:cs="Times New Roman"/>
                <w:b/>
                <w:i/>
                <w:strike w:val="0"/>
                <w:color w:val="000000"/>
                <w:sz w:val="24"/>
                <w:highlight w:val="none"/>
                <w:u w:val="none" w:color="auto"/>
              </w:rPr>
              <w:t>, a lehető legrövidebb ideig indokolt</w:t>
            </w:r>
            <w:r>
              <w:t xml:space="preserve"> alkalmazni</w:t>
            </w:r>
            <w:r>
              <w:rPr>
                <w:rFonts w:ascii="Times New Roman" w:eastAsia="Times New Roman" w:hAnsi="Times New Roman" w:cs="Times New Roman"/>
                <w:b/>
                <w:i/>
                <w:strike w:val="0"/>
                <w:color w:val="000000"/>
                <w:sz w:val="24"/>
                <w:highlight w:val="none"/>
                <w:u w:val="none" w:color="auto"/>
              </w:rPr>
              <w:t>, miután a tanácsadást követően nincs más mód</w:t>
            </w:r>
            <w:r>
              <w:t xml:space="preserve"> a harmadik országbeli állampolgár </w:t>
            </w:r>
            <w:r>
              <w:rPr>
                <w:rFonts w:ascii="Times New Roman" w:eastAsia="Times New Roman" w:hAnsi="Times New Roman" w:cs="Times New Roman"/>
                <w:b/>
                <w:i/>
                <w:strike w:val="0"/>
                <w:color w:val="000000"/>
                <w:sz w:val="24"/>
                <w:highlight w:val="none"/>
                <w:u w:val="none" w:color="auto"/>
              </w:rPr>
              <w:t xml:space="preserve">vagy hontalan személy </w:t>
            </w:r>
            <w:r>
              <w:t>személyazonosságának megállapítására vagy ellenőrzésére</w:t>
            </w:r>
            <w:r>
              <w:rPr>
                <w:rFonts w:ascii="Times New Roman" w:eastAsia="Times New Roman" w:hAnsi="Times New Roman" w:cs="Times New Roman"/>
                <w:b/>
                <w:i/>
                <w:strike w:val="0"/>
                <w:color w:val="000000"/>
                <w:sz w:val="24"/>
                <w:highlight w:val="none"/>
                <w:u w:val="none" w:color="auto"/>
              </w:rPr>
              <w:t>, és fennáll a szökés kockázata. A kiskorúak őrizetbe vétele tilos</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186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Lorenzo Fontana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3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w:t>
            </w:r>
            <w:r>
              <w:tab/>
            </w:r>
            <w:r>
              <w:t xml:space="preserve">A tagállamok – nemzeti jogukkal összhangban – közigazgatási szankciókat vezethetnek be az e cikk (1) bekezdése szerinti ujjnyomatvételi eljárás és arcképmás-készítés szabályainak megszegése esetére. E szankcióknak hatékonynak, arányosnak és visszatartó erejűnek kell lenniük. Ebben az összefüggésben őrizetet </w:t>
            </w:r>
            <w:r>
              <w:rPr>
                <w:rFonts w:ascii="Times New Roman" w:eastAsia="Times New Roman" w:hAnsi="Times New Roman" w:cs="Times New Roman"/>
                <w:b/>
                <w:i/>
                <w:strike w:val="0"/>
                <w:color w:val="000000"/>
                <w:sz w:val="24"/>
                <w:highlight w:val="none"/>
                <w:u w:val="none" w:color="auto"/>
              </w:rPr>
              <w:t xml:space="preserve">csak végső esetben </w:t>
            </w:r>
            <w:r>
              <w:t>kell alkalmazni a harmadik országbeli állampolgár személyazonosságának megállapítására vagy ellenőrzésére.</w:t>
            </w:r>
          </w:p>
        </w:tc>
        <w:tc>
          <w:tcPr/>
          <w:p>
            <w:pPr>
              <w:pStyle w:val="Normal6"/>
            </w:pPr>
            <w:r>
              <w:t>(3)</w:t>
            </w:r>
            <w:r>
              <w:tab/>
            </w:r>
            <w:r>
              <w:t>A tagállamok – nemzeti jogukkal összhangban – közigazgatási szankciókat vezethetnek be az e cikk (1) bekezdése szerinti ujjnyomatvételi eljárás és arcképmás-készítés szabályainak megszegése esetére. E szankcióknak hatékonynak, arányosnak és visszatartó erejűnek kell lenniük. Ebben az összefüggésben őrizetet kell alkalmazni a harmadik országbeli állampolgár személyazonosságának megállapítására vagy ellenőrzésére.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IT</w:t>
      </w:r>
      <w:r>
        <w:rPr>
          <w:rStyle w:val="HideTWBInt"/>
        </w:rPr>
        <w:t>}</w:t>
      </w:r>
      <w:r>
        <w:t>it</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187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Sophia in 't Veld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3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(3)</w:t>
            </w:r>
            <w:r>
              <w:tab/>
            </w:r>
            <w:r>
              <w:t>A tagállamok – nemzeti jogukkal összhangban – közigazgatási szankciókat vezethetnek be az e cikk (1) bekezdése szerinti ujjnyomatvételi eljárás és arcképmás-készítés szabályainak megszegése esetére. E szankcióknak hatékonynak, arányosnak és visszatartó erejűnek kell lenniük. Ebben az összefüggésben őrizetet csak végső esetben kell alkalmazni a harmadik országbeli állampolgár személyazonosságának megállapítására vagy ellenőrzésére.</w:t>
            </w:r>
          </w:p>
        </w:tc>
        <w:tc>
          <w:tcPr/>
          <w:p>
            <w:pPr>
              <w:pStyle w:val="Normal6"/>
            </w:pPr>
            <w:r>
              <w:t>(3)</w:t>
            </w:r>
            <w:r>
              <w:tab/>
            </w:r>
            <w:r>
              <w:t xml:space="preserve">A tagállamok – nemzeti jogukkal összhangban – közigazgatási szankciókat vezethetnek be az e cikk (1) bekezdése szerinti ujjnyomatvételi eljárás és arcképmás-készítés szabályainak megszegése esetére. E szankcióknak hatékonynak, arányosnak és visszatartó erejűnek kell lenniük. Ebben az összefüggésben őrizetet csak végső esetben kell alkalmazni a harmadik országbeli állampolgár személyazonosságának megállapítására vagy ellenőrzésére. </w:t>
            </w:r>
            <w:r>
              <w:rPr>
                <w:rFonts w:ascii="Times New Roman" w:eastAsia="Times New Roman" w:hAnsi="Times New Roman" w:cs="Times New Roman"/>
                <w:b/>
                <w:i/>
                <w:strike w:val="0"/>
                <w:color w:val="000000"/>
                <w:sz w:val="24"/>
                <w:highlight w:val="none"/>
                <w:u w:val="none" w:color="auto"/>
              </w:rPr>
              <w:t>Minden esetet egyedileg értékelni kell annak megállapítása érdekében, hogy az önkényes őrizetbe vétel elkerülése érdekében szükséges valamennyi előfeltétel teljesült-e.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188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4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(4)</w:t>
            </w:r>
            <w:r>
              <w:tab/>
            </w:r>
            <w:r>
              <w:t xml:space="preserve">Az e cikk (3) bekezdésének sérelme nélkül, amennyiben a kiszolgáltatott személynek minősített harmadik országbeli állampolgároktól vagy a kiskorútól az ujjhegyek vagy az arc állapota miatt nem lehet ujjnyomatot venni vagy arcképmást készíteni, a fenti tagállam hatósága nem alkalmazhatnak szankciókat az ujjnyomatvétel vagy arcképmás-készítés kikényszerítésére. </w:t>
            </w:r>
            <w:r>
              <w:rPr>
                <w:rFonts w:ascii="Times New Roman" w:eastAsia="Times New Roman" w:hAnsi="Times New Roman" w:cs="Times New Roman"/>
                <w:b/>
                <w:i/>
                <w:strike w:val="0"/>
                <w:color w:val="000000"/>
                <w:sz w:val="24"/>
                <w:highlight w:val="none"/>
                <w:u w:val="none" w:color="auto"/>
              </w:rPr>
              <w:t>A tagállamok megpróbálhatnak újra ujjnyomatot venni vagy arcképmást készíteni azon kiskorúról vagy kiszolgáltatott személytől, aki ennek nem volt hajlandó eleget tenni, amennyiben a utóbbi megtagadásának oka nem kapcsolódik az ujjhegyek vagy az arc állapotához, illetve az egyén egészségi állapotához, és amennyiben ez kellően indokolt. Amennyiben egy kiskorú, különösen kísérő nélküli vagy családjától elválasztott kiskorú, elutasítja, hogy tőle ujjnyomatot vegyenek vagy hogy róla arcképmást készítsenek, és ésszerűen gyanítható</w:t>
            </w:r>
            <w:r>
              <w:t xml:space="preserve"> a gyermek </w:t>
            </w:r>
            <w:r>
              <w:rPr>
                <w:rFonts w:ascii="Times New Roman" w:eastAsia="Times New Roman" w:hAnsi="Times New Roman" w:cs="Times New Roman"/>
                <w:b/>
                <w:i/>
                <w:strike w:val="0"/>
                <w:color w:val="000000"/>
                <w:sz w:val="24"/>
                <w:highlight w:val="none"/>
                <w:u w:val="none" w:color="auto"/>
              </w:rPr>
              <w:t>biztonságát vagy védelmét érintő kockázatok fennállása, a gyermeket a gyermekvédelmi hatóságokhoz és/vagy a nemzeti áldozatkezelési mechanizmushoz továbbítják</w:t>
            </w:r>
            <w:r>
              <w:t>.</w:t>
            </w:r>
          </w:p>
        </w:tc>
        <w:tc>
          <w:tcPr/>
          <w:p>
            <w:pPr>
              <w:pStyle w:val="Normal6"/>
            </w:pPr>
            <w:r>
              <w:t>(4)</w:t>
            </w:r>
            <w:r>
              <w:tab/>
            </w:r>
            <w:r>
              <w:t xml:space="preserve">Az e cikk (3) bekezdésének sérelme nélkül, amennyiben a kiszolgáltatott személynek minősített harmadik országbeli állampolgároktól vagy a kiskorútól az ujjhegyek vagy az arc állapota miatt nem lehet ujjnyomatot venni vagy arcképmást készíteni, a fenti tagállam hatósága nem alkalmazhatnak szankciókat az ujjnyomatvétel vagy arcképmás-készítés kikényszerítésére. </w:t>
            </w:r>
            <w:r>
              <w:rPr>
                <w:rFonts w:ascii="Times New Roman" w:eastAsia="Times New Roman" w:hAnsi="Times New Roman" w:cs="Times New Roman"/>
                <w:b/>
                <w:i/>
                <w:strike w:val="0"/>
                <w:color w:val="000000"/>
                <w:sz w:val="24"/>
                <w:highlight w:val="none"/>
                <w:u w:val="none" w:color="auto"/>
              </w:rPr>
              <w:t>Amennyiben egy kiskorú, különösen kísérő nélküli vagy családjától elválasztott kiskorú, elutasítja, hogy tőle ujjnyomatot vegyenek vagy hogy róla arcképmást készítsenek, a kiskorút továbbítják a gyermekvédelmi hatóságokhoz, a nemzeti áldozatkezelési mechanizmushoz vagy mindkettőhöz. A nemzeti gyermekvédelmi hatóságok, más megfelelő nemzeti áldozatkezelési mechanizmus vagy mindkettő elvégzik az egyedi szükségletek felmérését annak érdekében, hogy</w:t>
            </w:r>
            <w:r>
              <w:t xml:space="preserve"> a gyermek </w:t>
            </w:r>
            <w:r>
              <w:rPr>
                <w:rFonts w:ascii="Times New Roman" w:eastAsia="Times New Roman" w:hAnsi="Times New Roman" w:cs="Times New Roman"/>
                <w:b/>
                <w:i/>
                <w:strike w:val="0"/>
                <w:color w:val="000000"/>
                <w:sz w:val="24"/>
                <w:highlight w:val="none"/>
                <w:u w:val="none" w:color="auto"/>
              </w:rPr>
              <w:t>mindenek felett álló érdekének megfelelő tartós megoldást találjanak a gyermek számára</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Erre a módosításra a szöveg logikájának fenntartása érdekében van szükség, mivel annak az emberkereskedelem áldozatául esett gyermekek védelmét és a kíséret nélküli, eltűnt vagy megszökött gyermekek azonosítását és védelmét kell szolgálnia, ahogyan azt az Európai Bizottság hangsúlyozta a javaslatban szereplő, átdolgozott Eurodac-rendeletet kísérő indokolásában. A Charta 7., 8. és 24. cikkének való megfelelés érdekében a hatéves gyermekek biometrikus adatainak feldolgozása csak abban az esetben indokolható, ha kifejezetten a gyermekvédelmi célt szolgál.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189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Malin Björk</w:t>
      </w:r>
      <w:r>
        <w:t xml:space="preserve">, </w:t>
      </w:r>
      <w:r>
        <w:t>Barbara Spinelli</w:t>
      </w:r>
      <w:r>
        <w:t xml:space="preserve">, </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4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(4)</w:t>
            </w:r>
            <w:r>
              <w:tab/>
            </w:r>
            <w:r>
              <w:rPr>
                <w:rFonts w:ascii="Times New Roman" w:eastAsia="Times New Roman" w:hAnsi="Times New Roman" w:cs="Times New Roman"/>
                <w:b/>
                <w:i/>
                <w:strike w:val="0"/>
                <w:color w:val="000000"/>
                <w:sz w:val="24"/>
                <w:highlight w:val="none"/>
                <w:u w:val="none" w:color="auto"/>
              </w:rPr>
              <w:t>Az e cikk (3) bekezdésének sérelme nélkül, amennyiben a kiszolgáltatott személynek minősített harmadik országbeli állampolgároktól vagy a kiskorútól az ujjhegyek vagy az arc állapota miatt nem lehet ujjnyomatot venni vagy arcképmást készíteni, a fenti tagállam hatósága</w:t>
            </w:r>
            <w:r>
              <w:t xml:space="preserve"> nem alkalmazhatnak szankciókat az ujjnyomatvétel </w:t>
            </w:r>
            <w:r>
              <w:rPr>
                <w:rFonts w:ascii="Times New Roman" w:eastAsia="Times New Roman" w:hAnsi="Times New Roman" w:cs="Times New Roman"/>
                <w:b/>
                <w:i/>
                <w:strike w:val="0"/>
                <w:color w:val="000000"/>
                <w:sz w:val="24"/>
                <w:highlight w:val="none"/>
                <w:u w:val="none" w:color="auto"/>
              </w:rPr>
              <w:t xml:space="preserve">vagy arcképmás-készítés </w:t>
            </w:r>
            <w:r>
              <w:t>kikényszerítésére. A tagállamok megpróbálhatnak újra ujjnyomatot venni vagy arcképmást készíteni azon</w:t>
            </w:r>
            <w:r>
              <w:rPr>
                <w:rFonts w:ascii="Times New Roman" w:eastAsia="Times New Roman" w:hAnsi="Times New Roman" w:cs="Times New Roman"/>
                <w:b/>
                <w:i/>
                <w:strike w:val="0"/>
                <w:color w:val="000000"/>
                <w:sz w:val="24"/>
                <w:highlight w:val="none"/>
                <w:u w:val="none" w:color="auto"/>
              </w:rPr>
              <w:t xml:space="preserve"> kiskorúról vagy kiszolgáltatott</w:t>
            </w:r>
            <w:r>
              <w:t xml:space="preserve"> személytől, aki ennek nem volt hajlandó eleget tenni, amennyiben a utóbbi megtagadásának oka nem kapcsolódik az ujjhegyek </w:t>
            </w:r>
            <w:r>
              <w:rPr>
                <w:rFonts w:ascii="Times New Roman" w:eastAsia="Times New Roman" w:hAnsi="Times New Roman" w:cs="Times New Roman"/>
                <w:b/>
                <w:i/>
                <w:strike w:val="0"/>
                <w:color w:val="000000"/>
                <w:sz w:val="24"/>
                <w:highlight w:val="none"/>
                <w:u w:val="none" w:color="auto"/>
              </w:rPr>
              <w:t xml:space="preserve">vagy az arc </w:t>
            </w:r>
            <w:r>
              <w:t>állapotához, illetve az egyén egészségi állapotához, és amennyiben ez kellően indokolt. Amennyiben egy kiskorú, különösen kísérő nélküli vagy családjától elválasztott kiskorú, elutasítja, hogy tőle ujjnyomatot vegyenek vagy hogy róla arcképmást készítsenek, és ésszerűen gyanítható a gyermek biztonságát vagy védelmét érintő kockázatok fennállása, a gyermeket a gyermekvédelmi hatóságokhoz és/vagy a nemzeti áldozatkezelési mechanizmushoz továbbítják.</w:t>
            </w:r>
          </w:p>
        </w:tc>
        <w:tc>
          <w:tcPr/>
          <w:p>
            <w:pPr>
              <w:pStyle w:val="Normal6"/>
            </w:pPr>
            <w:r>
              <w:t>(4)</w:t>
            </w:r>
            <w:r>
              <w:tab/>
            </w:r>
            <w:r>
              <w:rPr>
                <w:rFonts w:ascii="Times New Roman" w:eastAsia="Times New Roman" w:hAnsi="Times New Roman" w:cs="Times New Roman"/>
                <w:b/>
                <w:i/>
                <w:strike w:val="0"/>
                <w:color w:val="000000"/>
                <w:sz w:val="24"/>
                <w:highlight w:val="none"/>
                <w:u w:val="none" w:color="auto"/>
              </w:rPr>
              <w:t>A tagállamok</w:t>
            </w:r>
            <w:r>
              <w:t xml:space="preserve"> nem alkalmazhatnak szankciókat az ujjnyomatvétel kikényszerítésére. A tagállamok megpróbálhatnak újra ujjnyomatot venni vagy arcképmást készíteni azon személytől, aki ennek nem volt hajlandó eleget tenni, amennyiben a utóbbi megtagadásának oka nem kapcsolódik az ujjhegyek állapotához, illetve az egyén egészségi állapotához, és amennyiben ez kellően indokolt</w:t>
            </w:r>
            <w:r>
              <w:rPr>
                <w:rFonts w:ascii="Times New Roman" w:eastAsia="Times New Roman" w:hAnsi="Times New Roman" w:cs="Times New Roman"/>
                <w:b/>
                <w:i/>
                <w:strike w:val="0"/>
                <w:color w:val="000000"/>
                <w:sz w:val="24"/>
                <w:highlight w:val="none"/>
                <w:u w:val="none" w:color="auto"/>
              </w:rPr>
              <w:t>, és arra a 2. cikk (2) bekezdésében foglaltak szerint, az érintett személy korának megfelelő módon kerül sor</w:t>
            </w:r>
            <w:r>
              <w:t>. Amennyiben egy kiskorú, különösen kísérő nélküli vagy családjától elválasztott kiskorú, elutasítja, hogy tőle ujjnyomatot vegyenek vagy hogy róla arcképmást készítsenek, és</w:t>
            </w:r>
            <w:r>
              <w:rPr>
                <w:rFonts w:ascii="Times New Roman" w:eastAsia="Times New Roman" w:hAnsi="Times New Roman" w:cs="Times New Roman"/>
                <w:b/>
                <w:i/>
                <w:strike w:val="0"/>
                <w:color w:val="000000"/>
                <w:sz w:val="24"/>
                <w:highlight w:val="none"/>
                <w:u w:val="none" w:color="auto"/>
              </w:rPr>
              <w:t xml:space="preserve"> egy kifejezetten a kiskorúakkal való foglalkozásra kiképzett tisztviselő értékelése szerint</w:t>
            </w:r>
            <w:r>
              <w:t xml:space="preserve"> ésszerűen gyanítható a gyermek biztonságát vagy védelmét érintő kockázatok fennállása, a gyermeket a gyermekvédelmi hatóságokhoz és/vagy a nemzeti áldozatkezelési mechanizmushoz továbbítják.</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190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Maria Corazza Bildt</w:t>
      </w:r>
      <w:r>
        <w:t xml:space="preserve">, </w:t>
      </w:r>
      <w:r>
        <w:t>Damiano Zoffoli</w:t>
      </w:r>
      <w:r>
        <w:t xml:space="preserve">, </w:t>
      </w:r>
      <w:r>
        <w:t>Barbara Matera</w:t>
      </w:r>
      <w:r>
        <w:t xml:space="preserve">, </w:t>
      </w:r>
      <w:r>
        <w:t>Petras Auštrevičius</w:t>
      </w:r>
      <w:r>
        <w:t xml:space="preserve">, </w:t>
      </w:r>
      <w:r>
        <w:t>Beatriz Becerra Basterrechea</w:t>
      </w:r>
      <w:r>
        <w:t xml:space="preserve">, </w:t>
      </w:r>
      <w:r>
        <w:t>Carlos Coelho</w:t>
      </w:r>
      <w:r>
        <w:t xml:space="preserve">, </w:t>
      </w:r>
      <w:r>
        <w:t>Hilde Vautmans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4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(4)</w:t>
            </w:r>
            <w:r>
              <w:tab/>
            </w:r>
            <w:r>
              <w:t xml:space="preserve">Az e cikk (3) bekezdésének sérelme nélkül, amennyiben a kiszolgáltatott személynek minősített harmadik országbeli állampolgároktól vagy a kiskorútól az ujjhegyek vagy az arc állapota miatt nem lehet ujjnyomatot venni vagy arcképmást készíteni, a fenti tagállam hatósága nem alkalmazhatnak szankciókat az ujjnyomatvétel vagy arcképmás-készítés kikényszerítésére. A tagállamok megpróbálhatnak újra ujjnyomatot venni vagy arcképmást készíteni azon kiskorúról vagy kiszolgáltatott személytől, aki ennek nem volt hajlandó eleget tenni, amennyiben a utóbbi megtagadásának oka nem kapcsolódik az ujjhegyek vagy az arc állapotához, illetve az egyén egészségi állapotához, és amennyiben ez kellően indokolt. Amennyiben egy kiskorú, különösen kísérő nélküli vagy családjától elválasztott kiskorú, elutasítja, hogy tőle ujjnyomatot vegyenek vagy hogy róla arcképmást készítsenek, </w:t>
            </w:r>
            <w:r>
              <w:rPr>
                <w:rFonts w:ascii="Times New Roman" w:eastAsia="Times New Roman" w:hAnsi="Times New Roman" w:cs="Times New Roman"/>
                <w:b/>
                <w:i/>
                <w:strike w:val="0"/>
                <w:color w:val="000000"/>
                <w:sz w:val="24"/>
                <w:highlight w:val="none"/>
                <w:u w:val="none" w:color="auto"/>
              </w:rPr>
              <w:t xml:space="preserve">és ésszerűen gyanítható a gyermek biztonságát vagy védelmét érintő kockázatok fennállása, </w:t>
            </w:r>
            <w:r>
              <w:t>a gyermeket a gyermekvédelmi hatóságokhoz és/vagy a nemzeti áldozatkezelési mechanizmushoz továbbítják.</w:t>
            </w:r>
          </w:p>
        </w:tc>
        <w:tc>
          <w:tcPr/>
          <w:p>
            <w:pPr>
              <w:pStyle w:val="Normal6"/>
            </w:pPr>
            <w:r>
              <w:t>(4)</w:t>
            </w:r>
            <w:r>
              <w:tab/>
            </w:r>
            <w:r>
              <w:t>Az e cikk (3) bekezdésének sérelme nélkül, amennyiben a kiszolgáltatott személynek minősített harmadik országbeli állampolgároktól vagy a kiskorútól az ujjhegyek vagy az arc állapota miatt nem lehet ujjnyomatot venni vagy arcképmást készíteni, a fenti tagállam hatósága nem alkalmazhatnak szankciókat az ujjnyomatvétel vagy arcképmás-készítés kikényszerítésére. A tagállamok megpróbálhatnak újra ujjnyomatot venni vagy arcképmást készíteni azon kiskorúról vagy kiszolgáltatott személytől, aki ennek nem volt hajlandó eleget tenni, amennyiben a utóbbi megtagadásának oka nem kapcsolódik az ujjhegyek vagy az arc állapotához, illetve az egyén egészségi állapotához, és amennyiben ez kellően indokolt. Amennyiben egy kiskorú, különösen kísérő nélküli vagy családjától elválasztott kiskorú, elutasítja, hogy tőle ujjnyomatot vegyenek vagy hogy róla arcképmást készítsenek, a gyermeket a gyermekvédelmi hatóságokhoz és/vagy a nemzeti áldozatkezelési mechanizmushoz továbbítják.</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191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Sylvia-Yvonne Kaufmann</w:t>
      </w:r>
      <w:r>
        <w:t xml:space="preserve">, </w:t>
      </w:r>
      <w:r>
        <w:t>Josef Weidenholzer</w:t>
      </w:r>
      <w:r>
        <w:t xml:space="preserve">, </w:t>
      </w:r>
      <w:r>
        <w:t>Josef Weidenholzer</w:t>
      </w:r>
      <w:r>
        <w:t xml:space="preserve">, </w:t>
      </w:r>
      <w:r>
        <w:t>Péter Niedermüller</w:t>
      </w:r>
      <w:r>
        <w:t xml:space="preserve">, </w:t>
      </w:r>
      <w:r>
        <w:t>Kati Piri</w:t>
      </w:r>
      <w:r>
        <w:t xml:space="preserve">, </w:t>
      </w:r>
      <w:r>
        <w:t>Maria Grapini</w:t>
      </w:r>
      <w:r>
        <w:t xml:space="preserve">, </w:t>
      </w:r>
      <w:r>
        <w:t>Juan Fernando López Aguilar</w:t>
      </w:r>
      <w:r>
        <w:t xml:space="preserve">, </w:t>
      </w:r>
      <w:r>
        <w:t>Caterina Chinnici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4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(4)</w:t>
            </w:r>
            <w:r>
              <w:tab/>
            </w:r>
            <w:r>
              <w:t>Az e cikk (3) bekezdésének sérelme nélkül, amennyiben a kiszolgáltatott személynek minősített harmadik országbeli állampolgároktól vagy a kiskorútól az ujjhegyek vagy az arc állapota miatt nem lehet ujjnyomatot venni vagy arcképmást készíteni, a fenti tagállam hatósága nem alkalmazhatnak szankciókat az ujjnyomatvétel vagy arcképmás-készítés kikényszerítésére. A tagállamok megpróbálhatnak újra ujjnyomatot venni vagy arcképmást készíteni azon kiskorúról vagy kiszolgáltatott személytől, aki ennek nem volt hajlandó eleget tenni, amennyiben a utóbbi megtagadásának oka nem kapcsolódik az ujjhegyek vagy az arc állapotához, illetve az egyén egészségi állapotához, és amennyiben ez kellően indokolt. Amennyiben egy kiskorú, különösen kísérő nélküli vagy családjától elválasztott kiskorú, elutasítja, hogy tőle ujjnyomatot vegyenek vagy hogy róla arcképmást készítsenek, és ésszerűen gyanítható a gyermek biztonságát vagy védelmét érintő kockázatok fennállása, a gyermeket a gyermekvédelmi hatóságokhoz és/vagy a nemzeti áldozatkezelési mechanizmushoz továbbítják.</w:t>
            </w:r>
          </w:p>
        </w:tc>
        <w:tc>
          <w:tcPr/>
          <w:p>
            <w:pPr>
              <w:pStyle w:val="Normal6"/>
            </w:pPr>
            <w:r>
              <w:t>(4)</w:t>
            </w:r>
            <w:r>
              <w:tab/>
            </w:r>
            <w:r>
              <w:t xml:space="preserve">Az e cikk (3) bekezdésének sérelme nélkül, amennyiben a kiszolgáltatott személynek minősített harmadik országbeli állampolgároktól vagy </w:t>
            </w:r>
            <w:r>
              <w:rPr>
                <w:rFonts w:ascii="Times New Roman" w:eastAsia="Times New Roman" w:hAnsi="Times New Roman" w:cs="Times New Roman"/>
                <w:b/>
                <w:i/>
                <w:strike w:val="0"/>
                <w:color w:val="000000"/>
                <w:sz w:val="24"/>
                <w:highlight w:val="none"/>
                <w:u w:val="none" w:color="auto"/>
              </w:rPr>
              <w:t xml:space="preserve">hontalan személyektől, illetve </w:t>
            </w:r>
            <w:r>
              <w:t>a kiskorútól az ujjhegyek vagy az arc állapota miatt nem lehet ujjnyomatot venni vagy arcképmást készíteni, a fenti tagállam hatósága nem alkalmazhatnak szankciókat</w:t>
            </w:r>
            <w:r>
              <w:rPr>
                <w:rFonts w:ascii="Times New Roman" w:eastAsia="Times New Roman" w:hAnsi="Times New Roman" w:cs="Times New Roman"/>
                <w:b/>
                <w:i/>
                <w:strike w:val="0"/>
                <w:color w:val="000000"/>
                <w:sz w:val="24"/>
                <w:highlight w:val="none"/>
                <w:u w:val="none" w:color="auto"/>
              </w:rPr>
              <w:t>, illetve mentális vagy fizikai kényszert</w:t>
            </w:r>
            <w:r>
              <w:t xml:space="preserve"> az ujjnyomatvétel vagy arcképmás-készítés kikényszerítésére. A tagállamok megpróbálhatnak újra ujjnyomatot venni vagy arcképmást készíteni azon kiskorúról vagy kiszolgáltatott személytől, aki ennek nem volt hajlandó eleget tenni, amennyiben a utóbbi megtagadásának oka nem kapcsolódik az ujjhegyek vagy az arc állapotához, illetve az egyén egészségi állapotához, és amennyiben ez kellően indokolt. Amennyiben egy kiskorú, különösen kísérő nélküli vagy családjától elválasztott kiskorú, elutasítja, hogy tőle ujjnyomatot vegyenek vagy hogy róla arcképmást készítsenek, és ésszerűen gyanítható a gyermek biztonságát vagy védelmét érintő kockázatok fennállása, a gyermeket a gyermekvédelmi hatóságokhoz és/vagy a nemzeti áldozatkezelési mechanizmushoz továbbítják.</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192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4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(4)</w:t>
            </w:r>
            <w:r>
              <w:tab/>
            </w:r>
            <w:r>
              <w:t>Az e cikk (3) bekezdésének sérelme nélkül, amennyiben a kiszolgáltatott személynek minősített harmadik országbeli állampolgároktól vagy a kiskorútól az ujjhegyek vagy az arc állapota miatt nem lehet ujjnyomatot venni vagy arcképmást készíteni, a fenti tagállam hatósága nem alkalmazhatnak szankciókat az ujjnyomatvétel vagy arcképmás-készítés kikényszerítésére. A tagállamok megpróbálhatnak újra ujjnyomatot venni vagy arcképmást készíteni azon kiskorúról vagy kiszolgáltatott személytől, aki ennek nem volt hajlandó eleget tenni, amennyiben a utóbbi megtagadásának oka nem kapcsolódik az ujjhegyek vagy az arc állapotához, illetve az egyén egészségi állapotához, és amennyiben ez kellően indokolt. Amennyiben egy kiskorú, különösen kísérő nélküli vagy családjától elválasztott kiskorú, elutasítja, hogy tőle ujjnyomatot vegyenek vagy hogy róla arcképmást készítsenek, és ésszerűen gyanítható a gyermek biztonságát vagy védelmét érintő kockázatok fennállása, a gyermeket a gyermekvédelmi hatóságokhoz és/vagy a nemzeti áldozatkezelési mechanizmushoz továbbítják.</w:t>
            </w:r>
          </w:p>
        </w:tc>
        <w:tc>
          <w:tcPr/>
          <w:p>
            <w:pPr>
              <w:pStyle w:val="Normal6"/>
            </w:pPr>
            <w:r>
              <w:t>(4)</w:t>
            </w:r>
            <w:r>
              <w:tab/>
            </w:r>
            <w:r>
              <w:t xml:space="preserve">Az e cikk (3) bekezdésének sérelme nélkül, amennyiben a kiszolgáltatott személynek minősített harmadik országbeli állampolgároktól vagy </w:t>
            </w:r>
            <w:r>
              <w:rPr>
                <w:rFonts w:ascii="Times New Roman" w:eastAsia="Times New Roman" w:hAnsi="Times New Roman" w:cs="Times New Roman"/>
                <w:b/>
                <w:i/>
                <w:strike w:val="0"/>
                <w:color w:val="000000"/>
                <w:sz w:val="24"/>
                <w:highlight w:val="none"/>
                <w:u w:val="none" w:color="auto"/>
              </w:rPr>
              <w:t xml:space="preserve">hontalan személyektől, illetve </w:t>
            </w:r>
            <w:r>
              <w:t>a kiskorútól az ujjhegyek vagy az arc állapota miatt nem lehet ujjnyomatot venni vagy arcképmást készíteni, a fenti tagállam hatósága nem alkalmazhatnak szankciókat az ujjnyomatvétel vagy arcképmás-készítés kikényszerítésére. A tagállamok megpróbálhatnak újra ujjnyomatot venni vagy arcképmást készíteni azon kiskorúról vagy kiszolgáltatott személytől, aki ennek nem volt hajlandó eleget tenni, amennyiben a utóbbi megtagadásának oka nem kapcsolódik az ujjhegyek vagy az arc állapotához, illetve az egyén egészségi állapotához, és amennyiben ez kellően indokolt. Amennyiben egy kiskorú, különösen kísérő nélküli vagy családjától elválasztott kiskorú, elutasítja, hogy tőle ujjnyomatot vegyenek vagy hogy róla arcképmást készítsenek, és ésszerűen gyanítható a gyermek biztonságát vagy védelmét érintő kockázatok fennállása, a gyermeket a gyermekvédelmi hatóságokhoz és/vagy a nemzeti áldozatkezelési mechanizmushoz továbbítják.</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193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Lorenzo Fontana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4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(4)</w:t>
            </w:r>
            <w:r>
              <w:tab/>
            </w:r>
            <w:r>
              <w:t xml:space="preserve">Az e cikk (3) bekezdésének sérelme nélkül, amennyiben a kiszolgáltatott személynek minősített harmadik országbeli állampolgároktól vagy a kiskorútól az ujjhegyek vagy az arc állapota miatt nem lehet ujjnyomatot venni vagy arcképmást készíteni, a fenti tagállam hatósága </w:t>
            </w:r>
            <w:r>
              <w:rPr>
                <w:rFonts w:ascii="Times New Roman" w:eastAsia="Times New Roman" w:hAnsi="Times New Roman" w:cs="Times New Roman"/>
                <w:b/>
                <w:i/>
                <w:strike w:val="0"/>
                <w:color w:val="000000"/>
                <w:sz w:val="24"/>
                <w:highlight w:val="none"/>
                <w:u w:val="none" w:color="auto"/>
              </w:rPr>
              <w:t>nem</w:t>
            </w:r>
            <w:r>
              <w:t xml:space="preserve"> alkalmazhatnak</w:t>
            </w:r>
            <w:r>
              <w:rPr>
                <w:rFonts w:ascii="Times New Roman" w:eastAsia="Times New Roman" w:hAnsi="Times New Roman" w:cs="Times New Roman"/>
                <w:b/>
                <w:i/>
                <w:strike w:val="0"/>
                <w:color w:val="000000"/>
                <w:sz w:val="24"/>
                <w:highlight w:val="none"/>
                <w:u w:val="none" w:color="auto"/>
              </w:rPr>
              <w:t xml:space="preserve"> szankciókat</w:t>
            </w:r>
            <w:r>
              <w:t xml:space="preserve"> az ujjnyomatvétel vagy arcképmás-készítés </w:t>
            </w:r>
            <w:r>
              <w:rPr>
                <w:rFonts w:ascii="Times New Roman" w:eastAsia="Times New Roman" w:hAnsi="Times New Roman" w:cs="Times New Roman"/>
                <w:b/>
                <w:i/>
                <w:strike w:val="0"/>
                <w:color w:val="000000"/>
                <w:sz w:val="24"/>
                <w:highlight w:val="none"/>
                <w:u w:val="none" w:color="auto"/>
              </w:rPr>
              <w:t>kikényszerítésére</w:t>
            </w:r>
            <w:r>
              <w:t>. A tagállamok megpróbálhatnak újra ujjnyomatot venni vagy arcképmást készíteni azon kiskorúról vagy kiszolgáltatott személytől, aki ennek nem volt hajlandó eleget tenni, amennyiben a utóbbi megtagadásának oka nem kapcsolódik az ujjhegyek vagy az arc állapotához, illetve az egyén egészségi állapotához, és amennyiben ez kellően indokolt. Amennyiben egy kiskorú, különösen kísérő nélküli vagy családjától elválasztott kiskorú, elutasítja, hogy tőle ujjnyomatot vegyenek vagy hogy róla arcképmást készítsenek, és ésszerűen gyanítható a gyermek biztonságát vagy védelmét érintő kockázatok fennállása, a gyermeket a gyermekvédelmi hatóságokhoz és/vagy a nemzeti áldozatkezelési mechanizmushoz továbbítják.</w:t>
            </w:r>
          </w:p>
        </w:tc>
        <w:tc>
          <w:tcPr/>
          <w:p>
            <w:pPr>
              <w:pStyle w:val="Normal6"/>
            </w:pPr>
            <w:r>
              <w:t>(4)</w:t>
            </w:r>
            <w:r>
              <w:tab/>
            </w:r>
            <w:r>
              <w:t xml:space="preserve">Az e cikk (3) bekezdésének sérelme nélkül, amennyiben a kiszolgáltatott személynek minősített harmadik országbeli állampolgároktól vagy a kiskorútól az ujjhegyek vagy az arc állapota miatt nem lehet ujjnyomatot venni vagy arcképmást készíteni, a fenti tagállam hatósága </w:t>
            </w:r>
            <w:r>
              <w:rPr>
                <w:rFonts w:ascii="Times New Roman" w:eastAsia="Times New Roman" w:hAnsi="Times New Roman" w:cs="Times New Roman"/>
                <w:b/>
                <w:i/>
                <w:strike w:val="0"/>
                <w:color w:val="000000"/>
                <w:sz w:val="24"/>
                <w:highlight w:val="none"/>
                <w:u w:val="none" w:color="auto"/>
              </w:rPr>
              <w:t>szankciókat</w:t>
            </w:r>
            <w:r>
              <w:t xml:space="preserve"> alkalmazhatnak</w:t>
            </w:r>
            <w:r>
              <w:rPr>
                <w:rFonts w:ascii="Times New Roman" w:eastAsia="Times New Roman" w:hAnsi="Times New Roman" w:cs="Times New Roman"/>
                <w:b/>
                <w:i/>
                <w:strike w:val="0"/>
                <w:color w:val="000000"/>
                <w:sz w:val="24"/>
                <w:highlight w:val="none"/>
                <w:u w:val="none" w:color="auto"/>
              </w:rPr>
              <w:t>, amennyiben az érintett személy megtagadja</w:t>
            </w:r>
            <w:r>
              <w:t xml:space="preserve"> az ujjnyomatvétel vagy </w:t>
            </w:r>
            <w:r>
              <w:rPr>
                <w:rFonts w:ascii="Times New Roman" w:eastAsia="Times New Roman" w:hAnsi="Times New Roman" w:cs="Times New Roman"/>
                <w:b/>
                <w:i/>
                <w:strike w:val="0"/>
                <w:color w:val="000000"/>
                <w:sz w:val="24"/>
                <w:highlight w:val="none"/>
                <w:u w:val="none" w:color="auto"/>
              </w:rPr>
              <w:t xml:space="preserve">az </w:t>
            </w:r>
            <w:r>
              <w:t xml:space="preserve">arcképmás-készítés </w:t>
            </w:r>
            <w:r>
              <w:rPr>
                <w:rFonts w:ascii="Times New Roman" w:eastAsia="Times New Roman" w:hAnsi="Times New Roman" w:cs="Times New Roman"/>
                <w:b/>
                <w:i/>
                <w:strike w:val="0"/>
                <w:color w:val="000000"/>
                <w:sz w:val="24"/>
                <w:highlight w:val="none"/>
                <w:u w:val="none" w:color="auto"/>
              </w:rPr>
              <w:t>engedélyezését</w:t>
            </w:r>
            <w:r>
              <w:t>. A tagállamok megpróbálhatnak újra ujjnyomatot venni vagy arcképmást készíteni azon kiskorúról vagy kiszolgáltatott személytől, aki ennek nem volt hajlandó eleget tenni, amennyiben a utóbbi megtagadásának oka nem kapcsolódik az ujjhegyek vagy az arc állapotához, illetve az egyén egészségi állapotához, és amennyiben ez kellően indokolt. Amennyiben egy kiskorú, különösen kísérő nélküli vagy családjától elválasztott kiskorú, elutasítja, hogy tőle ujjnyomatot vegyenek vagy hogy róla arcképmást készítsenek, és ésszerűen gyanítható a gyermek biztonságát vagy védelmét érintő kockázatok fennállása, a gyermeket a gyermekvédelmi hatóságokhoz és/vagy a nemzeti áldozatkezelési mechanizmushoz továbbítják.</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IT</w:t>
      </w:r>
      <w:r>
        <w:rPr>
          <w:rStyle w:val="HideTWBInt"/>
        </w:rPr>
        <w:t>}</w:t>
      </w:r>
      <w:r>
        <w:t>it</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194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Sophia in 't Veld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5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(5)</w:t>
            </w:r>
            <w:r>
              <w:tab/>
            </w:r>
            <w:r>
              <w:t>Az ujjnyomat-vételi</w:t>
            </w:r>
            <w:r>
              <w:rPr>
                <w:rFonts w:ascii="Times New Roman" w:eastAsia="Times New Roman" w:hAnsi="Times New Roman" w:cs="Times New Roman"/>
                <w:b/>
                <w:i/>
                <w:strike w:val="0"/>
                <w:color w:val="000000"/>
                <w:sz w:val="24"/>
                <w:highlight w:val="none"/>
                <w:u w:val="none" w:color="auto"/>
              </w:rPr>
              <w:t xml:space="preserve">  </w:t>
            </w:r>
            <w:r>
              <w:t>és arcképmás-készítési</w:t>
            </w:r>
            <w:r>
              <w:rPr>
                <w:rFonts w:ascii="Times New Roman" w:eastAsia="Times New Roman" w:hAnsi="Times New Roman" w:cs="Times New Roman"/>
                <w:b/>
                <w:i/>
                <w:strike w:val="0"/>
                <w:color w:val="000000"/>
                <w:sz w:val="24"/>
                <w:highlight w:val="none"/>
                <w:u w:val="none" w:color="auto"/>
              </w:rPr>
              <w:t xml:space="preserve">  </w:t>
            </w:r>
            <w:r>
              <w:t xml:space="preserve">eljárást az érintett tagállam </w:t>
            </w:r>
            <w:r>
              <w:rPr>
                <w:rFonts w:ascii="Times New Roman" w:eastAsia="Times New Roman" w:hAnsi="Times New Roman" w:cs="Times New Roman"/>
                <w:b/>
                <w:i/>
                <w:strike w:val="0"/>
                <w:color w:val="000000"/>
                <w:sz w:val="24"/>
                <w:highlight w:val="none"/>
                <w:u w:val="none" w:color="auto"/>
              </w:rPr>
              <w:t>nemzeti gyakorlatának megfelelően</w:t>
            </w:r>
            <w:r>
              <w:t xml:space="preserve"> és az Európai Unió Alapjogi Chartájában, az emberi jogok és alapvető szabadságok védelméről szóló egyezményben, valamint az ENSZ gyermekjogi egyezményében megállapított biztosítékoknak megfelelően határozzák meg és alkalmazzák.</w:t>
            </w:r>
          </w:p>
        </w:tc>
        <w:tc>
          <w:tcPr/>
          <w:p>
            <w:pPr>
              <w:pStyle w:val="Normal6"/>
            </w:pPr>
            <w:r>
              <w:t>(5)</w:t>
            </w:r>
            <w:r>
              <w:tab/>
            </w:r>
            <w:r>
              <w:t>Az ujjnyomat-vételi</w:t>
            </w:r>
            <w:r>
              <w:rPr>
                <w:rFonts w:ascii="Times New Roman" w:eastAsia="Times New Roman" w:hAnsi="Times New Roman" w:cs="Times New Roman"/>
                <w:b/>
                <w:i/>
                <w:strike w:val="0"/>
                <w:color w:val="000000"/>
                <w:sz w:val="24"/>
                <w:highlight w:val="none"/>
                <w:u w:val="none" w:color="auto"/>
              </w:rPr>
              <w:t xml:space="preserve"> </w:t>
            </w:r>
            <w:r>
              <w:t>és arcképmás-készítési</w:t>
            </w:r>
            <w:r>
              <w:rPr>
                <w:rFonts w:ascii="Times New Roman" w:eastAsia="Times New Roman" w:hAnsi="Times New Roman" w:cs="Times New Roman"/>
                <w:b/>
                <w:i/>
                <w:strike w:val="0"/>
                <w:color w:val="000000"/>
                <w:sz w:val="24"/>
                <w:highlight w:val="none"/>
                <w:u w:val="none" w:color="auto"/>
              </w:rPr>
              <w:t xml:space="preserve"> eljárást az Európai Unió Menekültügyi Ügynöksége és a FRA együttesen határozza meg és követi nyomon a FRA 2015-ös ellenőrzőlistájára</w:t>
            </w:r>
            <w:r>
              <w:rPr>
                <w:rStyle w:val="SupBoldItalic"/>
              </w:rPr>
              <w:t>1a</w:t>
            </w:r>
            <w:r>
              <w:rPr>
                <w:rFonts w:ascii="Times New Roman" w:eastAsia="Times New Roman" w:hAnsi="Times New Roman" w:cs="Times New Roman"/>
                <w:b/>
                <w:i/>
                <w:strike w:val="0"/>
                <w:color w:val="000000"/>
                <w:sz w:val="24"/>
                <w:highlight w:val="none"/>
                <w:u w:val="none" w:color="auto"/>
              </w:rPr>
              <w:t xml:space="preserve"> építve, és az </w:t>
            </w:r>
            <w:r>
              <w:t xml:space="preserve">eljárást az érintett tagállam </w:t>
            </w:r>
            <w:r>
              <w:rPr>
                <w:rFonts w:ascii="Times New Roman" w:eastAsia="Times New Roman" w:hAnsi="Times New Roman" w:cs="Times New Roman"/>
                <w:b/>
                <w:i/>
                <w:strike w:val="0"/>
                <w:color w:val="000000"/>
                <w:sz w:val="24"/>
                <w:highlight w:val="none"/>
                <w:u w:val="none" w:color="auto"/>
              </w:rPr>
              <w:t>alkalmazza az emberi méltóság teljes tiszteletben tartásával</w:t>
            </w:r>
            <w:r>
              <w:t xml:space="preserve"> és az Európai Unió Alapjogi Chartájában, az emberi jogok és alapvető szabadságok védelméről szóló egyezményben, valamint az ENSZ gyermekjogi egyezményében megállapított biztosítékoknak megfelelően határozzák meg és alkalmazzák.</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Style w:val="SupBoldItalic"/>
              </w:rPr>
              <w:t>1a</w:t>
            </w:r>
            <w:r>
              <w:t xml:space="preserve"> </w:t>
            </w:r>
            <w:r>
              <w:rPr>
                <w:rFonts w:ascii="Times New Roman" w:eastAsia="Times New Roman" w:hAnsi="Times New Roman" w:cs="Times New Roman"/>
                <w:b/>
                <w:i/>
                <w:strike w:val="0"/>
                <w:color w:val="000000"/>
                <w:sz w:val="24"/>
                <w:highlight w:val="none"/>
                <w:u w:val="none" w:color="auto"/>
              </w:rPr>
              <w:t>A FRA ellenőrzőlistája az alapvető jogok betartásával történő eljáráshoz az Eurodac céljaira történő ujjnyomatvétel során, 2015http://fra.europa.eu/en/publication/2015/fundamental-rights-implications-obligation-provide-fingerprints-eurodac#checklist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Az eljárási szabályzat 104. cikkével összhangban e módosítás azért szükséges, mert elválaszthatatlanul összefügg más olyan elfogadható módosításokkal az Eurodac céljait illetően (1. cikk), amelyek az Európai Menekültügyi Ügynökség és a FRA által meghatározott és nyomon követett közös eljárásra vonatkoznak (lásd a (30) preambulumbekezdést).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195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Hilde Vautmans</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cikk – 5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(5)</w:t>
            </w:r>
            <w:r>
              <w:tab/>
            </w:r>
            <w:r>
              <w:t>Az ujjnyomat-vételi</w:t>
            </w:r>
            <w:r>
              <w:rPr>
                <w:rFonts w:ascii="Times New Roman" w:eastAsia="Times New Roman" w:hAnsi="Times New Roman" w:cs="Times New Roman"/>
                <w:b/>
                <w:i/>
                <w:strike w:val="0"/>
                <w:color w:val="000000"/>
                <w:sz w:val="24"/>
                <w:highlight w:val="none"/>
                <w:u w:val="none" w:color="auto"/>
              </w:rPr>
              <w:t xml:space="preserve">  </w:t>
            </w:r>
            <w:r>
              <w:t>és arcképmás-készítési</w:t>
            </w:r>
            <w:r>
              <w:rPr>
                <w:rFonts w:ascii="Times New Roman" w:eastAsia="Times New Roman" w:hAnsi="Times New Roman" w:cs="Times New Roman"/>
                <w:b/>
                <w:i/>
                <w:strike w:val="0"/>
                <w:color w:val="000000"/>
                <w:sz w:val="24"/>
                <w:highlight w:val="none"/>
                <w:u w:val="none" w:color="auto"/>
              </w:rPr>
              <w:t xml:space="preserve">  </w:t>
            </w:r>
            <w:r>
              <w:t>eljárást az érintett tagállam nemzeti gyakorlatának megfelelően és az Európai Unió Alapjogi Chartájában, az emberi jogok és alapvető szabadságok védelméről szóló egyezményben, valamint az ENSZ gyermekjogi egyezményében megállapított biztosítékoknak megfelelően határozzák meg és alkalmazzák.</w:t>
            </w:r>
          </w:p>
        </w:tc>
        <w:tc>
          <w:tcPr/>
          <w:p>
            <w:pPr>
              <w:pStyle w:val="Normal6"/>
            </w:pPr>
            <w:r>
              <w:t>(5)</w:t>
            </w:r>
            <w:r>
              <w:tab/>
            </w:r>
            <w:r>
              <w:t xml:space="preserve">Az </w:t>
            </w:r>
            <w:r>
              <w:rPr>
                <w:rFonts w:ascii="Times New Roman" w:eastAsia="Times New Roman" w:hAnsi="Times New Roman" w:cs="Times New Roman"/>
                <w:b/>
                <w:i/>
                <w:strike w:val="0"/>
                <w:color w:val="000000"/>
                <w:sz w:val="24"/>
                <w:highlight w:val="none"/>
                <w:u w:val="none" w:color="auto"/>
              </w:rPr>
              <w:t xml:space="preserve">ujjnyomatvételre és az arcképmás rögzítésére az emberi méltóság maradéktalan tiszteletben tartásával kerül sor. Az </w:t>
            </w:r>
            <w:r>
              <w:t>ujjnyomat-vételi</w:t>
            </w:r>
            <w:r>
              <w:rPr>
                <w:rFonts w:ascii="Times New Roman" w:eastAsia="Times New Roman" w:hAnsi="Times New Roman" w:cs="Times New Roman"/>
                <w:b/>
                <w:i/>
                <w:strike w:val="0"/>
                <w:color w:val="000000"/>
                <w:sz w:val="24"/>
                <w:highlight w:val="none"/>
                <w:u w:val="none" w:color="auto"/>
              </w:rPr>
              <w:t xml:space="preserve"> </w:t>
            </w:r>
            <w:r>
              <w:t>és arcképmás-készítési</w:t>
            </w:r>
            <w:r>
              <w:rPr>
                <w:rFonts w:ascii="Times New Roman" w:eastAsia="Times New Roman" w:hAnsi="Times New Roman" w:cs="Times New Roman"/>
                <w:b/>
                <w:i/>
                <w:strike w:val="0"/>
                <w:color w:val="000000"/>
                <w:sz w:val="24"/>
                <w:highlight w:val="none"/>
                <w:u w:val="none" w:color="auto"/>
              </w:rPr>
              <w:t xml:space="preserve"> </w:t>
            </w:r>
            <w:r>
              <w:t>eljárást az érintett tagállam nemzeti gyakorlatának megfelelően</w:t>
            </w:r>
            <w:r>
              <w:rPr>
                <w:rFonts w:ascii="Times New Roman" w:eastAsia="Times New Roman" w:hAnsi="Times New Roman" w:cs="Times New Roman"/>
                <w:b/>
                <w:i/>
                <w:strike w:val="0"/>
                <w:color w:val="000000"/>
                <w:sz w:val="24"/>
                <w:highlight w:val="none"/>
                <w:u w:val="none" w:color="auto"/>
              </w:rPr>
              <w:t>, az e rendelet 1a. mellékletében meghatározott közös megközelítést követve</w:t>
            </w:r>
            <w:r>
              <w:t xml:space="preserve"> és az Európai Unió Alapjogi Chartájában, az emberi jogok és alapvető szabadságok védelméről szóló egyezményben, valamint az ENSZ gyermekjogi egyezményében megállapított biztosítékoknak megfelelően határozzák meg és alkalmazzák.</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Átdolgozás: Egy felmérés eredményei szerint egyes tagállamok engedélyezik a fogva tartást a migránsok ujjnyomatvételének biztosítása érdekében, egyesek engedélyezik a kényszer arányos alkalmazását, míg más tagállamok nem alkalmaznak sem fogva tartást, sem kényszert. Ezért szükség van a jelenlegi gyakorlatok harmonizálására annak biztosítása érdekében, hogy a tagállamok teljesítik az Eurodac-rendelet szerinti kötelezettségeiket, és azonos szintű garanciákat nyújtanak. A Bizottság által az SWD(2015)0150 dokumentumban kidolgozott közös megközelítés.</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196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 cikk – 1 bekezdés – a a pont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aa)</w:t>
            </w:r>
            <w:r>
              <w:tab/>
            </w:r>
            <w:r>
              <w:rPr>
                <w:rFonts w:ascii="Times New Roman" w:eastAsia="Times New Roman" w:hAnsi="Times New Roman" w:cs="Times New Roman"/>
                <w:b/>
                <w:i/>
                <w:strike w:val="0"/>
                <w:color w:val="000000"/>
                <w:sz w:val="24"/>
                <w:highlight w:val="none"/>
                <w:u w:val="none" w:color="auto"/>
              </w:rPr>
              <w:t>„harmadik országbeli állampolgár vagy hontalan személy, akivel szemben valamely tagállam áttelepítési eljárást kíván végrehajtani”: olyan harmadik országbeli állampolgár vagy hontalan személy, akivel kapcsolatban valamely tagállam az XXX/XXX rendelet 10. cikkének (2) bekezdése értelmében áttelepítési eljárást kezdeményezett;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Átdolgozás A módosítás kiegészíti a szöveget azon személyek új kategóriájával, akiknek adatait javasolja nyilvántartásba venni az Eurodacban. Ezért az XXX/XXX rendeletre vonatkozó hivatkozást kell beilleszteni.</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197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 cikk – 1 bekezdés – b pont – i a pont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ia.</w:t>
            </w:r>
            <w:r>
              <w:tab/>
            </w:r>
            <w:r>
              <w:rPr>
                <w:rFonts w:ascii="Times New Roman" w:eastAsia="Times New Roman" w:hAnsi="Times New Roman" w:cs="Times New Roman"/>
                <w:b/>
                <w:i/>
                <w:strike w:val="0"/>
                <w:color w:val="000000"/>
                <w:sz w:val="24"/>
                <w:highlight w:val="none"/>
                <w:u w:val="none" w:color="auto"/>
              </w:rPr>
              <w:t>a 12a. cikk hatálya alá tartozó személy tekintetében az a tagállam, amely a személyes adatokat a központi rendszerhez továbbítja, és az összehasonlítás eredményeit megkapja;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Átdolgozás: a módosítás az új kategória hozzáadására irányuló javaslathoz kapcsolódik (új IIa. fejezet) és a szöveg koherenciáját célozza e kiegészítés tekintetében.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198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 cikk – 1 bekezdés – d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d)</w:t>
            </w:r>
            <w:r>
              <w:tab/>
            </w:r>
            <w:r>
              <w:t>„</w:t>
            </w:r>
            <w:r>
              <w:rPr>
                <w:rFonts w:ascii="Times New Roman" w:eastAsia="Times New Roman" w:hAnsi="Times New Roman" w:cs="Times New Roman"/>
                <w:b/>
                <w:i/>
                <w:strike w:val="0"/>
                <w:color w:val="000000"/>
                <w:sz w:val="24"/>
                <w:highlight w:val="none"/>
                <w:u w:val="none" w:color="auto"/>
              </w:rPr>
              <w:t>jogellenes</w:t>
            </w:r>
            <w:r>
              <w:t xml:space="preserve"> tartózkodás”: olyan harmadik országbeli állampolgár jelenléte valamely tagállam területén, aki a Schengeni határ-ellenőrzési kódex 5. cikkében meghatározott beutazási feltételeknek vagy az adott tagállamban érvényes egyéb beutazási, tartózkodási vagy letelepedési feltételeknek nem vagy már nem felel meg;</w:t>
            </w:r>
          </w:p>
        </w:tc>
        <w:tc>
          <w:tcPr/>
          <w:p>
            <w:pPr>
              <w:pStyle w:val="Normal6"/>
            </w:pPr>
            <w:r>
              <w:t>d)</w:t>
            </w:r>
            <w:r>
              <w:tab/>
            </w:r>
            <w:r>
              <w:t>„</w:t>
            </w:r>
            <w:r>
              <w:rPr>
                <w:rFonts w:ascii="Times New Roman" w:eastAsia="Times New Roman" w:hAnsi="Times New Roman" w:cs="Times New Roman"/>
                <w:b/>
                <w:i/>
                <w:strike w:val="0"/>
                <w:color w:val="000000"/>
                <w:sz w:val="24"/>
                <w:highlight w:val="none"/>
                <w:u w:val="none" w:color="auto"/>
              </w:rPr>
              <w:t>irreguláris</w:t>
            </w:r>
            <w:r>
              <w:t xml:space="preserve"> tartózkodás”: olyan harmadik országbeli állampolgár jelenléte valamely tagállam területén, aki a Schengeni határ-ellenőrzési kódex 5. cikkében meghatározott beutazási feltételeknek vagy az adott tagállamban érvényes egyéb beutazási, tartózkodási vagy letelepedési feltételeknek nem vagy már nem felel meg;</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199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Malin Björk</w:t>
      </w:r>
      <w:r>
        <w:t xml:space="preserve">, </w:t>
      </w:r>
      <w:r>
        <w:t>Barbara Spinelli</w:t>
      </w:r>
      <w:r>
        <w:t xml:space="preserve">, </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 cikk – 1 bekezdés – d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d)</w:t>
            </w:r>
            <w:r>
              <w:tab/>
            </w:r>
            <w:r>
              <w:t>„</w:t>
            </w:r>
            <w:r>
              <w:rPr>
                <w:rFonts w:ascii="Times New Roman" w:eastAsia="Times New Roman" w:hAnsi="Times New Roman" w:cs="Times New Roman"/>
                <w:b/>
                <w:i/>
                <w:strike w:val="0"/>
                <w:color w:val="000000"/>
                <w:sz w:val="24"/>
                <w:highlight w:val="none"/>
                <w:u w:val="none" w:color="auto"/>
              </w:rPr>
              <w:t>jogellenes</w:t>
            </w:r>
            <w:r>
              <w:t xml:space="preserve"> tartózkodás”: olyan harmadik országbeli állampolgár jelenléte valamely tagállam területén, aki a Schengeni határ-ellenőrzési kódex 5. cikkében meghatározott beutazási feltételeknek vagy az adott tagállamban érvényes egyéb beutazási, tartózkodási vagy letelepedési feltételeknek nem vagy már nem felel meg;</w:t>
            </w:r>
          </w:p>
        </w:tc>
        <w:tc>
          <w:tcPr/>
          <w:p>
            <w:pPr>
              <w:pStyle w:val="Normal6"/>
            </w:pPr>
            <w:r>
              <w:t>d)</w:t>
            </w:r>
            <w:r>
              <w:tab/>
            </w:r>
            <w:r>
              <w:t>„</w:t>
            </w:r>
            <w:r>
              <w:rPr>
                <w:rFonts w:ascii="Times New Roman" w:eastAsia="Times New Roman" w:hAnsi="Times New Roman" w:cs="Times New Roman"/>
                <w:b/>
                <w:i/>
                <w:strike w:val="0"/>
                <w:color w:val="000000"/>
                <w:sz w:val="24"/>
                <w:highlight w:val="none"/>
                <w:u w:val="none" w:color="auto"/>
              </w:rPr>
              <w:t>irreguláris</w:t>
            </w:r>
            <w:r>
              <w:t xml:space="preserve"> tartózkodás”: olyan harmadik országbeli állampolgár jelenléte valamely tagállam területén, aki a Schengeni határ-ellenőrzési kódex 5. cikkében meghatározott beutazási feltételeknek vagy az adott tagállamban érvényes egyéb beutazási, tartózkodási vagy letelepedési feltételeknek nem vagy már nem felel meg;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Italic"/>
            </w:pPr>
            <w:r>
              <w:t>(E módosítás a teljes szövegre vonatkozik. Elfogadása esetén a szövegben mindenütt el kell végezni a szükséges módosításokat.)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200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 cikk – 1 bekezdés – d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d)</w:t>
            </w:r>
            <w:r>
              <w:tab/>
            </w:r>
            <w:r>
              <w:t>„jogellenes tartózkodás”: olyan harmadik országbeli állampolgár jelenléte valamely tagállam területén, aki a Schengeni határ-ellenőrzési kódex 5. cikkében meghatározott beutazási feltételeknek vagy az adott tagállamban érvényes egyéb beutazási, tartózkodási vagy letelepedési feltételeknek nem vagy már nem felel meg;</w:t>
            </w:r>
          </w:p>
        </w:tc>
        <w:tc>
          <w:tcPr/>
          <w:p>
            <w:pPr>
              <w:pStyle w:val="Normal6"/>
            </w:pPr>
            <w:r>
              <w:t>d)</w:t>
            </w:r>
            <w:r>
              <w:tab/>
            </w:r>
            <w:r>
              <w:t xml:space="preserve">„jogellenes tartózkodás”: olyan harmadik országbeli állampolgár </w:t>
            </w:r>
            <w:r>
              <w:rPr>
                <w:rFonts w:ascii="Times New Roman" w:eastAsia="Times New Roman" w:hAnsi="Times New Roman" w:cs="Times New Roman"/>
                <w:b/>
                <w:i/>
                <w:strike w:val="0"/>
                <w:color w:val="000000"/>
                <w:sz w:val="24"/>
                <w:highlight w:val="none"/>
                <w:u w:val="none" w:color="auto"/>
              </w:rPr>
              <w:t xml:space="preserve">vagy hontalan személy </w:t>
            </w:r>
            <w:r>
              <w:t>jelenléte valamely tagállam területén, aki a Schengeni határ-ellenőrzési kódex 5. cikkében meghatározott beutazási feltételeknek vagy az adott tagállamban érvényes egyéb beutazási, tartózkodási vagy letelepedési feltételeknek nem vagy már nem felel meg;</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201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 cikk – 1 bekezdés – f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f)</w:t>
            </w:r>
            <w:r>
              <w:tab/>
            </w:r>
            <w:r>
              <w:t xml:space="preserve">„találat”: a tagállam által valamely személy tekintetében továbbított és a számítógépes központi adatbázisban nyilvántartott </w:t>
            </w:r>
            <w:r>
              <w:rPr>
                <w:rFonts w:ascii="Times New Roman" w:eastAsia="Times New Roman" w:hAnsi="Times New Roman" w:cs="Times New Roman"/>
                <w:b/>
                <w:i/>
                <w:strike w:val="0"/>
                <w:color w:val="000000"/>
                <w:sz w:val="24"/>
                <w:highlight w:val="none"/>
                <w:u w:val="none" w:color="auto"/>
              </w:rPr>
              <w:t>ujjnyomatadatok</w:t>
            </w:r>
            <w:r>
              <w:t xml:space="preserve"> közötti összehasonlítás során a központi rendszer által megállapított megfelelést vagy megfeleléseket jelenti, nem érintve azt a követelményt, hogy a tagállamoknak a 26. cikk (4) bekezdésének megfelelően haladéktalanul ellenőrizniük kell az összehasonlítás eredményeit;</w:t>
            </w:r>
          </w:p>
        </w:tc>
        <w:tc>
          <w:tcPr/>
          <w:p>
            <w:pPr>
              <w:pStyle w:val="Normal6"/>
            </w:pPr>
            <w:r>
              <w:t>f)</w:t>
            </w:r>
            <w:r>
              <w:tab/>
            </w:r>
            <w:r>
              <w:t xml:space="preserve">„találat”: a tagállam által valamely személy tekintetében továbbított és a számítógépes központi adatbázisban nyilvántartott </w:t>
            </w:r>
            <w:r>
              <w:rPr>
                <w:rFonts w:ascii="Times New Roman" w:eastAsia="Times New Roman" w:hAnsi="Times New Roman" w:cs="Times New Roman"/>
                <w:b/>
                <w:i/>
                <w:strike w:val="0"/>
                <w:color w:val="000000"/>
                <w:sz w:val="24"/>
                <w:highlight w:val="none"/>
                <w:u w:val="none" w:color="auto"/>
              </w:rPr>
              <w:t>ujjnyomat- és arcképmás adatok</w:t>
            </w:r>
            <w:r>
              <w:t xml:space="preserve"> közötti összehasonlítás során a központi rendszer által megállapított megfelelést vagy megfeleléseket jelenti, nem érintve azt a követelményt, hogy a tagállamoknak a 26. cikk (4) bekezdésének megfelelően haladéktalanul ellenőrizniük kell az összehasonlítás eredményeit;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 bizottsági javaslat javítása, amely nem illeszti be az összes előírt helyen mind az „ujjnyomat”, mind az „arcképmás” szót, ami összhangban van a 2. cikkben említett kötelezettséggel.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202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Malin Björk</w:t>
      </w:r>
      <w:r>
        <w:t xml:space="preserve">, </w:t>
      </w:r>
      <w:r>
        <w:t>Barbara Spinelli</w:t>
      </w:r>
      <w:r>
        <w:t xml:space="preserve">, </w:t>
      </w:r>
      <w:r>
        <w:t>Malin Björk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 cikk – 1 bekezdés – i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i)</w:t>
            </w:r>
            <w:r>
              <w:tab/>
            </w:r>
            <w:r>
              <w:rPr>
                <w:rFonts w:ascii="Times New Roman" w:eastAsia="Times New Roman" w:hAnsi="Times New Roman" w:cs="Times New Roman"/>
                <w:b/>
                <w:i/>
                <w:strike w:val="0"/>
                <w:color w:val="000000"/>
                <w:sz w:val="24"/>
                <w:highlight w:val="none"/>
                <w:u w:val="none" w:color="auto"/>
              </w:rPr>
              <w:t>„Europol”: a 2009/371/IB határozat által létrehozott Európai Rendőrségi Hivatal;</w:t>
            </w:r>
          </w:p>
        </w:tc>
        <w:tc>
          <w:tcPr/>
          <w:p>
            <w:pPr>
              <w:pStyle w:val="Normal6"/>
            </w:pPr>
            <w:r>
              <w:rPr>
                <w:rFonts w:ascii="Times New Roman" w:eastAsia="Times New Roman" w:hAnsi="Times New Roman" w:cs="Times New Roman"/>
                <w:b/>
                <w:i/>
                <w:strike w:val="0"/>
                <w:color w:val="000000"/>
                <w:sz w:val="24"/>
                <w:highlight w:val="none"/>
                <w:u w:val="none" w:color="auto"/>
              </w:rPr>
              <w:t>törölve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was hard to reconcile with the principle of purpose limitation, and that the access to a database of vulnerable persons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203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 cikk – 1 bekezdés – j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j)</w:t>
            </w:r>
            <w:r>
              <w:tab/>
            </w:r>
            <w:r>
              <w:t xml:space="preserve">„Eurodac-adatok”: a 12. cikknek, a </w:t>
            </w:r>
            <w:r>
              <w:rPr>
                <w:rFonts w:ascii="Times New Roman" w:eastAsia="Times New Roman" w:hAnsi="Times New Roman" w:cs="Times New Roman"/>
                <w:b/>
                <w:i/>
                <w:strike w:val="0"/>
                <w:color w:val="000000"/>
                <w:sz w:val="24"/>
                <w:highlight w:val="none"/>
                <w:u w:val="none" w:color="auto"/>
              </w:rPr>
              <w:t>13. cikke</w:t>
            </w:r>
            <w:r>
              <w:t xml:space="preserve"> (2) bekezdésének</w:t>
            </w:r>
            <w:r>
              <w:rPr>
                <w:rFonts w:ascii="Times New Roman" w:eastAsia="Times New Roman" w:hAnsi="Times New Roman" w:cs="Times New Roman"/>
                <w:b/>
                <w:i/>
                <w:strike w:val="0"/>
                <w:color w:val="000000"/>
                <w:sz w:val="24"/>
                <w:highlight w:val="none"/>
                <w:u w:val="none" w:color="auto"/>
              </w:rPr>
              <w:t xml:space="preserve">  </w:t>
            </w:r>
            <w:r>
              <w:t>és a 14. cikk (2) bekezdésének</w:t>
            </w:r>
            <w:r>
              <w:rPr>
                <w:rFonts w:ascii="Times New Roman" w:eastAsia="Times New Roman" w:hAnsi="Times New Roman" w:cs="Times New Roman"/>
                <w:b/>
                <w:i/>
                <w:strike w:val="0"/>
                <w:color w:val="000000"/>
                <w:sz w:val="24"/>
                <w:highlight w:val="none"/>
                <w:u w:val="none" w:color="auto"/>
              </w:rPr>
              <w:t xml:space="preserve">  </w:t>
            </w:r>
            <w:r>
              <w:t xml:space="preserve">megfelelően a központi rendszerben tárolt valamennyi </w:t>
            </w:r>
            <w:r>
              <w:rPr>
                <w:rFonts w:ascii="Times New Roman" w:eastAsia="Times New Roman" w:hAnsi="Times New Roman" w:cs="Times New Roman"/>
                <w:b/>
                <w:i/>
                <w:strike w:val="0"/>
                <w:color w:val="000000"/>
                <w:sz w:val="24"/>
                <w:highlight w:val="none"/>
                <w:u w:val="none" w:color="auto"/>
              </w:rPr>
              <w:t>ujjnyomatadat</w:t>
            </w:r>
            <w:r>
              <w:t>;</w:t>
            </w:r>
          </w:p>
        </w:tc>
        <w:tc>
          <w:tcPr/>
          <w:p>
            <w:pPr>
              <w:pStyle w:val="Normal6"/>
            </w:pPr>
            <w:r>
              <w:t>j)</w:t>
            </w:r>
            <w:r>
              <w:tab/>
            </w:r>
            <w:r>
              <w:t xml:space="preserve">„Eurodac-adatok”: a 12. cikknek, a </w:t>
            </w:r>
            <w:r>
              <w:rPr>
                <w:rFonts w:ascii="Times New Roman" w:eastAsia="Times New Roman" w:hAnsi="Times New Roman" w:cs="Times New Roman"/>
                <w:b/>
                <w:i/>
                <w:strike w:val="0"/>
                <w:color w:val="000000"/>
                <w:sz w:val="24"/>
                <w:highlight w:val="none"/>
                <w:u w:val="none" w:color="auto"/>
              </w:rPr>
              <w:t>12a. cikknek, a 13. cikk</w:t>
            </w:r>
            <w:r>
              <w:t xml:space="preserve"> (2) bekezdésének</w:t>
            </w:r>
            <w:r>
              <w:rPr>
                <w:rFonts w:ascii="Times New Roman" w:eastAsia="Times New Roman" w:hAnsi="Times New Roman" w:cs="Times New Roman"/>
                <w:b/>
                <w:i/>
                <w:strike w:val="0"/>
                <w:color w:val="000000"/>
                <w:sz w:val="24"/>
                <w:highlight w:val="none"/>
                <w:u w:val="none" w:color="auto"/>
              </w:rPr>
              <w:t xml:space="preserve"> </w:t>
            </w:r>
            <w:r>
              <w:t>és a 14. cikk (2) bekezdésének</w:t>
            </w:r>
            <w:r>
              <w:rPr>
                <w:rFonts w:ascii="Times New Roman" w:eastAsia="Times New Roman" w:hAnsi="Times New Roman" w:cs="Times New Roman"/>
                <w:b/>
                <w:i/>
                <w:strike w:val="0"/>
                <w:color w:val="000000"/>
                <w:sz w:val="24"/>
                <w:highlight w:val="none"/>
                <w:u w:val="none" w:color="auto"/>
              </w:rPr>
              <w:t xml:space="preserve"> </w:t>
            </w:r>
            <w:r>
              <w:t xml:space="preserve">megfelelően a központi rendszerben tárolt valamennyi </w:t>
            </w:r>
            <w:r>
              <w:rPr>
                <w:rFonts w:ascii="Times New Roman" w:eastAsia="Times New Roman" w:hAnsi="Times New Roman" w:cs="Times New Roman"/>
                <w:b/>
                <w:i/>
                <w:strike w:val="0"/>
                <w:color w:val="000000"/>
                <w:sz w:val="24"/>
                <w:highlight w:val="none"/>
                <w:u w:val="none" w:color="auto"/>
              </w:rPr>
              <w:t>adat</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Átdolgozás: ez a módosítás az új kategória hozzáadására irányuló javaslathoz kapcsolódik (új fejezet IIa.) és a szöveg koherenciáját célozza e kiegészítés tekintetében.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204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 cikk – 1 bekezdés – j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j)</w:t>
            </w:r>
            <w:r>
              <w:tab/>
            </w:r>
            <w:r>
              <w:t>„Eurodac-adatok”: a 12. cikknek</w:t>
            </w:r>
            <w:r>
              <w:rPr>
                <w:rFonts w:ascii="Times New Roman" w:eastAsia="Times New Roman" w:hAnsi="Times New Roman" w:cs="Times New Roman"/>
                <w:b/>
                <w:i/>
                <w:strike w:val="0"/>
                <w:color w:val="000000"/>
                <w:sz w:val="24"/>
                <w:highlight w:val="none"/>
                <w:u w:val="none" w:color="auto"/>
              </w:rPr>
              <w:t>, a 13. cikke (2) bekezdésének  és a 14</w:t>
            </w:r>
            <w:r>
              <w:t>. cikk (2) bekezdésének</w:t>
            </w:r>
            <w:r>
              <w:rPr>
                <w:rFonts w:ascii="Times New Roman" w:eastAsia="Times New Roman" w:hAnsi="Times New Roman" w:cs="Times New Roman"/>
                <w:b/>
                <w:i/>
                <w:strike w:val="0"/>
                <w:color w:val="000000"/>
                <w:sz w:val="24"/>
                <w:highlight w:val="none"/>
                <w:u w:val="none" w:color="auto"/>
              </w:rPr>
              <w:t xml:space="preserve">  </w:t>
            </w:r>
            <w:r>
              <w:t xml:space="preserve">megfelelően a központi rendszerben tárolt valamennyi </w:t>
            </w:r>
            <w:r>
              <w:rPr>
                <w:rFonts w:ascii="Times New Roman" w:eastAsia="Times New Roman" w:hAnsi="Times New Roman" w:cs="Times New Roman"/>
                <w:b/>
                <w:i/>
                <w:strike w:val="0"/>
                <w:color w:val="000000"/>
                <w:sz w:val="24"/>
                <w:highlight w:val="none"/>
                <w:u w:val="none" w:color="auto"/>
              </w:rPr>
              <w:t>ujjnyomatadat</w:t>
            </w:r>
            <w:r>
              <w:t>;</w:t>
            </w:r>
          </w:p>
        </w:tc>
        <w:tc>
          <w:tcPr/>
          <w:p>
            <w:pPr>
              <w:pStyle w:val="Normal6"/>
            </w:pPr>
            <w:r>
              <w:t>j)</w:t>
            </w:r>
            <w:r>
              <w:tab/>
            </w:r>
            <w:r>
              <w:t>„Eurodac-adatok”: a 12. cikknek</w:t>
            </w:r>
            <w:r>
              <w:rPr>
                <w:rFonts w:ascii="Times New Roman" w:eastAsia="Times New Roman" w:hAnsi="Times New Roman" w:cs="Times New Roman"/>
                <w:b/>
                <w:i/>
                <w:strike w:val="0"/>
                <w:color w:val="000000"/>
                <w:sz w:val="24"/>
                <w:highlight w:val="none"/>
                <w:u w:val="none" w:color="auto"/>
              </w:rPr>
              <w:t xml:space="preserve"> és 13</w:t>
            </w:r>
            <w:r>
              <w:t>. cikk (2) bekezdésének</w:t>
            </w:r>
            <w:r>
              <w:rPr>
                <w:rFonts w:ascii="Times New Roman" w:eastAsia="Times New Roman" w:hAnsi="Times New Roman" w:cs="Times New Roman"/>
                <w:b/>
                <w:i/>
                <w:strike w:val="0"/>
                <w:color w:val="000000"/>
                <w:sz w:val="24"/>
                <w:highlight w:val="none"/>
                <w:u w:val="none" w:color="auto"/>
              </w:rPr>
              <w:t xml:space="preserve"> </w:t>
            </w:r>
            <w:r>
              <w:t xml:space="preserve">megfelelően a központi rendszerben tárolt valamennyi </w:t>
            </w:r>
            <w:r>
              <w:rPr>
                <w:rFonts w:ascii="Times New Roman" w:eastAsia="Times New Roman" w:hAnsi="Times New Roman" w:cs="Times New Roman"/>
                <w:b/>
                <w:i/>
                <w:strike w:val="0"/>
                <w:color w:val="000000"/>
                <w:sz w:val="24"/>
                <w:highlight w:val="none"/>
                <w:u w:val="none" w:color="auto"/>
              </w:rPr>
              <w:t>adat</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Ez a módosítás elfogadható, mivel elválaszthatatlanul összekapcsolódik a 12. cikk (1) bekezdését, a 14. cikk (2) bekezdését, a 14. cikk (4) bekezdését, a 14. cikk (5) bekezdését és a 14. cikk (6) bekezdését törlő, elfogadható módosításokkal.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205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Malin Björk</w:t>
      </w:r>
      <w:r>
        <w:t xml:space="preserve">, </w:t>
      </w:r>
      <w:r>
        <w:t>Barbara Spinelli</w:t>
      </w:r>
      <w:r>
        <w:t xml:space="preserve">, </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 cikk – 1 bekezdés – k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k)</w:t>
            </w:r>
            <w:r>
              <w:tab/>
            </w:r>
            <w:r>
              <w:rPr>
                <w:rFonts w:ascii="Times New Roman" w:eastAsia="Times New Roman" w:hAnsi="Times New Roman" w:cs="Times New Roman"/>
                <w:b/>
                <w:i/>
                <w:strike w:val="0"/>
                <w:color w:val="000000"/>
                <w:sz w:val="24"/>
                <w:highlight w:val="none"/>
                <w:u w:val="none" w:color="auto"/>
              </w:rPr>
              <w:t>„bűnüldözés”: a terrorcselekmények vagy egyéb súlyos bűncselekmények megelőzése, felderítése vagy kivizsgálása;</w:t>
            </w:r>
          </w:p>
        </w:tc>
        <w:tc>
          <w:tcPr/>
          <w:p>
            <w:pPr>
              <w:pStyle w:val="Normal6"/>
            </w:pPr>
            <w:r>
              <w:rPr>
                <w:rFonts w:ascii="Times New Roman" w:eastAsia="Times New Roman" w:hAnsi="Times New Roman" w:cs="Times New Roman"/>
                <w:b/>
                <w:i/>
                <w:strike w:val="0"/>
                <w:color w:val="000000"/>
                <w:sz w:val="24"/>
                <w:highlight w:val="none"/>
                <w:u w:val="none" w:color="auto"/>
              </w:rPr>
              <w:t>törölve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was hard to reconcile with the principle of purpose limitation, and that the access to a database of vulnerable persons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206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Monika Hohlmeier</w:t>
      </w:r>
      <w:r>
        <w:t xml:space="preserve">, </w:t>
      </w:r>
      <w:r>
        <w:t>Heinz K. Becker</w:t>
      </w:r>
      <w:r>
        <w:t xml:space="preserve">, </w:t>
      </w:r>
      <w:r>
        <w:t>Jeroen Lenaers</w:t>
      </w:r>
      <w:r>
        <w:t xml:space="preserve">, </w:t>
      </w:r>
      <w:r>
        <w:t>Rachida Dati</w:t>
      </w:r>
      <w:r>
        <w:t xml:space="preserve">, </w:t>
      </w:r>
      <w:r>
        <w:t>Brice Hortefeux</w:t>
      </w:r>
      <w:r>
        <w:t xml:space="preserve">, </w:t>
      </w:r>
      <w:r>
        <w:t>Mariya Gabriel</w:t>
      </w:r>
      <w:r>
        <w:t xml:space="preserve">, </w:t>
      </w:r>
      <w:r>
        <w:t>Artis Pabriks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 cikk – 1 bekezdés – k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k)</w:t>
            </w:r>
            <w:r>
              <w:tab/>
            </w:r>
            <w:r>
              <w:t>„bűnüldözés”: a terrorcselekmények vagy egyéb súlyos bűncselekmények megelőzése, felderítése</w:t>
            </w:r>
            <w:r>
              <w:rPr>
                <w:rFonts w:ascii="Times New Roman" w:eastAsia="Times New Roman" w:hAnsi="Times New Roman" w:cs="Times New Roman"/>
                <w:b/>
                <w:i/>
                <w:strike w:val="0"/>
                <w:color w:val="000000"/>
                <w:sz w:val="24"/>
                <w:highlight w:val="none"/>
                <w:u w:val="none" w:color="auto"/>
              </w:rPr>
              <w:t xml:space="preserve"> vagy kivizsgálása</w:t>
            </w:r>
            <w:r>
              <w:t>;</w:t>
            </w:r>
          </w:p>
        </w:tc>
        <w:tc>
          <w:tcPr/>
          <w:p>
            <w:pPr>
              <w:pStyle w:val="Normal6"/>
            </w:pPr>
            <w:r>
              <w:t>k)</w:t>
            </w:r>
            <w:r>
              <w:tab/>
            </w:r>
            <w:r>
              <w:t>„bűnüldözés”: a terrorcselekmények vagy egyéb súlyos bűncselekmények megelőzése, felderítése</w:t>
            </w:r>
            <w:r>
              <w:rPr>
                <w:rFonts w:ascii="Times New Roman" w:eastAsia="Times New Roman" w:hAnsi="Times New Roman" w:cs="Times New Roman"/>
                <w:b/>
                <w:i/>
                <w:strike w:val="0"/>
                <w:color w:val="000000"/>
                <w:sz w:val="24"/>
                <w:highlight w:val="none"/>
                <w:u w:val="none" w:color="auto"/>
              </w:rPr>
              <w:t>, kivizsgálása vagy büntetőeljárás alá vonása</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Ez a módosítás az egész szövegre alkalmazandó és összhangban áll az 1. cikk egy új (c) bekezdéssel való kiegészítésével.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207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Malin Björk</w:t>
      </w:r>
      <w:r>
        <w:t xml:space="preserve">, </w:t>
      </w:r>
      <w:r>
        <w:t>Barbara Spinelli</w:t>
      </w:r>
      <w:r>
        <w:t xml:space="preserve">, </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 cikk – 1 bekezdés – l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l)</w:t>
            </w:r>
            <w:r>
              <w:tab/>
            </w:r>
            <w:r>
              <w:rPr>
                <w:rFonts w:ascii="Times New Roman" w:eastAsia="Times New Roman" w:hAnsi="Times New Roman" w:cs="Times New Roman"/>
                <w:b/>
                <w:i/>
                <w:strike w:val="0"/>
                <w:color w:val="000000"/>
                <w:sz w:val="24"/>
                <w:highlight w:val="none"/>
                <w:u w:val="none" w:color="auto"/>
              </w:rPr>
              <w:t>„terrorcselekmények”: azok a nemzeti jog szerinti bűncselekmények, amelyek megfelelnek a 2002/475/IB kerethatározat 1–4. cikkében említett bűncselekményeknek, vagy azokkal egyenértékűek;</w:t>
            </w:r>
          </w:p>
        </w:tc>
        <w:tc>
          <w:tcPr/>
          <w:p>
            <w:pPr>
              <w:pStyle w:val="Normal6"/>
            </w:pPr>
            <w:r>
              <w:rPr>
                <w:rFonts w:ascii="Times New Roman" w:eastAsia="Times New Roman" w:hAnsi="Times New Roman" w:cs="Times New Roman"/>
                <w:b/>
                <w:i/>
                <w:strike w:val="0"/>
                <w:color w:val="000000"/>
                <w:sz w:val="24"/>
                <w:highlight w:val="none"/>
                <w:u w:val="none" w:color="auto"/>
              </w:rPr>
              <w:t>törölve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was hard to reconcile with the principle of purpose limitation, and that the access to a database of vulnerable persons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208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Monika Hohlmeier</w:t>
      </w:r>
      <w:r>
        <w:t xml:space="preserve">, </w:t>
      </w:r>
      <w:r>
        <w:t>Heinz K. Becker</w:t>
      </w:r>
      <w:r>
        <w:t xml:space="preserve">, </w:t>
      </w:r>
      <w:r>
        <w:t>Jeroen Lenaers</w:t>
      </w:r>
      <w:r>
        <w:t xml:space="preserve">, </w:t>
      </w:r>
      <w:r>
        <w:t>Rachida Dati</w:t>
      </w:r>
      <w:r>
        <w:t xml:space="preserve">, </w:t>
      </w:r>
      <w:r>
        <w:t>Brice Hortefeux</w:t>
      </w:r>
      <w:r>
        <w:t xml:space="preserve">, </w:t>
      </w:r>
      <w:r>
        <w:t>Mariya Gabriel</w:t>
      </w:r>
      <w:r>
        <w:t xml:space="preserve">, </w:t>
      </w:r>
      <w:r>
        <w:t>Artis Pabriks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 cikk – 1 bekezdés – l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l)</w:t>
            </w:r>
            <w:r>
              <w:tab/>
            </w:r>
            <w:r>
              <w:t xml:space="preserve">„terrorcselekmények”: </w:t>
            </w:r>
            <w:r>
              <w:rPr>
                <w:rFonts w:ascii="Times New Roman" w:eastAsia="Times New Roman" w:hAnsi="Times New Roman" w:cs="Times New Roman"/>
                <w:b/>
                <w:i/>
                <w:strike w:val="0"/>
                <w:color w:val="000000"/>
                <w:sz w:val="24"/>
                <w:highlight w:val="none"/>
                <w:u w:val="none" w:color="auto"/>
              </w:rPr>
              <w:t>azok a nemzeti jog szerinti bűncselekmények, amelyek megfelelnek</w:t>
            </w:r>
            <w:r>
              <w:t xml:space="preserve"> a 2002/475/IB kerethatározat </w:t>
            </w:r>
            <w:r>
              <w:rPr>
                <w:rFonts w:ascii="Times New Roman" w:eastAsia="Times New Roman" w:hAnsi="Times New Roman" w:cs="Times New Roman"/>
                <w:b/>
                <w:i/>
                <w:strike w:val="0"/>
                <w:color w:val="000000"/>
                <w:sz w:val="24"/>
                <w:highlight w:val="none"/>
                <w:u w:val="none" w:color="auto"/>
              </w:rPr>
              <w:t>1</w:t>
            </w:r>
            <w:r>
              <w:t>–</w:t>
            </w:r>
            <w:r>
              <w:rPr>
                <w:rFonts w:ascii="Times New Roman" w:eastAsia="Times New Roman" w:hAnsi="Times New Roman" w:cs="Times New Roman"/>
                <w:b/>
                <w:i/>
                <w:strike w:val="0"/>
                <w:color w:val="000000"/>
                <w:sz w:val="24"/>
                <w:highlight w:val="none"/>
                <w:u w:val="none" w:color="auto"/>
              </w:rPr>
              <w:t>4.</w:t>
            </w:r>
            <w:r>
              <w:t xml:space="preserve"> cikkében említett </w:t>
            </w:r>
            <w:r>
              <w:rPr>
                <w:rFonts w:ascii="Times New Roman" w:eastAsia="Times New Roman" w:hAnsi="Times New Roman" w:cs="Times New Roman"/>
                <w:b/>
                <w:i/>
                <w:strike w:val="0"/>
                <w:color w:val="000000"/>
                <w:sz w:val="24"/>
                <w:highlight w:val="none"/>
                <w:u w:val="none" w:color="auto"/>
              </w:rPr>
              <w:t>bűncselekményeknek, vagy azokkal egyenértékűek;</w:t>
            </w:r>
          </w:p>
        </w:tc>
        <w:tc>
          <w:tcPr/>
          <w:p>
            <w:pPr>
              <w:pStyle w:val="Normal6"/>
            </w:pPr>
            <w:r>
              <w:t>l)</w:t>
            </w:r>
            <w:r>
              <w:tab/>
            </w:r>
            <w:r>
              <w:t xml:space="preserve">„terrorcselekmények”: </w:t>
            </w:r>
            <w:r>
              <w:rPr>
                <w:rFonts w:ascii="Times New Roman" w:eastAsia="Times New Roman" w:hAnsi="Times New Roman" w:cs="Times New Roman"/>
                <w:b/>
                <w:i/>
                <w:strike w:val="0"/>
                <w:color w:val="000000"/>
                <w:sz w:val="24"/>
                <w:highlight w:val="none"/>
                <w:u w:val="none" w:color="auto"/>
              </w:rPr>
              <w:t>az Európai Parlament és a Tanács [a terrorizmus elleni küzdelemről, valamint</w:t>
            </w:r>
            <w:r>
              <w:t xml:space="preserve"> a 2002/475/IB </w:t>
            </w:r>
            <w:r>
              <w:rPr>
                <w:rFonts w:ascii="Times New Roman" w:eastAsia="Times New Roman" w:hAnsi="Times New Roman" w:cs="Times New Roman"/>
                <w:b/>
                <w:i/>
                <w:strike w:val="0"/>
                <w:color w:val="000000"/>
                <w:sz w:val="24"/>
                <w:highlight w:val="none"/>
                <w:u w:val="none" w:color="auto"/>
              </w:rPr>
              <w:t xml:space="preserve">tanácsi </w:t>
            </w:r>
            <w:r>
              <w:t xml:space="preserve">kerethatározat </w:t>
            </w:r>
            <w:r>
              <w:rPr>
                <w:rFonts w:ascii="Times New Roman" w:eastAsia="Times New Roman" w:hAnsi="Times New Roman" w:cs="Times New Roman"/>
                <w:b/>
                <w:i/>
                <w:strike w:val="0"/>
                <w:color w:val="000000"/>
                <w:sz w:val="24"/>
                <w:highlight w:val="none"/>
                <w:u w:val="none" w:color="auto"/>
              </w:rPr>
              <w:t>felváltásáról, továbbá a 2005/671/IB tanácsi határozat módosításáról] szóló (EU) 2017/... irányelvének 3</w:t>
            </w:r>
            <w:r>
              <w:t>–</w:t>
            </w:r>
            <w:r>
              <w:rPr>
                <w:rFonts w:ascii="Times New Roman" w:eastAsia="Times New Roman" w:hAnsi="Times New Roman" w:cs="Times New Roman"/>
                <w:b/>
                <w:i/>
                <w:strike w:val="0"/>
                <w:color w:val="000000"/>
                <w:sz w:val="24"/>
                <w:highlight w:val="none"/>
                <w:u w:val="none" w:color="auto"/>
              </w:rPr>
              <w:t>12</w:t>
            </w:r>
            <w:r>
              <w:t xml:space="preserve"> cikkében említett </w:t>
            </w:r>
            <w:r>
              <w:rPr>
                <w:rFonts w:ascii="Times New Roman" w:eastAsia="Times New Roman" w:hAnsi="Times New Roman" w:cs="Times New Roman"/>
                <w:b/>
                <w:i/>
                <w:strike w:val="0"/>
                <w:color w:val="000000"/>
                <w:sz w:val="24"/>
                <w:highlight w:val="none"/>
                <w:u w:val="none" w:color="auto"/>
              </w:rPr>
              <w:t>bűncselekmények.</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 2002/475/IB kerethatározat rendelkezéseit beillesztették a terrorizmus elleni küzdelemről szóló, az Európai Parlament által 2017. február 16-án megszavazott, új irányelvbe.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209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 cikk – 1 bekezdés – n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n)</w:t>
            </w:r>
            <w:r>
              <w:tab/>
            </w:r>
            <w:r>
              <w:t>„ujjnyomatadat”: valamely személy mind</w:t>
            </w:r>
            <w:r>
              <w:rPr>
                <w:rFonts w:ascii="Times New Roman" w:eastAsia="Times New Roman" w:hAnsi="Times New Roman" w:cs="Times New Roman"/>
                <w:b/>
                <w:i/>
                <w:strike w:val="0"/>
                <w:color w:val="000000"/>
                <w:sz w:val="24"/>
                <w:highlight w:val="none"/>
                <w:u w:val="none" w:color="auto"/>
              </w:rPr>
              <w:t xml:space="preserve">  </w:t>
            </w:r>
            <w:r>
              <w:t>a tíz</w:t>
            </w:r>
            <w:r>
              <w:rPr>
                <w:rFonts w:ascii="Times New Roman" w:eastAsia="Times New Roman" w:hAnsi="Times New Roman" w:cs="Times New Roman"/>
                <w:b/>
                <w:i/>
                <w:strike w:val="0"/>
                <w:color w:val="000000"/>
                <w:sz w:val="24"/>
                <w:highlight w:val="none"/>
                <w:u w:val="none" w:color="auto"/>
              </w:rPr>
              <w:t xml:space="preserve">  </w:t>
            </w:r>
            <w:r>
              <w:t>ujjának,</w:t>
            </w:r>
            <w:r>
              <w:rPr>
                <w:rFonts w:ascii="Times New Roman" w:eastAsia="Times New Roman" w:hAnsi="Times New Roman" w:cs="Times New Roman"/>
                <w:b/>
                <w:i/>
                <w:strike w:val="0"/>
                <w:color w:val="000000"/>
                <w:sz w:val="24"/>
                <w:highlight w:val="none"/>
                <w:u w:val="none" w:color="auto"/>
              </w:rPr>
              <w:t xml:space="preserve">  </w:t>
            </w:r>
            <w:r>
              <w:t>ha megvannak,</w:t>
            </w:r>
            <w:r>
              <w:rPr>
                <w:rFonts w:ascii="Times New Roman" w:eastAsia="Times New Roman" w:hAnsi="Times New Roman" w:cs="Times New Roman"/>
                <w:b/>
                <w:i/>
                <w:strike w:val="0"/>
                <w:color w:val="000000"/>
                <w:sz w:val="24"/>
                <w:highlight w:val="none"/>
                <w:u w:val="none" w:color="auto"/>
              </w:rPr>
              <w:t>   </w:t>
            </w:r>
            <w:r>
              <w:t>sík és átforgatott</w:t>
            </w:r>
            <w:r>
              <w:rPr>
                <w:rFonts w:ascii="Times New Roman" w:eastAsia="Times New Roman" w:hAnsi="Times New Roman" w:cs="Times New Roman"/>
                <w:b/>
                <w:i/>
                <w:strike w:val="0"/>
                <w:color w:val="000000"/>
                <w:sz w:val="24"/>
                <w:highlight w:val="none"/>
                <w:u w:val="none" w:color="auto"/>
              </w:rPr>
              <w:t xml:space="preserve">  </w:t>
            </w:r>
            <w:r>
              <w:t>nyomatára vagy látens ujjnyomatra vonatkozó adat;</w:t>
            </w:r>
          </w:p>
        </w:tc>
        <w:tc>
          <w:tcPr/>
          <w:p>
            <w:pPr>
              <w:pStyle w:val="Normal6"/>
            </w:pPr>
            <w:r>
              <w:t>n)</w:t>
            </w:r>
            <w:r>
              <w:tab/>
            </w:r>
            <w:r>
              <w:t>„ujjnyomatadat”: valamely személy mind</w:t>
            </w:r>
            <w:r>
              <w:rPr>
                <w:rFonts w:ascii="Times New Roman" w:eastAsia="Times New Roman" w:hAnsi="Times New Roman" w:cs="Times New Roman"/>
                <w:b/>
                <w:i/>
                <w:strike w:val="0"/>
                <w:color w:val="000000"/>
                <w:sz w:val="24"/>
                <w:highlight w:val="none"/>
                <w:u w:val="none" w:color="auto"/>
              </w:rPr>
              <w:t xml:space="preserve"> </w:t>
            </w:r>
            <w:r>
              <w:t>a tíz</w:t>
            </w:r>
            <w:r>
              <w:rPr>
                <w:rFonts w:ascii="Times New Roman" w:eastAsia="Times New Roman" w:hAnsi="Times New Roman" w:cs="Times New Roman"/>
                <w:b/>
                <w:i/>
                <w:strike w:val="0"/>
                <w:color w:val="000000"/>
                <w:sz w:val="24"/>
                <w:highlight w:val="none"/>
                <w:u w:val="none" w:color="auto"/>
              </w:rPr>
              <w:t xml:space="preserve"> </w:t>
            </w:r>
            <w:r>
              <w:t>ujjának,</w:t>
            </w:r>
            <w:r>
              <w:rPr>
                <w:rFonts w:ascii="Times New Roman" w:eastAsia="Times New Roman" w:hAnsi="Times New Roman" w:cs="Times New Roman"/>
                <w:b/>
                <w:i/>
                <w:strike w:val="0"/>
                <w:color w:val="000000"/>
                <w:sz w:val="24"/>
                <w:highlight w:val="none"/>
                <w:u w:val="none" w:color="auto"/>
              </w:rPr>
              <w:t xml:space="preserve"> </w:t>
            </w:r>
            <w:r>
              <w:t>ha megvannak,</w:t>
            </w:r>
            <w:r>
              <w:rPr>
                <w:rFonts w:ascii="Times New Roman" w:eastAsia="Times New Roman" w:hAnsi="Times New Roman" w:cs="Times New Roman"/>
                <w:b/>
                <w:i/>
                <w:strike w:val="0"/>
                <w:color w:val="000000"/>
                <w:sz w:val="24"/>
                <w:highlight w:val="none"/>
                <w:u w:val="none" w:color="auto"/>
              </w:rPr>
              <w:t xml:space="preserve"> vagy legalább mutatóujjainak a </w:t>
            </w:r>
            <w:r>
              <w:t>sík és átforgatott</w:t>
            </w:r>
            <w:r>
              <w:rPr>
                <w:rFonts w:ascii="Times New Roman" w:eastAsia="Times New Roman" w:hAnsi="Times New Roman" w:cs="Times New Roman"/>
                <w:b/>
                <w:i/>
                <w:strike w:val="0"/>
                <w:color w:val="000000"/>
                <w:sz w:val="24"/>
                <w:highlight w:val="none"/>
                <w:u w:val="none" w:color="auto"/>
              </w:rPr>
              <w:t xml:space="preserve"> </w:t>
            </w:r>
            <w:r>
              <w:t>nyomatára vagy látens ujjnyomatra vonatkozó adat;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210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Malin Björk</w:t>
      </w:r>
      <w:r>
        <w:t xml:space="preserve">, </w:t>
      </w:r>
      <w:r>
        <w:t>Barbara Spinelli</w:t>
      </w:r>
      <w:r>
        <w:t xml:space="preserve">, </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 cikk – 1 bekezdés – o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o)</w:t>
            </w:r>
            <w:r>
              <w:tab/>
            </w:r>
            <w:r>
              <w:rPr>
                <w:rFonts w:ascii="Times New Roman" w:eastAsia="Times New Roman" w:hAnsi="Times New Roman" w:cs="Times New Roman"/>
                <w:b/>
                <w:i/>
                <w:strike w:val="0"/>
                <w:color w:val="000000"/>
                <w:sz w:val="24"/>
                <w:highlight w:val="none"/>
                <w:u w:val="none" w:color="auto"/>
              </w:rPr>
              <w:t>„arcképmás”: az arcról készített, az automatikus biometrikus megfeleltetés céljából kielégítő felbontású és minőségű digitális kép;</w:t>
            </w:r>
          </w:p>
        </w:tc>
        <w:tc>
          <w:tcPr/>
          <w:p>
            <w:pPr>
              <w:pStyle w:val="Normal6"/>
            </w:pPr>
            <w:r>
              <w:rPr>
                <w:rFonts w:ascii="Times New Roman" w:eastAsia="Times New Roman" w:hAnsi="Times New Roman" w:cs="Times New Roman"/>
                <w:b/>
                <w:i/>
                <w:strike w:val="0"/>
                <w:color w:val="000000"/>
                <w:sz w:val="24"/>
                <w:highlight w:val="none"/>
                <w:u w:val="none" w:color="auto"/>
              </w:rPr>
              <w:t>törölve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211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 cikk – 1 bekezdés – o a pont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(oa)</w:t>
            </w:r>
            <w:r>
              <w:tab/>
            </w:r>
            <w:r>
              <w:rPr>
                <w:rFonts w:ascii="Times New Roman" w:eastAsia="Times New Roman" w:hAnsi="Times New Roman" w:cs="Times New Roman"/>
                <w:b/>
                <w:i/>
                <w:strike w:val="0"/>
                <w:color w:val="000000"/>
                <w:sz w:val="24"/>
                <w:highlight w:val="none"/>
                <w:u w:val="none" w:color="auto"/>
              </w:rPr>
              <w:t>„hontalan személy”: olyan személy, akit egy állam sem tart saját joga alapján állampolgárának.</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Az ENSZ Hontalan Személyek Jogállásáról szóló, 1954. évi Egyezményében szereplő meghatározás.</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212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 cikk – 1 bekezdés – o a pont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(o a)</w:t>
            </w:r>
            <w:r>
              <w:tab/>
            </w:r>
            <w:r>
              <w:rPr>
                <w:rFonts w:ascii="Times New Roman" w:eastAsia="Times New Roman" w:hAnsi="Times New Roman" w:cs="Times New Roman"/>
                <w:b/>
                <w:i/>
                <w:strike w:val="0"/>
                <w:color w:val="000000"/>
                <w:sz w:val="24"/>
                <w:highlight w:val="none"/>
                <w:u w:val="none" w:color="auto"/>
              </w:rPr>
              <w:t>„alfanumerikus adatok”: betűkből, számokból, speciális karakterekből, szóközökből és központozásból álló adatok.</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Összhangban a másik módosítással, amely lehetővé teszi az alfanumerikus adatok szerinti keresést.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213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4 cikk – 4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(4)</w:t>
            </w:r>
            <w:r>
              <w:tab/>
            </w:r>
            <w:r>
              <w:t>A 10. cikk (1) bekezdése, a 13. cikk (1) bekezdése és a 14. cikk (1) bekezdése hatálya alá tartozó személyekre vonatkozó, a központi rendszerben feldolgozásra kerülő adatokat a származási hely szerinti tagállam nevében dolgozzák fel az e rendeletben rögzített feltételek alapján, és megfelelő technikai eszközökkel különítik el.</w:t>
            </w:r>
          </w:p>
        </w:tc>
        <w:tc>
          <w:tcPr/>
          <w:p>
            <w:pPr>
              <w:pStyle w:val="Normal6"/>
            </w:pPr>
            <w:r>
              <w:t>(4)</w:t>
            </w:r>
            <w:r>
              <w:tab/>
            </w:r>
            <w:r>
              <w:t xml:space="preserve">A 10. cikk (1) bekezdése, a </w:t>
            </w:r>
            <w:r>
              <w:rPr>
                <w:rFonts w:ascii="Times New Roman" w:eastAsia="Times New Roman" w:hAnsi="Times New Roman" w:cs="Times New Roman"/>
                <w:b/>
                <w:i/>
                <w:strike w:val="0"/>
                <w:color w:val="000000"/>
                <w:sz w:val="24"/>
                <w:highlight w:val="none"/>
                <w:u w:val="none" w:color="auto"/>
              </w:rPr>
              <w:t xml:space="preserve">12a. cikk, a </w:t>
            </w:r>
            <w:r>
              <w:t>13. cikk (1) bekezdése és a 14. cikk (1) bekezdése hatálya alá tartozó személyekre vonatkozó, a központi rendszerben feldolgozásra kerülő adatokat a származási hely szerinti tagállam nevében dolgozzák fel az e rendeletben rögzített feltételek alapján, és megfelelő technikai eszközökkel különítik el.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Átdolgozás: a módosítás az új kategória hozzáadására irányuló javaslathoz kapcsolódik (új fejezet IIa.) és a szöveg koherenciáját célozza e kiegészítés tekintetében.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214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Malin Björk</w:t>
      </w:r>
      <w:r>
        <w:t xml:space="preserve">, </w:t>
      </w:r>
      <w:r>
        <w:t>Barbara Spinelli</w:t>
      </w:r>
      <w:r>
        <w:t xml:space="preserve">, </w:t>
      </w:r>
      <w:r>
        <w:t>Marina Albiol Guzmán</w:t>
      </w:r>
      <w:r>
        <w:t xml:space="preserve">, </w:t>
      </w:r>
      <w:r>
        <w:t>Dennis de Jong</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5 cikk – 2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(2)</w:t>
            </w:r>
            <w:r>
              <w:tab/>
            </w:r>
            <w:r>
              <w:rPr>
                <w:rFonts w:ascii="Times New Roman" w:eastAsia="Times New Roman" w:hAnsi="Times New Roman" w:cs="Times New Roman"/>
                <w:b/>
                <w:i/>
                <w:strike w:val="0"/>
                <w:color w:val="000000"/>
                <w:sz w:val="24"/>
                <w:highlight w:val="none"/>
                <w:u w:val="none" w:color="auto"/>
              </w:rPr>
              <w:t>Az eu-LISA számára lehetővé kell tenni, hogy az Eurodac adatgeneráló rendszerének valós személyes adatait használja fel tesztelési célból, az alábbi körülmények között:</w:t>
            </w:r>
          </w:p>
        </w:tc>
        <w:tc>
          <w:tcPr/>
          <w:p>
            <w:pPr>
              <w:pStyle w:val="Normal6"/>
            </w:pPr>
            <w:r>
              <w:rPr>
                <w:rFonts w:ascii="Times New Roman" w:eastAsia="Times New Roman" w:hAnsi="Times New Roman" w:cs="Times New Roman"/>
                <w:b/>
                <w:i/>
                <w:strike w:val="0"/>
                <w:color w:val="000000"/>
                <w:sz w:val="24"/>
                <w:highlight w:val="none"/>
                <w:u w:val="none" w:color="auto"/>
              </w:rPr>
              <w:t>törölve</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a)diagnosztika és helyreállítás céljából, amikor a központi rendszerben hibát tárnak fel; és</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b)a központi rendszer teljesítményének fokozása vagy az abba történő adattovábbítás tekintetében releváns új technológiák és technikák tesztelése céljából.</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Ilyen esetekben a tesztelési környezetben ugyanolyan biztonsági intézkedéseket, hozzáférés-ellenőrzést és naplótevékenységeket kell alkalmazni, mint az Eurodac adatgeneráló rendszerben. A tesztelés céljából kiigazított valós személyes adatokat anonimizálni kell olyan módon, hogy az érintettek ne legyenek azonosíthatók.</w:t>
            </w:r>
          </w:p>
        </w:tc>
        <w:tc>
          <w:tcPr/>
          <w:p>
            <w:pPr>
              <w:pStyle w:val="Normal6"/>
            </w:pP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215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5 cikk – 2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(2)</w:t>
            </w:r>
            <w:r>
              <w:tab/>
            </w:r>
            <w:r>
              <w:rPr>
                <w:rFonts w:ascii="Times New Roman" w:eastAsia="Times New Roman" w:hAnsi="Times New Roman" w:cs="Times New Roman"/>
                <w:b/>
                <w:i/>
                <w:strike w:val="0"/>
                <w:color w:val="000000"/>
                <w:sz w:val="24"/>
                <w:highlight w:val="none"/>
                <w:u w:val="none" w:color="auto"/>
              </w:rPr>
              <w:t>Az eu-LISA számára lehetővé kell tenni, hogy az Eurodac adatgeneráló rendszerének valós személyes adatait használja fel tesztelési célból, az alábbi körülmények között:</w:t>
            </w:r>
          </w:p>
        </w:tc>
        <w:tc>
          <w:tcPr/>
          <w:p>
            <w:pPr>
              <w:pStyle w:val="Normal6"/>
            </w:pPr>
            <w:r>
              <w:rPr>
                <w:rFonts w:ascii="Times New Roman" w:eastAsia="Times New Roman" w:hAnsi="Times New Roman" w:cs="Times New Roman"/>
                <w:b/>
                <w:i/>
                <w:strike w:val="0"/>
                <w:color w:val="000000"/>
                <w:sz w:val="24"/>
                <w:highlight w:val="none"/>
                <w:u w:val="none" w:color="auto"/>
              </w:rPr>
              <w:t>törölve</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a)diagnosztika és helyreállítás céljából, amikor a központi rendszerben hibát tárnak fel; és</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b)a központi rendszer teljesítményének fokozása vagy az abba történő adattovábbítás tekintetében releváns új technológiák és technikák tesztelése céljából.</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Ilyen esetekben a tesztelési környezetben ugyanolyan biztonsági intézkedéseket, hozzáférés-ellenőrzést és naplótevékenységeket kell alkalmazni, mint az Eurodac adatgeneráló rendszerben. A tesztelés céljából kiigazított valós személyes adatokat anonimizálni kell olyan módon, hogy az érintettek ne legyenek azonosíthatók.</w:t>
            </w:r>
          </w:p>
        </w:tc>
        <w:tc>
          <w:tcPr/>
          <w:p>
            <w:pPr>
              <w:pStyle w:val="Normal6"/>
            </w:pP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Az európai adatvédelmi biztos megjegyzéseivel összhangban: tekintettel a valós adatok tesztelési célból való felhasználásának kockázatára és az ilyen adatok használatából eredő hozzáadott érték hiányára, az európai adatvédelmi biztos az átdolgozásra irányuló javaslat 5. cikke (2) bekezdésének törlését javasolja, amely lehetővé teszi valós adatok tesztelési célból való felhasználását.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216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Caterina Chinnici</w:t>
      </w:r>
      <w:r>
        <w:t xml:space="preserve">, </w:t>
      </w:r>
      <w:r>
        <w:t>Josef Weidenholzer</w:t>
      </w:r>
      <w:r>
        <w:t xml:space="preserve">, </w:t>
      </w:r>
      <w:r>
        <w:t>Vilija Blinkevičiūtė</w:t>
      </w:r>
      <w:r>
        <w:t xml:space="preserve">, </w:t>
      </w:r>
      <w:r>
        <w:t>Péter Niedermüller</w:t>
      </w:r>
      <w:r>
        <w:t xml:space="preserve">, </w:t>
      </w:r>
      <w:r>
        <w:t>Kati Piri</w:t>
      </w:r>
      <w:r>
        <w:t xml:space="preserve">, </w:t>
      </w:r>
      <w:r>
        <w:t>Caterina Chinnici</w:t>
      </w:r>
      <w:r>
        <w:t xml:space="preserve">, </w:t>
      </w:r>
      <w:r>
        <w:t>Juan Fernando López Aguilar</w:t>
      </w:r>
      <w:r>
        <w:t xml:space="preserve">, </w:t>
      </w:r>
      <w:r>
        <w:t>Caterina Chinnici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5 cikk – 2 bekezdés – 1 albekezdés – bevezető rész</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Az eu-LISA számára lehetővé kell tenni, hogy az Eurodac adatgeneráló rendszerének valós személyes adatait használja fel tesztelési célból, az alábbi körülmények között:</w:t>
            </w:r>
          </w:p>
        </w:tc>
        <w:tc>
          <w:tcPr/>
          <w:p>
            <w:pPr>
              <w:pStyle w:val="Normal6"/>
            </w:pPr>
            <w:r>
              <w:t>Az eu-LISA számára lehetővé kell tenni, hogy az Eurodac adatgeneráló rendszerének valós személyes adatait használja fel tesztelési célból</w:t>
            </w:r>
            <w:r>
              <w:rPr>
                <w:rFonts w:ascii="Times New Roman" w:eastAsia="Times New Roman" w:hAnsi="Times New Roman" w:cs="Times New Roman"/>
                <w:b/>
                <w:i/>
                <w:strike w:val="0"/>
                <w:color w:val="000000"/>
                <w:sz w:val="24"/>
                <w:highlight w:val="none"/>
                <w:u w:val="none" w:color="auto"/>
              </w:rPr>
              <w:t xml:space="preserve"> és a tesztben részt vevő minden egyes személy tekintetében szigorúan megfelelve a személyzeti szabályzat a szakmai titoktartásról szóló 17. cikkében foglaltaknak</w:t>
            </w:r>
            <w:r>
              <w:t>,</w:t>
            </w:r>
            <w:r>
              <w:rPr>
                <w:rFonts w:ascii="Times New Roman" w:eastAsia="Times New Roman" w:hAnsi="Times New Roman" w:cs="Times New Roman"/>
                <w:b/>
                <w:i/>
                <w:strike w:val="0"/>
                <w:color w:val="000000"/>
                <w:sz w:val="24"/>
                <w:highlight w:val="none"/>
                <w:u w:val="none" w:color="auto"/>
              </w:rPr>
              <w:t xml:space="preserve"> kizárólag</w:t>
            </w:r>
            <w:r>
              <w:t xml:space="preserve"> az alábbi körülmények között: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217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Louis Michel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5 cikk – 2 bekezdés – 1 albekezdés – bevezető rész</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Az eu-LISA számára lehetővé kell tenni, hogy az Eurodac adatgeneráló rendszerének valós személyes adatait használja fel tesztelési célból, az alábbi körülmények között:</w:t>
            </w:r>
          </w:p>
        </w:tc>
        <w:tc>
          <w:tcPr/>
          <w:p>
            <w:pPr>
              <w:pStyle w:val="Normal6"/>
            </w:pPr>
            <w:r>
              <w:t xml:space="preserve">Az eu-LISA számára lehetővé kell tenni, hogy az Eurodac adatgeneráló rendszerének valós személyes adatait használja fel tesztelési célból, az </w:t>
            </w:r>
            <w:r>
              <w:rPr>
                <w:rFonts w:ascii="Times New Roman" w:eastAsia="Times New Roman" w:hAnsi="Times New Roman" w:cs="Times New Roman"/>
                <w:b/>
                <w:i/>
                <w:strike w:val="0"/>
                <w:color w:val="000000"/>
                <w:sz w:val="24"/>
                <w:highlight w:val="none"/>
                <w:u w:val="none" w:color="auto"/>
              </w:rPr>
              <w:t xml:space="preserve">(EU) 2016/679 rendelet rendelkezéseinek megfelelően, az </w:t>
            </w:r>
            <w:r>
              <w:t>alábbi körülmények között: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218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5 cikk – 2 bekezdés – 1 albekezdés – bevezető rész</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 xml:space="preserve">Az eu-LISA számára lehetővé kell tenni, hogy az Eurodac adatgeneráló rendszerének valós személyes adatait használja fel </w:t>
            </w:r>
            <w:r>
              <w:rPr>
                <w:rFonts w:ascii="Times New Roman" w:eastAsia="Times New Roman" w:hAnsi="Times New Roman" w:cs="Times New Roman"/>
                <w:b/>
                <w:i/>
                <w:strike w:val="0"/>
                <w:color w:val="000000"/>
                <w:sz w:val="24"/>
                <w:highlight w:val="none"/>
                <w:u w:val="none" w:color="auto"/>
              </w:rPr>
              <w:t>tesztelési célból</w:t>
            </w:r>
            <w:r>
              <w:t>, az alábbi körülmények között:</w:t>
            </w:r>
          </w:p>
        </w:tc>
        <w:tc>
          <w:tcPr/>
          <w:p>
            <w:pPr>
              <w:pStyle w:val="Normal6"/>
            </w:pPr>
            <w:r>
              <w:t xml:space="preserve">Az eu-LISA számára lehetővé kell tenni, hogy az Eurodac adatgeneráló rendszerének valós személyes adatait használja fel </w:t>
            </w:r>
            <w:r>
              <w:rPr>
                <w:rFonts w:ascii="Times New Roman" w:eastAsia="Times New Roman" w:hAnsi="Times New Roman" w:cs="Times New Roman"/>
                <w:b/>
                <w:i/>
                <w:strike w:val="0"/>
                <w:color w:val="000000"/>
                <w:sz w:val="24"/>
                <w:highlight w:val="none"/>
                <w:u w:val="none" w:color="auto"/>
              </w:rPr>
              <w:t>tesztelés és finomhangolás céljából</w:t>
            </w:r>
            <w:r>
              <w:t>, az alábbi körülmények között: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219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5 cikk – 2 bekezdés – 2 albekezdés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Ilyen esetekben a tesztelési környezetben ugyanolyan biztonsági intézkedéseket, hozzáférés-ellenőrzést és naplótevékenységeket kell alkalmazni, mint az Eurodac adatgeneráló rendszerben. A tesztelés céljából kiigazított valós személyes adatokat anonimizálni kell olyan módon, hogy az érintettek ne legyenek azonosíthatók.</w:t>
            </w:r>
          </w:p>
        </w:tc>
        <w:tc>
          <w:tcPr/>
          <w:p>
            <w:pPr>
              <w:pStyle w:val="Normal6"/>
            </w:pPr>
            <w:r>
              <w:t xml:space="preserve">Ilyen esetekben a tesztelési környezetben ugyanolyan biztonsági intézkedéseket, hozzáférés-ellenőrzést és naplótevékenységeket kell alkalmazni, mint az Eurodac adatgeneráló rendszerben. A tesztelés céljából kiigazított valós személyes adatokat anonimizálni kell olyan módon, hogy az érintettek ne legyenek azonosíthatók. </w:t>
            </w:r>
            <w:r>
              <w:rPr>
                <w:rFonts w:ascii="Times New Roman" w:eastAsia="Times New Roman" w:hAnsi="Times New Roman" w:cs="Times New Roman"/>
                <w:b/>
                <w:i/>
                <w:strike w:val="0"/>
                <w:color w:val="000000"/>
                <w:sz w:val="24"/>
                <w:highlight w:val="none"/>
                <w:u w:val="none" w:color="auto"/>
              </w:rPr>
              <w:t>Az eu-LISA gondoskodik arról, hogy a külső vállalkozóknak az adatokhoz való hozzáférésére vonatkozó megfelelő garanciák az (EU) 2016/679 rendelet 24 és 28. cikkében megállapított rendelkezéseknek megfelelően érvényesüljenek.</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220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Sophia in 't Veld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5 cikk – 2 bekezdés – 2 albekezdés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Ilyen esetekben a tesztelési környezetben ugyanolyan biztonsági intézkedéseket, hozzáférés-ellenőrzést és naplótevékenységeket kell alkalmazni, mint az Eurodac adatgeneráló rendszerben. A tesztelés céljából kiigazított valós személyes adatokat anonimizálni kell olyan módon, hogy az érintettek ne legyenek azonosíthatók.</w:t>
            </w:r>
          </w:p>
        </w:tc>
        <w:tc>
          <w:tcPr/>
          <w:p>
            <w:pPr>
              <w:pStyle w:val="Normal6"/>
            </w:pPr>
            <w:r>
              <w:t xml:space="preserve">Ilyen esetekben a tesztelési környezetben ugyanolyan biztonsági intézkedéseket, hozzáférés-ellenőrzést és naplótevékenységeket kell alkalmazni, mint az Eurodac adatgeneráló rendszerben. A tesztelés céljából kiigazított valós személyes adatokat </w:t>
            </w:r>
            <w:r>
              <w:rPr>
                <w:rFonts w:ascii="Times New Roman" w:eastAsia="Times New Roman" w:hAnsi="Times New Roman" w:cs="Times New Roman"/>
                <w:b/>
                <w:i/>
                <w:strike w:val="0"/>
                <w:color w:val="000000"/>
                <w:sz w:val="24"/>
                <w:highlight w:val="none"/>
                <w:u w:val="none" w:color="auto"/>
              </w:rPr>
              <w:t xml:space="preserve">szigorú feltételekhez kell kötni és </w:t>
            </w:r>
            <w:r>
              <w:t xml:space="preserve">anonimizálni kell olyan módon, hogy az érintettek ne legyenek azonosíthatók. </w:t>
            </w:r>
            <w:r>
              <w:rPr>
                <w:rFonts w:ascii="Times New Roman" w:eastAsia="Times New Roman" w:hAnsi="Times New Roman" w:cs="Times New Roman"/>
                <w:b/>
                <w:i/>
                <w:strike w:val="0"/>
                <w:color w:val="000000"/>
                <w:sz w:val="24"/>
                <w:highlight w:val="none"/>
                <w:u w:val="none" w:color="auto"/>
              </w:rPr>
              <w:t>A teszt céljainak elérését vagy a tesztelés befejezését követően minden személyes adatot közvetlenül és véglegesen törölni kell a tesztkörnyezetből.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221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5 cikk – 2 bekezdés – 2 albekezdés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Ilyen esetekben a tesztelési környezetben ugyanolyan biztonsági intézkedéseket, hozzáférés-ellenőrzést és naplótevékenységeket kell alkalmazni, mint az Eurodac adatgeneráló rendszerben. A tesztelés céljából kiigazított valós személyes adatokat anonimizálni kell olyan módon, hogy az érintettek ne legyenek azonosíthatók.</w:t>
            </w:r>
          </w:p>
        </w:tc>
        <w:tc>
          <w:tcPr/>
          <w:p>
            <w:pPr>
              <w:pStyle w:val="Normal6"/>
            </w:pPr>
            <w:r>
              <w:t xml:space="preserve">Ilyen esetekben a tesztelési környezetben ugyanolyan biztonsági intézkedéseket, hozzáférés-ellenőrzést és naplótevékenységeket kell alkalmazni, mint az Eurodac adatgeneráló rendszerben. A tesztelés céljából kiigazított valós személyes adatokat anonimizálni kell olyan módon, hogy az érintettek ne legyenek azonosíthatók. </w:t>
            </w:r>
            <w:r>
              <w:rPr>
                <w:rFonts w:ascii="Times New Roman" w:eastAsia="Times New Roman" w:hAnsi="Times New Roman" w:cs="Times New Roman"/>
                <w:b/>
                <w:i/>
                <w:strike w:val="0"/>
                <w:color w:val="000000"/>
                <w:sz w:val="24"/>
                <w:highlight w:val="none"/>
                <w:u w:val="none" w:color="auto"/>
              </w:rPr>
              <w:t>Az első bekezdésben említett célok elérését követően a valós személyek adatait véglegesen törlik a tesztkörnyezetből.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222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5 cikk – 3 bekezdés – c a pont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ca)</w:t>
            </w:r>
            <w:r>
              <w:tab/>
            </w:r>
            <w:r>
              <w:rPr>
                <w:rFonts w:ascii="Times New Roman" w:eastAsia="Times New Roman" w:hAnsi="Times New Roman" w:cs="Times New Roman"/>
                <w:b/>
                <w:i/>
                <w:strike w:val="0"/>
                <w:color w:val="000000"/>
                <w:sz w:val="24"/>
                <w:highlight w:val="none"/>
                <w:u w:val="none" w:color="auto"/>
              </w:rPr>
              <w:t>Más információs rendszerekkel való interoperabilitás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Átdolgozás: célszerű hatáskört biztosítani az eu-Lisa számára az Eurodac központi rendszere és más rendszerek közti biztonságos kommunikációs csatornák jövőbeli kialakítása vonatkozásában.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223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6 cikk – 1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Az 1. cikk (1) bekezdésének c) pontjában meghatározott célokból a tagállamok kijelölik azokat a hatóságokat, amelyek e rendelet értelmében jogosultak az Eurodac-adatokkal való összehasonlítást kérelmezni. A kijelölt hatóságok a tagállamok terrorcselekmények vagy egyéb súlyos bűncselekmények megelőzéséért, felderítéséért vagy kivizsgálásáért felelős hatóságai.</w:t>
            </w:r>
            <w:r>
              <w:rPr>
                <w:rFonts w:ascii="Times New Roman" w:eastAsia="Times New Roman" w:hAnsi="Times New Roman" w:cs="Times New Roman"/>
                <w:b/>
                <w:i/>
                <w:strike w:val="0"/>
                <w:color w:val="000000"/>
                <w:sz w:val="24"/>
                <w:highlight w:val="none"/>
                <w:u w:val="none" w:color="auto"/>
              </w:rPr>
              <w:t xml:space="preserve"> A nemzetbiztonsággal kapcsolatos hírszerzésért kizárólag felelős ügynökségek vagy egységek nem tartozhatnak a kijelölt hatóságok közé.</w:t>
            </w:r>
          </w:p>
        </w:tc>
        <w:tc>
          <w:tcPr/>
          <w:p>
            <w:pPr>
              <w:pStyle w:val="Normal6"/>
            </w:pPr>
            <w:r>
              <w:t>(1)</w:t>
            </w:r>
            <w:r>
              <w:tab/>
            </w:r>
            <w:r>
              <w:t>Az 1. cikk (1) bekezdésének c) pontjában meghatározott célokból a tagállamok kijelölik azokat a hatóságokat, amelyek e rendelet értelmében jogosultak az Eurodac-adatokkal való összehasonlítást kérelmezni. A kijelölt hatóságok a tagállamok terrorcselekmények vagy egyéb súlyos bűncselekmények megelőzéséért, felderítéséért vagy kivizsgálásáért felelős hatóságai.</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Nem világos, hogy miért illesztettek a szövegbe külön az 1. cikk (1) bekezdésének c) pontjában meghatározott célokkal összefüggésben a nemzetbiztonsággal kapcsolatos hírszerzésért kizárólag felelős ügynökségek vagy egységek kizárására vonatkozó részt. Ez a rendelet szabályozza azokat a feltételeket, amelyek mellett a tagállamok kijelölt hatóságai és az Europol kérhetik az Eurodac-adatokhoz való hozzáférést. Maguk a tagállamok határozzák meg, hogy melyik kijelölt hatóságot veszik igénybe a terrorista bűncselekmények vagy egyéb súlyos bűncselekmények megelőzésére, felderítésére vagy kivizsgálására vonatkozó kötelezettségük teljesítése céljából.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224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Sylvia-Yvonne Kaufmann</w:t>
      </w:r>
      <w:r>
        <w:t xml:space="preserve">, </w:t>
      </w:r>
      <w:r>
        <w:t>Josef Weidenholzer</w:t>
      </w:r>
      <w:r>
        <w:t xml:space="preserve">, </w:t>
      </w:r>
      <w:r>
        <w:t>Vilija Blinkevičiūtė</w:t>
      </w:r>
      <w:r>
        <w:t xml:space="preserve">, </w:t>
      </w:r>
      <w:r>
        <w:t>Péter Niedermüller</w:t>
      </w:r>
      <w:r>
        <w:t xml:space="preserve">, </w:t>
      </w:r>
      <w:r>
        <w:t>Kati Piri</w:t>
      </w:r>
      <w:r>
        <w:t xml:space="preserve">, </w:t>
      </w:r>
      <w:r>
        <w:t>Maria Grapini</w:t>
      </w:r>
      <w:r>
        <w:t xml:space="preserve">, </w:t>
      </w:r>
      <w:r>
        <w:t>Juan Fernando López Aguilar</w:t>
      </w:r>
      <w:r>
        <w:t xml:space="preserve">, </w:t>
      </w:r>
      <w:r>
        <w:t>Caterina Chinnici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6 cikk – 2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Minden tagállam jegyzékbe veszi a kijelölt hatóságokat.</w:t>
            </w:r>
          </w:p>
        </w:tc>
        <w:tc>
          <w:tcPr/>
          <w:p>
            <w:pPr>
              <w:pStyle w:val="Normal6"/>
            </w:pPr>
            <w:r>
              <w:t>(2)</w:t>
            </w:r>
            <w:r>
              <w:tab/>
            </w:r>
            <w:r>
              <w:t>Minden tagállam jegyzékbe veszi a kijelölt hatóságokat</w:t>
            </w:r>
            <w:r>
              <w:rPr>
                <w:rFonts w:ascii="Times New Roman" w:eastAsia="Times New Roman" w:hAnsi="Times New Roman" w:cs="Times New Roman"/>
                <w:b/>
                <w:i/>
                <w:strike w:val="0"/>
                <w:color w:val="000000"/>
                <w:sz w:val="24"/>
                <w:highlight w:val="none"/>
                <w:u w:val="none" w:color="auto"/>
              </w:rPr>
              <w:t xml:space="preserve"> és ezt késedelem nélkül eljuttatja a Bizottsághoz és az eu-LISA-hoz. Az eu-LISA az Európai Unió Hivatalos Lapjában közzéteszi az összesített listát. Amennyiben e jegyzék módosul, az eu-LISA évente egyszer az interneten közzétesz egy naprakésszé tett összesített listát</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Ez a módosítás a bizottsági javaslat módosított 1. cikke (1) bekezdésének c) pontjához kapcsolódik.</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225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Malin Björk</w:t>
      </w:r>
      <w:r>
        <w:t xml:space="preserve">, </w:t>
      </w:r>
      <w:r>
        <w:t>Barbara Spinelli</w:t>
      </w:r>
      <w:r>
        <w:t xml:space="preserve">, </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7 cikk</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Center"/>
            </w:pPr>
            <w:r>
              <w:rPr>
                <w:rFonts w:ascii="Times New Roman" w:eastAsia="Times New Roman" w:hAnsi="Times New Roman" w:cs="Times New Roman"/>
                <w:b/>
                <w:i/>
                <w:strike w:val="0"/>
                <w:color w:val="000000"/>
                <w:sz w:val="24"/>
                <w:highlight w:val="none"/>
                <w:u w:val="none" w:color="auto"/>
              </w:rPr>
              <w:t>7. cikk</w:t>
            </w:r>
            <w:r>
              <w:tab/>
            </w:r>
          </w:p>
        </w:tc>
        <w:tc>
          <w:tcPr/>
          <w:p>
            <w:pPr>
              <w:pStyle w:val="Normal6"/>
            </w:pPr>
            <w:r>
              <w:rPr>
                <w:rFonts w:ascii="Times New Roman" w:eastAsia="Times New Roman" w:hAnsi="Times New Roman" w:cs="Times New Roman"/>
                <w:b/>
                <w:i/>
                <w:strike w:val="0"/>
                <w:color w:val="000000"/>
                <w:sz w:val="24"/>
                <w:highlight w:val="none"/>
                <w:u w:val="none" w:color="auto"/>
              </w:rPr>
              <w:t>törölve</w:t>
            </w:r>
          </w:p>
        </w:tc>
      </w:tr>
      <w:tr>
        <w:tblPrEx>
          <w:jc w:val="center"/>
          <w:tblLayout w:type="fixed"/>
          <w:tblCellMar>
            <w:top w:w="0" w:type="dxa"/>
            <w:left w:w="340" w:type="dxa"/>
            <w:bottom w:w="0" w:type="dxa"/>
            <w:right w:w="340" w:type="dxa"/>
          </w:tblCellMar>
        </w:tblPrEx>
        <w:trPr>
          <w:trHeight w:hRule="auto" w:val="0"/>
          <w:jc w:val="center"/>
        </w:trPr>
        <w:tc>
          <w:tcPr/>
          <w:p>
            <w:pPr>
              <w:pStyle w:val="Center"/>
            </w:pPr>
            <w:r>
              <w:rPr>
                <w:rFonts w:ascii="Times New Roman" w:eastAsia="Times New Roman" w:hAnsi="Times New Roman" w:cs="Times New Roman"/>
                <w:b/>
                <w:i/>
                <w:strike w:val="0"/>
                <w:color w:val="000000"/>
                <w:sz w:val="24"/>
                <w:highlight w:val="none"/>
                <w:u w:val="none" w:color="auto"/>
              </w:rPr>
              <w:t>A tagállamok bűnüldözés céljából kijelölt ellenőrző hatóságai</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(1)</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Az 1. cikk (1) bekezdésének c) pontjában meghatározott célokból minden egyes tagállam kijelöl egy nemzeti hatóságot vagy egy ilyen hatósági egységet, amely ellenőrző hatóságként működik. Az ellenőrző hatóság a tagállamok terrorcselekmények vagy egyéb súlyos bűncselekmények megelőzéséért, felderítéséért vagy kivizsgálásáért felelős egyik hatósága.</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 kijelölt hatóságok és az ellenőrző hatóságok – amennyiben a nemzeti jog úgy rendelkezik – tartozhatnak ugyanazon szervezethez, azonban az ellenőrző hatóságnak függetlenül kell eljárnia az e rendelet szerinti feladatai elvégzése során. Az ellenőrző hatóság az 6. cikk (3) bekezdésében említett operatív egységektől elkülönülten működik, és az ellenőrzés kimenetelét illetően azoktól utasítást nem fogad el.</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 tagállamok egynél több ellenőrző hatóságot is kijelölhetnek a célból, hogy alkotmányos vagy jogi kötelezettségeikkel összhangban tükrözzék szervezeti és közigazgatási struktúráikat.</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(2)</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Az ellenőrző hatóság biztosítja azoknak a feltételeknek a teljesülését, amelyek az Eurodac-adatokkal történő összehasonlítás kéréséhez szükségesek.</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Kizárólag az ellenőrző hatóság megfelelő felhatalmazással rendelkező személyi állománya jogosult arra, hogy a 20. cikkel összhangban az Eurodachoz való hozzáférésre irányuló kéréseket fogadja vagy továbbítsa.</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Kizárólag az ellenőrző hatóság jogosult arra, hogy a nemzeti hozzáférési ponthoz továbbítsa az ujjnyomatadatok  és arcképmások  összehasonlítására irányuló kéréseket.</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Italic"/>
            </w:pPr>
            <w:r>
              <w:t>(E módosítás a teljes szövegre vonatkozik. Elfogadása esetén a szövegben mindenütt el kell végezni a szükséges módosításokat.)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was hard to reconcile with the principle of purpose limitation, and that the access to a database of vulnerable persons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226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7 cikk – 2 bekezdés – 1 albekezdés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 xml:space="preserve">Az ellenőrző hatóság biztosítja azoknak a feltételeknek a teljesülését, amelyek az Eurodac-adatokkal történő </w:t>
            </w:r>
            <w:r>
              <w:rPr>
                <w:rFonts w:ascii="Times New Roman" w:eastAsia="Times New Roman" w:hAnsi="Times New Roman" w:cs="Times New Roman"/>
                <w:b/>
                <w:i/>
                <w:strike w:val="0"/>
                <w:color w:val="000000"/>
                <w:sz w:val="24"/>
                <w:highlight w:val="none"/>
                <w:u w:val="none" w:color="auto"/>
              </w:rPr>
              <w:t>összehasonlítás</w:t>
            </w:r>
            <w:r>
              <w:t xml:space="preserve"> kéréséhez szükségesek.</w:t>
            </w:r>
          </w:p>
        </w:tc>
        <w:tc>
          <w:tcPr/>
          <w:p>
            <w:pPr>
              <w:pStyle w:val="Normal6"/>
            </w:pPr>
            <w:r>
              <w:t xml:space="preserve">Az ellenőrző hatóság biztosítja azoknak a feltételeknek a teljesülését, amelyek az </w:t>
            </w:r>
            <w:r>
              <w:rPr>
                <w:rFonts w:ascii="Times New Roman" w:eastAsia="Times New Roman" w:hAnsi="Times New Roman" w:cs="Times New Roman"/>
                <w:b/>
                <w:i/>
                <w:strike w:val="0"/>
                <w:color w:val="000000"/>
                <w:sz w:val="24"/>
                <w:highlight w:val="none"/>
                <w:u w:val="none" w:color="auto"/>
              </w:rPr>
              <w:t xml:space="preserve">ujjnyomatok, az arcképmás és az alfanumerikus adatok </w:t>
            </w:r>
            <w:r>
              <w:t xml:space="preserve">Eurodac-adatokkal történő </w:t>
            </w:r>
            <w:r>
              <w:rPr>
                <w:rFonts w:ascii="Times New Roman" w:eastAsia="Times New Roman" w:hAnsi="Times New Roman" w:cs="Times New Roman"/>
                <w:b/>
                <w:i/>
                <w:strike w:val="0"/>
                <w:color w:val="000000"/>
                <w:sz w:val="24"/>
                <w:highlight w:val="none"/>
                <w:u w:val="none" w:color="auto"/>
              </w:rPr>
              <w:t>összehasonlításának</w:t>
            </w:r>
            <w:r>
              <w:t xml:space="preserve"> kéréséhez szükségesek.</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 bizottsági javaslat javítása, amely nem illeszti be az összes előírt helyen mind az „ujjlenyomat”, mind az „arcképmás” szót, ami összhangban van a 2. cikkben említett kötelezettséggel. Regarding the search possibility alphanumeric data: A javaslat értelmében a nemzeti bűnüldöző hatóságok és az Europol nem kérhetnek összehasonlítást konkrét alfanumerikus adatokkal, ami igen hátrányos a nyomozások szempontjából, különösen a terrorelhárítás területén, ahol azon gyanúsítottak EU-ba történő belépésének helyét és időpontját próbálják megállapítani, akik használt azonossága igen, de ujjnyomata nem ismert. Ebben az összefüggésben és tekintettel arra, hogy a javaslat 1. cikke (1) bekezdésének c) pontjára kiterjeszti az Eurodac hatályát bűnüldözési célokra, szükséges lenne, hogy a nemzeti bűnüldöző hatóságok és az Europol hozzáférjenek az Eurodacban tárolt minden adathoz, hogy feladataikat megfelelően elvégezhessék.</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227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7 cikk – 2 bekezdés – 3 albekezdés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 xml:space="preserve">Kizárólag az ellenőrző hatóság jogosult arra, hogy a nemzeti hozzáférési ponthoz továbbítsa az </w:t>
            </w:r>
            <w:r>
              <w:rPr>
                <w:rFonts w:ascii="Times New Roman" w:eastAsia="Times New Roman" w:hAnsi="Times New Roman" w:cs="Times New Roman"/>
                <w:b/>
                <w:i/>
                <w:strike w:val="0"/>
                <w:color w:val="000000"/>
                <w:sz w:val="24"/>
                <w:highlight w:val="none"/>
                <w:u w:val="none" w:color="auto"/>
              </w:rPr>
              <w:t xml:space="preserve">ujjnyomatadatok  és arcképmások  </w:t>
            </w:r>
            <w:r>
              <w:t>összehasonlítására irányuló kéréseket.</w:t>
            </w:r>
          </w:p>
        </w:tc>
        <w:tc>
          <w:tcPr/>
          <w:p>
            <w:pPr>
              <w:pStyle w:val="Normal6"/>
            </w:pPr>
            <w:r>
              <w:t xml:space="preserve">Kizárólag az ellenőrző hatóság jogosult arra, hogy a nemzeti hozzáférési ponthoz továbbítsa az </w:t>
            </w:r>
            <w:r>
              <w:rPr>
                <w:rFonts w:ascii="Times New Roman" w:eastAsia="Times New Roman" w:hAnsi="Times New Roman" w:cs="Times New Roman"/>
                <w:b/>
                <w:i/>
                <w:strike w:val="0"/>
                <w:color w:val="000000"/>
                <w:sz w:val="24"/>
                <w:highlight w:val="none"/>
                <w:u w:val="none" w:color="auto"/>
              </w:rPr>
              <w:t xml:space="preserve">ujjnyomatok, az arcképmás és az alfanumerikus adatok </w:t>
            </w:r>
            <w:r>
              <w:t>összehasonlítására irányuló kéréseket.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Az indokolás hasonló az előző módosítás indokolásához.</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228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7 cikk – 2 bekezdés – 3 albekezdés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Kizárólag az ellenőrző hatóság jogosult arra, hogy a nemzeti hozzáférési ponthoz továbbítsa az ujjnyomatadatok</w:t>
            </w:r>
            <w:r>
              <w:rPr>
                <w:rFonts w:ascii="Times New Roman" w:eastAsia="Times New Roman" w:hAnsi="Times New Roman" w:cs="Times New Roman"/>
                <w:b/>
                <w:i/>
                <w:strike w:val="0"/>
                <w:color w:val="000000"/>
                <w:sz w:val="24"/>
                <w:highlight w:val="none"/>
                <w:u w:val="none" w:color="auto"/>
              </w:rPr>
              <w:t xml:space="preserve">  és</w:t>
            </w:r>
            <w:r>
              <w:t xml:space="preserve"> arcképmások</w:t>
            </w:r>
            <w:r>
              <w:rPr>
                <w:rFonts w:ascii="Times New Roman" w:eastAsia="Times New Roman" w:hAnsi="Times New Roman" w:cs="Times New Roman"/>
                <w:b/>
                <w:i/>
                <w:strike w:val="0"/>
                <w:color w:val="000000"/>
                <w:sz w:val="24"/>
                <w:highlight w:val="none"/>
                <w:u w:val="none" w:color="auto"/>
              </w:rPr>
              <w:t xml:space="preserve">  </w:t>
            </w:r>
            <w:r>
              <w:t>összehasonlítására irányuló kéréseket.</w:t>
            </w:r>
          </w:p>
        </w:tc>
        <w:tc>
          <w:tcPr/>
          <w:p>
            <w:pPr>
              <w:pStyle w:val="Normal6"/>
            </w:pPr>
            <w:r>
              <w:t>Kizárólag az ellenőrző hatóság jogosult arra, hogy a nemzeti hozzáférési ponthoz továbbítsa az ujjnyomatadatok</w:t>
            </w:r>
            <w:r>
              <w:rPr>
                <w:rFonts w:ascii="Times New Roman" w:eastAsia="Times New Roman" w:hAnsi="Times New Roman" w:cs="Times New Roman"/>
                <w:b/>
                <w:i/>
                <w:strike w:val="0"/>
                <w:color w:val="000000"/>
                <w:sz w:val="24"/>
                <w:highlight w:val="none"/>
                <w:u w:val="none" w:color="auto"/>
              </w:rPr>
              <w:t>, az</w:t>
            </w:r>
            <w:r>
              <w:t xml:space="preserve"> arcképmások</w:t>
            </w:r>
            <w:r>
              <w:rPr>
                <w:rFonts w:ascii="Times New Roman" w:eastAsia="Times New Roman" w:hAnsi="Times New Roman" w:cs="Times New Roman"/>
                <w:b/>
                <w:i/>
                <w:strike w:val="0"/>
                <w:color w:val="000000"/>
                <w:sz w:val="24"/>
                <w:highlight w:val="none"/>
                <w:u w:val="none" w:color="auto"/>
              </w:rPr>
              <w:t xml:space="preserve">, vagy mindkettő </w:t>
            </w:r>
            <w:r>
              <w:t>összehasonlítására irányuló kéréseket.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229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Malin Björk</w:t>
      </w:r>
      <w:r>
        <w:t xml:space="preserve">, </w:t>
      </w:r>
      <w:r>
        <w:t>Barbara Spinelli</w:t>
      </w:r>
      <w:r>
        <w:t xml:space="preserve">, </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8 cikk</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Center"/>
            </w:pPr>
            <w:r>
              <w:rPr>
                <w:rFonts w:ascii="Times New Roman" w:eastAsia="Times New Roman" w:hAnsi="Times New Roman" w:cs="Times New Roman"/>
                <w:b/>
                <w:i/>
                <w:strike w:val="0"/>
                <w:color w:val="000000"/>
                <w:sz w:val="24"/>
                <w:highlight w:val="none"/>
                <w:u w:val="none" w:color="auto"/>
              </w:rPr>
              <w:t>8. cikk</w:t>
            </w:r>
            <w:r>
              <w:tab/>
            </w:r>
          </w:p>
        </w:tc>
        <w:tc>
          <w:tcPr/>
          <w:p>
            <w:pPr>
              <w:pStyle w:val="Normal6"/>
            </w:pPr>
            <w:r>
              <w:rPr>
                <w:rFonts w:ascii="Times New Roman" w:eastAsia="Times New Roman" w:hAnsi="Times New Roman" w:cs="Times New Roman"/>
                <w:b/>
                <w:i/>
                <w:strike w:val="0"/>
                <w:color w:val="000000"/>
                <w:sz w:val="24"/>
                <w:highlight w:val="none"/>
                <w:u w:val="none" w:color="auto"/>
              </w:rPr>
              <w:t>törölve</w:t>
            </w:r>
          </w:p>
        </w:tc>
      </w:tr>
      <w:tr>
        <w:tblPrEx>
          <w:jc w:val="center"/>
          <w:tblLayout w:type="fixed"/>
          <w:tblCellMar>
            <w:top w:w="0" w:type="dxa"/>
            <w:left w:w="340" w:type="dxa"/>
            <w:bottom w:w="0" w:type="dxa"/>
            <w:right w:w="340" w:type="dxa"/>
          </w:tblCellMar>
        </w:tblPrEx>
        <w:trPr>
          <w:trHeight w:hRule="auto" w:val="0"/>
          <w:jc w:val="center"/>
        </w:trPr>
        <w:tc>
          <w:tcPr/>
          <w:p>
            <w:pPr>
              <w:pStyle w:val="Center"/>
            </w:pPr>
            <w:r>
              <w:rPr>
                <w:rFonts w:ascii="Times New Roman" w:eastAsia="Times New Roman" w:hAnsi="Times New Roman" w:cs="Times New Roman"/>
                <w:b/>
                <w:i/>
                <w:strike w:val="0"/>
                <w:color w:val="000000"/>
                <w:sz w:val="24"/>
                <w:highlight w:val="none"/>
                <w:u w:val="none" w:color="auto"/>
              </w:rPr>
              <w:t>Az Europol</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(1)Az 1. cikk (1) bekezdésének c) pontjában meghatározott célokból az Europol megfelelő felhatalmazással rendelkező tisztviselőkből álló speciális egységet jelöl ki ellenőrző hatóságaként, amely az e cikk (2) bekezdésében említett kijelölt hatóságoktól függetlenül jár el az e rendelet értelmében fennálló feladatai végzése során, és az ellenőrzés kimenetelét illetően a kijelölt hatóságtól utasítást nem fogad el. Az egység biztosítja azoknak a feltételeknek a teljesülését, amelyek az ujjnyomatok  és arcképmások  Eurodac-adatokkal történő összehasonlítás kéréséhez szükségesek. Az Europol az egyes tagállamokkal egyetértésben az adott tagállam nemzeti hozzáférési pontját jelöli ki azon hatóságként, amely az ujjnyomatadatok  és arcképmások  összehasonlítására irányuló kéréseit a központi rendszerbe továbbítja.</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(2)Az 1. cikk (1) bekezdésének c) pontjában említett célból az Europol kijelöli azt az operatív egységet, amely jogosult arra, hogy a kijelölt nemzeti hozzáférési ponton keresztül kérje az Eurodac-adatokkal történő összehasonlítást. A kijelölt hatóság az Europol operatív egységét képezi, amely az Europol hatáskörébe tartozó terrorcselekmények vagy egyéb súlyos bűncselekmények megelőzésére, felderítésére vagy kivizsgálására irányuló tagállami fellépés támogatása és fokozása érdekében jogosult az információgyűjtésre, -tárolásra, -feldolgozásra, -elemzésre és -cserére.</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Italic"/>
            </w:pPr>
            <w:r>
              <w:t>(E módosítás a teljes szövegre vonatkozik. Elfogadása esetén a szövegben mindenütt el kell végezni a szükséges módosításokat.)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was hard to reconcile with the principle of purpose limitation, and that the access to a database of vulnerable persons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230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8 cikk – 1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 xml:space="preserve">Az 1. cikk (1) bekezdésének c) pontjában meghatározott célokból az Europol </w:t>
            </w:r>
            <w:r>
              <w:rPr>
                <w:rFonts w:ascii="Times New Roman" w:eastAsia="Times New Roman" w:hAnsi="Times New Roman" w:cs="Times New Roman"/>
                <w:b/>
                <w:i/>
                <w:strike w:val="0"/>
                <w:color w:val="000000"/>
                <w:sz w:val="24"/>
                <w:highlight w:val="none"/>
                <w:u w:val="none" w:color="auto"/>
              </w:rPr>
              <w:t>megfelelő felhatalmazással rendelkező tisztviselőkből álló speciális egységet jelöl ki ellenőrző hatóságaként, amely</w:t>
            </w:r>
            <w:r>
              <w:t xml:space="preserve"> az e cikk (2) bekezdésében említett </w:t>
            </w:r>
            <w:r>
              <w:rPr>
                <w:rFonts w:ascii="Times New Roman" w:eastAsia="Times New Roman" w:hAnsi="Times New Roman" w:cs="Times New Roman"/>
                <w:b/>
                <w:i/>
                <w:strike w:val="0"/>
                <w:color w:val="000000"/>
                <w:sz w:val="24"/>
                <w:highlight w:val="none"/>
                <w:u w:val="none" w:color="auto"/>
              </w:rPr>
              <w:t>kijelölt hatóságoktól</w:t>
            </w:r>
            <w:r>
              <w:t xml:space="preserve"> függetlenül jár el az e rendelet értelmében fennálló feladatai végzése során, és az ellenőrzés kimenetelét illetően a kijelölt hatóságtól utasítást nem fogad el.</w:t>
            </w:r>
            <w:r>
              <w:rPr>
                <w:rFonts w:ascii="Times New Roman" w:eastAsia="Times New Roman" w:hAnsi="Times New Roman" w:cs="Times New Roman"/>
                <w:b/>
                <w:i/>
                <w:strike w:val="0"/>
                <w:color w:val="000000"/>
                <w:sz w:val="24"/>
                <w:highlight w:val="none"/>
                <w:u w:val="none" w:color="auto"/>
              </w:rPr>
              <w:t xml:space="preserve"> Az egység biztosítja azoknak a feltételeknek a teljesülését, amelyek az ujjnyomatok  és arcképmások  Eurodac-adatokkal történő összehasonlítás kéréséhez szükségesek.</w:t>
            </w:r>
            <w:r>
              <w:t xml:space="preserve"> </w:t>
            </w:r>
            <w:r>
              <w:rPr>
                <w:rFonts w:ascii="Times New Roman" w:eastAsia="Times New Roman" w:hAnsi="Times New Roman" w:cs="Times New Roman"/>
                <w:b/>
                <w:i/>
                <w:strike w:val="0"/>
                <w:color w:val="000000"/>
                <w:sz w:val="24"/>
                <w:highlight w:val="none"/>
                <w:u w:val="none" w:color="auto"/>
              </w:rPr>
              <w:t>Az</w:t>
            </w:r>
            <w:r>
              <w:t xml:space="preserve"> Europol </w:t>
            </w:r>
            <w:r>
              <w:rPr>
                <w:rFonts w:ascii="Times New Roman" w:eastAsia="Times New Roman" w:hAnsi="Times New Roman" w:cs="Times New Roman"/>
                <w:b/>
                <w:i/>
                <w:strike w:val="0"/>
                <w:color w:val="000000"/>
                <w:sz w:val="24"/>
                <w:highlight w:val="none"/>
                <w:u w:val="none" w:color="auto"/>
              </w:rPr>
              <w:t>az egyes tagállamokkal egyetértésben az adott tagállam nemzeti hozzáférési pontját jelöli ki azon hatóságként, amely az ujjnyomatadatok  és arcképmások  összehasonlítására irányuló kéréseit a központi rendszerbe továbbítja</w:t>
            </w:r>
            <w:r>
              <w:t>.</w:t>
            </w:r>
          </w:p>
        </w:tc>
        <w:tc>
          <w:tcPr/>
          <w:p>
            <w:pPr>
              <w:pStyle w:val="Normal6"/>
            </w:pPr>
            <w:r>
              <w:t>(1)</w:t>
            </w:r>
            <w:r>
              <w:tab/>
            </w:r>
            <w:r>
              <w:t xml:space="preserve">Az 1. cikk (1) bekezdésének c) pontjában meghatározott célokból az Europol </w:t>
            </w:r>
            <w:r>
              <w:rPr>
                <w:rFonts w:ascii="Times New Roman" w:eastAsia="Times New Roman" w:hAnsi="Times New Roman" w:cs="Times New Roman"/>
                <w:b/>
                <w:i/>
                <w:strike w:val="0"/>
                <w:color w:val="000000"/>
                <w:sz w:val="24"/>
                <w:highlight w:val="none"/>
                <w:u w:val="none" w:color="auto"/>
              </w:rPr>
              <w:t>kijelöli azt a hatóságot, amely engedélyt kap arra, hogy terrorista bűncselekmények vagy egyéb súlyos bűncselekmények megelőzése, felderítése és kivizsgálása céljából kijelölt központi hozzáférési pontján keresztül hozzáférést kérjen az Eurodachoz. A kijelölt hatóság</w:t>
            </w:r>
            <w:r>
              <w:t xml:space="preserve"> az e cikk (2) bekezdésében említett </w:t>
            </w:r>
            <w:r>
              <w:rPr>
                <w:rFonts w:ascii="Times New Roman" w:eastAsia="Times New Roman" w:hAnsi="Times New Roman" w:cs="Times New Roman"/>
                <w:b/>
                <w:i/>
                <w:strike w:val="0"/>
                <w:color w:val="000000"/>
                <w:sz w:val="24"/>
                <w:highlight w:val="none"/>
                <w:u w:val="none" w:color="auto"/>
              </w:rPr>
              <w:t>központi hozzáférési ponttól</w:t>
            </w:r>
            <w:r>
              <w:t xml:space="preserve"> függetlenül jár el az e rendelet értelmében fennálló feladatai végzése során, és az ellenőrzés kimenetelét illetően a kijelölt hatóságtól utasítást nem fogad el. </w:t>
            </w:r>
            <w:r>
              <w:rPr>
                <w:rFonts w:ascii="Times New Roman" w:eastAsia="Times New Roman" w:hAnsi="Times New Roman" w:cs="Times New Roman"/>
                <w:b/>
                <w:i/>
                <w:strike w:val="0"/>
                <w:color w:val="000000"/>
                <w:sz w:val="24"/>
                <w:highlight w:val="none"/>
                <w:u w:val="none" w:color="auto"/>
              </w:rPr>
              <w:t>A kijelölt hatóságnak</w:t>
            </w:r>
            <w:r>
              <w:t xml:space="preserve"> </w:t>
            </w:r>
            <w:r>
              <w:rPr>
                <w:rFonts w:ascii="Times New Roman" w:eastAsia="Times New Roman" w:hAnsi="Times New Roman" w:cs="Times New Roman"/>
                <w:b/>
                <w:i/>
                <w:strike w:val="0"/>
                <w:color w:val="000000"/>
                <w:sz w:val="24"/>
                <w:highlight w:val="none"/>
                <w:u w:val="none" w:color="auto"/>
              </w:rPr>
              <w:t>az</w:t>
            </w:r>
            <w:r>
              <w:t xml:space="preserve"> Europol </w:t>
            </w:r>
            <w:r>
              <w:rPr>
                <w:rFonts w:ascii="Times New Roman" w:eastAsia="Times New Roman" w:hAnsi="Times New Roman" w:cs="Times New Roman"/>
                <w:b/>
                <w:i/>
                <w:strike w:val="0"/>
                <w:color w:val="000000"/>
                <w:sz w:val="24"/>
                <w:highlight w:val="none"/>
                <w:u w:val="none" w:color="auto"/>
              </w:rPr>
              <w:t>egyik operatív egységének kell lennie</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 célnak a nem kodifikált javaslat 1. cikke (1) bekezdése c) pontjában megállapított kiterjesztésével összhangban, amely előírja, hogy az Eurodac nem csak a Dublini Rendelet végrehajtására, hanem bűnüldözési célokra is szolgál. A tagállami kijelölt hatóságok és az Europol kötelezettségeinek teljesítése érdekében az Eurodachoz való hozzáférést célzó eljárásnak gyorsnak és hatékonynak kell lennie, ugyanakkor figyelembe kell venni, hogy az Eurodac fő célja a tagállamok a Dublini Rendelet végrehajtásában való támogatása. Ez, és az ezt követő módosítás az Europol Eurodachoz való hozzáférését a határregisztrációs rendszer mechanizmusához hasonlóan határozza meg.</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231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Sylvia-Yvonne Kaufmann</w:t>
      </w:r>
      <w:r>
        <w:t xml:space="preserve">, </w:t>
      </w:r>
      <w:r>
        <w:t>Josef Weidenholzer</w:t>
      </w:r>
      <w:r>
        <w:t xml:space="preserve">, </w:t>
      </w:r>
      <w:r>
        <w:t>Vilija Blinkevičiūtė</w:t>
      </w:r>
      <w:r>
        <w:t xml:space="preserve">, </w:t>
      </w:r>
      <w:r>
        <w:t>Péter Niedermüller</w:t>
      </w:r>
      <w:r>
        <w:t xml:space="preserve">, </w:t>
      </w:r>
      <w:r>
        <w:t>Maria Grapini</w:t>
      </w:r>
      <w:r>
        <w:t xml:space="preserve">, </w:t>
      </w:r>
      <w:r>
        <w:t>Juan Fernando López Aguilar</w:t>
      </w:r>
      <w:r>
        <w:t xml:space="preserve">, </w:t>
      </w:r>
      <w:r>
        <w:t>Caterina Chinnici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8 cikk – 1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Az 1. cikk (1) bekezdésének c) pontjában meghatározott célokból az Europol megfelelő felhatalmazással rendelkező tisztviselőkből álló speciális egységet jelöl ki ellenőrző hatóságaként, amely az e cikk (2) bekezdésében említett kijelölt hatóságoktól függetlenül jár el az e rendelet értelmében fennálló feladatai végzése során, és az ellenőrzés kimenetelét illetően a kijelölt hatóságtól utasítást nem fogad el. Az egység biztosítja azoknak a feltételeknek a teljesülését, amelyek az ujjnyomatok</w:t>
            </w:r>
            <w:r>
              <w:rPr>
                <w:rFonts w:ascii="Times New Roman" w:eastAsia="Times New Roman" w:hAnsi="Times New Roman" w:cs="Times New Roman"/>
                <w:b/>
                <w:i/>
                <w:strike w:val="0"/>
                <w:color w:val="000000"/>
                <w:sz w:val="24"/>
                <w:highlight w:val="none"/>
                <w:u w:val="none" w:color="auto"/>
              </w:rPr>
              <w:t xml:space="preserve">  </w:t>
            </w:r>
            <w:r>
              <w:t>és arcképmások</w:t>
            </w:r>
            <w:r>
              <w:rPr>
                <w:rFonts w:ascii="Times New Roman" w:eastAsia="Times New Roman" w:hAnsi="Times New Roman" w:cs="Times New Roman"/>
                <w:b/>
                <w:i/>
                <w:strike w:val="0"/>
                <w:color w:val="000000"/>
                <w:sz w:val="24"/>
                <w:highlight w:val="none"/>
                <w:u w:val="none" w:color="auto"/>
              </w:rPr>
              <w:t xml:space="preserve">  </w:t>
            </w:r>
            <w:r>
              <w:t xml:space="preserve">Eurodac-adatokkal történő összehasonlítás kéréséhez szükségesek. </w:t>
            </w:r>
            <w:r>
              <w:rPr>
                <w:rFonts w:ascii="Times New Roman" w:eastAsia="Times New Roman" w:hAnsi="Times New Roman" w:cs="Times New Roman"/>
                <w:b/>
                <w:i/>
                <w:strike w:val="0"/>
                <w:color w:val="000000"/>
                <w:sz w:val="24"/>
                <w:highlight w:val="none"/>
                <w:u w:val="none" w:color="auto"/>
              </w:rPr>
              <w:t>Az Europol az egyes tagállamokkal egyetértésben az adott tagállam nemzeti hozzáférési pontját jelöli ki azon hatóságként, amely</w:t>
            </w:r>
            <w:r>
              <w:t xml:space="preserve"> az ujjnyomatadatok</w:t>
            </w:r>
            <w:r>
              <w:rPr>
                <w:rFonts w:ascii="Times New Roman" w:eastAsia="Times New Roman" w:hAnsi="Times New Roman" w:cs="Times New Roman"/>
                <w:b/>
                <w:i/>
                <w:strike w:val="0"/>
                <w:color w:val="000000"/>
                <w:sz w:val="24"/>
                <w:highlight w:val="none"/>
                <w:u w:val="none" w:color="auto"/>
              </w:rPr>
              <w:t xml:space="preserve">  </w:t>
            </w:r>
            <w:r>
              <w:t>és arcképmások</w:t>
            </w:r>
            <w:r>
              <w:rPr>
                <w:rFonts w:ascii="Times New Roman" w:eastAsia="Times New Roman" w:hAnsi="Times New Roman" w:cs="Times New Roman"/>
                <w:b/>
                <w:i/>
                <w:strike w:val="0"/>
                <w:color w:val="000000"/>
                <w:sz w:val="24"/>
                <w:highlight w:val="none"/>
                <w:u w:val="none" w:color="auto"/>
              </w:rPr>
              <w:t xml:space="preserve">  </w:t>
            </w:r>
            <w:r>
              <w:t>összehasonlítására irányuló kéréseit a központi rendszerbe továbbítja.</w:t>
            </w:r>
          </w:p>
        </w:tc>
        <w:tc>
          <w:tcPr/>
          <w:p>
            <w:pPr>
              <w:pStyle w:val="Normal6"/>
            </w:pPr>
            <w:r>
              <w:t>(1)</w:t>
            </w:r>
            <w:r>
              <w:tab/>
            </w:r>
            <w:r>
              <w:t>Az 1. cikk (1) bekezdésének c) pontjában meghatározott célokból az Europol megfelelő felhatalmazással rendelkező tisztviselőkből álló speciális egységet jelöl ki ellenőrző hatóságaként, amely az e cikk (2) bekezdésében említett kijelölt hatóságoktól függetlenül jár el az e rendelet értelmében fennálló feladatai végzése során, és az ellenőrzés kimenetelét illetően a kijelölt hatóságtól utasítást nem fogad el. Az egység biztosítja azoknak a feltételeknek a teljesülését, amelyek az ujjnyomatok</w:t>
            </w:r>
            <w:r>
              <w:rPr>
                <w:rFonts w:ascii="Times New Roman" w:eastAsia="Times New Roman" w:hAnsi="Times New Roman" w:cs="Times New Roman"/>
                <w:b/>
                <w:i/>
                <w:strike w:val="0"/>
                <w:color w:val="000000"/>
                <w:sz w:val="24"/>
                <w:highlight w:val="none"/>
                <w:u w:val="none" w:color="auto"/>
              </w:rPr>
              <w:t xml:space="preserve"> </w:t>
            </w:r>
            <w:r>
              <w:t>és arcképmások</w:t>
            </w:r>
            <w:r>
              <w:rPr>
                <w:rFonts w:ascii="Times New Roman" w:eastAsia="Times New Roman" w:hAnsi="Times New Roman" w:cs="Times New Roman"/>
                <w:b/>
                <w:i/>
                <w:strike w:val="0"/>
                <w:color w:val="000000"/>
                <w:sz w:val="24"/>
                <w:highlight w:val="none"/>
                <w:u w:val="none" w:color="auto"/>
              </w:rPr>
              <w:t xml:space="preserve"> </w:t>
            </w:r>
            <w:r>
              <w:t xml:space="preserve">Eurodac-adatokkal történő összehasonlítás kéréséhez szükségesek. </w:t>
            </w:r>
            <w:r>
              <w:rPr>
                <w:rFonts w:ascii="Times New Roman" w:eastAsia="Times New Roman" w:hAnsi="Times New Roman" w:cs="Times New Roman"/>
                <w:b/>
                <w:i/>
                <w:strike w:val="0"/>
                <w:color w:val="000000"/>
                <w:sz w:val="24"/>
                <w:highlight w:val="none"/>
                <w:u w:val="none" w:color="auto"/>
              </w:rPr>
              <w:t>A feltételek teljesülése esetén az Europol</w:t>
            </w:r>
            <w:r>
              <w:t> az ujjnyomatadatok</w:t>
            </w:r>
            <w:r>
              <w:rPr>
                <w:rFonts w:ascii="Times New Roman" w:eastAsia="Times New Roman" w:hAnsi="Times New Roman" w:cs="Times New Roman"/>
                <w:b/>
                <w:i/>
                <w:strike w:val="0"/>
                <w:color w:val="000000"/>
                <w:sz w:val="24"/>
                <w:highlight w:val="none"/>
                <w:u w:val="none" w:color="auto"/>
              </w:rPr>
              <w:t xml:space="preserve"> </w:t>
            </w:r>
            <w:r>
              <w:t>és arcképmások</w:t>
            </w:r>
            <w:r>
              <w:rPr>
                <w:rFonts w:ascii="Times New Roman" w:eastAsia="Times New Roman" w:hAnsi="Times New Roman" w:cs="Times New Roman"/>
                <w:b/>
                <w:i/>
                <w:strike w:val="0"/>
                <w:color w:val="000000"/>
                <w:sz w:val="24"/>
                <w:highlight w:val="none"/>
                <w:u w:val="none" w:color="auto"/>
              </w:rPr>
              <w:t xml:space="preserve"> </w:t>
            </w:r>
            <w:r>
              <w:t>összehasonlítására irányuló kéréseit a központi rendszerbe továbbítja.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Ez a módosítás az 1. cikk (1) bekezdése c) pontjához kapcsolódik. Az Europol technikai és adatvédelmi okokból kifolyólag jelenleg nem képes összehasonlítást kérni a nemzeti kapcsolattartó ponton keresztül, annak ellenére hogy a jogalkotó ezt 2013-ban, a legutóbbi átdolgozási eljárás során lehetővé tette az Europol számára. Ezért az Europol számára lehetővé kell tenni, hogy kitérők nélkül összehasonlítást kérjen.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232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8 cikk – 1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(1)</w:t>
            </w:r>
            <w:r>
              <w:tab/>
            </w:r>
            <w:r>
              <w:t>Az 1. cikk (1) bekezdésének c) pontjában meghatározott célokból az Europol megfelelő felhatalmazással rendelkező tisztviselőkből álló speciális egységet jelöl ki ellenőrző hatóságaként, amely az e cikk (2) bekezdésében említett kijelölt hatóságoktól függetlenül jár el az e rendelet értelmében fennálló feladatai végzése során, és az ellenőrzés kimenetelét illetően a kijelölt hatóságtól utasítást nem fogad el. Az egység biztosítja azoknak a feltételeknek a teljesülését, amelyek az ujjnyomatok</w:t>
            </w:r>
            <w:r>
              <w:rPr>
                <w:rFonts w:ascii="Times New Roman" w:eastAsia="Times New Roman" w:hAnsi="Times New Roman" w:cs="Times New Roman"/>
                <w:b/>
                <w:i/>
                <w:strike w:val="0"/>
                <w:color w:val="000000"/>
                <w:sz w:val="24"/>
                <w:highlight w:val="none"/>
                <w:u w:val="none" w:color="auto"/>
              </w:rPr>
              <w:t xml:space="preserve">  és</w:t>
            </w:r>
            <w:r>
              <w:t xml:space="preserve"> arcképmások</w:t>
            </w:r>
            <w:r>
              <w:rPr>
                <w:rFonts w:ascii="Times New Roman" w:eastAsia="Times New Roman" w:hAnsi="Times New Roman" w:cs="Times New Roman"/>
                <w:b/>
                <w:i/>
                <w:strike w:val="0"/>
                <w:color w:val="000000"/>
                <w:sz w:val="24"/>
                <w:highlight w:val="none"/>
                <w:u w:val="none" w:color="auto"/>
              </w:rPr>
              <w:t xml:space="preserve">  </w:t>
            </w:r>
            <w:r>
              <w:t xml:space="preserve">Eurodac-adatokkal történő </w:t>
            </w:r>
            <w:r>
              <w:rPr>
                <w:rFonts w:ascii="Times New Roman" w:eastAsia="Times New Roman" w:hAnsi="Times New Roman" w:cs="Times New Roman"/>
                <w:b/>
                <w:i/>
                <w:strike w:val="0"/>
                <w:color w:val="000000"/>
                <w:sz w:val="24"/>
                <w:highlight w:val="none"/>
                <w:u w:val="none" w:color="auto"/>
              </w:rPr>
              <w:t>összehasonlítás</w:t>
            </w:r>
            <w:r>
              <w:t xml:space="preserve"> kéréséhez szükségesek. Az Europol az egyes tagállamokkal egyetértésben az adott tagállam nemzeti hozzáférési pontját jelöli ki azon hatóságként, amely az ujjnyomatadatok</w:t>
            </w:r>
            <w:r>
              <w:rPr>
                <w:rFonts w:ascii="Times New Roman" w:eastAsia="Times New Roman" w:hAnsi="Times New Roman" w:cs="Times New Roman"/>
                <w:b/>
                <w:i/>
                <w:strike w:val="0"/>
                <w:color w:val="000000"/>
                <w:sz w:val="24"/>
                <w:highlight w:val="none"/>
                <w:u w:val="none" w:color="auto"/>
              </w:rPr>
              <w:t xml:space="preserve">  és</w:t>
            </w:r>
            <w:r>
              <w:t xml:space="preserve"> arcképmások</w:t>
            </w:r>
            <w:r>
              <w:rPr>
                <w:rFonts w:ascii="Times New Roman" w:eastAsia="Times New Roman" w:hAnsi="Times New Roman" w:cs="Times New Roman"/>
                <w:b/>
                <w:i/>
                <w:strike w:val="0"/>
                <w:color w:val="000000"/>
                <w:sz w:val="24"/>
                <w:highlight w:val="none"/>
                <w:u w:val="none" w:color="auto"/>
              </w:rPr>
              <w:t xml:space="preserve">  </w:t>
            </w:r>
            <w:r>
              <w:t>összehasonlítására irányuló kéréseit a központi rendszerbe továbbítja.</w:t>
            </w:r>
          </w:p>
        </w:tc>
        <w:tc>
          <w:tcPr/>
          <w:p>
            <w:pPr>
              <w:pStyle w:val="Normal6"/>
            </w:pPr>
            <w:r>
              <w:t>(1)</w:t>
            </w:r>
            <w:r>
              <w:tab/>
            </w:r>
            <w:r>
              <w:t>Az 1. cikk (1) bekezdésének c) pontjában meghatározott célokból az Europol megfelelő felhatalmazással rendelkező tisztviselőkből álló speciális egységet jelöl ki ellenőrző hatóságaként, amely az e cikk (2) bekezdésében említett kijelölt hatóságoktól függetlenül jár el az e rendelet értelmében fennálló feladatai végzése során, és az ellenőrzés kimenetelét illetően a kijelölt hatóságtól utasítást nem fogad el. Az egység biztosítja azoknak a feltételeknek a teljesülését, amelyek az ujjnyomatok</w:t>
            </w:r>
            <w:r>
              <w:rPr>
                <w:rFonts w:ascii="Times New Roman" w:eastAsia="Times New Roman" w:hAnsi="Times New Roman" w:cs="Times New Roman"/>
                <w:b/>
                <w:i/>
                <w:strike w:val="0"/>
                <w:color w:val="000000"/>
                <w:sz w:val="24"/>
                <w:highlight w:val="none"/>
                <w:u w:val="none" w:color="auto"/>
              </w:rPr>
              <w:t>,</w:t>
            </w:r>
            <w:r>
              <w:t xml:space="preserve"> arcképmások</w:t>
            </w:r>
            <w:r>
              <w:rPr>
                <w:rFonts w:ascii="Times New Roman" w:eastAsia="Times New Roman" w:hAnsi="Times New Roman" w:cs="Times New Roman"/>
                <w:b/>
                <w:i/>
                <w:strike w:val="0"/>
                <w:color w:val="000000"/>
                <w:sz w:val="24"/>
                <w:highlight w:val="none"/>
                <w:u w:val="none" w:color="auto"/>
              </w:rPr>
              <w:t xml:space="preserve"> vagy mindkettő </w:t>
            </w:r>
            <w:r>
              <w:t xml:space="preserve">Eurodac-adatokkal történő </w:t>
            </w:r>
            <w:r>
              <w:rPr>
                <w:rFonts w:ascii="Times New Roman" w:eastAsia="Times New Roman" w:hAnsi="Times New Roman" w:cs="Times New Roman"/>
                <w:b/>
                <w:i/>
                <w:strike w:val="0"/>
                <w:color w:val="000000"/>
                <w:sz w:val="24"/>
                <w:highlight w:val="none"/>
                <w:u w:val="none" w:color="auto"/>
              </w:rPr>
              <w:t>összehasonlítása</w:t>
            </w:r>
            <w:r>
              <w:t xml:space="preserve"> kéréséhez szükségesek. Az Europol az egyes tagállamokkal egyetértésben az adott tagállam nemzeti hozzáférési pontját jelöli ki azon hatóságként, amely az ujjnyomatadatok</w:t>
            </w:r>
            <w:r>
              <w:rPr>
                <w:rFonts w:ascii="Times New Roman" w:eastAsia="Times New Roman" w:hAnsi="Times New Roman" w:cs="Times New Roman"/>
                <w:b/>
                <w:i/>
                <w:strike w:val="0"/>
                <w:color w:val="000000"/>
                <w:sz w:val="24"/>
                <w:highlight w:val="none"/>
                <w:u w:val="none" w:color="auto"/>
              </w:rPr>
              <w:t>,</w:t>
            </w:r>
            <w:r>
              <w:t xml:space="preserve"> arcképmások</w:t>
            </w:r>
            <w:r>
              <w:rPr>
                <w:rFonts w:ascii="Times New Roman" w:eastAsia="Times New Roman" w:hAnsi="Times New Roman" w:cs="Times New Roman"/>
                <w:b/>
                <w:i/>
                <w:strike w:val="0"/>
                <w:color w:val="000000"/>
                <w:sz w:val="24"/>
                <w:highlight w:val="none"/>
                <w:u w:val="none" w:color="auto"/>
              </w:rPr>
              <w:t xml:space="preserve"> vagy mindkettő </w:t>
            </w:r>
            <w:r>
              <w:t>összehasonlítására irányuló kéréseit a központi rendszerbe továbbítja.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233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8 cikk – 2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 xml:space="preserve">Az 1. cikk (1) bekezdésének c) pontjában említett </w:t>
            </w:r>
            <w:r>
              <w:rPr>
                <w:rFonts w:ascii="Times New Roman" w:eastAsia="Times New Roman" w:hAnsi="Times New Roman" w:cs="Times New Roman"/>
                <w:b/>
                <w:i/>
                <w:strike w:val="0"/>
                <w:color w:val="000000"/>
                <w:sz w:val="24"/>
                <w:highlight w:val="none"/>
                <w:u w:val="none" w:color="auto"/>
              </w:rPr>
              <w:t>célból</w:t>
            </w:r>
            <w:r>
              <w:t xml:space="preserve"> az Europol </w:t>
            </w:r>
            <w:r>
              <w:rPr>
                <w:rFonts w:ascii="Times New Roman" w:eastAsia="Times New Roman" w:hAnsi="Times New Roman" w:cs="Times New Roman"/>
                <w:b/>
                <w:i/>
                <w:strike w:val="0"/>
                <w:color w:val="000000"/>
                <w:sz w:val="24"/>
                <w:highlight w:val="none"/>
                <w:u w:val="none" w:color="auto"/>
              </w:rPr>
              <w:t>kijelöli azt az operatív</w:t>
            </w:r>
            <w:r>
              <w:t xml:space="preserve"> egységet</w:t>
            </w:r>
            <w:r>
              <w:rPr>
                <w:rFonts w:ascii="Times New Roman" w:eastAsia="Times New Roman" w:hAnsi="Times New Roman" w:cs="Times New Roman"/>
                <w:b/>
                <w:i/>
                <w:strike w:val="0"/>
                <w:color w:val="000000"/>
                <w:sz w:val="24"/>
                <w:highlight w:val="none"/>
                <w:u w:val="none" w:color="auto"/>
              </w:rPr>
              <w:t>, amely jogosult arra, hogy a kijelölt nemzeti hozzáférési ponton keresztül kérje az Eurodac-adatokkal történő összehasonlítást. A kijelölt hatóság az Europol operatív egységét képezi, amely az Europol hatáskörébe tartozó terrorcselekmények vagy egyéb súlyos bűncselekmények megelőzésére, felderítésére vagy kivizsgálására irányuló tagállami fellépés támogatása és fokozása érdekében jogosult az információgyűjtésre, -tárolásra, -feldolgozásra, -elemzésre és -cserére</w:t>
            </w:r>
            <w:r>
              <w:t>.</w:t>
            </w:r>
          </w:p>
        </w:tc>
        <w:tc>
          <w:tcPr/>
          <w:p>
            <w:pPr>
              <w:pStyle w:val="Normal6"/>
            </w:pPr>
            <w:r>
              <w:t>(2)</w:t>
            </w:r>
            <w:r>
              <w:tab/>
            </w:r>
            <w:r>
              <w:t xml:space="preserve">Az 1. cikk (1) bekezdésének c) pontjában említett </w:t>
            </w:r>
            <w:r>
              <w:rPr>
                <w:rFonts w:ascii="Times New Roman" w:eastAsia="Times New Roman" w:hAnsi="Times New Roman" w:cs="Times New Roman"/>
                <w:b/>
                <w:i/>
                <w:strike w:val="0"/>
                <w:color w:val="000000"/>
                <w:sz w:val="24"/>
                <w:highlight w:val="none"/>
                <w:u w:val="none" w:color="auto"/>
              </w:rPr>
              <w:t>célokból</w:t>
            </w:r>
            <w:r>
              <w:t xml:space="preserve"> az Europol </w:t>
            </w:r>
            <w:r>
              <w:rPr>
                <w:rFonts w:ascii="Times New Roman" w:eastAsia="Times New Roman" w:hAnsi="Times New Roman" w:cs="Times New Roman"/>
                <w:b/>
                <w:i/>
                <w:strike w:val="0"/>
                <w:color w:val="000000"/>
                <w:sz w:val="24"/>
                <w:highlight w:val="none"/>
                <w:u w:val="none" w:color="auto"/>
              </w:rPr>
              <w:t>kellően felhatalmazott Europol-tisztviselőkből álló speciális</w:t>
            </w:r>
            <w:r>
              <w:t xml:space="preserve"> egységet</w:t>
            </w:r>
            <w:r>
              <w:rPr>
                <w:rFonts w:ascii="Times New Roman" w:eastAsia="Times New Roman" w:hAnsi="Times New Roman" w:cs="Times New Roman"/>
                <w:b/>
                <w:i/>
                <w:strike w:val="0"/>
                <w:color w:val="000000"/>
                <w:sz w:val="24"/>
                <w:highlight w:val="none"/>
                <w:u w:val="none" w:color="auto"/>
              </w:rPr>
              <w:t xml:space="preserve"> jelöl ki központi hozzáférési pontként. A központi hozzáférési pont ellenőrzi a 22. cikkben foglalt, az Eurodachoz való hozzáférés kérelmezésére vonatkozó feltételek teljesülését.</w:t>
            </w:r>
            <w:r>
              <w:br/>
            </w:r>
            <w:r>
              <w:rPr>
                <w:rFonts w:ascii="Times New Roman" w:eastAsia="Times New Roman" w:hAnsi="Times New Roman" w:cs="Times New Roman"/>
                <w:b/>
                <w:i/>
                <w:strike w:val="0"/>
                <w:color w:val="000000"/>
                <w:sz w:val="24"/>
                <w:highlight w:val="none"/>
                <w:u w:val="none" w:color="auto"/>
              </w:rPr>
              <w:t>A központi hozzáférési pontnak az e rendelet szerinti feladatai teljesítése során függetlenül kell eljárnia, és az ellenőrzés kimenetelét illetően nem fogadhat el utasításokat az (1) bekezdésben említett kijelölt hatóságtól</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 célnak a nem kodifikált javaslat 1. cikke (1) bekezdése c) pontjában megállapított kiterjesztésével összhangban, amely előírja, hogy az Eurodac nem csak a Dublini Rendelet végrehajtására, hanem bűnüldözési célokra is szolgál. A tagállami kijelölt hatóságok és az Europol kötelezettségeinek teljesítése érdekében az Eurodachoz való hozzáférést célzó eljárásnak gyorsnak és hatékonynak kell lennie, ugyanakkor figyelembe kell venni, hogy az Eurodac fő célja a tagállamok a Dublini Rendelet végrehajtásában való támogatása.</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234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Sylvia-Yvonne Kaufmann</w:t>
      </w:r>
      <w:r>
        <w:t xml:space="preserve">, </w:t>
      </w:r>
      <w:r>
        <w:t>Josef Weidenholzer</w:t>
      </w:r>
      <w:r>
        <w:t xml:space="preserve">, </w:t>
      </w:r>
      <w:r>
        <w:t>Vilija Blinkevičiūtė</w:t>
      </w:r>
      <w:r>
        <w:t xml:space="preserve">, </w:t>
      </w:r>
      <w:r>
        <w:t>Péter Niedermüller</w:t>
      </w:r>
      <w:r>
        <w:t xml:space="preserve">, </w:t>
      </w:r>
      <w:r>
        <w:t>Maria Grapini</w:t>
      </w:r>
      <w:r>
        <w:t xml:space="preserve">, </w:t>
      </w:r>
      <w:r>
        <w:t>Juan Fernando López Aguilar</w:t>
      </w:r>
      <w:r>
        <w:t xml:space="preserve">, </w:t>
      </w:r>
      <w:r>
        <w:t>Caterina Chinnici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8 cikk – 2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 xml:space="preserve">Az 1. cikk (1) bekezdésének c) pontjában említett célból az Europol kijelöli azt az operatív egységet, amely jogosult arra, hogy </w:t>
            </w:r>
            <w:r>
              <w:rPr>
                <w:rFonts w:ascii="Times New Roman" w:eastAsia="Times New Roman" w:hAnsi="Times New Roman" w:cs="Times New Roman"/>
                <w:b/>
                <w:i/>
                <w:strike w:val="0"/>
                <w:color w:val="000000"/>
                <w:sz w:val="24"/>
                <w:highlight w:val="none"/>
                <w:u w:val="none" w:color="auto"/>
              </w:rPr>
              <w:t xml:space="preserve">a kijelölt nemzeti hozzáférési ponton keresztül </w:t>
            </w:r>
            <w:r>
              <w:t>kérje az Eurodac-adatokkal történő összehasonlítást. A kijelölt hatóság az Europol operatív egységét képezi, amely az Europol hatáskörébe tartozó terrorcselekmények vagy egyéb súlyos bűncselekmények megelőzésére, felderítésére vagy kivizsgálására irányuló tagállami fellépés támogatása és fokozása érdekében jogosult az információgyűjtésre, -tárolásra, -feldolgozásra, -elemzésre és -cserére.</w:t>
            </w:r>
          </w:p>
        </w:tc>
        <w:tc>
          <w:tcPr/>
          <w:p>
            <w:pPr>
              <w:pStyle w:val="Normal6"/>
            </w:pPr>
            <w:r>
              <w:t>(2)</w:t>
            </w:r>
            <w:r>
              <w:tab/>
            </w:r>
            <w:r>
              <w:t>Az 1. cikk (1) bekezdésének c) pontjában említett célból az Europol kijelöli azt az operatív egységet, amely jogosult arra, hogy kérje az Eurodac-adatokkal történő összehasonlítást. A kijelölt hatóság az Europol operatív egységét képezi, amely az Europol hatáskörébe tartozó terrorcselekmények vagy egyéb súlyos bűncselekmények megelőzésére, felderítésére vagy kivizsgálására irányuló tagállami fellépés támogatása és fokozása érdekében jogosult az információgyűjtésre, -tárolásra, -feldolgozásra, -elemzésre és -cserére.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Ez a módosítás az 1. cikk (1) bekezdése c) pontjához kapcsolódik. Az Europol technikai és adatvédelmi okokból kifolyólag jelenleg nem képes összehasonlítást kérni a nemzeti kapcsolattartó ponton keresztül, annak ellenére hogy a jogalkotó ezt 2013-ban, a legutóbbi átdolgozási eljárás során lehetővé tette az Europol számára. Ezért az Europol számára lehetővé kell tenni, hogy kitérők nélkül összehasonlítást kérjen.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235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Sophia in 't Veld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8 cikk – 2 a bekezdés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(2a)</w:t>
            </w:r>
            <w:r>
              <w:tab/>
            </w:r>
            <w:r>
              <w:rPr>
                <w:rFonts w:ascii="Times New Roman" w:eastAsia="Times New Roman" w:hAnsi="Times New Roman" w:cs="Times New Roman"/>
                <w:b/>
                <w:i/>
                <w:strike w:val="0"/>
                <w:color w:val="000000"/>
                <w:sz w:val="24"/>
                <w:highlight w:val="none"/>
                <w:u w:val="none" w:color="auto"/>
              </w:rPr>
              <w:t>Az 1. cikk (1) bekezdésének ca) pontjában említett célokból az Europol kijelöl egy az eltűnt gyermekekkel és az emberkereskedelem áldozatául esett gyermekekkel foglalkozó operatív egységet. A kijelölt hatóság az Europol operatív egységét képezi, amely a gyermekkereskedelem, gyermekmunka vagy gyermekek szexuális kizsákmányolásának megelőzésére, felderítésére vagy kivizsgálására irányuló tagállami fellépés támogatása és fokozása érdekében jogosult az információgyűjtésre, -tárolásra, -feldolgozásra, -elemzésre és -cserére.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In accordance with rule 104 of the rules of procedure, this amendment is necessary because it is inextricably linked to other admissible amendments related to further purposes of Eurodac (Article 1), related to family reunification and the identification and protection of minors. While lowering the age of taking fingerprints and facial images to six years (Article 10, 13 and 14), the purpose of Eurodac should also be facilitating family reunification and identify and protect child victims of human trafficking. This purpose will positively contribute to the protection of the rights of the child, including the rights of unaccompanied minors. Introducing a Europol operating unit on missing children and child victims of trafficking in human beings will contribute to this purpose.</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236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Monika Hohlmeier</w:t>
      </w:r>
      <w:r>
        <w:t xml:space="preserve">, </w:t>
      </w:r>
      <w:r>
        <w:t>Heinz K. Becker</w:t>
      </w:r>
      <w:r>
        <w:t xml:space="preserve">, </w:t>
      </w:r>
      <w:r>
        <w:t>Rachida Dati</w:t>
      </w:r>
      <w:r>
        <w:t xml:space="preserve">, </w:t>
      </w:r>
      <w:r>
        <w:t>Brice Hortefeux</w:t>
      </w:r>
      <w:r>
        <w:t xml:space="preserve">, </w:t>
      </w:r>
      <w:r>
        <w:t>Mariya Gabriel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8 a cikk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Center"/>
            </w:pPr>
            <w:r>
              <w:rPr>
                <w:rFonts w:ascii="Times New Roman" w:eastAsia="Times New Roman" w:hAnsi="Times New Roman" w:cs="Times New Roman"/>
                <w:b/>
                <w:i/>
                <w:strike w:val="0"/>
                <w:color w:val="000000"/>
                <w:sz w:val="24"/>
                <w:highlight w:val="none"/>
                <w:u w:val="none" w:color="auto"/>
              </w:rPr>
              <w:t>8a. cikk</w:t>
            </w:r>
            <w:r>
              <w:tab/>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Center"/>
            </w:pPr>
            <w:r>
              <w:rPr>
                <w:rFonts w:ascii="Times New Roman" w:eastAsia="Times New Roman" w:hAnsi="Times New Roman" w:cs="Times New Roman"/>
                <w:b/>
                <w:i/>
                <w:strike w:val="0"/>
                <w:color w:val="000000"/>
                <w:sz w:val="24"/>
                <w:highlight w:val="none"/>
                <w:u w:val="none" w:color="auto"/>
              </w:rPr>
              <w:t>Európai Határ- és Parti Őrség</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Az (EU) 2016/1624 rendelet 40. cikkének (8) bekezdése értelmében az Európai Határ- és Parti Őrség tagjai vagy a visszaküldési műveletekben közreműködő személyzetből álló csapatok tagja és a migrációkezelést támogató csoportok tagjai saját megbízatásuk keretein belül jogosultak az Eurodacban rögzített adatokhoz hozzáférni és azokban keresni. Ennek során a 10. cikk (10) bekezdésének 3a) pontjában említetteknek megfelelően az Európai Határ- és Partvédelmi Ügynökség által létrehozott és karbantartott technikai interfészt használják.</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Ez a módosítás megfelel az Eurodac által ellátott, az 1. cikk (1) bekezdésének új b) pontjában megállapított új szerepkörnek. Az Eurodac segítséget nyújt az illegális bevándorlás és továbbutazás ellenőrzésében. Új megbízatása keretében az újonnan létrehozott Európai Határ- és Partvédelmi Ügynökség szintén ellátja ezt a feladatot. Az Európai Határ- és Partvédelmi Ügynökség hozzáférése biztosítja az Eurodacban rejlő új lehetőségek teljes kihasználását.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237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Gérard Deprez</w:t>
      </w:r>
      <w:r>
        <w:t xml:space="preserve">, </w:t>
      </w:r>
      <w:r>
        <w:t>Louis Michel</w:t>
      </w:r>
      <w:r>
        <w:t xml:space="preserve">, </w:t>
      </w:r>
      <w:r>
        <w:t>Petr Ježek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9 cikk – 1 bekezdés – a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a)</w:t>
            </w:r>
            <w:r>
              <w:tab/>
            </w:r>
            <w:r>
              <w:t>a 10. cikk (1) bekezdésében, a 13. cikk (1) bekezdésében és a 14. cikk (1) bekezdésében említett személyekkel kapcsolatosan továbbított adatkészletek száma;</w:t>
            </w:r>
          </w:p>
        </w:tc>
        <w:tc>
          <w:tcPr/>
          <w:p>
            <w:pPr>
              <w:pStyle w:val="Normal6"/>
            </w:pPr>
            <w:r>
              <w:t>a)</w:t>
            </w:r>
            <w:r>
              <w:tab/>
            </w:r>
            <w:r>
              <w:t xml:space="preserve">a 10. cikk (1) bekezdésében, a </w:t>
            </w:r>
            <w:r>
              <w:rPr>
                <w:rFonts w:ascii="Times New Roman" w:eastAsia="Times New Roman" w:hAnsi="Times New Roman" w:cs="Times New Roman"/>
                <w:b/>
                <w:i/>
                <w:strike w:val="0"/>
                <w:color w:val="000000"/>
                <w:sz w:val="24"/>
                <w:highlight w:val="none"/>
                <w:u w:val="none" w:color="auto"/>
              </w:rPr>
              <w:t xml:space="preserve">12a. cikkben, a </w:t>
            </w:r>
            <w:r>
              <w:t>13. cikk (1) bekezdésében és a 14. cikk (1) bekezdésében említett személyekkel kapcsolatosan továbbított adatkészletek száma;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Átdolgozás: a módosítás az új kategória hozzáadására irányuló javaslathoz kapcsolódik (új fejezet IIa.) és a szöveg koherenciáját célozza e kiegészítés tekintetében.</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238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9 cikk – 1 bekezdés – a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a)</w:t>
            </w:r>
            <w:r>
              <w:tab/>
            </w:r>
            <w:r>
              <w:t>a 10. cikk (1) bekezdésében</w:t>
            </w:r>
            <w:r>
              <w:rPr>
                <w:rFonts w:ascii="Times New Roman" w:eastAsia="Times New Roman" w:hAnsi="Times New Roman" w:cs="Times New Roman"/>
                <w:b/>
                <w:i/>
                <w:strike w:val="0"/>
                <w:color w:val="000000"/>
                <w:sz w:val="24"/>
                <w:highlight w:val="none"/>
                <w:u w:val="none" w:color="auto"/>
              </w:rPr>
              <w:t>, a 13. cikk (1) bekezdésében és a 14</w:t>
            </w:r>
            <w:r>
              <w:t>. cikk (1) bekezdésében említett személyekkel kapcsolatosan továbbított adatkészletek száma;</w:t>
            </w:r>
          </w:p>
        </w:tc>
        <w:tc>
          <w:tcPr/>
          <w:p>
            <w:pPr>
              <w:pStyle w:val="Normal6"/>
            </w:pPr>
            <w:r>
              <w:t>a)</w:t>
            </w:r>
            <w:r>
              <w:tab/>
            </w:r>
            <w:r>
              <w:t>a 10. cikk (1) bekezdésében</w:t>
            </w:r>
            <w:r>
              <w:rPr>
                <w:rFonts w:ascii="Times New Roman" w:eastAsia="Times New Roman" w:hAnsi="Times New Roman" w:cs="Times New Roman"/>
                <w:b/>
                <w:i/>
                <w:strike w:val="0"/>
                <w:color w:val="000000"/>
                <w:sz w:val="24"/>
                <w:highlight w:val="none"/>
                <w:u w:val="none" w:color="auto"/>
              </w:rPr>
              <w:t xml:space="preserve"> és a 13</w:t>
            </w:r>
            <w:r>
              <w:t>. cikk (1) bekezdésében említett személyekkel kapcsolatosan továbbított adatkészletek száma;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Ez a módosítás elfogadható, mivel elválaszthatatlanul összekapcsolódik a 14. cikk (1) bekezdését, a 14. cikk (2) bekezdését, a 14. cikk (4) bekezdését, a 14. cikk (5) bekezdését és a 14. cikk (6) bekezdését törlő, elfogadható módosításokkal.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239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Malin Björk</w:t>
      </w:r>
      <w:r>
        <w:t xml:space="preserve">, </w:t>
      </w:r>
      <w:r>
        <w:t>Barbara Spinelli</w:t>
      </w:r>
      <w:r>
        <w:t xml:space="preserve">, </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9 cikk – 1 bekezdés – b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b)</w:t>
            </w:r>
            <w:r>
              <w:tab/>
            </w:r>
            <w:r>
              <w:t>a találatok száma</w:t>
            </w:r>
            <w:r>
              <w:rPr>
                <w:rFonts w:ascii="Times New Roman" w:eastAsia="Times New Roman" w:hAnsi="Times New Roman" w:cs="Times New Roman"/>
                <w:b/>
                <w:i/>
                <w:strike w:val="0"/>
                <w:color w:val="000000"/>
                <w:sz w:val="24"/>
                <w:highlight w:val="none"/>
                <w:u w:val="none" w:color="auto"/>
              </w:rPr>
              <w:t xml:space="preserve">  </w:t>
            </w:r>
            <w:r>
              <w:t>a 10. cikk (1) bekezdésében említett azon személyek esetében, akik</w:t>
            </w:r>
            <w:r>
              <w:rPr>
                <w:rFonts w:ascii="Times New Roman" w:eastAsia="Times New Roman" w:hAnsi="Times New Roman" w:cs="Times New Roman"/>
                <w:b/>
                <w:i/>
                <w:strike w:val="0"/>
                <w:color w:val="000000"/>
                <w:sz w:val="24"/>
                <w:highlight w:val="none"/>
                <w:u w:val="none" w:color="auto"/>
              </w:rPr>
              <w:t xml:space="preserve">  </w:t>
            </w:r>
            <w:r>
              <w:t>később</w:t>
            </w:r>
            <w:r>
              <w:rPr>
                <w:rFonts w:ascii="Times New Roman" w:eastAsia="Times New Roman" w:hAnsi="Times New Roman" w:cs="Times New Roman"/>
                <w:b/>
                <w:i/>
                <w:strike w:val="0"/>
                <w:color w:val="000000"/>
                <w:sz w:val="24"/>
                <w:highlight w:val="none"/>
                <w:u w:val="none" w:color="auto"/>
              </w:rPr>
              <w:t xml:space="preserve">  </w:t>
            </w:r>
            <w:r>
              <w:t>valamely más tagállamban nemzetközi védelem iránti kérelmet nyújtottak be</w:t>
            </w:r>
            <w:r>
              <w:rPr>
                <w:rFonts w:ascii="Times New Roman" w:eastAsia="Times New Roman" w:hAnsi="Times New Roman" w:cs="Times New Roman"/>
                <w:b/>
                <w:i/>
                <w:strike w:val="0"/>
                <w:color w:val="000000"/>
                <w:sz w:val="24"/>
                <w:highlight w:val="none"/>
                <w:u w:val="none" w:color="auto"/>
              </w:rPr>
              <w:t xml:space="preserve">  , akiket külső határ jogellenes átlépése miatt letartóztattak és akik valamely tagállam területén jogellenesen tartózkodnak  </w:t>
            </w:r>
            <w:r>
              <w:t>;</w:t>
            </w:r>
          </w:p>
        </w:tc>
        <w:tc>
          <w:tcPr/>
          <w:p>
            <w:pPr>
              <w:pStyle w:val="Normal6"/>
            </w:pPr>
            <w:r>
              <w:t>b)</w:t>
            </w:r>
            <w:r>
              <w:tab/>
            </w:r>
            <w:r>
              <w:t>a találatok száma</w:t>
            </w:r>
            <w:r>
              <w:rPr>
                <w:rFonts w:ascii="Times New Roman" w:eastAsia="Times New Roman" w:hAnsi="Times New Roman" w:cs="Times New Roman"/>
                <w:b/>
                <w:i/>
                <w:strike w:val="0"/>
                <w:color w:val="000000"/>
                <w:sz w:val="24"/>
                <w:highlight w:val="none"/>
                <w:u w:val="none" w:color="auto"/>
              </w:rPr>
              <w:t xml:space="preserve"> </w:t>
            </w:r>
            <w:r>
              <w:t>a 10. cikk (1) bekezdésében említett azon személyek esetében, akik</w:t>
            </w:r>
            <w:r>
              <w:rPr>
                <w:rFonts w:ascii="Times New Roman" w:eastAsia="Times New Roman" w:hAnsi="Times New Roman" w:cs="Times New Roman"/>
                <w:b/>
                <w:i/>
                <w:strike w:val="0"/>
                <w:color w:val="000000"/>
                <w:sz w:val="24"/>
                <w:highlight w:val="none"/>
                <w:u w:val="none" w:color="auto"/>
              </w:rPr>
              <w:t xml:space="preserve"> </w:t>
            </w:r>
            <w:r>
              <w:t>később</w:t>
            </w:r>
            <w:r>
              <w:rPr>
                <w:rFonts w:ascii="Times New Roman" w:eastAsia="Times New Roman" w:hAnsi="Times New Roman" w:cs="Times New Roman"/>
                <w:b/>
                <w:i/>
                <w:strike w:val="0"/>
                <w:color w:val="000000"/>
                <w:sz w:val="24"/>
                <w:highlight w:val="none"/>
                <w:u w:val="none" w:color="auto"/>
              </w:rPr>
              <w:t xml:space="preserve"> </w:t>
            </w:r>
            <w:r>
              <w:t>valamely más tagállamban nemzetközi védelem iránti kérelmet nyújtottak be;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240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9 cikk – 1 bekezdés – b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b)</w:t>
            </w:r>
            <w:r>
              <w:tab/>
            </w:r>
            <w:r>
              <w:t>a találatok száma</w:t>
            </w:r>
            <w:r>
              <w:rPr>
                <w:rFonts w:ascii="Times New Roman" w:eastAsia="Times New Roman" w:hAnsi="Times New Roman" w:cs="Times New Roman"/>
                <w:b/>
                <w:i/>
                <w:strike w:val="0"/>
                <w:color w:val="000000"/>
                <w:sz w:val="24"/>
                <w:highlight w:val="none"/>
                <w:u w:val="none" w:color="auto"/>
              </w:rPr>
              <w:t xml:space="preserve">  </w:t>
            </w:r>
            <w:r>
              <w:t>a 10. cikk (1) bekezdésében említett azon személyek esetében, akik</w:t>
            </w:r>
            <w:r>
              <w:rPr>
                <w:rFonts w:ascii="Times New Roman" w:eastAsia="Times New Roman" w:hAnsi="Times New Roman" w:cs="Times New Roman"/>
                <w:b/>
                <w:i/>
                <w:strike w:val="0"/>
                <w:color w:val="000000"/>
                <w:sz w:val="24"/>
                <w:highlight w:val="none"/>
                <w:u w:val="none" w:color="auto"/>
              </w:rPr>
              <w:t xml:space="preserve">  </w:t>
            </w:r>
            <w:r>
              <w:t>később</w:t>
            </w:r>
            <w:r>
              <w:rPr>
                <w:rFonts w:ascii="Times New Roman" w:eastAsia="Times New Roman" w:hAnsi="Times New Roman" w:cs="Times New Roman"/>
                <w:b/>
                <w:i/>
                <w:strike w:val="0"/>
                <w:color w:val="000000"/>
                <w:sz w:val="24"/>
                <w:highlight w:val="none"/>
                <w:u w:val="none" w:color="auto"/>
              </w:rPr>
              <w:t xml:space="preserve">  </w:t>
            </w:r>
            <w:r>
              <w:t>valamely más tagállamban nemzetközi védelem iránti kérelmet nyújtottak be</w:t>
            </w:r>
            <w:r>
              <w:rPr>
                <w:rFonts w:ascii="Times New Roman" w:eastAsia="Times New Roman" w:hAnsi="Times New Roman" w:cs="Times New Roman"/>
                <w:b/>
                <w:i/>
                <w:strike w:val="0"/>
                <w:color w:val="000000"/>
                <w:sz w:val="24"/>
                <w:highlight w:val="none"/>
                <w:u w:val="none" w:color="auto"/>
              </w:rPr>
              <w:t xml:space="preserve">  , akiket külső határ jogellenes átlépése miatt letartóztattak és akik valamely tagállam területén jogellenesen tartózkodnak  </w:t>
            </w:r>
            <w:r>
              <w:t>;</w:t>
            </w:r>
          </w:p>
        </w:tc>
        <w:tc>
          <w:tcPr/>
          <w:p>
            <w:pPr>
              <w:pStyle w:val="Normal6"/>
            </w:pPr>
            <w:r>
              <w:t>b)</w:t>
            </w:r>
            <w:r>
              <w:tab/>
            </w:r>
            <w:r>
              <w:t>a találatok száma</w:t>
            </w:r>
            <w:r>
              <w:rPr>
                <w:rFonts w:ascii="Times New Roman" w:eastAsia="Times New Roman" w:hAnsi="Times New Roman" w:cs="Times New Roman"/>
                <w:b/>
                <w:i/>
                <w:strike w:val="0"/>
                <w:color w:val="000000"/>
                <w:sz w:val="24"/>
                <w:highlight w:val="none"/>
                <w:u w:val="none" w:color="auto"/>
              </w:rPr>
              <w:t xml:space="preserve"> </w:t>
            </w:r>
            <w:r>
              <w:t>a 10. cikk (1) bekezdésében említett azon személyek esetében, akik</w:t>
            </w:r>
            <w:r>
              <w:rPr>
                <w:rFonts w:ascii="Times New Roman" w:eastAsia="Times New Roman" w:hAnsi="Times New Roman" w:cs="Times New Roman"/>
                <w:b/>
                <w:i/>
                <w:strike w:val="0"/>
                <w:color w:val="000000"/>
                <w:sz w:val="24"/>
                <w:highlight w:val="none"/>
                <w:u w:val="none" w:color="auto"/>
              </w:rPr>
              <w:t xml:space="preserve"> </w:t>
            </w:r>
            <w:r>
              <w:t>később</w:t>
            </w:r>
            <w:r>
              <w:rPr>
                <w:rFonts w:ascii="Times New Roman" w:eastAsia="Times New Roman" w:hAnsi="Times New Roman" w:cs="Times New Roman"/>
                <w:b/>
                <w:i/>
                <w:strike w:val="0"/>
                <w:color w:val="000000"/>
                <w:sz w:val="24"/>
                <w:highlight w:val="none"/>
                <w:u w:val="none" w:color="auto"/>
              </w:rPr>
              <w:t xml:space="preserve"> </w:t>
            </w:r>
            <w:r>
              <w:t>valamely más tagállamban nemzetközi védelem iránti kérelmet nyújtottak be;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241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9 cikk – 1 bekezdés – c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c)</w:t>
            </w:r>
            <w:r>
              <w:tab/>
            </w:r>
            <w:r>
              <w:t>a találatok száma a 13. cikk (1) bekezdésében említett személyek esetében, akik a későbbiekben nemzetközi védelem iránti kérelmet nyújtottak be</w:t>
            </w:r>
            <w:r>
              <w:rPr>
                <w:rFonts w:ascii="Times New Roman" w:eastAsia="Times New Roman" w:hAnsi="Times New Roman" w:cs="Times New Roman"/>
                <w:b/>
                <w:i/>
                <w:strike w:val="0"/>
                <w:color w:val="000000"/>
                <w:sz w:val="24"/>
                <w:highlight w:val="none"/>
                <w:u w:val="none" w:color="auto"/>
              </w:rPr>
              <w:t xml:space="preserve">  , akiket külső határ jogellenes átlépése miatt letartóztattak és akik valamely tagállam területén jogellenesen tartózkodnak  </w:t>
            </w:r>
            <w:r>
              <w:t>;</w:t>
            </w:r>
          </w:p>
        </w:tc>
        <w:tc>
          <w:tcPr/>
          <w:p>
            <w:pPr>
              <w:pStyle w:val="Normal6"/>
            </w:pPr>
            <w:r>
              <w:t>c)</w:t>
            </w:r>
            <w:r>
              <w:tab/>
            </w:r>
            <w:r>
              <w:t>a találatok száma a 13. cikk (1) bekezdésében említett személyek esetében, akik a későbbiekben nemzetközi védelem iránti kérelmet nyújtottak be;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242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Malin Björk</w:t>
      </w:r>
      <w:r>
        <w:t xml:space="preserve">, </w:t>
      </w:r>
      <w:r>
        <w:t>Barbara Spinelli</w:t>
      </w:r>
      <w:r>
        <w:t xml:space="preserve">, </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9 cikk – 1 bekezdés – c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c)</w:t>
            </w:r>
            <w:r>
              <w:tab/>
            </w:r>
            <w:r>
              <w:t>a találatok száma a 13. cikk (1) bekezdésében említett személyek esetében, akik a későbbiekben nemzetközi védelem iránti kérelmet nyújtottak be</w:t>
            </w:r>
            <w:r>
              <w:rPr>
                <w:rFonts w:ascii="Times New Roman" w:eastAsia="Times New Roman" w:hAnsi="Times New Roman" w:cs="Times New Roman"/>
                <w:b/>
                <w:i/>
                <w:strike w:val="0"/>
                <w:color w:val="000000"/>
                <w:sz w:val="24"/>
                <w:highlight w:val="none"/>
                <w:u w:val="none" w:color="auto"/>
              </w:rPr>
              <w:t xml:space="preserve">  , akiket külső határ jogellenes átlépése miatt letartóztattak és akik valamely tagállam területén jogellenesen tartózkodnak  </w:t>
            </w:r>
            <w:r>
              <w:t>;</w:t>
            </w:r>
          </w:p>
        </w:tc>
        <w:tc>
          <w:tcPr/>
          <w:p>
            <w:pPr>
              <w:pStyle w:val="Normal6"/>
            </w:pPr>
            <w:r>
              <w:t>c)</w:t>
            </w:r>
            <w:r>
              <w:tab/>
            </w:r>
            <w:r>
              <w:t>a találatok száma a 13. cikk (1) bekezdésében említett személyek esetében, akik a későbbiekben nemzetközi védelem iránti kérelmet nyújtottak be;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243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9 cikk – 1 bekezdés – d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d)</w:t>
            </w:r>
            <w:r>
              <w:tab/>
            </w:r>
            <w:r>
              <w:rPr>
                <w:rFonts w:ascii="Times New Roman" w:eastAsia="Times New Roman" w:hAnsi="Times New Roman" w:cs="Times New Roman"/>
                <w:b/>
                <w:i/>
                <w:strike w:val="0"/>
                <w:color w:val="000000"/>
                <w:sz w:val="24"/>
                <w:highlight w:val="none"/>
                <w:u w:val="none" w:color="auto"/>
              </w:rPr>
              <w:t>a találatok száma a 14. cikk (1) bekezdésében említett olyan személyek esetében, akik korábban valamely más tagállamban nemzetközi védelem iránti kérelmet nyújtottak be  , akiket külső határ jogellenes átlépése miatt letartóztattak és akik valamely tagállam területén jogellenesen tartózkodnak  ;</w:t>
            </w:r>
          </w:p>
        </w:tc>
        <w:tc>
          <w:tcPr/>
          <w:p>
            <w:pPr>
              <w:pStyle w:val="Normal6"/>
            </w:pPr>
            <w:r>
              <w:rPr>
                <w:rFonts w:ascii="Times New Roman" w:eastAsia="Times New Roman" w:hAnsi="Times New Roman" w:cs="Times New Roman"/>
                <w:b/>
                <w:i/>
                <w:strike w:val="0"/>
                <w:color w:val="000000"/>
                <w:sz w:val="24"/>
                <w:highlight w:val="none"/>
                <w:u w:val="none" w:color="auto"/>
              </w:rPr>
              <w:t>törölve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Ez a módosítás elfogadható, mivel elválaszthatatlanul összekapcsolódik a 14. cikk (1) bekezdését, a 14. cikk (2) bekezdését, a 14. cikk (4) bekezdését, a 14. cikk (5) bekezdését és a 14. cikk (6) bekezdését törlő, elfogadható módosításokkal.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244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Malin Björk</w:t>
      </w:r>
      <w:r>
        <w:t xml:space="preserve">, </w:t>
      </w:r>
      <w:r>
        <w:t>Barbara Spinelli</w:t>
      </w:r>
      <w:r>
        <w:t xml:space="preserve">, </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9 cikk – 1 bekezdés – d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d)</w:t>
            </w:r>
            <w:r>
              <w:tab/>
            </w:r>
            <w:r>
              <w:t>a találatok száma a 14. cikk (1) bekezdésében említett olyan személyek esetében, akik korábban valamely más tagállamban nemzetközi védelem iránti kérelmet nyújtottak be</w:t>
            </w:r>
            <w:r>
              <w:rPr>
                <w:rFonts w:ascii="Times New Roman" w:eastAsia="Times New Roman" w:hAnsi="Times New Roman" w:cs="Times New Roman"/>
                <w:b/>
                <w:i/>
                <w:strike w:val="0"/>
                <w:color w:val="000000"/>
                <w:sz w:val="24"/>
                <w:highlight w:val="none"/>
                <w:u w:val="none" w:color="auto"/>
              </w:rPr>
              <w:t xml:space="preserve">  , akiket külső határ jogellenes átlépése miatt letartóztattak és akik valamely tagállam területén jogellenesen tartózkodnak  </w:t>
            </w:r>
            <w:r>
              <w:t>;</w:t>
            </w:r>
          </w:p>
        </w:tc>
        <w:tc>
          <w:tcPr/>
          <w:p>
            <w:pPr>
              <w:pStyle w:val="Normal6"/>
            </w:pPr>
            <w:r>
              <w:t>d)</w:t>
            </w:r>
            <w:r>
              <w:tab/>
            </w:r>
            <w:r>
              <w:t>a találatok száma a 14. cikk (1) bekezdésében említett olyan személyek esetében, akik korábban valamely más tagállamban nemzetközi védelem iránti kérelmet nyújtottak be;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245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9 cikk – 1 bekezdés – e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e)</w:t>
            </w:r>
            <w:r>
              <w:tab/>
            </w:r>
            <w:r>
              <w:t>azoknak az ujjnyomatadatoknak a száma, amelyeket a központi rendszernek többször meg kellett kérnie a származási hely szerinti tagállamtól, mert az eredetileg továbbított ujjnyomatadatok összehasonlítását nem tudták elvégezni az ujjnyomat-felismerő rendszer alkalmazásával;</w:t>
            </w:r>
          </w:p>
        </w:tc>
        <w:tc>
          <w:tcPr/>
          <w:p>
            <w:pPr>
              <w:pStyle w:val="Normal6"/>
            </w:pPr>
            <w:r>
              <w:t>e)</w:t>
            </w:r>
            <w:r>
              <w:tab/>
            </w:r>
            <w:r>
              <w:t xml:space="preserve">azoknak az </w:t>
            </w:r>
            <w:r>
              <w:rPr>
                <w:rFonts w:ascii="Times New Roman" w:eastAsia="Times New Roman" w:hAnsi="Times New Roman" w:cs="Times New Roman"/>
                <w:b/>
                <w:i/>
                <w:strike w:val="0"/>
                <w:color w:val="000000"/>
                <w:sz w:val="24"/>
                <w:highlight w:val="none"/>
                <w:u w:val="none" w:color="auto"/>
              </w:rPr>
              <w:t xml:space="preserve">adatalanyok születési éve szerint lebontott </w:t>
            </w:r>
            <w:r>
              <w:t>ujjnyomatadatoknak a száma, amelyeket a központi rendszernek többször meg kellett kérnie a származási hely szerinti tagállamtól, mert az eredetileg továbbított ujjnyomatadatok összehasonlítását nem tudták elvégezni az ujjnyomat-felismerő rendszer alkalmazásával;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Erre a módosításra a szöveg logikájának fenntartása érdekében van szükség, mivel annak az emberkereskedelem áldozatául esett gyermekek védelmét és a kíséret nélküli, eltűnt vagy megszökött gyermekek azonosítását és védelmét kell szolgálnia, ahogyan azt az Európai Bizottság hangsúlyozta a javaslatban szereplő, átdolgozott Eurodac-rendeletet kísérő indokolásában. A Charta 7., 8. és 24. cikkének való megfelelés érdekében a hatéves gyermekek biometrikus adatainak feldolgozása csak abban az esetben indokolható, ha kifejezetten a gyermekvédelmi célt szolgál. Különösen, a gyermekek biometrikus azonosítás megbízhatóságával kapcsolatos statisztikáit születési év szerint kell lebontani.</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246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9 cikk – 1 bekezdés – e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e)</w:t>
            </w:r>
            <w:r>
              <w:tab/>
            </w:r>
            <w:r>
              <w:t xml:space="preserve">azoknak az </w:t>
            </w:r>
            <w:r>
              <w:rPr>
                <w:rFonts w:ascii="Times New Roman" w:eastAsia="Times New Roman" w:hAnsi="Times New Roman" w:cs="Times New Roman"/>
                <w:b/>
                <w:i/>
                <w:strike w:val="0"/>
                <w:color w:val="000000"/>
                <w:sz w:val="24"/>
                <w:highlight w:val="none"/>
                <w:u w:val="none" w:color="auto"/>
              </w:rPr>
              <w:t>ujjnyomatadatoknak</w:t>
            </w:r>
            <w:r>
              <w:t xml:space="preserve"> a száma, amelyeket a központi rendszernek többször meg kellett kérnie a származási hely szerinti tagállamtól, mert az eredetileg továbbított </w:t>
            </w:r>
            <w:r>
              <w:rPr>
                <w:rFonts w:ascii="Times New Roman" w:eastAsia="Times New Roman" w:hAnsi="Times New Roman" w:cs="Times New Roman"/>
                <w:b/>
                <w:i/>
                <w:strike w:val="0"/>
                <w:color w:val="000000"/>
                <w:sz w:val="24"/>
                <w:highlight w:val="none"/>
                <w:u w:val="none" w:color="auto"/>
              </w:rPr>
              <w:t>ujjnyomatadatok</w:t>
            </w:r>
            <w:r>
              <w:t xml:space="preserve"> összehasonlítását nem tudták elvégezni az </w:t>
            </w:r>
            <w:r>
              <w:rPr>
                <w:rFonts w:ascii="Times New Roman" w:eastAsia="Times New Roman" w:hAnsi="Times New Roman" w:cs="Times New Roman"/>
                <w:b/>
                <w:i/>
                <w:strike w:val="0"/>
                <w:color w:val="000000"/>
                <w:sz w:val="24"/>
                <w:highlight w:val="none"/>
                <w:u w:val="none" w:color="auto"/>
              </w:rPr>
              <w:t>ujjnyomat-felismerő</w:t>
            </w:r>
            <w:r>
              <w:t xml:space="preserve"> rendszer alkalmazásával;</w:t>
            </w:r>
          </w:p>
        </w:tc>
        <w:tc>
          <w:tcPr/>
          <w:p>
            <w:pPr>
              <w:pStyle w:val="Normal6"/>
            </w:pPr>
            <w:r>
              <w:t>e)</w:t>
            </w:r>
            <w:r>
              <w:tab/>
            </w:r>
            <w:r>
              <w:t xml:space="preserve">azoknak az </w:t>
            </w:r>
            <w:r>
              <w:rPr>
                <w:rFonts w:ascii="Times New Roman" w:eastAsia="Times New Roman" w:hAnsi="Times New Roman" w:cs="Times New Roman"/>
                <w:b/>
                <w:i/>
                <w:strike w:val="0"/>
                <w:color w:val="000000"/>
                <w:sz w:val="24"/>
                <w:highlight w:val="none"/>
                <w:u w:val="none" w:color="auto"/>
              </w:rPr>
              <w:t>ujjnyom- és arcképmás adatoknak</w:t>
            </w:r>
            <w:r>
              <w:t xml:space="preserve"> a száma, amelyeket a központi rendszernek többször meg kellett kérnie a származási hely szerinti tagállamtól, mert az eredetileg továbbított </w:t>
            </w:r>
            <w:r>
              <w:rPr>
                <w:rFonts w:ascii="Times New Roman" w:eastAsia="Times New Roman" w:hAnsi="Times New Roman" w:cs="Times New Roman"/>
                <w:b/>
                <w:i/>
                <w:strike w:val="0"/>
                <w:color w:val="000000"/>
                <w:sz w:val="24"/>
                <w:highlight w:val="none"/>
                <w:u w:val="none" w:color="auto"/>
              </w:rPr>
              <w:t>ujjnyom- és arcképmás adatok</w:t>
            </w:r>
            <w:r>
              <w:t xml:space="preserve"> összehasonlítását nem tudták elvégezni az </w:t>
            </w:r>
            <w:r>
              <w:rPr>
                <w:rFonts w:ascii="Times New Roman" w:eastAsia="Times New Roman" w:hAnsi="Times New Roman" w:cs="Times New Roman"/>
                <w:b/>
                <w:i/>
                <w:strike w:val="0"/>
                <w:color w:val="000000"/>
                <w:sz w:val="24"/>
                <w:highlight w:val="none"/>
                <w:u w:val="none" w:color="auto"/>
              </w:rPr>
              <w:t>ujjnyomat- és arcképmás-felismerő</w:t>
            </w:r>
            <w:r>
              <w:t xml:space="preserve"> rendszer alkalmazásával;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 bizottsági javaslat javítása, amely nem illeszti be az összes előírt helyen mind az „ujjnyomat”, mind az „arcképmás” szót, ami összhangban van a 2. cikkben említett kötelezettséggel.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247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9 cikk – 1 bekezdés – g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g)</w:t>
            </w:r>
            <w:r>
              <w:tab/>
            </w:r>
            <w:r>
              <w:t>a 19. cikk (1)</w:t>
            </w:r>
            <w:r>
              <w:rPr>
                <w:rFonts w:ascii="Times New Roman" w:eastAsia="Times New Roman" w:hAnsi="Times New Roman" w:cs="Times New Roman"/>
                <w:b/>
                <w:i/>
                <w:strike w:val="0"/>
                <w:color w:val="000000"/>
                <w:sz w:val="24"/>
                <w:highlight w:val="none"/>
                <w:u w:val="none" w:color="auto"/>
              </w:rPr>
              <w:t xml:space="preserve">  és (4)  </w:t>
            </w:r>
            <w:r>
              <w:t>bekezdésében említett személyekre – akikkel kapcsolatban e cikk b)</w:t>
            </w:r>
            <w:r>
              <w:rPr>
                <w:rFonts w:ascii="Times New Roman" w:eastAsia="Times New Roman" w:hAnsi="Times New Roman" w:cs="Times New Roman"/>
                <w:b/>
                <w:i/>
                <w:strike w:val="0"/>
                <w:color w:val="000000"/>
                <w:sz w:val="24"/>
                <w:highlight w:val="none"/>
                <w:u w:val="none" w:color="auto"/>
              </w:rPr>
              <w:t xml:space="preserve">  , c)  és d)</w:t>
            </w:r>
            <w:r>
              <w:t xml:space="preserve"> pontja alapján találatot regisztráltak – vonatkozó találatok száma;</w:t>
            </w:r>
          </w:p>
        </w:tc>
        <w:tc>
          <w:tcPr/>
          <w:p>
            <w:pPr>
              <w:pStyle w:val="Normal6"/>
            </w:pPr>
            <w:r>
              <w:t>g)</w:t>
            </w:r>
            <w:r>
              <w:tab/>
            </w:r>
            <w:r>
              <w:t>a 19. cikk (1)</w:t>
            </w:r>
            <w:r>
              <w:rPr>
                <w:rFonts w:ascii="Times New Roman" w:eastAsia="Times New Roman" w:hAnsi="Times New Roman" w:cs="Times New Roman"/>
                <w:b/>
                <w:i/>
                <w:strike w:val="0"/>
                <w:color w:val="000000"/>
                <w:sz w:val="24"/>
                <w:highlight w:val="none"/>
                <w:u w:val="none" w:color="auto"/>
              </w:rPr>
              <w:t xml:space="preserve"> </w:t>
            </w:r>
            <w:r>
              <w:t>bekezdésében említett személyekre – akikkel kapcsolatban e cikk b)</w:t>
            </w:r>
            <w:r>
              <w:rPr>
                <w:rFonts w:ascii="Times New Roman" w:eastAsia="Times New Roman" w:hAnsi="Times New Roman" w:cs="Times New Roman"/>
                <w:b/>
                <w:i/>
                <w:strike w:val="0"/>
                <w:color w:val="000000"/>
                <w:sz w:val="24"/>
                <w:highlight w:val="none"/>
                <w:u w:val="none" w:color="auto"/>
              </w:rPr>
              <w:t> és c)</w:t>
            </w:r>
            <w:r>
              <w:t xml:space="preserve"> pontja alapján találatot regisztráltak – vonatkozó találatok száma;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Ez a módosítás elfogadható, mivel elválaszthatatlanul összekapcsolódik a 14. cikk (1) bekezdését, a 14. cikk (2) bekezdését, a 14. cikk (4) bekezdését, a 14. cikk (5) bekezdését és a 14. cikk (6) bekezdését törlő, elfogadható módosításokkal.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248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9 cikk – 1 bekezdés – j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j)</w:t>
            </w:r>
            <w:r>
              <w:tab/>
            </w:r>
            <w:r>
              <w:t>a 31. cikkben említett személyekre vonatkozó kérelmek száma;</w:t>
            </w:r>
          </w:p>
        </w:tc>
        <w:tc>
          <w:tcPr/>
          <w:p>
            <w:pPr>
              <w:pStyle w:val="Normal6"/>
            </w:pPr>
            <w:r>
              <w:t>j)</w:t>
            </w:r>
            <w:r>
              <w:tab/>
            </w:r>
            <w:r>
              <w:t>a 31. cikkben említett személyekre vonatkozó kérelmek száma</w:t>
            </w:r>
            <w:r>
              <w:rPr>
                <w:rFonts w:ascii="Times New Roman" w:eastAsia="Times New Roman" w:hAnsi="Times New Roman" w:cs="Times New Roman"/>
                <w:b/>
                <w:i/>
                <w:strike w:val="0"/>
                <w:color w:val="000000"/>
                <w:sz w:val="24"/>
                <w:highlight w:val="none"/>
                <w:u w:val="none" w:color="auto"/>
              </w:rPr>
              <w:t xml:space="preserve"> és típusa</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249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9 cikk – 2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Az (1) bekezdés a)–h) pontjában említett személyekre vonatkozó havi statisztikai adatokat minden hónapban közzéteszik és nyilvánosságra hozzák.</w:t>
            </w:r>
            <w:r>
              <w:rPr>
                <w:rFonts w:ascii="Times New Roman" w:eastAsia="Times New Roman" w:hAnsi="Times New Roman" w:cs="Times New Roman"/>
                <w:b/>
                <w:i/>
                <w:strike w:val="0"/>
                <w:color w:val="000000"/>
                <w:sz w:val="24"/>
                <w:highlight w:val="none"/>
                <w:u w:val="none" w:color="auto"/>
              </w:rPr>
              <w:t xml:space="preserve">  </w:t>
            </w:r>
            <w:r>
              <w:t>Minden év végén</w:t>
            </w:r>
            <w:r>
              <w:rPr>
                <w:rFonts w:ascii="Times New Roman" w:eastAsia="Times New Roman" w:hAnsi="Times New Roman" w:cs="Times New Roman"/>
                <w:b/>
                <w:i/>
                <w:strike w:val="0"/>
                <w:color w:val="000000"/>
                <w:sz w:val="24"/>
                <w:highlight w:val="none"/>
                <w:u w:val="none" w:color="auto"/>
              </w:rPr>
              <w:t xml:space="preserve">  </w:t>
            </w:r>
            <w:r>
              <w:t>az eu-LISA közzéteszi és nyilvánosságra hozza az (1) bekezdés a)–h) pontjában említett személyekre vonatkozó</w:t>
            </w:r>
            <w:r>
              <w:rPr>
                <w:rFonts w:ascii="Times New Roman" w:eastAsia="Times New Roman" w:hAnsi="Times New Roman" w:cs="Times New Roman"/>
                <w:b/>
                <w:i/>
                <w:strike w:val="0"/>
                <w:color w:val="000000"/>
                <w:sz w:val="24"/>
                <w:highlight w:val="none"/>
                <w:u w:val="none" w:color="auto"/>
              </w:rPr>
              <w:t xml:space="preserve">   éves  </w:t>
            </w:r>
            <w:r>
              <w:t>statisztikai adatokat. A statisztikák tagállamok szerinti bontásban mutatják be az adatokat.</w:t>
            </w:r>
          </w:p>
        </w:tc>
        <w:tc>
          <w:tcPr/>
          <w:p>
            <w:pPr>
              <w:pStyle w:val="Normal6"/>
            </w:pPr>
            <w:r>
              <w:t>(2)</w:t>
            </w:r>
            <w:r>
              <w:tab/>
            </w:r>
            <w:r>
              <w:t xml:space="preserve">Az (1) bekezdés a)–h) pontjában említett személyekre vonatkozó havi statisztikai adatokat minden hónapban közzéteszik és nyilvánosságra hozzák. </w:t>
            </w:r>
            <w:r>
              <w:rPr>
                <w:rFonts w:ascii="Times New Roman" w:eastAsia="Times New Roman" w:hAnsi="Times New Roman" w:cs="Times New Roman"/>
                <w:b/>
                <w:i/>
                <w:strike w:val="0"/>
                <w:color w:val="000000"/>
                <w:sz w:val="24"/>
                <w:highlight w:val="none"/>
                <w:u w:val="none" w:color="auto"/>
              </w:rPr>
              <w:t xml:space="preserve">Az (1) bekezdés a)–h) pontjában említett személyek korát és nemét megadó lebontott adatokat a havi statisztikai adatokon belül kell feltüntetni. </w:t>
            </w:r>
            <w:r>
              <w:t>Minden év végén</w:t>
            </w:r>
            <w:r>
              <w:rPr>
                <w:rFonts w:ascii="Times New Roman" w:eastAsia="Times New Roman" w:hAnsi="Times New Roman" w:cs="Times New Roman"/>
                <w:b/>
                <w:i/>
                <w:strike w:val="0"/>
                <w:color w:val="000000"/>
                <w:sz w:val="24"/>
                <w:highlight w:val="none"/>
                <w:u w:val="none" w:color="auto"/>
              </w:rPr>
              <w:t xml:space="preserve"> </w:t>
            </w:r>
            <w:r>
              <w:t>az eu-LISA közzéteszi és nyilvánosságra hozza az (1) bekezdés a)–h) pontjában említett személyekre vonatkozó</w:t>
            </w:r>
            <w:r>
              <w:rPr>
                <w:rFonts w:ascii="Times New Roman" w:eastAsia="Times New Roman" w:hAnsi="Times New Roman" w:cs="Times New Roman"/>
                <w:b/>
                <w:i/>
                <w:strike w:val="0"/>
                <w:color w:val="000000"/>
                <w:sz w:val="24"/>
                <w:highlight w:val="none"/>
                <w:u w:val="none" w:color="auto"/>
              </w:rPr>
              <w:t xml:space="preserve"> éves </w:t>
            </w:r>
            <w:r>
              <w:t>statisztikai adatokat. A statisztikák tagállamok szerinti bontásban mutatják be az adatokat.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Erre a módosításra a szöveg logikájának fenntartása érdekében van szükség, mivel annak az emberkereskedelem áldozatául esett gyermekek védelmét és a kíséret nélküli, eltűnt vagy megszökött gyermekek azonosítását és védelmét kell szolgálnia, ahogyan azt az Európai Bizottság hangsúlyozta a javaslatban szereplő, átdolgozott Eurodac-rendeletet kísérő indokolásában. A Charta 7., 8. és 24. cikkének való megfelelés érdekében a hatéves gyermekek biometrikus adatainak feldolgozása csak abban az esetben indokolható, ha kifejezetten a gyermekvédelmi célt szolgál. Az Eurodac-rendelet gyermekekre tett hatásának jobb értékelése érdekében az eu-LISA által a javaslat 9. cikke szerint nyújtott havi statisztikákat le kell bontani életkor és nem szerint, hogy látható legyen, hány 18 év alatt fiú és lány érintett.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250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9 cikk – 2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Az (1) bekezdés a)–</w:t>
            </w:r>
            <w:r>
              <w:rPr>
                <w:rFonts w:ascii="Times New Roman" w:eastAsia="Times New Roman" w:hAnsi="Times New Roman" w:cs="Times New Roman"/>
                <w:b/>
                <w:i/>
                <w:strike w:val="0"/>
                <w:color w:val="000000"/>
                <w:sz w:val="24"/>
                <w:highlight w:val="none"/>
                <w:u w:val="none" w:color="auto"/>
              </w:rPr>
              <w:t>h</w:t>
            </w:r>
            <w:r>
              <w:t>) pontjában említett személyekre vonatkozó havi statisztikai adatokat minden hónapban közzéteszik és nyilvánosságra hozzák.</w:t>
            </w:r>
            <w:r>
              <w:rPr>
                <w:rFonts w:ascii="Times New Roman" w:eastAsia="Times New Roman" w:hAnsi="Times New Roman" w:cs="Times New Roman"/>
                <w:b/>
                <w:i/>
                <w:strike w:val="0"/>
                <w:color w:val="000000"/>
                <w:sz w:val="24"/>
                <w:highlight w:val="none"/>
                <w:u w:val="none" w:color="auto"/>
              </w:rPr>
              <w:t xml:space="preserve">  </w:t>
            </w:r>
            <w:r>
              <w:t>Minden év végén</w:t>
            </w:r>
            <w:r>
              <w:rPr>
                <w:rFonts w:ascii="Times New Roman" w:eastAsia="Times New Roman" w:hAnsi="Times New Roman" w:cs="Times New Roman"/>
                <w:b/>
                <w:i/>
                <w:strike w:val="0"/>
                <w:color w:val="000000"/>
                <w:sz w:val="24"/>
                <w:highlight w:val="none"/>
                <w:u w:val="none" w:color="auto"/>
              </w:rPr>
              <w:t xml:space="preserve">  </w:t>
            </w:r>
            <w:r>
              <w:t>az eu-LISA közzéteszi és nyilvánosságra hozza az (1) bekezdés a)–h) pontjában említett személyekre vonatkozó</w:t>
            </w:r>
            <w:r>
              <w:rPr>
                <w:rFonts w:ascii="Times New Roman" w:eastAsia="Times New Roman" w:hAnsi="Times New Roman" w:cs="Times New Roman"/>
                <w:b/>
                <w:i/>
                <w:strike w:val="0"/>
                <w:color w:val="000000"/>
                <w:sz w:val="24"/>
                <w:highlight w:val="none"/>
                <w:u w:val="none" w:color="auto"/>
              </w:rPr>
              <w:t xml:space="preserve">   éves  </w:t>
            </w:r>
            <w:r>
              <w:t>statisztikai adatokat. A statisztikák tagállamok szerinti bontásban mutatják be az adatokat.</w:t>
            </w:r>
          </w:p>
        </w:tc>
        <w:tc>
          <w:tcPr/>
          <w:p>
            <w:pPr>
              <w:pStyle w:val="Normal6"/>
            </w:pPr>
            <w:r>
              <w:t>(2)</w:t>
            </w:r>
            <w:r>
              <w:tab/>
            </w:r>
            <w:r>
              <w:t>Az (1) bekezdés a)–</w:t>
            </w:r>
            <w:r>
              <w:rPr>
                <w:rFonts w:ascii="Times New Roman" w:eastAsia="Times New Roman" w:hAnsi="Times New Roman" w:cs="Times New Roman"/>
                <w:b/>
                <w:i/>
                <w:strike w:val="0"/>
                <w:color w:val="000000"/>
                <w:sz w:val="24"/>
                <w:highlight w:val="none"/>
                <w:u w:val="none" w:color="auto"/>
              </w:rPr>
              <w:t>k</w:t>
            </w:r>
            <w:r>
              <w:t xml:space="preserve">) pontjában említett személyekre vonatkozó havi statisztikai adatokat </w:t>
            </w:r>
            <w:r>
              <w:rPr>
                <w:rFonts w:ascii="Times New Roman" w:eastAsia="Times New Roman" w:hAnsi="Times New Roman" w:cs="Times New Roman"/>
                <w:b/>
                <w:i/>
                <w:strike w:val="0"/>
                <w:color w:val="000000"/>
                <w:sz w:val="24"/>
                <w:highlight w:val="none"/>
                <w:u w:val="none" w:color="auto"/>
              </w:rPr>
              <w:t xml:space="preserve">adott esetben életkor és nem szerint lebontják annak megismerése érdekében, hogy hány kiskorú fiú és lány érintett, és ezeket az adatokat </w:t>
            </w:r>
            <w:r>
              <w:t>minden hónapban közzéteszik és nyilvánosságra hozzák. Minden év végén</w:t>
            </w:r>
            <w:r>
              <w:rPr>
                <w:rFonts w:ascii="Times New Roman" w:eastAsia="Times New Roman" w:hAnsi="Times New Roman" w:cs="Times New Roman"/>
                <w:b/>
                <w:i/>
                <w:strike w:val="0"/>
                <w:color w:val="000000"/>
                <w:sz w:val="24"/>
                <w:highlight w:val="none"/>
                <w:u w:val="none" w:color="auto"/>
              </w:rPr>
              <w:t xml:space="preserve"> </w:t>
            </w:r>
            <w:r>
              <w:t>az eu-LISA közzéteszi és nyilvánosságra hozza az (1) bekezdés a)–h) pontjában említett személyekre vonatkozó</w:t>
            </w:r>
            <w:r>
              <w:rPr>
                <w:rFonts w:ascii="Times New Roman" w:eastAsia="Times New Roman" w:hAnsi="Times New Roman" w:cs="Times New Roman"/>
                <w:b/>
                <w:i/>
                <w:strike w:val="0"/>
                <w:color w:val="000000"/>
                <w:sz w:val="24"/>
                <w:highlight w:val="none"/>
                <w:u w:val="none" w:color="auto"/>
              </w:rPr>
              <w:t xml:space="preserve"> éves </w:t>
            </w:r>
            <w:r>
              <w:t>statisztikai adatokat. A statisztikák tagállamok szerinti bontásban mutatják be az adatokat.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251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Sylvia-Yvonne Kaufmann</w:t>
      </w:r>
      <w:r>
        <w:t xml:space="preserve">, </w:t>
      </w:r>
      <w:r>
        <w:t>Josef Weidenholzer</w:t>
      </w:r>
      <w:r>
        <w:t xml:space="preserve">, </w:t>
      </w:r>
      <w:r>
        <w:t>Vilija Blinkevičiūtė</w:t>
      </w:r>
      <w:r>
        <w:t xml:space="preserve">, </w:t>
      </w:r>
      <w:r>
        <w:t>Péter Niedermüller</w:t>
      </w:r>
      <w:r>
        <w:t xml:space="preserve">, </w:t>
      </w:r>
      <w:r>
        <w:t>Maria Grapini</w:t>
      </w:r>
      <w:r>
        <w:t xml:space="preserve">, </w:t>
      </w:r>
      <w:r>
        <w:t>Juan Fernando López Aguilar</w:t>
      </w:r>
      <w:r>
        <w:t xml:space="preserve">, </w:t>
      </w:r>
      <w:r>
        <w:t>Dietmar Köster</w:t>
      </w:r>
      <w:r>
        <w:t xml:space="preserve">, </w:t>
      </w:r>
      <w:r>
        <w:t>Caterina Chinnici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9 cikk – 2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Az (1) bekezdés a)–h) pontjában említett személyekre vonatkozó havi statisztikai adatokat minden hónapban közzéteszik és nyilvánosságra hozzák.</w:t>
            </w:r>
            <w:r>
              <w:rPr>
                <w:rFonts w:ascii="Times New Roman" w:eastAsia="Times New Roman" w:hAnsi="Times New Roman" w:cs="Times New Roman"/>
                <w:b/>
                <w:i/>
                <w:strike w:val="0"/>
                <w:color w:val="000000"/>
                <w:sz w:val="24"/>
                <w:highlight w:val="none"/>
                <w:u w:val="none" w:color="auto"/>
              </w:rPr>
              <w:t xml:space="preserve">  </w:t>
            </w:r>
            <w:r>
              <w:t>Minden év végén</w:t>
            </w:r>
            <w:r>
              <w:rPr>
                <w:rFonts w:ascii="Times New Roman" w:eastAsia="Times New Roman" w:hAnsi="Times New Roman" w:cs="Times New Roman"/>
                <w:b/>
                <w:i/>
                <w:strike w:val="0"/>
                <w:color w:val="000000"/>
                <w:sz w:val="24"/>
                <w:highlight w:val="none"/>
                <w:u w:val="none" w:color="auto"/>
              </w:rPr>
              <w:t xml:space="preserve">  </w:t>
            </w:r>
            <w:r>
              <w:t>az eu-LISA közzéteszi és nyilvánosságra hozza az (1) bekezdés a)–h) pontjában említett személyekre vonatkozó</w:t>
            </w:r>
            <w:r>
              <w:rPr>
                <w:rFonts w:ascii="Times New Roman" w:eastAsia="Times New Roman" w:hAnsi="Times New Roman" w:cs="Times New Roman"/>
                <w:b/>
                <w:i/>
                <w:strike w:val="0"/>
                <w:color w:val="000000"/>
                <w:sz w:val="24"/>
                <w:highlight w:val="none"/>
                <w:u w:val="none" w:color="auto"/>
              </w:rPr>
              <w:t xml:space="preserve">   éves  </w:t>
            </w:r>
            <w:r>
              <w:t>statisztikai adatokat. A statisztikák tagállamok szerinti bontásban mutatják be az adatokat.</w:t>
            </w:r>
          </w:p>
        </w:tc>
        <w:tc>
          <w:tcPr/>
          <w:p>
            <w:pPr>
              <w:pStyle w:val="Normal6"/>
            </w:pPr>
            <w:r>
              <w:t>(2)</w:t>
            </w:r>
            <w:r>
              <w:tab/>
            </w:r>
            <w:r>
              <w:t>Az (1) bekezdés a)–h) pontjában említett személyekre vonatkozó havi statisztikai adatokat minden hónapban közzéteszik és nyilvánosságra hozzák</w:t>
            </w:r>
            <w:r>
              <w:rPr>
                <w:rFonts w:ascii="Times New Roman" w:eastAsia="Times New Roman" w:hAnsi="Times New Roman" w:cs="Times New Roman"/>
                <w:b/>
                <w:i/>
                <w:strike w:val="0"/>
                <w:color w:val="000000"/>
                <w:sz w:val="24"/>
                <w:highlight w:val="none"/>
                <w:u w:val="none" w:color="auto"/>
              </w:rPr>
              <w:t>, és azok az adatok az adatalanyok születési éve és neme szerinti lebontását is tartalmazzák</w:t>
            </w:r>
            <w:r>
              <w:t>. Minden év végén</w:t>
            </w:r>
            <w:r>
              <w:rPr>
                <w:rFonts w:ascii="Times New Roman" w:eastAsia="Times New Roman" w:hAnsi="Times New Roman" w:cs="Times New Roman"/>
                <w:b/>
                <w:i/>
                <w:strike w:val="0"/>
                <w:color w:val="000000"/>
                <w:sz w:val="24"/>
                <w:highlight w:val="none"/>
                <w:u w:val="none" w:color="auto"/>
              </w:rPr>
              <w:t xml:space="preserve"> </w:t>
            </w:r>
            <w:r>
              <w:t>az eu-LISA közzéteszi és nyilvánosságra hozza az (1) bekezdés a)–h) pontjában említett személyekre vonatkozó</w:t>
            </w:r>
            <w:r>
              <w:rPr>
                <w:rFonts w:ascii="Times New Roman" w:eastAsia="Times New Roman" w:hAnsi="Times New Roman" w:cs="Times New Roman"/>
                <w:b/>
                <w:i/>
                <w:strike w:val="0"/>
                <w:color w:val="000000"/>
                <w:sz w:val="24"/>
                <w:highlight w:val="none"/>
                <w:u w:val="none" w:color="auto"/>
              </w:rPr>
              <w:t xml:space="preserve"> éves </w:t>
            </w:r>
            <w:r>
              <w:t>statisztikai adatokat. A statisztikák tagállamok szerinti bontásban mutatják be az adatokat.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252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Monika Hohlmeier</w:t>
      </w:r>
      <w:r>
        <w:t xml:space="preserve">, </w:t>
      </w:r>
      <w:r>
        <w:t>Heinz K. Becker</w:t>
      </w:r>
      <w:r>
        <w:t xml:space="preserve">, </w:t>
      </w:r>
      <w:r>
        <w:t>Rachida Dati</w:t>
      </w:r>
      <w:r>
        <w:t xml:space="preserve">, </w:t>
      </w:r>
      <w:r>
        <w:t>Brice Hortefeux</w:t>
      </w:r>
      <w:r>
        <w:t xml:space="preserve">, </w:t>
      </w:r>
      <w:r>
        <w:t>Mariya Gabriel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9 cikk – 3 a bekezdés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(3 a)</w:t>
            </w:r>
            <w:r>
              <w:tab/>
            </w:r>
            <w:r>
              <w:rPr>
                <w:rFonts w:ascii="Times New Roman" w:eastAsia="Times New Roman" w:hAnsi="Times New Roman" w:cs="Times New Roman"/>
                <w:b/>
                <w:i/>
                <w:strike w:val="0"/>
                <w:color w:val="000000"/>
                <w:sz w:val="24"/>
                <w:highlight w:val="none"/>
                <w:u w:val="none" w:color="auto"/>
              </w:rPr>
              <w:t>Az Európai Határ- és Partvédelmi Ügynökség megfelelően felhatalmazott alkalmazottai az eu-LISA által készített, az (1) bekezdés a)–h) pontjában említett statisztikákhoz és a 12. cikk d)–s) pontjában, a 13. cikk d)–m) pontjában és a 14. cikk d)–m) pontjában említett, releváns adatokhoz csak az 1. cikk b) pontjában és az (EU) 2016/1624 rendelet 11. és 37. cikkében említett célokból férhetnek hozzá, az egyéni személyazonosítás lehetősége nélkül. A szóban forgó adatok feldolgozását az (EU) 2016/1624 rendeletben előírt adatvédelmi szempontoknak megfelelően kell végrehajtani.</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Ez a módosítás megfelel az Eurodac által ellátott, az 1. cikk (1) bekezdésének új b) pontjában megállapított új szerepkörnek. Az Eurodac segítséget nyújt az illegális bevándorlás és továbbutazás ellenőrzésében. Új megbízatása keretében az újonnan létrehozott Európai Határ- és Partvédelmi Ügynökség szintén ellátja ezt a feladatot. Az Európai Határ- és Partvédelmi Ügynökség hozzáférése biztosítja az Eurodacban rejlő új lehetőségek teljes kihasználását.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253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Sylvia-Yvonne Kaufmann</w:t>
      </w:r>
      <w:r>
        <w:t xml:space="preserve">, </w:t>
      </w:r>
      <w:r>
        <w:t>Josef Weidenholzer</w:t>
      </w:r>
      <w:r>
        <w:t xml:space="preserve">, </w:t>
      </w:r>
      <w:r>
        <w:t>Vilija Blinkevičiūtė</w:t>
      </w:r>
      <w:r>
        <w:t xml:space="preserve">, </w:t>
      </w:r>
      <w:r>
        <w:t>Kati Piri</w:t>
      </w:r>
      <w:r>
        <w:t xml:space="preserve">, </w:t>
      </w:r>
      <w:r>
        <w:t>Kati Piri</w:t>
      </w:r>
      <w:r>
        <w:t xml:space="preserve">, </w:t>
      </w:r>
      <w:r>
        <w:t>Maria Grapini</w:t>
      </w:r>
      <w:r>
        <w:t xml:space="preserve">, </w:t>
      </w:r>
      <w:r>
        <w:t>Juan Fernando López Aguilar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10 cikk – 1 bekezdés – 1 albekezdés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Az egyes tagállamok a lehető leghamarabb, de legkésőbb az (EU) rendelet [21. cikkének (2) bekezdésében] meghatározott nemzetközi védelem iránti kérelem benyújtásától számított 72 órán belül ujjnyomatot vesznek minden</w:t>
            </w:r>
            <w:r>
              <w:rPr>
                <w:rFonts w:ascii="Times New Roman" w:eastAsia="Times New Roman" w:hAnsi="Times New Roman" w:cs="Times New Roman"/>
                <w:b/>
                <w:i/>
                <w:strike w:val="0"/>
                <w:color w:val="000000"/>
                <w:sz w:val="24"/>
                <w:highlight w:val="none"/>
                <w:u w:val="none" w:color="auto"/>
              </w:rPr>
              <w:t xml:space="preserve">  </w:t>
            </w:r>
            <w:r>
              <w:t>hatodik</w:t>
            </w:r>
            <w:r>
              <w:rPr>
                <w:rFonts w:ascii="Times New Roman" w:eastAsia="Times New Roman" w:hAnsi="Times New Roman" w:cs="Times New Roman"/>
                <w:b/>
                <w:i/>
                <w:strike w:val="0"/>
                <w:color w:val="000000"/>
                <w:sz w:val="24"/>
                <w:highlight w:val="none"/>
                <w:u w:val="none" w:color="auto"/>
              </w:rPr>
              <w:t xml:space="preserve">  </w:t>
            </w:r>
            <w:r>
              <w:t>életévét betöltött nemzetközi védelmet kérelmező személy valamennyi ujjáról, és az e rendelet 12. cikke</w:t>
            </w:r>
            <w:r>
              <w:rPr>
                <w:rFonts w:ascii="Times New Roman" w:eastAsia="Times New Roman" w:hAnsi="Times New Roman" w:cs="Times New Roman"/>
                <w:b/>
                <w:i/>
                <w:strike w:val="0"/>
                <w:color w:val="000000"/>
                <w:sz w:val="24"/>
                <w:highlight w:val="none"/>
                <w:u w:val="none" w:color="auto"/>
              </w:rPr>
              <w:t xml:space="preserve"> </w:t>
            </w:r>
            <w:r>
              <w:t> c)–n)</w:t>
            </w:r>
            <w:r>
              <w:rPr>
                <w:rFonts w:ascii="Times New Roman" w:eastAsia="Times New Roman" w:hAnsi="Times New Roman" w:cs="Times New Roman"/>
                <w:b/>
                <w:i/>
                <w:strike w:val="0"/>
                <w:color w:val="000000"/>
                <w:sz w:val="24"/>
                <w:highlight w:val="none"/>
                <w:u w:val="none" w:color="auto"/>
              </w:rPr>
              <w:t xml:space="preserve">  </w:t>
            </w:r>
            <w:r>
              <w:t>pontjában említett adatokkal együtt továbbítják a központi rendszerbe.</w:t>
            </w:r>
          </w:p>
        </w:tc>
        <w:tc>
          <w:tcPr/>
          <w:p>
            <w:pPr>
              <w:pStyle w:val="Normal6"/>
            </w:pPr>
            <w:r>
              <w:t>Az egyes tagállamok a lehető leghamarabb, de legkésőbb az (EU) rendelet [21. cikkének (2) bekezdésében] meghatározott nemzetközi védelem iránti kérelem benyújtásától számított 72 órán belül ujjnyomatot vesznek minden</w:t>
            </w:r>
            <w:r>
              <w:rPr>
                <w:rFonts w:ascii="Times New Roman" w:eastAsia="Times New Roman" w:hAnsi="Times New Roman" w:cs="Times New Roman"/>
                <w:b/>
                <w:i/>
                <w:strike w:val="0"/>
                <w:color w:val="000000"/>
                <w:sz w:val="24"/>
                <w:highlight w:val="none"/>
                <w:u w:val="none" w:color="auto"/>
              </w:rPr>
              <w:t xml:space="preserve"> </w:t>
            </w:r>
            <w:r>
              <w:t>hatodik</w:t>
            </w:r>
            <w:r>
              <w:rPr>
                <w:rFonts w:ascii="Times New Roman" w:eastAsia="Times New Roman" w:hAnsi="Times New Roman" w:cs="Times New Roman"/>
                <w:b/>
                <w:i/>
                <w:strike w:val="0"/>
                <w:color w:val="000000"/>
                <w:sz w:val="24"/>
                <w:highlight w:val="none"/>
                <w:u w:val="none" w:color="auto"/>
              </w:rPr>
              <w:t xml:space="preserve"> </w:t>
            </w:r>
            <w:r>
              <w:t>életévét betöltött nemzetközi védelmet kérelmező személy valamennyi ujjáról, és az e rendelet 12. cikke c)–n)</w:t>
            </w:r>
            <w:r>
              <w:rPr>
                <w:rFonts w:ascii="Times New Roman" w:eastAsia="Times New Roman" w:hAnsi="Times New Roman" w:cs="Times New Roman"/>
                <w:b/>
                <w:i/>
                <w:strike w:val="0"/>
                <w:color w:val="000000"/>
                <w:sz w:val="24"/>
                <w:highlight w:val="none"/>
                <w:u w:val="none" w:color="auto"/>
              </w:rPr>
              <w:t xml:space="preserve"> </w:t>
            </w:r>
            <w:r>
              <w:t xml:space="preserve">pontjában említett adatokkal együtt továbbítják a központi rendszerbe. </w:t>
            </w:r>
            <w:r>
              <w:rPr>
                <w:rFonts w:ascii="Times New Roman" w:eastAsia="Times New Roman" w:hAnsi="Times New Roman" w:cs="Times New Roman"/>
                <w:b/>
                <w:i/>
                <w:strike w:val="0"/>
                <w:color w:val="000000"/>
                <w:sz w:val="24"/>
                <w:highlight w:val="none"/>
                <w:u w:val="none" w:color="auto"/>
              </w:rPr>
              <w:t>A gyermekek ujjnyomatának és arcképmásának rögzítése kifejezetten az 1. cikk (1) bekezdésének ca) pontjában megállapított célt szolgálja.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Ez a módosítás közvetlenül kapcsolódik az életkor 14 évről 6 évre való, a Bizottság által e cikkben javasolt módosításához.</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254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Malin Björk</w:t>
      </w:r>
      <w:r>
        <w:t xml:space="preserve">, </w:t>
      </w:r>
      <w:r>
        <w:t>Barbara Spinelli</w:t>
      </w:r>
      <w:r>
        <w:t xml:space="preserve">, </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10 cikk – 1 bekezdés – 1 albekezdés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Az egyes tagállamok a lehető leghamarabb, de legkésőbb az (EU) rendelet [21. cikkének (2) bekezdésében] meghatározott nemzetközi védelem iránti kérelem benyújtásától számított 72 órán belül ujjnyomatot vesznek minden</w:t>
            </w:r>
            <w:r>
              <w:rPr>
                <w:rFonts w:ascii="Times New Roman" w:eastAsia="Times New Roman" w:hAnsi="Times New Roman" w:cs="Times New Roman"/>
                <w:b/>
                <w:i/>
                <w:strike w:val="0"/>
                <w:color w:val="000000"/>
                <w:sz w:val="24"/>
                <w:highlight w:val="none"/>
                <w:u w:val="none" w:color="auto"/>
              </w:rPr>
              <w:t xml:space="preserve">  hatodik  </w:t>
            </w:r>
            <w:r>
              <w:t>életévét betöltött nemzetközi védelmet kérelmező személy valamennyi ujjáról, és az e rendelet 12. cikke</w:t>
            </w:r>
            <w:r>
              <w:rPr>
                <w:rFonts w:ascii="Times New Roman" w:eastAsia="Times New Roman" w:hAnsi="Times New Roman" w:cs="Times New Roman"/>
                <w:b/>
                <w:i/>
                <w:strike w:val="0"/>
                <w:color w:val="000000"/>
                <w:sz w:val="24"/>
                <w:highlight w:val="none"/>
                <w:u w:val="none" w:color="auto"/>
              </w:rPr>
              <w:t xml:space="preserve"> </w:t>
            </w:r>
            <w:r>
              <w:t> c)–n)</w:t>
            </w:r>
            <w:r>
              <w:rPr>
                <w:rFonts w:ascii="Times New Roman" w:eastAsia="Times New Roman" w:hAnsi="Times New Roman" w:cs="Times New Roman"/>
                <w:b/>
                <w:i/>
                <w:strike w:val="0"/>
                <w:color w:val="000000"/>
                <w:sz w:val="24"/>
                <w:highlight w:val="none"/>
                <w:u w:val="none" w:color="auto"/>
              </w:rPr>
              <w:t xml:space="preserve">  </w:t>
            </w:r>
            <w:r>
              <w:t>pontjában említett adatokkal együtt továbbítják a központi rendszerbe.</w:t>
            </w:r>
          </w:p>
        </w:tc>
        <w:tc>
          <w:tcPr/>
          <w:p>
            <w:pPr>
              <w:pStyle w:val="Normal6"/>
            </w:pPr>
            <w:r>
              <w:t>Az egyes tagállamok a lehető leghamarabb, de legkésőbb az (EU) rendelet [21. cikkének (2) bekezdésében] meghatározott nemzetközi védelem iránti kérelem benyújtásától számított 72 órán belül ujjnyomatot vesznek minden</w:t>
            </w:r>
            <w:r>
              <w:rPr>
                <w:rFonts w:ascii="Times New Roman" w:eastAsia="Times New Roman" w:hAnsi="Times New Roman" w:cs="Times New Roman"/>
                <w:b/>
                <w:i/>
                <w:strike w:val="0"/>
                <w:color w:val="000000"/>
                <w:sz w:val="24"/>
                <w:highlight w:val="none"/>
                <w:u w:val="none" w:color="auto"/>
              </w:rPr>
              <w:t xml:space="preserve"> 14. </w:t>
            </w:r>
            <w:r>
              <w:t>életévét betöltött nemzetközi védelmet kérelmező személy valamennyi ujjáról, és az e rendelet 12. cikke c)–n)</w:t>
            </w:r>
            <w:r>
              <w:rPr>
                <w:rFonts w:ascii="Times New Roman" w:eastAsia="Times New Roman" w:hAnsi="Times New Roman" w:cs="Times New Roman"/>
                <w:b/>
                <w:i/>
                <w:strike w:val="0"/>
                <w:color w:val="000000"/>
                <w:sz w:val="24"/>
                <w:highlight w:val="none"/>
                <w:u w:val="none" w:color="auto"/>
              </w:rPr>
              <w:t xml:space="preserve"> </w:t>
            </w:r>
            <w:r>
              <w:t>pontjában említett adatokkal együtt továbbítják a központi rendszerbe.</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Italic"/>
            </w:pPr>
            <w:r>
              <w:t>(E módosítás a teljes szövegre vonatkozik. Elfogadása esetén a szövegben mindenütt el kell végezni a szükséges módosításokat.)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255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10 cikk – 1 bekezdés – 1 albekezdés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Az egyes tagállamok a lehető leghamarabb, de legkésőbb az (EU) rendelet [21. cikkének (2) bekezdésében] meghatározott nemzetközi védelem iránti kérelem benyújtásától számított 72 órán belül ujjnyomatot vesznek minden</w:t>
            </w:r>
            <w:r>
              <w:rPr>
                <w:rFonts w:ascii="Times New Roman" w:eastAsia="Times New Roman" w:hAnsi="Times New Roman" w:cs="Times New Roman"/>
                <w:b/>
                <w:i/>
                <w:strike w:val="0"/>
                <w:color w:val="000000"/>
                <w:sz w:val="24"/>
                <w:highlight w:val="none"/>
                <w:u w:val="none" w:color="auto"/>
              </w:rPr>
              <w:t xml:space="preserve">  hatodik  </w:t>
            </w:r>
            <w:r>
              <w:t>életévét betöltött nemzetközi védelmet kérelmező személy valamennyi ujjáról, és az e rendelet 12. cikke</w:t>
            </w:r>
            <w:r>
              <w:rPr>
                <w:rFonts w:ascii="Times New Roman" w:eastAsia="Times New Roman" w:hAnsi="Times New Roman" w:cs="Times New Roman"/>
                <w:b/>
                <w:i/>
                <w:strike w:val="0"/>
                <w:color w:val="000000"/>
                <w:sz w:val="24"/>
                <w:highlight w:val="none"/>
                <w:u w:val="none" w:color="auto"/>
              </w:rPr>
              <w:t xml:space="preserve"> </w:t>
            </w:r>
            <w:r>
              <w:t> c)–n)</w:t>
            </w:r>
            <w:r>
              <w:rPr>
                <w:rFonts w:ascii="Times New Roman" w:eastAsia="Times New Roman" w:hAnsi="Times New Roman" w:cs="Times New Roman"/>
                <w:b/>
                <w:i/>
                <w:strike w:val="0"/>
                <w:color w:val="000000"/>
                <w:sz w:val="24"/>
                <w:highlight w:val="none"/>
                <w:u w:val="none" w:color="auto"/>
              </w:rPr>
              <w:t xml:space="preserve">  </w:t>
            </w:r>
            <w:r>
              <w:t>pontjában említett adatokkal együtt továbbítják a központi rendszerbe.</w:t>
            </w:r>
          </w:p>
        </w:tc>
        <w:tc>
          <w:tcPr/>
          <w:p>
            <w:pPr>
              <w:pStyle w:val="Normal6"/>
            </w:pPr>
            <w:r>
              <w:t>Az egyes tagállamok a lehető leghamarabb, de legkésőbb az (EU) rendelet [21. cikkének (2) bekezdésében] meghatározott nemzetközi védelem iránti kérelem benyújtásától számított 72 órán belül ujjnyomatot vesznek minden</w:t>
            </w:r>
            <w:r>
              <w:rPr>
                <w:rFonts w:ascii="Times New Roman" w:eastAsia="Times New Roman" w:hAnsi="Times New Roman" w:cs="Times New Roman"/>
                <w:b/>
                <w:i/>
                <w:strike w:val="0"/>
                <w:color w:val="000000"/>
                <w:sz w:val="24"/>
                <w:highlight w:val="none"/>
                <w:u w:val="none" w:color="auto"/>
              </w:rPr>
              <w:t xml:space="preserve"> 18. </w:t>
            </w:r>
            <w:r>
              <w:t>életévét betöltött nemzetközi védelmet kérelmező személy valamennyi ujjáról, és az e rendelet 12. cikke c)–n)</w:t>
            </w:r>
            <w:r>
              <w:rPr>
                <w:rFonts w:ascii="Times New Roman" w:eastAsia="Times New Roman" w:hAnsi="Times New Roman" w:cs="Times New Roman"/>
                <w:b/>
                <w:i/>
                <w:strike w:val="0"/>
                <w:color w:val="000000"/>
                <w:sz w:val="24"/>
                <w:highlight w:val="none"/>
                <w:u w:val="none" w:color="auto"/>
              </w:rPr>
              <w:t xml:space="preserve"> </w:t>
            </w:r>
            <w:r>
              <w:t>pontjában említett adatokkal együtt továbbítják a központi rendszerbe.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Ez az e cikk 1A új bekezdésének bevezetéséhez kapcsolódik és az emberkereskedelem áldozatául esett gyermekek megfelelőbb védelmét és az eltűnt gyermekek azonosításának és védelmének támogatását célozza.</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256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10 cikk – 1 bekezdés – 1 a albekezdés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Az 1. cikk (1) bekezdésének (a) pontjában foglaltak céljából az egyes tagállamok a lehető leghamarabb, de legkésőbb az (EU) XX/XXXX rendelet [21. cikkének (2) bekezdésében] meghatározott nemzetközi védelem iránti kérelem benyújtásától számított 72 órán belül ujjnyomatot vesznek minden hatodik életévét betöltött nemzetközi védelmet kérelmező gyermek valamennyi ujjáról, és az e rendelet 12. cikke c)–n) pontjában említett adatokkal együtt továbbítják a központi rendszerbe.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Erre a módosításra a szöveg logikájának fenntartása érdekében van szükség, mivel annak az emberkereskedelem áldozatául esett gyermekek védelmét és a kíséret nélküli, eltűnt vagy megszökött gyermekek azonosítását és védelmét kell szolgálnia, ahogyan azt az Európai Bizottság hangsúlyozta a javaslatban szereplő, átdolgozott Eurodac-rendeletet kísérő indokolásában. A Charta 7., 8. és 24. cikkének való megfelelés érdekében a legalább hatéves gyermekek biometrikus adatainak feldolgozása csak abban az esetben indokolható, ha kifejezetten gyermekvédelmi célt szolgál.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257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10 cikk – 1 bekezdés – 2 albekezdés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A 72 órás határidő be nem tartása nem mentesíti a tagállamokat azon kötelezettség alól, hogy ujjnyomatokat vegyenek és azokat továbbítsák a központi rendszerbe. Amennyiben az ujjhegyek állapota nem teszi lehetővé a 26. cikk szerinti megfelelő összehasonlítást biztosító minőségű ujjenyomatvételt, a származás helye szerinti tagállam ismét ujjnyomatot vesz a kérelmezőtől, és a lehető leghamarabb, de legkésőbb a sikeres ismételt ujjnyomatvételtől számított 48 órán belül újra megküldi azokat.</w:t>
            </w:r>
          </w:p>
        </w:tc>
        <w:tc>
          <w:tcPr/>
          <w:p>
            <w:pPr>
              <w:pStyle w:val="Normal6"/>
            </w:pPr>
            <w:r>
              <w:t xml:space="preserve">A 72 órás határidő be nem tartása nem mentesíti a tagállamokat azon kötelezettség alól, hogy ujjnyomatokat vegyenek és </w:t>
            </w:r>
            <w:r>
              <w:rPr>
                <w:rFonts w:ascii="Times New Roman" w:eastAsia="Times New Roman" w:hAnsi="Times New Roman" w:cs="Times New Roman"/>
                <w:b/>
                <w:i/>
                <w:strike w:val="0"/>
                <w:color w:val="000000"/>
                <w:sz w:val="24"/>
                <w:highlight w:val="none"/>
                <w:u w:val="none" w:color="auto"/>
              </w:rPr>
              <w:t xml:space="preserve">arcékpmást rögzítsenek és </w:t>
            </w:r>
            <w:r>
              <w:t>azokat továbbítsák a központi rendszerbe. Amennyiben az ujjhegyek állapota nem teszi lehetővé a 26. cikk szerinti megfelelő összehasonlítást biztosító minőségű ujjenyomatvételt, a származás helye szerinti tagállam ismét ujjnyomatot vesz a kérelmezőtől, és a lehető leghamarabb, de legkésőbb a sikeres ismételt ujjnyomatvételtől számított 48 órán belül újra megküldi azokat.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 bizottsági javaslat javítása, amely nem illeszti be az összes előírt helyen mind az „ujjnyomat”, mind az „arcképmás” szót, ami összhangban van a 2. cikkben említett kötelezettséggel.</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258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10 cikk – 2 bekezdés – 1 albekezdés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Az (1) bekezdéstől eltérve, amennyiben a kérelmező egészségének biztosítása, vagy a közegészség védelme érdekében hozott intézkedések következtében nem lehet a nemzetközi védelmet kérelmezőtől ujjnyomatot venni</w:t>
            </w:r>
            <w:r>
              <w:rPr>
                <w:rFonts w:ascii="Times New Roman" w:eastAsia="Times New Roman" w:hAnsi="Times New Roman" w:cs="Times New Roman"/>
                <w:b/>
                <w:i/>
                <w:strike w:val="0"/>
                <w:color w:val="000000"/>
                <w:sz w:val="24"/>
                <w:highlight w:val="none"/>
                <w:u w:val="none" w:color="auto"/>
              </w:rPr>
              <w:t xml:space="preserve">  </w:t>
            </w:r>
            <w:r>
              <w:t>és róla arcképmást készíteni</w:t>
            </w:r>
            <w:r>
              <w:rPr>
                <w:rFonts w:ascii="Times New Roman" w:eastAsia="Times New Roman" w:hAnsi="Times New Roman" w:cs="Times New Roman"/>
                <w:b/>
                <w:i/>
                <w:strike w:val="0"/>
                <w:color w:val="000000"/>
                <w:sz w:val="24"/>
                <w:highlight w:val="none"/>
                <w:u w:val="none" w:color="auto"/>
              </w:rPr>
              <w:t> </w:t>
            </w:r>
            <w:r>
              <w:t>, a tagállamok ezen egészségügyi okok megszűnését követően a lehető leghamarabb, de legkésőbb 48 órán belül leveszik az ujjnyomatokat</w:t>
            </w:r>
            <w:r>
              <w:rPr>
                <w:rFonts w:ascii="Times New Roman" w:eastAsia="Times New Roman" w:hAnsi="Times New Roman" w:cs="Times New Roman"/>
                <w:b/>
                <w:i/>
                <w:strike w:val="0"/>
                <w:color w:val="000000"/>
                <w:sz w:val="24"/>
                <w:highlight w:val="none"/>
                <w:u w:val="none" w:color="auto"/>
              </w:rPr>
              <w:t xml:space="preserve">  </w:t>
            </w:r>
            <w:r>
              <w:t>, arcképmást készítenek,</w:t>
            </w:r>
            <w:r>
              <w:rPr>
                <w:rFonts w:ascii="Times New Roman" w:eastAsia="Times New Roman" w:hAnsi="Times New Roman" w:cs="Times New Roman"/>
                <w:b/>
                <w:i/>
                <w:strike w:val="0"/>
                <w:color w:val="000000"/>
                <w:sz w:val="24"/>
                <w:highlight w:val="none"/>
                <w:u w:val="none" w:color="auto"/>
              </w:rPr>
              <w:t xml:space="preserve">  </w:t>
            </w:r>
            <w:r>
              <w:t>és megküldik azokat.</w:t>
            </w:r>
          </w:p>
        </w:tc>
        <w:tc>
          <w:tcPr/>
          <w:p>
            <w:pPr>
              <w:pStyle w:val="Normal6"/>
            </w:pPr>
            <w:r>
              <w:t>Az (1) bekezdéstől eltérve, amennyiben a kérelmező egészségének biztosítása, vagy a közegészség védelme érdekében hozott intézkedések következtében nem lehet a nemzetközi védelmet kérelmezőtől ujjnyomatot venni</w:t>
            </w:r>
            <w:r>
              <w:rPr>
                <w:rFonts w:ascii="Times New Roman" w:eastAsia="Times New Roman" w:hAnsi="Times New Roman" w:cs="Times New Roman"/>
                <w:b/>
                <w:i/>
                <w:strike w:val="0"/>
                <w:color w:val="000000"/>
                <w:sz w:val="24"/>
                <w:highlight w:val="none"/>
                <w:u w:val="none" w:color="auto"/>
              </w:rPr>
              <w:t xml:space="preserve"> </w:t>
            </w:r>
            <w:r>
              <w:t>és róla arcképmást készíteni</w:t>
            </w:r>
            <w:r>
              <w:rPr>
                <w:rFonts w:ascii="Times New Roman" w:eastAsia="Times New Roman" w:hAnsi="Times New Roman" w:cs="Times New Roman"/>
                <w:b/>
                <w:i/>
                <w:strike w:val="0"/>
                <w:color w:val="000000"/>
                <w:sz w:val="24"/>
                <w:highlight w:val="none"/>
                <w:u w:val="none" w:color="auto"/>
              </w:rPr>
              <w:t>, vagy egyszerre mindkettőt</w:t>
            </w:r>
            <w:r>
              <w:t>, a tagállamok ezen egészségügyi okok megszűnését követően a lehető leghamarabb, de legkésőbb 48 órán belül leveszik az ujjnyomatokat</w:t>
            </w:r>
            <w:r>
              <w:rPr>
                <w:rFonts w:ascii="Times New Roman" w:eastAsia="Times New Roman" w:hAnsi="Times New Roman" w:cs="Times New Roman"/>
                <w:b/>
                <w:i/>
                <w:strike w:val="0"/>
                <w:color w:val="000000"/>
                <w:sz w:val="24"/>
                <w:highlight w:val="none"/>
                <w:u w:val="none" w:color="auto"/>
              </w:rPr>
              <w:t xml:space="preserve"> </w:t>
            </w:r>
            <w:r>
              <w:t>, arcképmást készítenek,</w:t>
            </w:r>
            <w:r>
              <w:rPr>
                <w:rFonts w:ascii="Times New Roman" w:eastAsia="Times New Roman" w:hAnsi="Times New Roman" w:cs="Times New Roman"/>
                <w:b/>
                <w:i/>
                <w:strike w:val="0"/>
                <w:color w:val="000000"/>
                <w:sz w:val="24"/>
                <w:highlight w:val="none"/>
                <w:u w:val="none" w:color="auto"/>
              </w:rPr>
              <w:t xml:space="preserve"> vagy egyszerre mindkettőt, </w:t>
            </w:r>
            <w:r>
              <w:t>és megküldik azokat.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259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Malin Björk</w:t>
      </w:r>
      <w:r>
        <w:t xml:space="preserve">, </w:t>
      </w:r>
      <w:r>
        <w:t>Barbara Spinelli</w:t>
      </w:r>
      <w:r>
        <w:t xml:space="preserve">, </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10 cikk – 3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3.</w:t>
            </w:r>
            <w:r>
              <w:tab/>
            </w:r>
            <w:r>
              <w:rPr>
                <w:rFonts w:ascii="Times New Roman" w:eastAsia="Times New Roman" w:hAnsi="Times New Roman" w:cs="Times New Roman"/>
                <w:b/>
                <w:i/>
                <w:strike w:val="0"/>
                <w:color w:val="000000"/>
                <w:sz w:val="24"/>
                <w:highlight w:val="none"/>
                <w:u w:val="none" w:color="auto"/>
              </w:rPr>
              <w:t>Ujjnyomatadatokat az Európai Határ- [és Parti] Őrség csapatának tagjai vagy a tagállamok menekültügyi szakértői is vehetnek vagy továbbíthatnak feladataik ellátása vagy hatáskörük gyakorlása során, az [Európai Határ- [és Parti Őrségről] és a 2007/2004/EK rendelet, a 863/2007/EK rendelet, valamint a 2005/267/EK tanácsi határozat hatályon kívül helyezéséről szóló rendelettel] és a [439/2010/EU rendelettel] összhangban.</w:t>
            </w:r>
          </w:p>
        </w:tc>
        <w:tc>
          <w:tcPr/>
          <w:p>
            <w:pPr>
              <w:pStyle w:val="Normal6"/>
            </w:pPr>
            <w:r>
              <w:rPr>
                <w:rFonts w:ascii="Times New Roman" w:eastAsia="Times New Roman" w:hAnsi="Times New Roman" w:cs="Times New Roman"/>
                <w:b/>
                <w:i/>
                <w:strike w:val="0"/>
                <w:color w:val="000000"/>
                <w:sz w:val="24"/>
                <w:highlight w:val="none"/>
                <w:u w:val="none" w:color="auto"/>
              </w:rPr>
              <w:t>törölve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260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10 cikk – 3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3.</w:t>
            </w:r>
            <w:r>
              <w:tab/>
            </w:r>
            <w:r>
              <w:t xml:space="preserve">Ujjnyomatadatokat </w:t>
            </w:r>
            <w:r>
              <w:rPr>
                <w:rFonts w:ascii="Times New Roman" w:eastAsia="Times New Roman" w:hAnsi="Times New Roman" w:cs="Times New Roman"/>
                <w:b/>
                <w:i/>
                <w:strike w:val="0"/>
                <w:color w:val="000000"/>
                <w:sz w:val="24"/>
                <w:highlight w:val="none"/>
                <w:u w:val="none" w:color="auto"/>
              </w:rPr>
              <w:t xml:space="preserve">az Európai Határ- [és Parti] Őrség csapatának tagjai vagy </w:t>
            </w:r>
            <w:r>
              <w:t xml:space="preserve">a tagállamok menekültügyi szakértői </w:t>
            </w:r>
            <w:r>
              <w:rPr>
                <w:rFonts w:ascii="Times New Roman" w:eastAsia="Times New Roman" w:hAnsi="Times New Roman" w:cs="Times New Roman"/>
                <w:b/>
                <w:i/>
                <w:strike w:val="0"/>
                <w:color w:val="000000"/>
                <w:sz w:val="24"/>
                <w:highlight w:val="none"/>
                <w:u w:val="none" w:color="auto"/>
              </w:rPr>
              <w:t>is vehetnek vagy továbbíthatnak feladataik ellátása vagy hatáskörük gyakorlása során, az [Európai Határ- [és Parti Őrségről] és a 2007/2004/EK rendelet, a 863/2007/EK rendelet, valamint a 2005/267/EK tanácsi határozat hatályon kívül helyezéséről szóló rendelettel] és a [439/2010/EU rendelettel] összhangban</w:t>
            </w:r>
            <w:r>
              <w:t>.</w:t>
            </w:r>
          </w:p>
        </w:tc>
        <w:tc>
          <w:tcPr/>
          <w:p>
            <w:pPr>
              <w:pStyle w:val="Normal6"/>
            </w:pPr>
            <w:r>
              <w:rPr>
                <w:rFonts w:ascii="Times New Roman" w:eastAsia="Times New Roman" w:hAnsi="Times New Roman" w:cs="Times New Roman"/>
                <w:b/>
                <w:i/>
                <w:strike w:val="0"/>
                <w:color w:val="000000"/>
                <w:sz w:val="24"/>
                <w:highlight w:val="none"/>
                <w:u w:val="none" w:color="auto"/>
              </w:rPr>
              <w:t>(3)</w:t>
            </w:r>
            <w:r>
              <w:tab/>
            </w:r>
            <w:r>
              <w:t xml:space="preserve">Ujjnyomatadatokat a tagállamok menekültügyi szakértői </w:t>
            </w:r>
            <w:r>
              <w:rPr>
                <w:rFonts w:ascii="Times New Roman" w:eastAsia="Times New Roman" w:hAnsi="Times New Roman" w:cs="Times New Roman"/>
                <w:b/>
                <w:i/>
                <w:strike w:val="0"/>
                <w:color w:val="000000"/>
                <w:sz w:val="24"/>
                <w:highlight w:val="none"/>
                <w:u w:val="none" w:color="auto"/>
              </w:rPr>
              <w:t>vesznek vagy továbbítanak, akik speciális képzésben részesültek az alapvető jogokkal, a menedékjoggal és a sérülékeny migránsok, így a gyermekek különleges szükségletei kezelésének módjával kapcsolatban</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261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Sylvia-Yvonne Kaufmann</w:t>
      </w:r>
      <w:r>
        <w:t xml:space="preserve">, </w:t>
      </w:r>
      <w:r>
        <w:t>Josef Weidenholzer</w:t>
      </w:r>
      <w:r>
        <w:t xml:space="preserve">, </w:t>
      </w:r>
      <w:r>
        <w:t>Vilija Blinkevičiūtė</w:t>
      </w:r>
      <w:r>
        <w:t xml:space="preserve">, </w:t>
      </w:r>
      <w:r>
        <w:t>Péter Niedermüller</w:t>
      </w:r>
      <w:r>
        <w:t xml:space="preserve">, </w:t>
      </w:r>
      <w:r>
        <w:t>Kati Piri</w:t>
      </w:r>
      <w:r>
        <w:t xml:space="preserve">, </w:t>
      </w:r>
      <w:r>
        <w:t>Maria Grapini</w:t>
      </w:r>
      <w:r>
        <w:t xml:space="preserve">, </w:t>
      </w:r>
      <w:r>
        <w:t>Juan Fernando López Aguilar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10 cikk – 3 bekezdés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3.</w:t>
            </w:r>
            <w:r>
              <w:tab/>
            </w:r>
            <w:r>
              <w:rPr>
                <w:rFonts w:ascii="Times New Roman" w:eastAsia="Times New Roman" w:hAnsi="Times New Roman" w:cs="Times New Roman"/>
                <w:b/>
                <w:i/>
                <w:strike w:val="0"/>
                <w:color w:val="000000"/>
                <w:sz w:val="24"/>
                <w:highlight w:val="none"/>
                <w:u w:val="none" w:color="auto"/>
              </w:rPr>
              <w:t>Ujjnyomatadatokat</w:t>
            </w:r>
            <w:r>
              <w:t xml:space="preserve"> az Európai Határ- [és Parti] Őrség csapatának tagjai vagy a tagállamok menekültügyi szakértői is vehetnek vagy továbbíthatnak feladataik ellátása vagy hatáskörük gyakorlása során, az [Európai Határ- [és Parti Őrségről] és a 2007/2004/EK rendelet, a 863/2007/EK rendelet, valamint a 2005/267/EK tanácsi határozat hatályon kívül helyezéséről szóló rendelettel] és a [439/2010/EU rendelettel] összhangban.</w:t>
            </w:r>
          </w:p>
        </w:tc>
        <w:tc>
          <w:tcPr/>
          <w:p>
            <w:pPr>
              <w:pStyle w:val="Normal6"/>
            </w:pPr>
            <w:r>
              <w:rPr>
                <w:rFonts w:ascii="Times New Roman" w:eastAsia="Times New Roman" w:hAnsi="Times New Roman" w:cs="Times New Roman"/>
                <w:b/>
                <w:i/>
                <w:strike w:val="0"/>
                <w:color w:val="000000"/>
                <w:sz w:val="24"/>
                <w:highlight w:val="none"/>
                <w:u w:val="none" w:color="auto"/>
              </w:rPr>
              <w:t>(3)</w:t>
            </w:r>
            <w:r>
              <w:tab/>
            </w:r>
            <w:r>
              <w:rPr>
                <w:rFonts w:ascii="Times New Roman" w:eastAsia="Times New Roman" w:hAnsi="Times New Roman" w:cs="Times New Roman"/>
                <w:b/>
                <w:i/>
                <w:strike w:val="0"/>
                <w:color w:val="000000"/>
                <w:sz w:val="24"/>
                <w:highlight w:val="none"/>
                <w:u w:val="none" w:color="auto"/>
              </w:rPr>
              <w:t>Ujjnyom- és arcképmás adatokat</w:t>
            </w:r>
            <w:r>
              <w:t xml:space="preserve"> az Európai Határ- [és Parti] Őrség csapatának tagjai vagy a tagállamok menekültügyi szakértői is vehetnek vagy továbbíthatnak feladataik ellátása vagy hatáskörük gyakorlása során, az [Európai Határ- [és Parti Őrségről] és a 2007/2004/EK rendelet, a 863/2007/EK rendelet, valamint a 2005/267/EK tanácsi határozat hatályon kívül helyezéséről szóló rendelettel] és a [439/2010/EU rendelettel] összhangban.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262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Monika Hohlmeier</w:t>
      </w:r>
      <w:r>
        <w:t xml:space="preserve">, </w:t>
      </w:r>
      <w:r>
        <w:t>Heinz K. Becker</w:t>
      </w:r>
      <w:r>
        <w:t xml:space="preserve">, </w:t>
      </w:r>
      <w:r>
        <w:t>Rachida Dati</w:t>
      </w:r>
      <w:r>
        <w:t xml:space="preserve">, </w:t>
      </w:r>
      <w:r>
        <w:t>Brice Hortefeux</w:t>
      </w:r>
      <w:r>
        <w:t xml:space="preserve">, </w:t>
      </w:r>
      <w:r>
        <w:t>Mariya Gabriel</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10 cikk – 3 a bekezdés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(3 a)</w:t>
            </w:r>
            <w:r>
              <w:tab/>
            </w:r>
            <w:r>
              <w:rPr>
                <w:rFonts w:ascii="Times New Roman" w:eastAsia="Times New Roman" w:hAnsi="Times New Roman" w:cs="Times New Roman"/>
                <w:b/>
                <w:i/>
                <w:strike w:val="0"/>
                <w:color w:val="000000"/>
                <w:sz w:val="24"/>
                <w:highlight w:val="none"/>
                <w:u w:val="none" w:color="auto"/>
              </w:rPr>
              <w:t>A (3) bekezdésben foglaltak céljából az Európai Határ- és Partvédelmi Ügynökség és az Európai Unió jövőbeli Menekültügyi Ügynöksége technikai interfészt hoz létre és tart fent, amely közvetlen összeköttetést tesz lehetővé az Eurodac központi rendszerével.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Ez a módosítás csökkenti az Ügynökség nemzeti infrastruktúrától való függését, amely valódi terhet jelenthet az ügynökségek napi munkája szempontjából, mivel nem minden nemzeti infrastruktúra felel meg a legmagasabb normáknak.</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263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Malin Björk</w:t>
      </w:r>
      <w:r>
        <w:t xml:space="preserve">, </w:t>
      </w:r>
      <w:r>
        <w:t>Barbara Spinelli</w:t>
      </w:r>
      <w:r>
        <w:t xml:space="preserve">, </w:t>
      </w:r>
      <w:r>
        <w:t>Marina Albiol Guzmán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12 cikk – 1 bekezdés – b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b)</w:t>
            </w:r>
            <w:r>
              <w:tab/>
            </w:r>
            <w:r>
              <w:rPr>
                <w:rFonts w:ascii="Times New Roman" w:eastAsia="Times New Roman" w:hAnsi="Times New Roman" w:cs="Times New Roman"/>
                <w:b/>
                <w:i/>
                <w:strike w:val="0"/>
                <w:color w:val="000000"/>
                <w:sz w:val="24"/>
                <w:highlight w:val="none"/>
                <w:u w:val="none" w:color="auto"/>
              </w:rPr>
              <w:t>arcképmás;</w:t>
            </w:r>
          </w:p>
        </w:tc>
        <w:tc>
          <w:tcPr/>
          <w:p>
            <w:pPr>
              <w:pStyle w:val="Normal6"/>
            </w:pPr>
            <w:r>
              <w:rPr>
                <w:rFonts w:ascii="Times New Roman" w:eastAsia="Times New Roman" w:hAnsi="Times New Roman" w:cs="Times New Roman"/>
                <w:b/>
                <w:i/>
                <w:strike w:val="0"/>
                <w:color w:val="000000"/>
                <w:sz w:val="24"/>
                <w:highlight w:val="none"/>
                <w:u w:val="none" w:color="auto"/>
              </w:rPr>
              <w:t>törölve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264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12 cikk – 1 bekezdés – b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b)</w:t>
            </w:r>
            <w:r>
              <w:tab/>
            </w:r>
            <w:r>
              <w:t>arcképmás;</w:t>
            </w:r>
          </w:p>
        </w:tc>
        <w:tc>
          <w:tcPr/>
          <w:p>
            <w:pPr>
              <w:pStyle w:val="Normal6"/>
            </w:pPr>
            <w:r>
              <w:t>b)</w:t>
            </w:r>
            <w:r>
              <w:tab/>
            </w:r>
            <w:r>
              <w:t>arcképmás</w:t>
            </w:r>
            <w:r>
              <w:rPr>
                <w:rFonts w:ascii="Times New Roman" w:eastAsia="Times New Roman" w:hAnsi="Times New Roman" w:cs="Times New Roman"/>
                <w:b/>
                <w:i/>
                <w:strike w:val="0"/>
                <w:color w:val="000000"/>
                <w:sz w:val="24"/>
                <w:highlight w:val="none"/>
                <w:u w:val="none" w:color="auto"/>
              </w:rPr>
              <w:t>, amennyiben az adatalany kiskorú</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265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12 cikk – 1 bekezdés – c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c)</w:t>
            </w:r>
            <w:r>
              <w:tab/>
            </w:r>
            <w:r>
              <w:t>családi név (nevek) és utónév (nevek), születési név (nevek) és korábban használt nevek</w:t>
            </w:r>
            <w:r>
              <w:rPr>
                <w:rFonts w:ascii="Times New Roman" w:eastAsia="Times New Roman" w:hAnsi="Times New Roman" w:cs="Times New Roman"/>
                <w:b/>
                <w:i/>
                <w:strike w:val="0"/>
                <w:color w:val="000000"/>
                <w:sz w:val="24"/>
                <w:highlight w:val="none"/>
                <w:u w:val="none" w:color="auto"/>
              </w:rPr>
              <w:t>, valamint bármely álnév (nevek), adott esetben külön bejegyzésben</w:t>
            </w:r>
            <w:r>
              <w:t>;</w:t>
            </w:r>
          </w:p>
        </w:tc>
        <w:tc>
          <w:tcPr/>
          <w:p>
            <w:pPr>
              <w:pStyle w:val="Normal6"/>
            </w:pPr>
            <w:r>
              <w:t>c)</w:t>
            </w:r>
            <w:r>
              <w:tab/>
            </w:r>
            <w:r>
              <w:t>családi név (nevek) és utónév (nevek), születési név (nevek) és korábban használt nevek;</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266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12 cikk – 1 bekezdés – d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d)</w:t>
            </w:r>
            <w:r>
              <w:tab/>
            </w:r>
            <w:r>
              <w:rPr>
                <w:rFonts w:ascii="Times New Roman" w:eastAsia="Times New Roman" w:hAnsi="Times New Roman" w:cs="Times New Roman"/>
                <w:b/>
                <w:i/>
                <w:strike w:val="0"/>
                <w:color w:val="000000"/>
                <w:sz w:val="24"/>
                <w:highlight w:val="none"/>
                <w:u w:val="none" w:color="auto"/>
              </w:rPr>
              <w:t>állampolgárság(ok);</w:t>
            </w:r>
          </w:p>
        </w:tc>
        <w:tc>
          <w:tcPr/>
          <w:p>
            <w:pPr>
              <w:pStyle w:val="Normal6"/>
            </w:pPr>
            <w:r>
              <w:rPr>
                <w:rFonts w:ascii="Times New Roman" w:eastAsia="Times New Roman" w:hAnsi="Times New Roman" w:cs="Times New Roman"/>
                <w:b/>
                <w:i/>
                <w:strike w:val="0"/>
                <w:color w:val="000000"/>
                <w:sz w:val="24"/>
                <w:highlight w:val="none"/>
                <w:u w:val="none" w:color="auto"/>
              </w:rPr>
              <w:t>törölve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267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Sylvia-Yvonne Kaufmann</w:t>
      </w:r>
      <w:r>
        <w:t xml:space="preserve">, </w:t>
      </w:r>
      <w:r>
        <w:t>Josef Weidenholzer</w:t>
      </w:r>
      <w:r>
        <w:t xml:space="preserve">, </w:t>
      </w:r>
      <w:r>
        <w:t>Vilija Blinkevičiūtė</w:t>
      </w:r>
      <w:r>
        <w:t xml:space="preserve">, </w:t>
      </w:r>
      <w:r>
        <w:t>Péter Niedermüller</w:t>
      </w:r>
      <w:r>
        <w:t xml:space="preserve">, </w:t>
      </w:r>
      <w:r>
        <w:t>Kati Piri</w:t>
      </w:r>
      <w:r>
        <w:t xml:space="preserve">, </w:t>
      </w:r>
      <w:r>
        <w:t>Maria Grapini</w:t>
      </w:r>
      <w:r>
        <w:t xml:space="preserve">, </w:t>
      </w:r>
      <w:r>
        <w:t>Juan Fernando López Aguilar</w:t>
      </w:r>
      <w:r>
        <w:t xml:space="preserve">, </w:t>
      </w:r>
      <w:r>
        <w:t>Caterina Chinnici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12 cikk – 1 bekezdés – d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d)</w:t>
            </w:r>
            <w:r>
              <w:tab/>
            </w:r>
            <w:r>
              <w:rPr>
                <w:rFonts w:ascii="Times New Roman" w:eastAsia="Times New Roman" w:hAnsi="Times New Roman" w:cs="Times New Roman"/>
                <w:b/>
                <w:i/>
                <w:strike w:val="0"/>
                <w:color w:val="000000"/>
                <w:sz w:val="24"/>
                <w:highlight w:val="none"/>
                <w:u w:val="none" w:color="auto"/>
              </w:rPr>
              <w:t>állampolgárság(ok)</w:t>
            </w:r>
            <w:r>
              <w:t>;</w:t>
            </w:r>
          </w:p>
        </w:tc>
        <w:tc>
          <w:tcPr/>
          <w:p>
            <w:pPr>
              <w:pStyle w:val="Normal6"/>
            </w:pPr>
            <w:r>
              <w:t>d)</w:t>
            </w:r>
            <w:r>
              <w:tab/>
            </w:r>
            <w:r>
              <w:rPr>
                <w:rFonts w:ascii="Times New Roman" w:eastAsia="Times New Roman" w:hAnsi="Times New Roman" w:cs="Times New Roman"/>
                <w:b/>
                <w:i/>
                <w:strike w:val="0"/>
                <w:color w:val="000000"/>
                <w:sz w:val="24"/>
                <w:highlight w:val="none"/>
                <w:u w:val="none" w:color="auto"/>
              </w:rPr>
              <w:t>a hontalan személy állampolgársága(i) vagy feltételezett és bejelentett állampolgársága vagy státusza a Hontalan Személyek Jogállásáról szóló 1954. évi Egyezmény 1. cikkének (1) bekezdésével összhangban</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268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12 cikk – 1 bekezdés – e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e)</w:t>
            </w:r>
            <w:r>
              <w:tab/>
            </w:r>
            <w:r>
              <w:rPr>
                <w:rFonts w:ascii="Times New Roman" w:eastAsia="Times New Roman" w:hAnsi="Times New Roman" w:cs="Times New Roman"/>
                <w:b/>
                <w:i/>
                <w:strike w:val="0"/>
                <w:color w:val="000000"/>
                <w:sz w:val="24"/>
                <w:highlight w:val="none"/>
                <w:u w:val="none" w:color="auto"/>
              </w:rPr>
              <w:t>születési hely és idő;</w:t>
            </w:r>
          </w:p>
        </w:tc>
        <w:tc>
          <w:tcPr/>
          <w:p>
            <w:pPr>
              <w:pStyle w:val="Normal6"/>
            </w:pPr>
            <w:r>
              <w:rPr>
                <w:rFonts w:ascii="Times New Roman" w:eastAsia="Times New Roman" w:hAnsi="Times New Roman" w:cs="Times New Roman"/>
                <w:b/>
                <w:i/>
                <w:strike w:val="0"/>
                <w:color w:val="000000"/>
                <w:sz w:val="24"/>
                <w:highlight w:val="none"/>
                <w:u w:val="none" w:color="auto"/>
              </w:rPr>
              <w:t>törölve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269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Sylvia-Yvonne Kaufmann</w:t>
      </w:r>
      <w:r>
        <w:t xml:space="preserve">, </w:t>
      </w:r>
      <w:r>
        <w:t>Josef Weidenholzer</w:t>
      </w:r>
      <w:r>
        <w:t xml:space="preserve">, </w:t>
      </w:r>
      <w:r>
        <w:t>Vilija Blinkevičiūtė</w:t>
      </w:r>
      <w:r>
        <w:t xml:space="preserve">, </w:t>
      </w:r>
      <w:r>
        <w:t>Péter Niedermüller</w:t>
      </w:r>
      <w:r>
        <w:t xml:space="preserve">, </w:t>
      </w:r>
      <w:r>
        <w:t>Kati Piri</w:t>
      </w:r>
      <w:r>
        <w:t xml:space="preserve">, </w:t>
      </w:r>
      <w:r>
        <w:t>Maria Grapini</w:t>
      </w:r>
      <w:r>
        <w:t xml:space="preserve">, </w:t>
      </w:r>
      <w:r>
        <w:t>Juan Fernando López Aguilar</w:t>
      </w:r>
      <w:r>
        <w:t xml:space="preserve">, </w:t>
      </w:r>
      <w:r>
        <w:t>Caterina Chinnici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12 cikk – 1 bekezdés – g a pont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ga)</w:t>
            </w:r>
            <w:r>
              <w:tab/>
            </w:r>
            <w:r>
              <w:rPr>
                <w:rFonts w:ascii="Times New Roman" w:eastAsia="Times New Roman" w:hAnsi="Times New Roman" w:cs="Times New Roman"/>
                <w:b/>
                <w:i/>
                <w:strike w:val="0"/>
                <w:color w:val="000000"/>
                <w:sz w:val="24"/>
                <w:highlight w:val="none"/>
                <w:u w:val="none" w:color="auto"/>
              </w:rPr>
              <w:t>a kiskorúak családi kötelékeire vonatkozó részletek, így a családtagok és kísérők neve vagy bármely egyéb fontos információ, amely segíthet az esetleges családfelkutatásban és családegyesítésben.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Ahogyan azt az Európai Bizottság az Eurodac-átdolgozásra irányuló javaslatot kísérő indokolásban hangsúlyozta, az alsó korhatár 14 évről 6 évre való, a 10. cikk (1) bekezdése szerinti leszállítása az emberkereskedelem áldozatául esett gyermekek védelmét és a kísérő nélküli gyermekek azonosítása és védelme támogatását célozza. Az Európai Unió Alapjogi Chartája 7., 8. és 24. cikkében foglaltaknak való megfelelés érdekében a gyermekek biometrikus adatainak feldolgozását csak gyermekvédelmi cél indokolhatja. Ezért ez a módosítás közvetlenül kapcsolódik a Bizottság által javasolt változtatásokhoz.</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270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Judith Sargentini</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a Verts/ALE képviselőcsoport nevében</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12 cikk – 1 bekezdés – h pont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h)</w:t>
            </w:r>
            <w:r>
              <w:tab/>
            </w:r>
            <w:r>
              <w:rPr>
                <w:rFonts w:ascii="Times New Roman" w:eastAsia="Times New Roman" w:hAnsi="Times New Roman" w:cs="Times New Roman"/>
                <w:b/>
                <w:i/>
                <w:strike w:val="0"/>
                <w:color w:val="000000"/>
                <w:sz w:val="24"/>
                <w:highlight w:val="none"/>
                <w:u w:val="none" w:color="auto"/>
              </w:rPr>
              <w:t>a személyazonosító vagy úti okmány típusa és száma; a kibocsátó tagállam három betűből álló kódja és az okmány érvényessége;</w:t>
            </w:r>
          </w:p>
        </w:tc>
        <w:tc>
          <w:tcPr/>
          <w:p>
            <w:pPr>
              <w:pStyle w:val="Normal6"/>
            </w:pPr>
            <w:r>
              <w:rPr>
                <w:rFonts w:ascii="Times New Roman" w:eastAsia="Times New Roman" w:hAnsi="Times New Roman" w:cs="Times New Roman"/>
                <w:b/>
                <w:i/>
                <w:strike w:val="0"/>
                <w:color w:val="000000"/>
                <w:sz w:val="24"/>
                <w:highlight w:val="none"/>
                <w:u w:val="none" w:color="auto"/>
              </w:rPr>
              <w:t>törölve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Módosítás</w:t>
      </w:r>
      <w:r>
        <w:t xml:space="preserve"> </w:t>
      </w:r>
      <w:r>
        <w:tab/>
      </w:r>
      <w:r>
        <w:tab/>
      </w:r>
      <w:r>
        <w:rPr>
          <w:rStyle w:val="HideTWBExt"/>
        </w:rPr>
        <w:t>&lt;</w:t>
      </w:r>
      <w:r>
        <w:rPr>
          <w:rStyle w:val="HideTWBExt"/>
        </w:rPr>
        <w:t>NumAm</w:t>
      </w:r>
      <w:r>
        <w:rPr>
          <w:rStyle w:val="HideTWBExt"/>
        </w:rPr>
        <w:t>&gt;</w:t>
      </w:r>
      <w:r>
        <w:t>271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Jeroen Lenaers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Rendeletre irányuló javaslat</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12 cikk – s a bekezdés (új)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A Bizottság által javasolt szöveg</w:t>
            </w:r>
          </w:p>
        </w:tc>
        <w:tc>
          <w:tcPr/>
          <w:p>
            <w:pPr>
              <w:pStyle w:val="ColumnHeading"/>
            </w:pPr>
            <w:r>
              <w:t>Módosítás</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(s a)</w:t>
            </w:r>
            <w:r>
              <w:tab/>
            </w:r>
            <w:r>
              <w:rPr>
                <w:rFonts w:ascii="Times New Roman" w:eastAsia="Times New Roman" w:hAnsi="Times New Roman" w:cs="Times New Roman"/>
                <w:b/>
                <w:i/>
                <w:strike w:val="0"/>
                <w:color w:val="000000"/>
                <w:sz w:val="24"/>
                <w:highlight w:val="none"/>
                <w:u w:val="none" w:color="auto"/>
              </w:rPr>
              <w:t>kiskorú esetében, különösen ha nem rendelkezik kísérővel, adott esetben a családtagok adatai, így vezetéknév/vezetéknevek, utónév/utónevek, születés ideje, nem, állampolgárság(ok), születés helye, a kiskorúhoz fűződő családi kapcsolat.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pPr>
        <w:pStyle w:val="JustificationTitle"/>
      </w:pPr>
      <w:r>
        <w:rPr>
          <w:rStyle w:val="HideTWBExt"/>
        </w:rPr>
        <w:t>&lt;</w:t>
      </w:r>
      <w:r>
        <w:rPr>
          <w:rStyle w:val="HideTWBExt"/>
        </w:rPr>
        <w:t>TitreJust</w:t>
      </w:r>
      <w:r>
        <w:rPr>
          <w:rStyle w:val="HideTWBExt"/>
        </w:rPr>
        <w:t>&gt;</w:t>
      </w:r>
      <w:r>
        <w:t>Indokolás</w:t>
      </w:r>
      <w:r>
        <w:rPr>
          <w:rStyle w:val="HideTWBExt"/>
        </w:rPr>
        <w:t>&lt;/</w:t>
      </w:r>
      <w:r>
        <w:rPr>
          <w:rStyle w:val="HideTWBExt"/>
        </w:rPr>
        <w:t>TitreJust</w:t>
      </w:r>
      <w:r>
        <w:rPr>
          <w:rStyle w:val="HideTWBExt"/>
        </w:rPr>
        <w:t>&gt;</w:t>
      </w:r>
    </w:p>
    <w:p>
      <w:pPr>
        <w:pStyle w:val="Normal12Italic"/>
      </w:pPr>
      <w:r>
        <w:t>A gyermek mindenek felett való érdekeinek e rendelet lényeges részét kell képezniük. Ez a módosítás a 2. cikkhez kapcsolódik.</w:t>
      </w:r>
    </w:p>
    <w:p>
      <w:r>
        <w:rPr>
          <w:rStyle w:val="HideTWBExt"/>
        </w:rPr>
        <w:t>&lt;/</w:t>
      </w:r>
      <w:r>
        <w:rPr>
          <w:rStyle w:val="HideTWBExt"/>
        </w:rPr>
        <w:t>Amend</w:t>
      </w:r>
      <w:r>
        <w:rPr>
          <w:rStyle w:val="HideTWBExt"/>
        </w:rPr>
        <w:t>&gt;</w:t>
      </w:r>
      <w:r>
        <w:rPr>
          <w:rStyle w:val="HideTWBExt"/>
        </w:rPr>
        <w:t>&lt;/</w:t>
      </w:r>
      <w:r>
        <w:rPr>
          <w:rStyle w:val="HideTWBExt"/>
        </w:rPr>
        <w:t>RepeatBlock-Amend</w:t>
      </w:r>
      <w:r>
        <w:rPr>
          <w:rStyle w:val="HideTWBExt"/>
        </w:rPr>
        <w:t>&gt;</w:t>
      </w:r>
    </w:p>
    <w:sectPr>
      <w:footerReference w:type="even" r:id="rId5"/>
      <w:footerReference w:type="default" r:id="rId6"/>
      <w:footerReference w:type="first" r:id="rId7"/>
      <w:pgSz w:w="11906" w:h="16838"/>
      <w:pgMar w:top="1134" w:right="1417" w:bottom="1417" w:left="1417" w:header="1134" w:footer="567" w:gutter="0"/>
      <w:cols w:num="1"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t>PE</w:t>
    </w:r>
    <w:r>
      <w:rPr>
        <w:rStyle w:val="HideTWBExt"/>
      </w:rPr>
      <w:t>&lt;</w:t>
    </w:r>
    <w:r>
      <w:rPr>
        <w:rStyle w:val="HideTWBExt"/>
      </w:rPr>
      <w:t>NoPE</w:t>
    </w:r>
    <w:r>
      <w:rPr>
        <w:rStyle w:val="HideTWBExt"/>
      </w:rPr>
      <w:t>&gt;</w:t>
    </w:r>
    <w:r>
      <w:t>601.040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fldChar w:fldCharType="end"/>
    </w:r>
    <w:r>
      <w:t>/</w:t>
    </w:r>
    <w:r>
      <w:fldChar w:fldCharType="begin"/>
    </w:r>
    <w:r>
      <w:instrText>NUMPAGES</w:instrText>
    </w:r>
    <w:r>
      <w:fldChar w:fldCharType="separate"/>
    </w:r>
    <w:r>
      <w:fldChar w:fldCharType="end"/>
    </w:r>
    <w:r>
      <w:tab/>
    </w:r>
    <w:r>
      <w:rPr>
        <w:rStyle w:val="HideTWBExt"/>
      </w:rPr>
      <w:t>&lt;</w:t>
    </w:r>
    <w:r>
      <w:rPr>
        <w:rStyle w:val="HideTWBExt"/>
      </w:rPr>
      <w:t>PathFdR</w:t>
    </w:r>
    <w:r>
      <w:rPr>
        <w:rStyle w:val="HideTWBExt"/>
      </w:rPr>
      <w:t>&gt;</w:t>
    </w:r>
    <w:r>
      <w:t>AM\1119113HU.docx</w:t>
    </w:r>
    <w:r>
      <w:rPr>
        <w:rStyle w:val="HideTWBExt"/>
      </w:rPr>
      <w:t>&lt;/</w:t>
    </w:r>
    <w:r>
      <w:rPr>
        <w:rStyle w:val="HideTWBExt"/>
      </w:rPr>
      <w:t>PathFdR</w:t>
    </w:r>
    <w:r>
      <w:rPr>
        <w:rStyle w:val="HideTWBExt"/>
      </w:rPr>
      <w:t>&gt;</w:t>
    </w:r>
  </w:p>
  <w:p>
    <w:pPr>
      <w:pStyle w:val="Footer2"/>
    </w:pPr>
    <w:r>
      <w:t>HU</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rPr>
        <w:rStyle w:val="HideTWBExt"/>
      </w:rPr>
      <w:t>&lt;</w:t>
    </w:r>
    <w:r>
      <w:rPr>
        <w:rStyle w:val="HideTWBExt"/>
      </w:rPr>
      <w:t>PathFdR</w:t>
    </w:r>
    <w:r>
      <w:rPr>
        <w:rStyle w:val="HideTWBExt"/>
      </w:rPr>
      <w:t>&gt;</w:t>
    </w:r>
    <w:r>
      <w:t>AM\1119113HU.docx</w:t>
    </w:r>
    <w:r>
      <w:rPr>
        <w:rStyle w:val="HideTWBExt"/>
      </w:rPr>
      <w:t>&lt;/</w:t>
    </w:r>
    <w:r>
      <w:rPr>
        <w:rStyle w:val="HideTWBExt"/>
      </w:rPr>
      <w:t>PathFdR</w:t>
    </w:r>
    <w:r>
      <w:rPr>
        <w:rStyle w:val="HideTWBExt"/>
      </w:rPr>
      <w:t>&gt;</w:t>
    </w:r>
    <w:r>
      <w:tab/>
    </w:r>
    <w:r>
      <w:fldChar w:fldCharType="begin"/>
    </w:r>
    <w:r>
      <w:instrText>PAGE</w:instrText>
    </w:r>
    <w:r>
      <w:fldChar w:fldCharType="separate"/>
    </w:r>
    <w:r>
      <w:fldChar w:fldCharType="end"/>
    </w:r>
    <w:r>
      <w:t>/</w:t>
    </w:r>
    <w:r>
      <w:fldChar w:fldCharType="begin"/>
    </w:r>
    <w:r>
      <w:instrText>NUMPAGES</w:instrText>
    </w:r>
    <w:r>
      <w:fldChar w:fldCharType="separate"/>
    </w:r>
    <w:r>
      <w:fldChar w:fldCharType="end"/>
    </w:r>
    <w:r>
      <w:tab/>
    </w:r>
    <w:r>
      <w:t>PE</w:t>
    </w:r>
    <w:r>
      <w:rPr>
        <w:rStyle w:val="HideTWBExt"/>
      </w:rPr>
      <w:t>&lt;</w:t>
    </w:r>
    <w:r>
      <w:rPr>
        <w:rStyle w:val="HideTWBExt"/>
      </w:rPr>
      <w:t>NoPE</w:t>
    </w:r>
    <w:r>
      <w:rPr>
        <w:rStyle w:val="HideTWBExt"/>
      </w:rPr>
      <w:t>&gt;</w:t>
    </w:r>
    <w:r>
      <w:t>601.040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Footer2"/>
    </w:pPr>
    <w:r>
      <w:tab/>
    </w:r>
    <w:r>
      <w:tab/>
    </w:r>
    <w:r>
      <w:t>HU</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rPr>
        <w:rStyle w:val="HideTWBExt"/>
      </w:rPr>
      <w:t>&lt;</w:t>
    </w:r>
    <w:r>
      <w:rPr>
        <w:rStyle w:val="HideTWBExt"/>
      </w:rPr>
      <w:t>PathFdR</w:t>
    </w:r>
    <w:r>
      <w:rPr>
        <w:rStyle w:val="HideTWBExt"/>
      </w:rPr>
      <w:t>&gt;</w:t>
    </w:r>
    <w:r>
      <w:t>AM\1119113HU.docx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601.040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Footer2"/>
    </w:pPr>
    <w:r>
      <w:t>HU</w:t>
    </w:r>
    <w:r>
      <w:tab/>
    </w:r>
    <w:r>
      <w:rPr>
        <w:rStyle w:val="Footer2Middle"/>
      </w:rPr>
      <w:t>Egyesülve a sokféleségben</w:t>
    </w:r>
    <w:r>
      <w:tab/>
    </w:r>
    <w:r>
      <w:t>HU</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13;&#10;{\f34\fbidi \froman\fcharset0\fprq2{\*\panose 02040503050406030204}Cambria Math;}{\flomajor\f31500\fbidi \froman\fcharset0\fprq2{\*\panose 02020603050405020304}Times New Roman;}&#13;&#10;{\fdbmajor\f31501\fbidi \froman\fcharset0\fprq2{\*\panose 02020603050405020304}Times New Roman;}{\fhimajor\f31502\fbidi \froman\fcharset0\fprq2{\*\panose 02040503050406030204}Cambria;}&#13;&#10;{\fbimajor\f31503\fbidi \froman\fcharset0\fprq2{\*\panose 02020603050405020304}Times New Roman;}{\flominor\f31504\fbidi \froman\fcharset0\fprq2{\*\panose 02020603050405020304}Times New Roman;}&#13;&#10;{\fdbminor\f31505\fbidi \froman\fcharset0\fprq2{\*\panose 02020603050405020304}Times New Roman;}{\fhiminor\f31506\fbidi \fswiss\fcharset0\fprq2{\*\panose 020f0502020204030204}Calibri;}&#13;&#10;{\fbiminor\f31507\fbidi \froman\fcharset0\fprq2{\*\panose 02020603050405020304}Times New Roman;}{\f42\fbidi \froman\fcharset238\fprq2 Times New Roman CE;}{\f43\fbidi \froman\fcharset204\fprq2 Times New Roman Cyr;}&#13;&#10;{\f45\fbidi \froman\fcharset161\fprq2 Times New Roman Greek;}{\f46\fbidi \froman\fcharset162\fprq2 Times New Roman Tur;}{\f47\fbidi \froman\fcharset177\fprq2 Times New Roman (Hebrew);}{\f48\fbidi \froman\fcharset178\fprq2 Times New Roman (Arabic);}&#13;&#10;{\f49\fbidi \froman\fcharset186\fprq2 Times New Roman Baltic;}{\f50\fbidi \froman\fcharset163\fprq2 Times New Roman (Vietnamese);}{\f52\fbidi \fswiss\fcharset238\fprq2 Arial CE;}{\f53\fbidi \fswiss\fcharset204\fprq2 Arial Cyr;}&#13;&#10;{\f55\fbidi \fswiss\fcharset161\fprq2 Arial Greek;}{\f56\fbidi \fswiss\fcharset162\fprq2 Arial Tur;}{\f57\fbidi \fswiss\fcharset177\fprq2 Arial (Hebrew);}{\f58\fbidi \fswiss\fcharset178\fprq2 Arial (Arabic);}&#13;&#10;{\f59\fbidi \fswiss\fcharset186\fprq2 Arial Baltic;}{\f60\fbidi \fswiss\fcharset163\fprq2 Arial (Vietnamese);}{\f382\fbidi \froman\fcharset238\fprq2 Cambria Math CE;}{\f383\fbidi \froman\fcharset204\fprq2 Cambria Math Cyr;}&#13;&#10;{\f385\fbidi \froman\fcharset161\fprq2 Cambria Math Greek;}{\f386\fbidi \froman\fcharset162\fprq2 Cambria Math Tur;}{\f389\fbidi \froman\fcharset186\fprq2 Cambria Math Baltic;}{\f390\fbidi \froman\fcharset163\fprq2 Cambria Math (Vietnamese);}&#13;&#10;{\flomajor\f31508\fbidi \froman\fcharset238\fprq2 Times New Roman CE;}{\flomajor\f31509\fbidi \froman\fcharset204\fprq2 Times New Roman Cyr;}{\flomajor\f31511\fbidi \froman\fcharset161\fprq2 Times New Roman Greek;}&#13;&#10;{\flomajor\f31512\fbidi \froman\fcharset162\fprq2 Times New Roman Tur;}{\flomajor\f31513\fbidi \froman\fcharset177\fprq2 Times New Roman (Hebrew);}{\flomajor\f31514\fbidi \froman\fcharset178\fprq2 Times New Roman (Arabic);}&#13;&#10;{\flomajor\f31515\fbidi \froman\fcharset186\fprq2 Times New Roman Baltic;}{\flomajor\f31516\fbidi \froman\fcharset163\fprq2 Times New Roman (Vietnamese);}{\fdbmajor\f31518\fbidi \froman\fcharset238\fprq2 Times New Roman CE;}&#13;&#10;{\fdbmajor\f31519\fbidi \froman\fcharset204\fprq2 Times New Roman Cyr;}{\fdbmajor\f31521\fbidi \froman\fcharset161\fprq2 Times New Roman Greek;}{\fdbmajor\f31522\fbidi \froman\fcharset162\fprq2 Times New Roman Tur;}&#13;&#10;{\fdbmajor\f31523\fbidi \froman\fcharset177\fprq2 Times New Roman (Hebrew);}{\fdbmajor\f31524\fbidi \froman\fcharset178\fprq2 Times New Roman (Arabic);}{\fdbmajor\f31525\fbidi \froman\fcharset186\fprq2 Times New Roman Baltic;}&#13;&#10;{\fdbmajor\f31526\fbidi \froman\fcharset163\fprq2 Times New Roman (Vietnamese);}{\fhimajor\f31528\fbidi \froman\fcharset238\fprq2 Cambria CE;}{\fhimajor\f31529\fbidi \froman\fcharset204\fprq2 Cambria Cyr;}&#13;&#10;{\fhimajor\f31531\fbidi \froman\fcharset161\fprq2 Cambria Greek;}{\fhimajor\f31532\fbidi \froman\fcharset162\fprq2 Cambria Tur;}{\fhimajor\f31535\fbidi \froman\fcharset186\fprq2 Cambria Baltic;}&#13;&#10;{\fhimajor\f31536\fbidi \froman\fcharset163\fprq2 Cambria (Vietnamese);}{\fbimajor\f31538\fbidi \froman\fcharset238\fprq2 Times New Roman CE;}{\fbimajor\f31539\fbidi \froman\fcharset204\fprq2 Times New Roman Cyr;}&#13;&#10;{\fbimajor\f31541\fbidi \froman\fcharset161\fprq2 Times New Roman Greek;}{\fbimajor\f31542\fbidi \froman\fcharset162\fprq2 Times New Roman Tur;}{\fbimajor\f31543\fbidi \froman\fcharset177\fprq2 Times New Roman (Hebrew);}&#13;&#10;{\fbimajor\f31544\fbidi \froman\fcharset178\fprq2 Times New Roman (Arabic);}{\fbimajor\f31545\fbidi \froman\fcharset186\fprq2 Times New Roman Baltic;}{\fbimajor\f31546\fbidi \froman\fcharset163\fprq2 Times New Roman (Vietnamese);}&#13;&#10;{\flominor\f31548\fbidi \froman\fcharset238\fprq2 Times New Roman CE;}{\flominor\f31549\fbidi \froman\fcharset204\fprq2 Times New Roman Cyr;}{\flominor\f31551\fbidi \froman\fcharset161\fprq2 Times New Roman Greek;}&#13;&#10;{\flominor\f31552\fbidi \froman\fcharset162\fprq2 Times New Roman Tur;}{\flominor\f31553\fbidi \froman\fcharset177\fprq2 Times New Roman (Hebrew);}{\flominor\f31554\fbidi \froman\fcharset178\fprq2 Times New Roman (Arabic);}&#13;&#10;{\flominor\f31555\fbidi \froman\fcharset186\fprq2 Times New Roman Baltic;}{\flominor\f31556\fbidi \froman\fcharset163\fprq2 Times New Roman (Vietnamese);}{\fdbminor\f31558\fbidi \froman\fcharset238\fprq2 Times New Roman CE;}&#13;&#10;{\fdbminor\f31559\fbidi \froman\fcharset204\fprq2 Times New Roman Cyr;}{\fdbminor\f31561\fbidi \froman\fcharset161\fprq2 Times New Roman Greek;}{\fdbminor\f31562\fbidi \froman\fcharset162\fprq2 Times New Roman Tur;}&#13;&#10;{\fdbminor\f31563\fbidi \froman\fcharset177\fprq2 Times New Roman (Hebrew);}{\fdbminor\f31564\fbidi \froman\fcharset178\fprq2 Times New Roman (Arabic);}{\fdbminor\f31565\fbidi \froman\fcharset186\fprq2 Times New Roman Baltic;}&#13;&#10;{\fdbminor\f31566\fbidi \froman\fcharset163\fprq2 Times New Roman (Vietnamese);}{\fhiminor\f31568\fbidi \fswiss\fcharset238\fprq2 Calibri CE;}{\fhiminor\f31569\fbidi \fswiss\fcharset204\fprq2 Calibri Cyr;}&#13;&#10;{\fhiminor\f31571\fbidi \fswiss\fcharset161\fprq2 Calibri Greek;}{\fhiminor\f31572\fbidi \fswiss\fcharset162\fprq2 Calibri Tur;}{\fhiminor\f31575\fbidi \fswiss\fcharset186\fprq2 Calibri Baltic;}&#13;&#10;{\fhiminor\f31576\fbidi \fswiss\fcharset163\fprq2 Calibri (Vietnamese);}{\fbiminor\f31578\fbidi \froman\fcharset238\fprq2 Times New Roman CE;}{\fbiminor\f31579\fbidi \froman\fcharset204\fprq2 Times New Roman Cyr;}&#13;&#10;{\fbiminor\f31581\fbidi \froman\fcharset161\fprq2 Times New Roman Greek;}{\fbiminor\f31582\fbidi \froman\fcharset162\fprq2 Times New Roman Tur;}{\fbiminor\f31583\fbidi \froman\fcharset177\fprq2 Times New Roman (Hebrew);}&#13;&#10;{\fbiminor\f31584\fbidi \froman\fcharset178\fprq2 Times New Roman (Arabic);}{\fbiminor\f31585\fbidi \froman\fcharset186\fprq2 Times New Roman Baltic;}{\fbiminor\f31586\fbidi \froman\fcharset163\fprq2 Times New Roman (Vietnamese);}}&#13;&#10;{\colortbl;\red0\green0\blue0;\red0\green0\blue255;\red0\green255\blue255;\red0\green255\blue0;\red255\green0\blue255;\red255\green0\blue0;\red255\green255\blue0;\red255\green255\blue255;\red0\green0\blue128;\red0\green128\blue128;\red0\green128\blue0;&#13;&#10;\red128\green0\blue128;\red128\green0\blue0;\red128\green128\blue0;\red128\green128\blue128;\red192\green192\blue192;}{\*\defchp }{\*\defpap \ql \li0\ri0\widctlpar\wrapdefault\aspalpha\aspnum\faauto\adjustright\rin0\lin0\itap0 }\noqfpromote {\stylesheet{&#13;&#10;\ql \li0\ri0\widctlpar\wrapdefault\aspalpha\aspnum\faauto\adjustright\rin0\lin0\itap0 \rtlch\fcs1 \af0\afs20\alang1025 \ltrch\fcs0 \fs24\lang2057\langfe2057\cgrid\langnp2057\langfenp2057 \snext0 \sqformat \spriority0 Normal;}{\*\cs10 \additive &#13;&#10;\ssemihidden \spriority0 Default Paragraph Font;}{\*\ts11\tsrowd\trftsWidthB3\trpaddl108\trpaddr108\trpaddfl3\trpaddft3\trpaddfb3\trpaddfr3\tblind0\tblindtype3\tsvertalt\tsbrdrt\tsbrdrl\tsbrdrb\tsbrdrr\tsbrdrdgl\tsbrdrdgr\tsbrdrh\tsbrdrv &#13;&#10;\ql \li0\ri0\widctlpar\wrapdefault\aspalpha\aspnum\faauto\adjustright\rin0\lin0\itap0 \rtlch\fcs1 \af0\afs20\alang1025 \ltrch\fcs0 \fs20\lang1043\langfe1043\cgrid\langnp1043\langfenp1043 \snext11 \ssemihidden \spriority0 Normal Table;}{\*\cs15 \additive &#13;&#10;\v\f1\fs20\cf9\lang1024\langfe1024\noproof \spriority0 \styrsid13127606 HideTWBExt;}}{\*\rsidtbl \rsid24658\rsid735077\rsid2892074\rsid4666813\rsid6641733\rsid7286045\rsid9636012\rsid11215221\rsid12154954\rsid13127606\rsid14424199\rsid15204470&#13;&#10;\rsid15285974\rsid15950462\rsid16324206\rsid16662270}{\mmathPr\mmathFont34\mbrkBin0\mbrkBinSub0\msmallFrac0\mdispDef1\mlMargin0\mrMargin0\mdefJc1\mwrapIndent1440\mintLim0\mnaryLim1}{\info{\author FELIX Karina}{\operator FELIX Karina}&#13;&#10;{\creatim\yr2015\mo5\dy8\hr15\min23}{\revtim\yr2015\mo5\dy8\hr15\min23}{\version1}{\edmins0}{\nofpages1}{\nofwords6}{\nofchars33}{\*\company European Parliament}{\nofcharsws38}{\vern49165}}{\*\xmlnstbl {\xmlns1 http://schemas.microsoft.com/office/word/200&#13;&#10;3/wordml}}\paperw11906\paperh16838\margl1418\margr1418\margt1134\margb1418\gutter0\ltrsect &#13;&#10;\facingp\widowctrl\ftnbj\aenddoc\ftnrstpg\trackmoves0\trackformatting1\donotembedsysfont1\relyonvml0\donotembedlingdata0\grfdocevents0\validatexml1\showplaceholdtext0\ignoremixedcontent0\saveinvalidxml0&#13;&#10;\showxmlerrors1\margmirror\noxlattoyen\expshrtn\noultrlspc\dntblnsbdb\nospaceforul\formshade\horzdoc\dghspace180\dgvspace180\dghorigin1701\dgvorigin1984\dghshow0\dgvshow0&#13;&#10;\jexpand\viewkind1\viewscale90\pgbrdrhead\pgbrdrfoot\nolnhtadjtbl\nojkernpunct\rsidroot13127606\utinl \fet0{\*\wgrffmtfilter 013f}\ilfomacatclnup0{\*\template C:\\Users\\kfelix\\AppData\\Local\\Temp\\Blank1.dot}{\*\ftnsep \ltrpar \pard\plain \ltrpar&#13;&#10;\ql \li0\ri0\widctlpar\wrapdefault\aspalpha\aspnum\faauto\adjustright\rin0\lin0\itap0 \rtlch\fcs1 \af0\afs20\alang1025 \ltrch\fcs0 \fs24\lang2057\langfe2057\cgrid\langnp2057\langfenp2057 {\rtlch\fcs1 \af0 \ltrch\fcs0 \insrsid7286045 \chftnsep &#13;&#10;\par }}{\*\ftnsepc \ltrpar \pard\plain \ltrpar\ql \li0\ri0\widctlpar\wrapdefault\aspalpha\aspnum\faauto\adjustright\rin0\lin0\itap0 \rtlch\fcs1 \af0\afs20\alang1025 \ltrch\fcs0 \fs24\lang2057\langfe2057\cgrid\langnp2057\langfenp2057 {\rtlch\fcs1 \af0 &#13;&#10;\ltrch\fcs0 \insrsid7286045 \chftnsepc &#13;&#10;\par }}{\*\aftnsep \ltrpar \pard\plain \ltrpar\ql \li0\ri0\widctlpar\wrapdefault\aspalpha\aspnum\faauto\adjustright\rin0\lin0\itap0 \rtlch\fcs1 \af0\afs20\alang1025 \ltrch\fcs0 \fs24\lang2057\langfe2057\cgrid\langnp2057\langfenp2057 {\rtlch\fcs1 \af0 &#13;&#10;\ltrch\fcs0 \insrsid7286045 \chftnsep &#13;&#10;\par }}{\*\aftnsepc \ltrpar \pard\plain \ltrpar\ql \li0\ri0\widctlpar\wrapdefault\aspalpha\aspnum\faauto\adjustright\rin0\lin0\itap0 \rtlch\fcs1 \af0\afs20\alang1025 \ltrch\fcs0 \fs24\lang2057\langfe2057\cgrid\langnp2057\langfenp2057 {\rtlch\fcs1 \af0 &#13;&#10;\ltrch\fcs0 \insrsid7286045 \chftnsepc &#13;&#10;\par }}\ltrpar \sectd \ltrsect\psz9\linex0\headery1134\footery505\endnhere\titlepg\sectdefaultcl\sectrsid14424199\sftnbj\sftnrstpg {\*\pnseclvl1\pnucrm\pnstart1\pnindent720\pnhang {\pntxta .}}{\*\pnseclvl2\pnucltr\pnstart1\pnindent720\pnhang {\pntxta .}}&#13;&#10;{\*\pnseclvl3\pndec\pnstart1\pnindent720\pnhang {\pntxta .}}{\*\pnseclvl4\pnlcltr\pnstart1\pnindent720\pnhang {\pntxta )}}{\*\pnseclvl5\pndec\pnstart1\pnindent720\pnhang {\pntxtb (}{\pntxta )}}{\*\pnseclvl6\pnlcltr\pnstart1\pnindent720\pnhang {\pntxtb (}&#13;&#10;{\pntxta )}}{\*\pnseclvl7\pnlcrm\pnstart1\pnindent720\pnhang {\pntxtb (}{\pntxta )}}{\*\pnseclvl8\pnlcltr\pnstart1\pnindent720\pnhang {\pntxtb (}{\pntxta )}}{\*\pnseclvl9\pnlcrm\pnstart1\pnindent720\pnhang {\pntxtb (}{\pntxta )}}\pard\plain \ltrpar&#13;&#10;\ql \li0\ri0\widctlpar\wrapdefault\aspalpha\aspnum\faauto\adjustright\rin0\lin0\itap0\pararsid16390444 \rtlch\fcs1 \af0\afs20\alang1025 \ltrch\fcs0 \fs24\lang2057\langfe2057\cgrid\langnp2057\langfenp2057 {\rtlch\fcs1 \af0 \ltrch\fcs0 &#13;&#10;\cs15\v\f1\fs20\cf9\insrsid13127606\charrsid946740 {\*\bkmkstart EndA}&lt;&lt;&lt;}{\rtlch\fcs1 \af0 \ltrch\fcs0 \insrsid13127606\charrsid946740 #@&gt;ZOTHAMA&lt;@#}{\rtlch\fcs1 \af0 \ltrch\fcs0 \cs15\v\f1\fs20\cf9\insrsid13127606\charrsid946740 &lt;/RepeatBlock-AmendA&gt;}{&#13;&#10;\rtlch\fcs1 \af0 \ltrch\fcs0 \insrsid13127606\charrsid946740 &#13;&#10;\par }\pard \ltrpar\ql \li0\ri0\widctlpar\wrapdefault\aspalpha\aspnum\faauto\adjustright\rin0\lin0\itap0\pararsid16324206 {\rtlch\fcs1 \af0 \ltrch\fcs0 \insrsid24658\charrsid16324206 {\*\bkmkend EndA}&#13;&#10;\par }{\*\themedata 504b030414000600080000002100e9de0fbfff0000001c020000130000005b436f6e74656e745f54797065735d2e786d6cac91cb4ec3301045f748fc83e52d4a&#13;&#10;9cb2400825e982c78ec7a27cc0c8992416c9d8b2a755fbf74cd25442a820166c2cd933f79e3be372bd1f07b5c3989ca74aaff2422b24eb1b475da5df374fd9ad&#13;&#10;5689811a183c61a50f98f4babebc2837878049899a52a57be670674cb23d8e90721f90a4d2fa3802cb35762680fd800ecd7551dc18eb899138e3c943d7e503b6&#13;&#10;b01d583deee5f99824e290b4ba3f364eac4a430883b3c092d4eca8f946c916422ecab927f52ea42b89a1cd59c254f919b0e85e6535d135a8de20f20b8c12c3b0&#13;&#10;0c895fcf6720192de6bf3b9e89ecdbd6596cbcdd8eb28e7c365ecc4ec1ff1460f53fe813d3cc7f5b7f020000ffff0300504b030414000600080000002100a5d6&#13;&#10;a7e7c0000000360100000b0000005f72656c732f2e72656c73848fcf6ac3300c87ef85bd83d17d51d2c31825762fa590432fa37d00e1287f68221bdb1bebdb4f&#13;&#10;c7060abb0884a4eff7a93dfeae8bf9e194e720169aaa06c3e2433fcb68e1763dbf7f82c985a4a725085b787086a37bdbb55fbc50d1a33ccd311ba548b6309512&#13;&#10;0f88d94fbc52ae4264d1c910d24a45db3462247fa791715fd71f989e19e0364cd3f51652d73760ae8fa8c9ffb3c330cc9e4fc17faf2ce545046e37944c69e462&#13;&#10;a1a82fe353bd90a865aad41ed0b5b8f9d6fd010000ffff0300504b0304140006000800000021006b799616830000008a0000001c0000007468656d652f746865&#13;&#10;6d652f7468656d654d616e616765722e786d6c0ccc4d0ac3201040e17da17790d93763bb284562b2cbaebbf600439c1a41c7a0d29fdbd7e5e38337cedf14d59b&#13;&#10;4b0d592c9c070d8a65cd2e88b7f07c2ca71ba8da481cc52c6ce1c715e6e97818c9b48d13df49c873517d23d59085adb5dd20d6b52bd521ef2cdd5eb9246a3d8b&#13;&#10;4757e8d3f729e245eb2b260a0238fd010000ffff0300504b03041400060008000000210030dd4329a8060000a41b0000160000007468656d652f7468656d652f&#13;&#10;7468656d65312e786d6cec594f6fdb3614bf0fd87720746f6327761a07758ad8b19b2d4d1bc46e871e698996d850a240d2497d1bdae38001c3ba618715d86d87&#13;&#10;615b8116d8a5fb34d93a6c1dd0afb0475292c5585e9236d88aad3e2412f9e3fbff1e1fa9abd7eec70c1d1221294fda5efd72cd4324f1794093b0eddd1ef62fad&#13;&#10;79482a9c0498f184b4bd2991deb58df7dfbb8ad755446282607d22d771db8b944ad79796a40fc3585ee62949606ecc458c15bc8a702910f808e8c66c69b9565b&#13;&#10;5d8a314d3c94e018c8de1a8fa94fd05093f43672e23d06af89927ac06762a049136785c10607758d9053d965021d62d6f6804fc08f86e4bef210c352c144dbab&#13;&#10;999fb7b4717509af678b985ab0b6b4ae6f7ed9ba6c4170b06c788a705430adf71bad2b5b057d03606a1ed7ebf5babd7a41cf00b0ef83a6569632cd467faddec9&#13;&#10;699640f6719e76b7d6ac355c7c89feca9cccad4ea7d36c65b258a206641f1b73f8b5da6a6373d9c11b90c537e7f08dce66b7bbeae00dc8e257e7f0fd2badd586&#13;&#10;8b37a088d1e4600ead1ddaef67d40bc898b3ed4af81ac0d76a197c86826828a24bb318f3442d8ab518dfe3a20f000d6458d104a9694ac6d88728eee2782428d6&#13;&#10;0cf03ac1a5193be4cbb921cd0b495fd054b5bd0f530c1931a3f7eaf9f7af9e3f45c70f9e1d3ff8e9f8e1c3e3073f5a42ceaa6d9c84e5552fbffdeccfc71fa33f&#13;&#10;9e7ef3f2d117d57859c6fffac327bffcfc793510d26726ce8b2f9ffcf6ecc98baf3efdfdbb4715f04d814765f890c644a29be408edf3181433567125272371be&#13;&#10;15c308d3f28acd249438c19a4b05fd9e8a1cf4cd296699771c393ac4b5e01d01e5a30a787d72cf1178108989a2159c77a2d801ee72ce3a5c545a6147f32a9979&#13;&#10;3849c26ae66252c6ed637c58c5bb8b13c7bfbd490a75330f4b47f16e441c31f7184e140e494214d273fc80900aedee52ead87597fa824b3e56e82e451d4c2b4d&#13;&#10;32a423279a668bb6690c7e9956e90cfe766cb37b077538abd27a8b1cba48c80acc2a841f12e698f13a9e281c57911ce298950d7e03aba84ac8c154f8655c4f2a&#13;&#10;f074481847bd804859b5e696007d4b4edfc150b12addbecba6b18b148a1e54d1bc81392f23b7f84137c2715a851dd0242a633f900710a218ed715505dfe56e86&#13;&#10;e877f0034e16bafb0e258ebb4faf06b769e888340b103d331115bebc4eb813bf83291b63624a0d1475a756c734f9bbc2cd28546ecbe1e20a3794ca175f3fae90&#13;&#10;fb6d2dd99bb07b55e5ccf68942bd0877b23c77b908e8db5f9db7f024d9239010f35bd4bbe2fcae387bfff9e2bc289f2fbe24cfaa301468dd8bd846dbb4ddf1c2&#13;&#10;ae7b4c191ba8292337a469bc25ec3d411f06f53a73e224c5292c8de0516732307070a1c0660d125c7d44553488700a4d7bddd3444299910e254ab984c3a219ae&#13;&#10;a4adf1d0f82b7bd46cea4388ad1c12ab5d1ed8e1153d9c9f350a3246aad01c6873462b9ac05999ad5cc988826eafc3acae853a33b7ba11cd1445875ba1b236b1&#13;&#10;399483c90bd560b0b0263435085a21b0f22a9cf9356b38ec6046026d77eba3dc2dc60b17e92219e180643ed27acffba86e9c94c7ca9c225a0f1b0cfae0788ad5&#13;&#10;4adc5a9aec1b703b8b93caec1a0bd8e5de7b132fe5113cf312503b998e2c2927274bd051db6b35979b1ef271daf6c6704e86c73805af4bdd476216c26593af84&#13;&#10;0dfb5393d964f9cc9bad5c313709ea70f561ed3ea7b053075221d51696910d0d339585004b34272bff7213cc7a510a5454a3b349b1b206c1f0af490176745d4b&#13;&#10;c663e2abb2b34b23da76f6352ba57ca2881844c1111ab189d8c7e07e1daaa04f40255c77988aa05fe06e4e5bdb4cb9c5394bbaf28d98c1d971ccd20867e556a7&#13;&#10;689ec9166e0a522183792b8907ba55ca6e943bbf2a26e52f48957218ffcf54d1fb09dc3eac04da033e5c0d0b8c74a6b43d2e54c4a10aa511f5fb021a07533b20&#13;&#10;5ae07e17a621a8e082dafc17e450ffb739676998b48643a4daa7211214f623150942f6a02c99e83b85583ddbbb2c4996113211551257a656ec1139246ca86be0&#13;&#10;aadedb3d1441a89b6a929501833b197fee7b9641a3503739e57c732a59b1f7da1cf8a73b1f9bcca0945b874d4393dbbf10b1680f66bbaa5d6f96e77b6f59113d&#13;&#10;316bb31a795600b3d256d0cad2fe354538e7566b2bd69cc6cbcd5c38f0e2bcc63058344429dc2121fd07f63f2a7c66bf76e80d75c8f7a1b622f878a18941d840&#13;&#10;545fb28d07d205d20e8ea071b283369834296bdaac75d256cb37eb0bee740bbe278cad253b8bbfcf69eca23973d939b97891c6ce2cecd8da8e2d343578f6648a&#13;&#10;c2d0383fc818c798cf64e52f597c740f1cbd05df0c264c49134cf09d4a60e8a107260f20f92d47b374e32f000000ffff0300504b030414000600080000002100&#13;&#10;0dd1909fb60000001b010000270000007468656d652f7468656d652f5f72656c732f7468656d654d616e616765722e786d6c2e72656c73848f4d0ac2301484f7&#13;&#10;8277086f6fd3ba109126dd88d0add40384e4350d363f2451eced0dae2c082e8761be9969bb979dc9136332de3168aa1a083ae995719ac16db8ec8e4052164e89&#13;&#10;d93b64b060828e6f37ed1567914b284d262452282e3198720e274a939cd08a54f980ae38a38f56e422a3a641c8bbd048f7757da0f19b017cc524bd62107bd500&#13;&#10;1996509affb3fd381a89672f1f165dfe514173d9850528a2c6cce0239baa4c04ca5bbabac4df000000ffff0300504b01022d0014000600080000002100e9de0f&#13;&#10;bfff0000001c0200001300000000000000000000000000000000005b436f6e74656e745f54797065735d2e786d6c504b01022d0014000600080000002100a5d6&#13;&#10;a7e7c0000000360100000b00000000000000000000000000300100005f72656c732f2e72656c73504b01022d00140006000800000021006b799616830000008a&#13;&#10;0000001c00000000000000000000000000190200007468656d652f7468656d652f7468656d654d616e616765722e786d6c504b01022d00140006000800000021&#13;&#10;0030dd4329a8060000a41b00001600000000000000000000000000d60200007468656d652f7468656d652f7468656d65312e786d6c504b01022d001400060008&#13;&#10;00000021000dd1909fb60000001b0100002700000000000000000000000000b20900007468656d652f7468656d652f5f72656c732f7468656d654d616e616765722e786d6c2e72656c73504b050600000000050005005d010000ad0a00000000}&#13;&#10;{\*\colorschememapping 3c3f786d6c2076657273696f6e3d22312e302220656e636f64696e673d225554462d3822207374616e64616c6f6e653d22796573223f3e0d0a3c613a636c724d&#13;&#10;617020786d6c6e733a613d22687474703a2f2f736368656d61732e6f70656e786d6c666f726d6174732e6f72672f64726177696e676d6c2f323030362f6d6169&#13;&#10;6e22206267313d226c743122207478313d22646b3122206267323d226c743222207478323d22646b322220616363656e74313d22616363656e74312220616363&#13;&#10;656e74323d22616363656e74322220616363656e74333d22616363656e74332220616363656e74343d22616363656e74342220616363656e74353d22616363656e74352220616363656e74363d22616363656e74362220686c696e6b3d22686c696e6b2220666f6c486c696e6b3d22666f6c486c696e6b222f3e}&#13;&#10;{\*\latentstyles\lsdstimax267\lsdlockeddef0\lsdsemihiddendef0\lsdunhideuseddef0\lsdqformatdef0\lsdprioritydef0{\lsdlockedexcept \lsdqformat1 \lsdlocked0 Normal;\lsdqformat1 \lsdlocked0 heading 1;&#13;&#10;\lsdsemihidden1 \lsdunhideused1 \lsdqformat1 \lsdlocked0 heading 2;\lsdsemihidden1 \lsdunhideused1 \lsdqformat1 \lsdlocked0 heading 3;\lsdsemihidden1 \lsdunhideused1 \lsdqformat1 \lsdlocked0 heading 4;&#13;&#10;\lsdsemihidden1 \lsdunhideused1 \lsdqformat1 \lsdlocked0 heading 5;\lsdsemihidden1 \lsdunhideused1 \lsdqformat1 \lsdlocked0 heading 6;\lsdsemihidden1 \lsdunhideused1 \lsdqformat1 \lsdlocked0 heading 7;&#13;&#10;\lsdsemihidden1 \lsdunhideused1 \lsdqformat1 \lsdlocked0 heading 8;\lsdsemihidden1 \lsdunhideused1 \lsdqformat1 \lsdlocked0 heading 9;\lsdsemihidden1 \lsdunhideused1 \lsdqformat1 \lsdlocked0 caption;\lsdqformat1 \lsdlocked0 Title;&#13;&#10;\lsdqformat1 \lsdlocked0 Subtitle;\lsdqformat1 \lsdlocked0 Strong;\lsdqformat1 \lsdlocked0 Emphasis;\lsdsemihidden1 \lsdpriority99 \lsdlocked0 Placeholder Text;\lsdqformat1 \lsdpriority1 \lsdlocked0 No Spacing;\lsdpriority60 \lsdlocked0 Light Shading;&#13;&#10;\lsdpriority61 \lsdlocked0 Light List;\lsdpriority62 \lsdlocked0 Light Grid;\lsdpriority63 \lsdlocked0 Medium Shading 1;\lsdpriority64 \lsdlocked0 Medium Shading 2;\lsdpriority65 \lsdlocked0 Medium List 1;\lsdpriority66 \lsdlocked0 Medium List 2;&#13;&#10;\lsdpriority67 \lsdlocked0 Medium Grid 1;\lsdpriority68 \lsdlocked0 Medium Grid 2;\lsdpriority69 \lsdlocked0 Medium Grid 3;\lsdpriority70 \lsdlocked0 Dark List;\lsdpriority71 \lsdlocked0 Colorful Shading;\lsdpriority72 \lsdlocked0 Colorful List;&#13;&#10;\lsdpriority73 \lsdlocked0 Colorful Grid;\lsdpriority60 \lsdlocked0 Light Shading Accent 1;\lsdpriority61 \lsdlocked0 Light List Accent 1;\lsdpriority62 \lsdlocked0 Light Grid Accent 1;\lsdpriority63 \lsdlocked0 Medium Shading 1 Accent 1;&#13;&#10;\lsdpriority64 \lsdlocked0 Medium Shading 2 Accent 1;\lsdpriority65 \lsdlocked0 Medium List 1 Accent 1;\lsdsemihidden1 \lsdpriority99 \lsdlocked0 Revision;\lsdqformat1 \lsdpriority34 \lsdlocked0 List Paragraph;&#13;&#10;\lsdqformat1 \lsdpriority29 \lsdlocked0 Quote;\lsdqformat1 \lsdpriority30 \lsdlocked0 Intense Quote;\lsdpriority66 \lsdlocked0 Medium List 2 Accent 1;\lsdpriority67 \lsdlocked0 Medium Grid 1 Accent 1;\lsdpriority68 \lsdlocked0 Medium Grid 2 Accent 1;&#13;&#10;\lsdpriority69 \lsdlocked0 Medium Grid 3 Accent 1;\lsdpriority70 \lsdlocked0 Dark List Accent 1;\lsdpriority71 \lsdlocked0 Colorful Shading Accent 1;\lsdpriority72 \lsdlocked0 Colorful List Accent 1;\lsdpriority73 \lsdlocked0 Colorful Grid Accent 1;&#13;&#10;\lsdpriority60 \lsdlocked0 Light Shading Accent 2;\lsdpriority61 \lsdlocked0 Light List Accent 2;\lsdpriority62 \lsdlocked0 Light Grid Accent 2;\lsdpriority63 \lsdlocked0 Medium Shading 1 Accent 2;\lsdpriority64 \lsdlocked0 Medium Shading 2 Accent 2;&#13;&#10;\lsdpriority65 \lsdlocked0 Medium List 1 Accent 2;\lsdpriority66 \lsdlocked0 Medium List 2 Accent 2;\lsdpriority67 \lsdlocked0 Medium Grid 1 Accent 2;\lsdpriority68 \lsdlocked0 Medium Grid 2 Accent 2;\lsdpriority69 \lsdlocked0 Medium Grid 3 Accent 2;&#13;&#10;\lsdpriority70 \lsdlocked0 Dark List Accent 2;\lsdpriority71 \lsdlocked0 Colorful Shading Accent 2;\lsdpriority72 \lsdlocked0 Colorful List Accent 2;\lsdpriority73 \lsdlocked0 Colorful Grid Accent 2;\lsdpriority60 \lsdlocked0 Light Shading Accent 3;&#13;&#10;\lsdpriority61 \lsdlocked0 Light List Accent 3;\lsdpriority62 \lsdlocked0 Light Grid Accent 3;\lsdpriority63 \lsdlocked0 Medium Shading 1 Accent 3;\lsdpriority64 \lsdlocked0 Medium Shading 2 Accent 3;\lsdpriority65 \lsdlocked0 Medium List 1 Accent 3;&#13;&#10;\lsdpriority66 \lsdlocked0 Medium List 2 Accent 3;\lsdpriority67 \lsdlocked0 Medium Grid 1 Accent 3;\lsdpriority68 \lsdlocked0 Medium Grid 2 Accent 3;\lsdpriority69 \lsdlocked0 Medium Grid 3 Accent 3;\lsdpriority70 \lsdlocked0 Dark List Accent 3;&#13;&#10;\lsdpriority71 \lsdlocked0 Colorful Shading Accent 3;\lsdpriority72 \lsdlocked0 Colorful List Accent 3;\lsdpriority73 \lsdlocked0 Colorful Grid Accent 3;\lsdpriority60 \lsdlocked0 Light Shading Accent 4;\lsdpriority61 \lsdlocked0 Light List Accent 4;&#13;&#10;\lsdpriority62 \lsdlocked0 Light Grid Accent 4;\lsdpriority63 \lsdlocked0 Medium Shading 1 Accent 4;\lsdpriority64 \lsdlocked0 Medium Shading 2 Accent 4;\lsdpriority65 \lsdlocked0 Medium List 1 Accent 4;\lsdpriority66 \lsdlocked0 Medium List 2 Accent 4;&#13;&#10;\lsdpriority67 \lsdlocked0 Medium Grid 1 Accent 4;\lsdpriority68 \lsdlocked0 Medium Grid 2 Accent 4;\lsdpriority69 \lsdlocked0 Medium Grid 3 Accent 4;\lsdpriority70 \lsdlocked0 Dark List Accent 4;\lsdpriority71 \lsdlocked0 Colorful Shading Accent 4;&#13;&#10;\lsdpriority72 \lsdlocked0 Colorful List Accent 4;\lsdpriority73 \lsdlocked0 Colorful Grid Accent 4;\lsdpriority60 \lsdlocked0 Light Shading Accent 5;\lsdpriority61 \lsdlocked0 Light List Accent 5;\lsdpriority62 \lsdlocked0 Light Grid Accent 5;&#13;&#10;\lsdpriority63 \lsdlocked0 Medium Shading 1 Accent 5;\lsdpriority64 \lsdlocked0 Medium Shading 2 Accent 5;\lsdpriority65 \lsdlocked0 Medium List 1 Accent 5;\lsdpriority66 \lsdlocked0 Medium List 2 Accent 5;&#13;&#10;\lsdpriority67 \lsdlocked0 Medium Grid 1 Accent 5;\lsdpriority68 \lsdlocked0 Medium Grid 2 Accent 5;\lsdpriority69 \lsdlocked0 Medium Grid 3 Accent 5;\lsdpriority70 \lsdlocked0 Dark List Accent 5;\lsdpriority71 \lsdlocked0 Colorful Shading Accent 5;&#13;&#10;\lsdpriority72 \lsdlocked0 Colorful List Accent 5;\lsdpriority73 \lsdlocked0 Colorful Grid Accent 5;\lsdpriority60 \lsdlocked0 Light Shading Accent 6;\lsdpriority61 \lsdlocked0 Light List Accent 6;\lsdpriority62 \lsdlocked0 Light Grid Accent 6;&#13;&#10;\lsdpriority63 \lsdlocked0 Medium Shading 1 Accent 6;\lsdpriority64 \lsdlocked0 Medium Shading 2 Accent 6;\lsdpriority65 \lsdlocked0 Medium List 1 Accent 6;\lsdpriority66 \lsdlocked0 Medium List 2 Accent 6;&#13;&#10;\lsdpriority67 \lsdlocked0 Medium Grid 1 Accent 6;\lsdpriority68 \lsdlocked0 Medium Grid 2 Accent 6;\lsdpriority69 \lsdlocked0 Medium Grid 3 Accent 6;\lsdpriority70 \lsdlocked0 Dark List Accent 6;\lsdpriority71 \lsdlocked0 Colorful Shading Accent 6;&#13;&#10;\lsdpriority72 \lsdlocked0 Colorful List Accent 6;\lsdpriority73 \lsdlocked0 Colorful Grid Accent 6;\lsdqformat1 \lsdpriority19 \lsdlocked0 Subtle Emphasis;\lsdqformat1 \lsdpriority21 \lsdlocked0 Intense Emphasis;&#13;&#10;\lsdqformat1 \lsdpriority31 \lsdlocked0 Subtle Reference;\lsdqformat1 \lsdpriority32 \lsdlocked0 Intense Reference;\lsdqformat1 \lsdpriority33 \lsdlocked0 Book Title;\lsdsemihidden1 \lsdunhideused1 \lsdpriority37 \lsdlocked0 Bibliography;&#13;&#10;\lsdsemihidden1 \lsdunhideused1 \lsdqformat1 \lsdpriority39 \lsdlocked0 TOC Heading;}}{\*\datastore 0105000002000000180000004d73786d6c322e534158584d4c5265616465722e362e3000000000000000000000060000&#13;&#10;d0cf11e0a1b11ae1000000000000000000000000000000003e000300feff090006000000000000000000000001000000010000000000000000100000feffffff00000000feffffff0000000000000000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dfffffffe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52006f006f007400200045006e00740072007900000000000000000000000000000000000000000000000000000000000000000000000000000000000000000016000500ffffffffffffffffffffffff0c6ad98892f1d411a65f0040963251e5000000000000000000000000407c&#13;&#10;a3209289d001feffffff00000000000000000000000000000000000000000000000000000000000000000000000000000000000000000000000000000000000000000000000000000000000000000000000000000000ffffffffffffffffffffffff00000000000000000000000000000000000000000000000000000000&#13;&#10;00000000000000000000000000000000000000000000000000000000000000000000000000000000000000000000000000000000000000000000000000000000000000000000000000000000000000000000000000000000ffffffffffffffffffffffff0000000000000000000000000000000000000000000000000000&#13;&#10;000000000000000000000000000000000000000000000000000000000000000000000000000000000000000000000000000000000000000000000000000000000000000000000000000000000000000000000000000000000000ffffffffffffffffffffffff000000000000000000000000000000000000000000000000&#13;&#10;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13;&#10;{\f34\fbidi \froman\fcharset0\fprq2{\*\panose 02040503050406030204}Cambria Math;}{\flomajor\f31500\fbidi \froman\fcharset0\fprq2{\*\panose 02020603050405020304}Times New Roman;}&#13;&#10;{\fdbmajor\f31501\fbidi \froman\fcharset0\fprq2{\*\panose 02020603050405020304}Times New Roman;}{\fhimajor\f31502\fbidi \froman\fcharset0\fprq2{\*\panose 02040503050406030204}Cambria;}&#13;&#10;{\fbimajor\f31503\fbidi \froman\fcharset0\fprq2{\*\panose 02020603050405020304}Times New Roman;}{\flominor\f31504\fbidi \froman\fcharset0\fprq2{\*\panose 02020603050405020304}Times New Roman;}&#13;&#10;{\fdbminor\f31505\fbidi \froman\fcharset0\fprq2{\*\panose 02020603050405020304}Times New Roman;}{\fhiminor\f31506\fbidi \fswiss\fcharset0\fprq2{\*\panose 020f0502020204030204}Calibri;}&#13;&#10;{\fbiminor\f31507\fbidi \froman\fcharset0\fprq2{\*\panose 02020603050405020304}Times New Roman;}{\f42\fbidi \froman\fcharset238\fprq2 Times New Roman CE;}{\f43\fbidi \froman\fcharset204\fprq2 Times New Roman Cyr;}&#13;&#10;{\f45\fbidi \froman\fcharset161\fprq2 Times New Roman Greek;}{\f46\fbidi \froman\fcharset162\fprq2 Times New Roman Tur;}{\f47\fbidi \froman\fcharset177\fprq2 Times New Roman (Hebrew);}{\f48\fbidi \froman\fcharset178\fprq2 Times New Roman (Arabic);}&#13;&#10;{\f49\fbidi \froman\fcharset186\fprq2 Times New Roman Baltic;}{\f50\fbidi \froman\fcharset163\fprq2 Times New Roman (Vietnamese);}{\f52\fbidi \fswiss\fcharset238\fprq2 Arial CE;}{\f53\fbidi \fswiss\fcharset204\fprq2 Arial Cyr;}&#13;&#10;{\f55\fbidi \fswiss\fcharset161\fprq2 Arial Greek;}{\f56\fbidi \fswiss\fcharset162\fprq2 Arial Tur;}{\f57\fbidi \fswiss\fcharset177\fprq2 Arial (Hebrew);}{\f58\fbidi \fswiss\fcharset178\fprq2 Arial (Arabic);}&#13;&#10;{\f59\fbidi \fswiss\fcharset186\fprq2 Arial Baltic;}{\f60\fbidi \fswiss\fcharset163\fprq2 Arial (Vietnamese);}{\f382\fbidi \froman\fcharset238\fprq2 Cambria Math CE;}{\f383\fbidi \froman\fcharset204\fprq2 Cambria Math Cyr;}&#13;&#10;{\f385\fbidi \froman\fcharset161\fprq2 Cambria Math Greek;}{\f386\fbidi \froman\fcharset162\fprq2 Cambria Math Tur;}{\f389\fbidi \froman\fcharset186\fprq2 Cambria Math Baltic;}{\f390\fbidi \froman\fcharset163\fprq2 Cambria Math (Vietnamese);}&#13;&#10;{\flomajor\f31508\fbidi \froman\fcharset238\fprq2 Times New Roman CE;}{\flomajor\f31509\fbidi \froman\fcharset204\fprq2 Times New Roman Cyr;}{\flomajor\f31511\fbidi \froman\fcharset161\fprq2 Times New Roman Greek;}&#13;&#10;{\flomajor\f31512\fbidi \froman\fcharset162\fprq2 Times New Roman Tur;}{\flomajor\f31513\fbidi \froman\fcharset177\fprq2 Times New Roman (Hebrew);}{\flomajor\f31514\fbidi \froman\fcharset178\fprq2 Times New Roman (Arabic);}&#13;&#10;{\flomajor\f31515\fbidi \froman\fcharset186\fprq2 Times New Roman Baltic;}{\flomajor\f31516\fbidi \froman\fcharset163\fprq2 Times New Roman (Vietnamese);}{\fdbmajor\f31518\fbidi \froman\fcharset238\fprq2 Times New Roman CE;}&#13;&#10;{\fdbmajor\f31519\fbidi \froman\fcharset204\fprq2 Times New Roman Cyr;}{\fdbmajor\f31521\fbidi \froman\fcharset161\fprq2 Times New Roman Greek;}{\fdbmajor\f31522\fbidi \froman\fcharset162\fprq2 Times New Roman Tur;}&#13;&#10;{\fdbmajor\f31523\fbidi \froman\fcharset177\fprq2 Times New Roman (Hebrew);}{\fdbmajor\f31524\fbidi \froman\fcharset178\fprq2 Times New Roman (Arabic);}{\fdbmajor\f31525\fbidi \froman\fcharset186\fprq2 Times New Roman Baltic;}&#13;&#10;{\fdbmajor\f31526\fbidi \froman\fcharset163\fprq2 Times New Roman (Vietnamese);}{\fhimajor\f31528\fbidi \froman\fcharset238\fprq2 Cambria CE;}{\fhimajor\f31529\fbidi \froman\fcharset204\fprq2 Cambria Cyr;}&#13;&#10;{\fhimajor\f31531\fbidi \froman\fcharset161\fprq2 Cambria Greek;}{\fhimajor\f31532\fbidi \froman\fcharset162\fprq2 Cambria Tur;}{\fhimajor\f31535\fbidi \froman\fcharset186\fprq2 Cambria Baltic;}&#13;&#10;{\fhimajor\f31536\fbidi \froman\fcharset163\fprq2 Cambria (Vietnamese);}{\fbimajor\f31538\fbidi \froman\fcharset238\fprq2 Times New Roman CE;}{\fbimajor\f31539\fbidi \froman\fcharset204\fprq2 Times New Roman Cyr;}&#13;&#10;{\fbimajor\f31541\fbidi \froman\fcharset161\fprq2 Times New Roman Greek;}{\fbimajor\f31542\fbidi \froman\fcharset162\fprq2 Times New Roman Tur;}{\fbimajor\f31543\fbidi \froman\fcharset177\fprq2 Times New Roman (Hebrew);}&#13;&#10;{\fbimajor\f31544\fbidi \froman\fcharset178\fprq2 Times New Roman (Arabic);}{\fbimajor\f31545\fbidi \froman\fcharset186\fprq2 Times New Roman Baltic;}{\fbimajor\f31546\fbidi \froman\fcharset163\fprq2 Times New Roman (Vietnamese);}&#13;&#10;{\flominor\f31548\fbidi \froman\fcharset238\fprq2 Times New Roman CE;}{\flominor\f31549\fbidi \froman\fcharset204\fprq2 Times New Roman Cyr;}{\flominor\f31551\fbidi \froman\fcharset161\fprq2 Times New Roman Greek;}&#13;&#10;{\flominor\f31552\fbidi \froman\fcharset162\fprq2 Times New Roman Tur;}{\flominor\f31553\fbidi \froman\fcharset177\fprq2 Times New Roman (Hebrew);}{\flominor\f31554\fbidi \froman\fcharset178\fprq2 Times New Roman (Arabic);}&#13;&#10;{\flominor\f31555\fbidi \froman\fcharset186\fprq2 Times New Roman Baltic;}{\flominor\f31556\fbidi \froman\fcharset163\fprq2 Times New Roman (Vietnamese);}{\fdbminor\f31558\fbidi \froman\fcharset238\fprq2 Times New Roman CE;}&#13;&#10;{\fdbminor\f31559\fbidi \froman\fcharset204\fprq2 Times New Roman Cyr;}{\fdbminor\f31561\fbidi \froman\fcharset161\fprq2 Times New Roman Greek;}{\fdbminor\f31562\fbidi \froman\fcharset162\fprq2 Times New Roman Tur;}&#13;&#10;{\fdbminor\f31563\fbidi \froman\fcharset177\fprq2 Times New Roman (Hebrew);}{\fdbminor\f31564\fbidi \froman\fcharset178\fprq2 Times New Roman (Arabic);}{\fdbminor\f31565\fbidi \froman\fcharset186\fprq2 Times New Roman Baltic;}&#13;&#10;{\fdbminor\f31566\fbidi \froman\fcharset163\fprq2 Times New Roman (Vietnamese);}{\fhiminor\f31568\fbidi \fswiss\fcharset238\fprq2 Calibri CE;}{\fhiminor\f31569\fbidi \fswiss\fcharset204\fprq2 Calibri Cyr;}&#13;&#10;{\fhiminor\f31571\fbidi \fswiss\fcharset161\fprq2 Calibri Greek;}{\fhiminor\f31572\fbidi \fswiss\fcharset162\fprq2 Calibri Tur;}{\fhiminor\f31575\fbidi \fswiss\fcharset186\fprq2 Calibri Baltic;}&#13;&#10;{\fhiminor\f31576\fbidi \fswiss\fcharset163\fprq2 Calibri (Vietnamese);}{\fbiminor\f31578\fbidi \froman\fcharset238\fprq2 Times New Roman CE;}{\fbiminor\f31579\fbidi \froman\fcharset204\fprq2 Times New Roman Cyr;}&#13;&#10;{\fbiminor\f31581\fbidi \froman\fcharset161\fprq2 Times New Roman Greek;}{\fbiminor\f31582\fbidi \froman\fcharset162\fprq2 Times New Roman Tur;}{\fbiminor\f31583\fbidi \froman\fcharset177\fprq2 Times New Roman (Hebrew);}&#13;&#10;{\fbiminor\f31584\fbidi \froman\fcharset178\fprq2 Times New Roman (Arabic);}{\fbiminor\f31585\fbidi \froman\fcharset186\fprq2 Times New Roman Baltic;}{\fbiminor\f31586\fbidi \froman\fcharset163\fprq2 Times New Roman (Vietnamese);}}&#13;&#10;{\colortbl;\red0\green0\blue0;\red0\green0\blue255;\red0\green255\blue255;\red0\green255\blue0;\red255\green0\blue255;\red255\green0\blue0;\red255\green255\blue0;\red255\green255\blue255;\red0\green0\blue128;\red0\green128\blue128;\red0\green128\blue0;&#13;&#10;\red128\green0\blue128;\red128\green0\blue0;\red128\green128\blue0;\red128\green128\blue128;\red192\green192\blue192;}{\*\defchp }{\*\defpap \ql \li0\ri0\widctlpar\wrapdefault\aspalpha\aspnum\faauto\adjustright\rin0\lin0\itap0 }\noqfpromote {\stylesheet{&#13;&#10;\ql \li0\ri0\widctlpar\wrapdefault\aspalpha\aspnum\faauto\adjustright\rin0\lin0\itap0 \rtlch\fcs1 \af0\afs20\alang1025 \ltrch\fcs0 \fs24\lang2057\langfe2057\cgrid\langnp2057\langfenp2057 \snext0 \sqformat \spriority0 Normal;}{\*\cs10 \additive &#13;&#10;\ssemihidden \spriority0 Default Paragraph Font;}{\*\ts11\tsrowd\trftsWidthB3\trpaddl108\trpaddr108\trpaddfl3\trpaddft3\trpaddfb3\trpaddfr3\tblind0\tblindtype3\tsvertalt\tsbrdrt\tsbrdrl\tsbrdrb\tsbrdrr\tsbrdrdgl\tsbrdrdgr\tsbrdrh\tsbrdrv &#13;&#10;\ql \li0\ri0\widctlpar\wrapdefault\aspalpha\aspnum\faauto\adjustright\rin0\lin0\itap0 \rtlch\fcs1 \af0\afs20\alang1025 \ltrch\fcs0 \fs20\lang1043\langfe1043\cgrid\langnp1043\langfenp1043 \snext11 \ssemihidden \spriority0 Normal Table;}{\*\cs15 \additive &#13;&#10;\v\f1\fs20\cf9\lang1024\langfe1024\noproof \spriority0 \styrsid10948606 HideTWBExt;}}{\*\rsidtbl \rsid24658\rsid735077\rsid2892074\rsid4666813\rsid6641733\rsid9636012\rsid10711257\rsid10948606\rsid11215221\rsid12154954\rsid14424199\rsid15204470&#13;&#10;\rsid15285974\rsid15950462\rsid16324206\rsid16662270}{\mmathPr\mmathFont34\mbrkBin0\mbrkBinSub0\msmallFrac0\mdispDef1\mlMargin0\mrMargin0\mdefJc1\mwrapIndent1440\mintLim0\mnaryLim1}{\info{\author FELIX Karina}{\operator FELIX Karina}&#13;&#10;{\creatim\yr2015\mo5\dy8\hr15\min23}{\revtim\yr2015\mo5\dy8\hr15\min23}{\version1}{\edmins0}{\nofpages1}{\nofwords5}{\nofchars33}{\*\company European Parliament}{\nofcharsws37}{\vern49165}}{\*\xmlnstbl {\xmlns1 http://schemas.microsoft.com/office/word/200&#13;&#10;3/wordml}}\paperw11906\paperh16838\margl1418\margr1418\margt1134\margb1418\gutter0\ltrsect &#13;&#10;\facingp\widowctrl\ftnbj\aenddoc\ftnrstpg\trackmoves0\trackformatting1\donotembedsysfont1\relyonvml0\donotembedlingdata0\grfdocevents0\validatexml1\showplaceholdtext0\ignoremixedcontent0\saveinvalidxml0&#13;&#10;\showxmlerrors1\margmirror\noxlattoyen\expshrtn\noultrlspc\dntblnsbdb\nospaceforul\formshade\horzdoc\dghspace180\dgvspace180\dghorigin1701\dgvorigin1984\dghshow0\dgvshow0&#13;&#10;\jexpand\viewkind1\viewscale90\pgbrdrhead\pgbrdrfoot\nolnhtadjtbl\nojkernpunct\rsidroot10948606\utinl \fet0{\*\wgrffmtfilter 013f}\ilfomacatclnup0{\*\template C:\\Users\\kfelix\\AppData\\Local\\Temp\\Blank1.dot}{\*\ftnsep \ltrpar \pard\plain \ltrpar&#13;&#10;\ql \li0\ri0\widctlpar\wrapdefault\aspalpha\aspnum\faauto\adjustright\rin0\lin0\itap0 \rtlch\fcs1 \af0\afs20\alang1025 \ltrch\fcs0 \fs24\lang2057\langfe2057\cgrid\langnp2057\langfenp2057 {\rtlch\fcs1 \af0 \ltrch\fcs0 \insrsid10711257 \chftnsep &#13;&#10;\par }}{\*\ftnsepc \ltrpar \pard\plain \ltrpar\ql \li0\ri0\widctlpar\wrapdefault\aspalpha\aspnum\faauto\adjustright\rin0\lin0\itap0 \rtlch\fcs1 \af0\afs20\alang1025 \ltrch\fcs0 \fs24\lang2057\langfe2057\cgrid\langnp2057\langfenp2057 {\rtlch\fcs1 \af0 &#13;&#10;\ltrch\fcs0 \insrsid10711257 \chftnsepc &#13;&#10;\par }}{\*\aftnsep \ltrpar \pard\plain \ltrpar\ql \li0\ri0\widctlpar\wrapdefault\aspalpha\aspnum\faauto\adjustright\rin0\lin0\itap0 \rtlch\fcs1 \af0\afs20\alang1025 \ltrch\fcs0 \fs24\lang2057\langfe2057\cgrid\langnp2057\langfenp2057 {\rtlch\fcs1 \af0 &#13;&#10;\ltrch\fcs0 \insrsid10711257 \chftnsep &#13;&#10;\par }}{\*\aftnsepc \ltrpar \pard\plain \ltrpar\ql \li0\ri0\widctlpar\wrapdefault\aspalpha\aspnum\faauto\adjustright\rin0\lin0\itap0 \rtlch\fcs1 \af0\afs20\alang1025 \ltrch\fcs0 \fs24\lang2057\langfe2057\cgrid\langnp2057\langfenp2057 {\rtlch\fcs1 \af0 &#13;&#10;\ltrch\fcs0 \insrsid10711257 \chftnsepc &#13;&#10;\par }}\ltrpar \sectd \ltrsect\psz9\linex0\headery1134\footery505\endnhere\titlepg\sectdefaultcl\sectrsid14424199\sftnbj\sftnrstpg {\*\pnseclvl1\pnucrm\pnstart1\pnindent720\pnhang {\pntxta .}}{\*\pnseclvl2\pnucltr\pnstart1\pnindent720\pnhang {\pntxta .}}&#13;&#10;{\*\pnseclvl3\pndec\pnstart1\pnindent720\pnhang {\pntxta .}}{\*\pnseclvl4\pnlcltr\pnstart1\pnindent720\pnhang {\pntxta )}}{\*\pnseclvl5\pndec\pnstart1\pnindent720\pnhang {\pntxtb (}{\pntxta )}}{\*\pnseclvl6\pnlcltr\pnstart1\pnindent720\pnhang {\pntxtb (}&#13;&#10;{\pntxta )}}{\*\pnseclvl7\pnlcrm\pnstart1\pnindent720\pnhang {\pntxtb (}{\pntxta )}}{\*\pnseclvl8\pnlcltr\pnstart1\pnindent720\pnhang {\pntxtb (}{\pntxta )}}{\*\pnseclvl9\pnlcrm\pnstart1\pnindent720\pnhang {\pntxtb (}{\pntxta )}}\pard\plain \ltrpar&#13;&#10;\ql \li0\ri0\widctlpar\wrapdefault\aspalpha\aspnum\faauto\adjustright\rin0\lin0\itap0\pararsid16324206 \rtlch\fcs1 \af0\afs20\alang1025 \ltrch\fcs0 \fs24\lang2057\langfe2057\cgrid\langnp2057\langfenp2057 {\rtlch\fcs1 \af0 \ltrch\fcs0 &#13;&#10;\cs15\v\f1\fs20\cf9\insrsid10948606\charrsid946740 {\*\bkmkstart EndB}&lt;&lt;&lt;}{\rtlch\fcs1 \af0 \ltrch\fcs0 \insrsid10948606\charrsid946740 #@&gt;ZOTHAMB&lt;@#}{\rtlch\fcs1 \af0 \ltrch\fcs0 \cs15\v\f1\fs20\cf9\insrsid10948606\charrsid946740 &lt;/RepeatBlock-AmendB&gt;}{&#13;&#10;\rtlch\fcs1 \af0 \ltrch\fcs0 \insrsid24658\charrsid16324206 {\*\bkmkend EndB}&#13;&#10;\par }{\*\themedata 504b030414000600080000002100e9de0fbfff0000001c020000130000005b436f6e74656e745f54797065735d2e786d6cac91cb4ec3301045f748fc83e52d4a&#13;&#10;9cb2400825e982c78ec7a27cc0c8992416c9d8b2a755fbf74cd25442a820166c2cd933f79e3be372bd1f07b5c3989ca74aaff2422b24eb1b475da5df374fd9ad&#13;&#10;5689811a183c61a50f98f4babebc2837878049899a52a57be670674cb23d8e90721f90a4d2fa3802cb35762680fd800ecd7551dc18eb899138e3c943d7e503b6&#13;&#10;b01d583deee5f99824e290b4ba3f364eac4a430883b3c092d4eca8f946c916422ecab927f52ea42b89a1cd59c254f919b0e85e6535d135a8de20f20b8c12c3b0&#13;&#10;0c895fcf6720192de6bf3b9e89ecdbd6596cbcdd8eb28e7c365ecc4ec1ff1460f53fe813d3cc7f5b7f020000ffff0300504b030414000600080000002100a5d6&#13;&#10;a7e7c0000000360100000b0000005f72656c732f2e72656c73848fcf6ac3300c87ef85bd83d17d51d2c31825762fa590432fa37d00e1287f68221bdb1bebdb4f&#13;&#10;c7060abb0884a4eff7a93dfeae8bf9e194e720169aaa06c3e2433fcb68e1763dbf7f82c985a4a725085b787086a37bdbb55fbc50d1a33ccd311ba548b6309512&#13;&#10;0f88d94fbc52ae4264d1c910d24a45db3462247fa791715fd71f989e19e0364cd3f51652d73760ae8fa8c9ffb3c330cc9e4fc17faf2ce545046e37944c69e462&#13;&#10;a1a82fe353bd90a865aad41ed0b5b8f9d6fd010000ffff0300504b0304140006000800000021006b799616830000008a0000001c0000007468656d652f746865&#13;&#10;6d652f7468656d654d616e616765722e786d6c0ccc4d0ac3201040e17da17790d93763bb284562b2cbaebbf600439c1a41c7a0d29fdbd7e5e38337cedf14d59b&#13;&#10;4b0d592c9c070d8a65cd2e88b7f07c2ca71ba8da481cc52c6ce1c715e6e97818c9b48d13df49c873517d23d59085adb5dd20d6b52bd521ef2cdd5eb9246a3d8b&#13;&#10;4757e8d3f729e245eb2b260a0238fd010000ffff0300504b03041400060008000000210030dd4329a8060000a41b0000160000007468656d652f7468656d652f&#13;&#10;7468656d65312e786d6cec594f6fdb3614bf0fd87720746f6327761a07758ad8b19b2d4d1bc46e871e698996d850a240d2497d1bdae38001c3ba618715d86d87&#13;&#10;615b8116d8a5fb34d93a6c1dd0afb0475292c5585e9236d88aad3e2412f9e3fbff1e1fa9abd7eec70c1d1221294fda5efd72cd4324f1794093b0eddd1ef62fad&#13;&#10;79482a9c0498f184b4bd2991deb58df7dfbb8ad755446282607d22d771db8b944ad79796a40fc3585ee62949606ecc458c15bc8a702910f808e8c66c69b9565b&#13;&#10;5d8a314d3c94e018c8de1a8fa94fd05093f43672e23d06af89927ac06762a049136785c10607758d9053d965021d62d6f6804fc08f86e4bef210c352c144dbab&#13;&#10;999fb7b4717509af678b985ab0b6b4ae6f7ed9ba6c4170b06c788a705430adf71bad2b5b057d03606a1ed7ebf5babd7a41cf00b0ef83a6569632cd467faddec9&#13;&#10;699640f6719e76b7d6ac355c7c89feca9cccad4ea7d36c65b258a206641f1b73f8b5da6a6373d9c11b90c537e7f08dce66b7bbeae00dc8e257e7f0fd2badd586&#13;&#10;8b37a088d1e4600ead1ddaef67d40bc898b3ed4af81ac0d76a197c86826828a24bb318f3442d8ab518dfe3a20f000d6458d104a9694ac6d88728eee2782428d6&#13;&#10;0cf03ac1a5193be4cbb921cd0b495fd054b5bd0f530c1931a3f7eaf9f7af9e3f45c70f9e1d3ff8e9f8e1c3e3073f5a42ceaa6d9c84e5552fbffdeccfc71fa33f&#13;&#10;9e7ef3f2d117d57859c6fffac327bffcfc793510d26726ce8b2f9ffcf6ecc98baf3efdfdbb4715f04d814765f890c644a29be408edf3181433567125272371be&#13;&#10;15c308d3f28acd249438c19a4b05fd9e8a1cf4cd296699771c393ac4b5e01d01e5a30a787d72cf1178108989a2159c77a2d801ee72ce3a5c545a6147f32a9979&#13;&#10;3849c26ae66252c6ed637c58c5bb8b13c7bfbd490a75330f4b47f16e441c31f7184e140e494214d273fc80900aedee52ead87597fa824b3e56e82e451d4c2b4d&#13;&#10;32a423279a668bb6690c7e9956e90cfe766cb37b077538abd27a8b1cba48c80acc2a841f12e698f13a9e281c57911ce298950d7e03aba84ac8c154f8655c4f2a&#13;&#10;f074481847bd804859b5e696007d4b4edfc150b12addbecba6b18b148a1e54d1bc81392f23b7f84137c2715a851dd0242a633f900710a218ed715505dfe56e86&#13;&#10;e877f0034e16bafb0e258ebb4faf06b769e888340b103d331115bebc4eb813bf83291b63624a0d1475a756c734f9bbc2cd28546ecbe1e20a3794ca175f3fae90&#13;&#10;fb6d2dd99bb07b55e5ccf68942bd0877b23c77b908e8db5f9db7f024d9239010f35bd4bbe2fcae387bfff9e2bc289f2fbe24cfaa301468dd8bd846dbb4ddf1c2&#13;&#10;ae7b4c191ba8292337a469bc25ec3d411f06f53a73e224c5292c8de0516732307070a1c0660d125c7d44553488700a4d7bddd3444299910e254ab984c3a219ae&#13;&#10;a4adf1d0f82b7bd46cea4388ad1c12ab5d1ed8e1153d9c9f350a3246aad01c6873462b9ac05999ad5cc988826eafc3acae853a33b7ba11cd1445875ba1b236b1&#13;&#10;399483c90bd560b0b0263435085a21b0f22a9cf9356b38ec6046026d77eba3dc2dc60b17e92219e180643ed27acffba86e9c94c7ca9c225a0f1b0cfae0788ad5&#13;&#10;4adc5a9aec1b703b8b93caec1a0bd8e5de7b132fe5113cf312503b998e2c2927274bd051db6b35979b1ef271daf6c6704e86c73805af4bdd476216c26593af84&#13;&#10;0dfb5393d964f9cc9bad5c313709ea70f561ed3ea7b053075221d51696910d0d339585004b34272bff7213cc7a510a5454a3b349b1b206c1f0af490176745d4b&#13;&#10;c663e2abb2b34b23da76f6352ba57ca2881844c1111ab189d8c7e07e1daaa04f40255c77988aa05fe06e4e5bdb4cb9c5394bbaf28d98c1d971ccd20867e556a7&#13;&#10;689ec9166e0a522183792b8907ba55ca6e943bbf2a26e52f48957218ffcf54d1fb09dc3eac04da033e5c0d0b8c74a6b43d2e54c4a10aa511f5fb021a07533b20&#13;&#10;5ae07e17a621a8e082dafc17e450ffb739676998b48643a4daa7211214f623150942f6a02c99e83b85583ddbbb2c4996113211551257a656ec1139246ca86be0&#13;&#10;aadedb3d1441a89b6a929501833b197fee7b9641a3503739e57c732a59b1f7da1cf8a73b1f9bcca0945b874d4393dbbf10b1680f66bbaa5d6f96e77b6f59113d&#13;&#10;316bb31a795600b3d256d0cad2fe354538e7566b2bd69cc6cbcd5c38f0e2bcc63058344429dc2121fd07f63f2a7c66bf76e80d75c8f7a1b622f878a18941d840&#13;&#10;545fb28d07d205d20e8ea071b283369834296bdaac75d256cb37eb0bee740bbe278cad253b8bbfcf69eca23973d939b97891c6ce2cecd8da8e2d343578f6648a&#13;&#10;c2d0383fc818c798cf64e52f597c740f1cbd05df0c264c49134cf09d4a60e8a107260f20f92d47b374e32f000000ffff0300504b030414000600080000002100&#13;&#10;0dd1909fb60000001b010000270000007468656d652f7468656d652f5f72656c732f7468656d654d616e616765722e786d6c2e72656c73848f4d0ac2301484f7&#13;&#10;8277086f6fd3ba109126dd88d0add40384e4350d363f2451eced0dae2c082e8761be9969bb979dc9136332de3168aa1a083ae995719ac16db8ec8e4052164e89&#13;&#10;d93b64b060828e6f37ed1567914b284d262452282e3198720e274a939cd08a54f980ae38a38f56e422a3a641c8bbd048f7757da0f19b017cc524bd62107bd500&#13;&#10;1996509affb3fd381a89672f1f165dfe514173d9850528a2c6cce0239baa4c04ca5bbabac4df000000ffff0300504b01022d0014000600080000002100e9de0f&#13;&#10;bfff0000001c0200001300000000000000000000000000000000005b436f6e74656e745f54797065735d2e786d6c504b01022d0014000600080000002100a5d6&#13;&#10;a7e7c0000000360100000b00000000000000000000000000300100005f72656c732f2e72656c73504b01022d00140006000800000021006b799616830000008a&#13;&#10;0000001c00000000000000000000000000190200007468656d652f7468656d652f7468656d654d616e616765722e786d6c504b01022d00140006000800000021&#13;&#10;0030dd4329a8060000a41b00001600000000000000000000000000d60200007468656d652f7468656d652f7468656d65312e786d6c504b01022d001400060008&#13;&#10;00000021000dd1909fb60000001b0100002700000000000000000000000000b20900007468656d652f7468656d652f5f72656c732f7468656d654d616e616765722e786d6c2e72656c73504b050600000000050005005d010000ad0a00000000}&#13;&#10;{\*\colorschememapping 3c3f786d6c2076657273696f6e3d22312e302220656e636f64696e673d225554462d3822207374616e64616c6f6e653d22796573223f3e0d0a3c613a636c724d&#13;&#10;617020786d6c6e733a613d22687474703a2f2f736368656d61732e6f70656e786d6c666f726d6174732e6f72672f64726177696e676d6c2f323030362f6d6169&#13;&#10;6e22206267313d226c743122207478313d22646b3122206267323d226c743222207478323d22646b322220616363656e74313d22616363656e74312220616363&#13;&#10;656e74323d22616363656e74322220616363656e74333d22616363656e74332220616363656e74343d22616363656e74342220616363656e74353d22616363656e74352220616363656e74363d22616363656e74362220686c696e6b3d22686c696e6b2220666f6c486c696e6b3d22666f6c486c696e6b222f3e}&#13;&#10;{\*\latentstyles\lsdstimax267\lsdlockeddef0\lsdsemihiddendef0\lsdunhideuseddef0\lsdqformatdef0\lsdprioritydef0{\lsdlockedexcept \lsdqformat1 \lsdlocked0 Normal;\lsdqformat1 \lsdlocked0 heading 1;&#13;&#10;\lsdsemihidden1 \lsdunhideused1 \lsdqformat1 \lsdlocked0 heading 2;\lsdsemihidden1 \lsdunhideused1 \lsdqformat1 \lsdlocked0 heading 3;\lsdsemihidden1 \lsdunhideused1 \lsdqformat1 \lsdlocked0 heading 4;&#13;&#10;\lsdsemihidden1 \lsdunhideused1 \lsdqformat1 \lsdlocked0 heading 5;\lsdsemihidden1 \lsdunhideused1 \lsdqformat1 \lsdlocked0 heading 6;\lsdsemihidden1 \lsdunhideused1 \lsdqformat1 \lsdlocked0 heading 7;&#13;&#10;\lsdsemihidden1 \lsdunhideused1 \lsdqformat1 \lsdlocked0 heading 8;\lsdsemihidden1 \lsdunhideused1 \lsdqformat1 \lsdlocked0 heading 9;\lsdsemihidden1 \lsdunhideused1 \lsdqformat1 \lsdlocked0 caption;\lsdqformat1 \lsdlocked0 Title;&#13;&#10;\lsdqformat1 \lsdlocked0 Subtitle;\lsdqformat1 \lsdlocked0 Strong;\lsdqformat1 \lsdlocked0 Emphasis;\lsdsemihidden1 \lsdpriority99 \lsdlocked0 Placeholder Text;\lsdqformat1 \lsdpriority1 \lsdlocked0 No Spacing;\lsdpriority60 \lsdlocked0 Light Shading;&#13;&#10;\lsdpriority61 \lsdlocked0 Light List;\lsdpriority62 \lsdlocked0 Light Grid;\lsdpriority63 \lsdlocked0 Medium Shading 1;\lsdpriority64 \lsdlocked0 Medium Shading 2;\lsdpriority65 \lsdlocked0 Medium List 1;\lsdpriority66 \lsdlocked0 Medium List 2;&#13;&#10;\lsdpriority67 \lsdlocked0 Medium Grid 1;\lsdpriority68 \lsdlocked0 Medium Grid 2;\lsdpriority69 \lsdlocked0 Medium Grid 3;\lsdpriority70 \lsdlocked0 Dark List;\lsdpriority71 \lsdlocked0 Colorful Shading;\lsdpriority72 \lsdlocked0 Colorful List;&#13;&#10;\lsdpriority73 \lsdlocked0 Colorful Grid;\lsdpriority60 \lsdlocked0 Light Shading Accent 1;\lsdpriority61 \lsdlocked0 Light List Accent 1;\lsdpriority62 \lsdlocked0 Light Grid Accent 1;\lsdpriority63 \lsdlocked0 Medium Shading 1 Accent 1;&#13;&#10;\lsdpriority64 \lsdlocked0 Medium Shading 2 Accent 1;\lsdpriority65 \lsdlocked0 Medium List 1 Accent 1;\lsdsemihidden1 \lsdpriority99 \lsdlocked0 Revision;\lsdqformat1 \lsdpriority34 \lsdlocked0 List Paragraph;&#13;&#10;\lsdqformat1 \lsdpriority29 \lsdlocked0 Quote;\lsdqformat1 \lsdpriority30 \lsdlocked0 Intense Quote;\lsdpriority66 \lsdlocked0 Medium List 2 Accent 1;\lsdpriority67 \lsdlocked0 Medium Grid 1 Accent 1;\lsdpriority68 \lsdlocked0 Medium Grid 2 Accent 1;&#13;&#10;\lsdpriority69 \lsdlocked0 Medium Grid 3 Accent 1;\lsdpriority70 \lsdlocked0 Dark List Accent 1;\lsdpriority71 \lsdlocked0 Colorful Shading Accent 1;\lsdpriority72 \lsdlocked0 Colorful List Accent 1;\lsdpriority73 \lsdlocked0 Colorful Grid Accent 1;&#13;&#10;\lsdpriority60 \lsdlocked0 Light Shading Accent 2;\lsdpriority61 \lsdlocked0 Light List Accent 2;\lsdpriority62 \lsdlocked0 Light Grid Accent 2;\lsdpriority63 \lsdlocked0 Medium Shading 1 Accent 2;\lsdpriority64 \lsdlocked0 Medium Shading 2 Accent 2;&#13;&#10;\lsdpriority65 \lsdlocked0 Medium List 1 Accent 2;\lsdpriority66 \lsdlocked0 Medium List 2 Accent 2;\lsdpriority67 \lsdlocked0 Medium Grid 1 Accent 2;\lsdpriority68 \lsdlocked0 Medium Grid 2 Accent 2;\lsdpriority69 \lsdlocked0 Medium Grid 3 Accent 2;&#13;&#10;\lsdpriority70 \lsdlocked0 Dark List Accent 2;\lsdpriority71 \lsdlocked0 Colorful Shading Accent 2;\lsdpriority72 \lsdlocked0 Colorful List Accent 2;\lsdpriority73 \lsdlocked0 Colorful Grid Accent 2;\lsdpriority60 \lsdlocked0 Light Shading Accent 3;&#13;&#10;\lsdpriority61 \lsdlocked0 Light List Accent 3;\lsdpriority62 \lsdlocked0 Light Grid Accent 3;\lsdpriority63 \lsdlocked0 Medium Shading 1 Accent 3;\lsdpriority64 \lsdlocked0 Medium Shading 2 Accent 3;\lsdpriority65 \lsdlocked0 Medium List 1 Accent 3;&#13;&#10;\lsdpriority66 \lsdlocked0 Medium List 2 Accent 3;\lsdpriority67 \lsdlocked0 Medium Grid 1 Accent 3;\lsdpriority68 \lsdlocked0 Medium Grid 2 Accent 3;\lsdpriority69 \lsdlocked0 Medium Grid 3 Accent 3;\lsdpriority70 \lsdlocked0 Dark List Accent 3;&#13;&#10;\lsdpriority71 \lsdlocked0 Colorful Shading Accent 3;\lsdpriority72 \lsdlocked0 Colorful List Accent 3;\lsdpriority73 \lsdlocked0 Colorful Grid Accent 3;\lsdpriority60 \lsdlocked0 Light Shading Accent 4;\lsdpriority61 \lsdlocked0 Light List Accent 4;&#13;&#10;\lsdpriority62 \lsdlocked0 Light Grid Accent 4;\lsdpriority63 \lsdlocked0 Medium Shading 1 Accent 4;\lsdpriority64 \lsdlocked0 Medium Shading 2 Accent 4;\lsdpriority65 \lsdlocked0 Medium List 1 Accent 4;\lsdpriority66 \lsdlocked0 Medium List 2 Accent 4;&#13;&#10;\lsdpriority67 \lsdlocked0 Medium Grid 1 Accent 4;\lsdpriority68 \lsdlocked0 Medium Grid 2 Accent 4;\lsdpriority69 \lsdlocked0 Medium Grid 3 Accent 4;\lsdpriority70 \lsdlocked0 Dark List Accent 4;\lsdpriority71 \lsdlocked0 Colorful Shading Accent 4;&#13;&#10;\lsdpriority72 \lsdlocked0 Colorful List Accent 4;\lsdpriority73 \lsdlocked0 Colorful Grid Accent 4;\lsdpriority60 \lsdlocked0 Light Shading Accent 5;\lsdpriority61 \lsdlocked0 Light List Accent 5;\lsdpriority62 \lsdlocked0 Light Grid Accent 5;&#13;&#10;\lsdpriority63 \lsdlocked0 Medium Shading 1 Accent 5;\lsdpriority64 \lsdlocked0 Medium Shading 2 Accent 5;\lsdpriority65 \lsdlocked0 Medium List 1 Accent 5;\lsdpriority66 \lsdlocked0 Medium List 2 Accent 5;&#13;&#10;\lsdpriority67 \lsdlocked0 Medium Grid 1 Accent 5;\lsdpriority68 \lsdlocked0 Medium Grid 2 Accent 5;\lsdpriority69 \lsdlocked0 Medium Grid 3 Accent 5;\lsdpriority70 \lsdlocked0 Dark List Accent 5;\lsdpriority71 \lsdlocked0 Colorful Shading Accent 5;&#13;&#10;\lsdpriority72 \lsdlocked0 Colorful List Accent 5;\lsdpriority73 \lsdlocked0 Colorful Grid Accent 5;\lsdpriority60 \lsdlocked0 Light Shading Accent 6;\lsdpriority61 \lsdlocked0 Light List Accent 6;\lsdpriority62 \lsdlocked0 Light Grid Accent 6;&#13;&#10;\lsdpriority63 \lsdlocked0 Medium Shading 1 Accent 6;\lsdpriority64 \lsdlocked0 Medium Shading 2 Accent 6;\lsdpriority65 \lsdlocked0 Medium List 1 Accent 6;\lsdpriority66 \lsdlocked0 Medium List 2 Accent 6;&#13;&#10;\lsdpriority67 \lsdlocked0 Medium Grid 1 Accent 6;\lsdpriority68 \lsdlocked0 Medium Grid 2 Accent 6;\lsdpriority69 \lsdlocked0 Medium Grid 3 Accent 6;\lsdpriority70 \lsdlocked0 Dark List Accent 6;\lsdpriority71 \lsdlocked0 Colorful Shading Accent 6;&#13;&#10;\lsdpriority72 \lsdlocked0 Colorful List Accent 6;\lsdpriority73 \lsdlocked0 Colorful Grid Accent 6;\lsdqformat1 \lsdpriority19 \lsdlocked0 Subtle Emphasis;\lsdqformat1 \lsdpriority21 \lsdlocked0 Intense Emphasis;&#13;&#10;\lsdqformat1 \lsdpriority31 \lsdlocked0 Subtle Reference;\lsdqformat1 \lsdpriority32 \lsdlocked0 Intense Reference;\lsdqformat1 \lsdpriority33 \lsdlocked0 Book Title;\lsdsemihidden1 \lsdunhideused1 \lsdpriority37 \lsdlocked0 Bibliography;&#13;&#10;\lsdsemihidden1 \lsdunhideused1 \lsdqformat1 \lsdpriority39 \lsdlocked0 TOC Heading;}}{\*\datastore 0105000002000000180000004d73786d6c322e534158584d4c5265616465722e362e3000000000000000000000060000&#13;&#10;d0cf11e0a1b11ae1000000000000000000000000000000003e000300feff090006000000000000000000000001000000010000000000000000100000feffffff00000000feffffff0000000000000000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dfffffffe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52006f006f007400200045006e00740072007900000000000000000000000000000000000000000000000000000000000000000000000000000000000000000016000500ffffffffffffffffffffffff0c6ad98892f1d411a65f0040963251e50000000000000000000000000027&#13;&#10;29219289d001feffffff00000000000000000000000000000000000000000000000000000000000000000000000000000000000000000000000000000000000000000000000000000000000000000000000000000000ffffffffffffffffffffffff00000000000000000000000000000000000000000000000000000000&#13;&#10;00000000000000000000000000000000000000000000000000000000000000000000000000000000000000000000000000000000000000000000000000000000000000000000000000000000000000000000000000000000ffffffffffffffffffffffff0000000000000000000000000000000000000000000000000000&#13;&#10;000000000000000000000000000000000000000000000000000000000000000000000000000000000000000000000000000000000000000000000000000000000000000000000000000000000000000000000000000000000000ffffffffffffffffffffffff000000000000000000000000000000000000000000000000&#13;&#10;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13;&#10;{\f34\fbidi \froman\fcharset0\fprq2{\*\panose 02040503050406030204}Cambria Math;}{\flomajor\f31500\fbidi \froman\fcharset0\fprq2{\*\panose 02020603050405020304}Times New Roman;}&#13;&#10;{\fdbmajor\f31501\fbidi \froman\fcharset0\fprq2{\*\panose 02020603050405020304}Times New Roman;}{\fhimajor\f31502\fbidi \froman\fcharset0\fprq2{\*\panose 02040503050406030204}Cambria;}&#13;&#10;{\fbimajor\f31503\fbidi \froman\fcharset0\fprq2{\*\panose 02020603050405020304}Times New Roman;}{\flominor\f31504\fbidi \froman\fcharset0\fprq2{\*\panose 02020603050405020304}Times New Roman;}&#13;&#10;{\fdbminor\f31505\fbidi \froman\fcharset0\fprq2{\*\panose 02020603050405020304}Times New Roman;}{\fhiminor\f31506\fbidi \fswiss\fcharset0\fprq2{\*\panose 020f0502020204030204}Calibri;}&#13;&#10;{\fbiminor\f31507\fbidi \froman\fcharset0\fprq2{\*\panose 02020603050405020304}Times New Roman;}{\f42\fbidi \froman\fcharset238\fprq2 Times New Roman CE;}{\f43\fbidi \froman\fcharset204\fprq2 Times New Roman Cyr;}&#13;&#10;{\f45\fbidi \froman\fcharset161\fprq2 Times New Roman Greek;}{\f46\fbidi \froman\fcharset162\fprq2 Times New Roman Tur;}{\f47\fbidi \froman\fcharset177\fprq2 Times New Roman (Hebrew);}{\f48\fbidi \froman\fcharset178\fprq2 Times New Roman (Arabic);}&#13;&#10;{\f49\fbidi \froman\fcharset186\fprq2 Times New Roman Baltic;}{\f50\fbidi \froman\fcharset163\fprq2 Times New Roman (Vietnamese);}{\f52\fbidi \fswiss\fcharset238\fprq2 Arial CE;}{\f53\fbidi \fswiss\fcharset204\fprq2 Arial Cyr;}&#13;&#10;{\f55\fbidi \fswiss\fcharset161\fprq2 Arial Greek;}{\f56\fbidi \fswiss\fcharset162\fprq2 Arial Tur;}{\f57\fbidi \fswiss\fcharset177\fprq2 Arial (Hebrew);}{\f58\fbidi \fswiss\fcharset178\fprq2 Arial (Arabic);}&#13;&#10;{\f59\fbidi \fswiss\fcharset186\fprq2 Arial Baltic;}{\f60\fbidi \fswiss\fcharset163\fprq2 Arial (Vietnamese);}{\f382\fbidi \froman\fcharset238\fprq2 Cambria Math CE;}{\f383\fbidi \froman\fcharset204\fprq2 Cambria Math Cyr;}&#13;&#10;{\f385\fbidi \froman\fcharset161\fprq2 Cambria Math Greek;}{\f386\fbidi \froman\fcharset162\fprq2 Cambria Math Tur;}{\f389\fbidi \froman\fcharset186\fprq2 Cambria Math Baltic;}{\f390\fbidi \froman\fcharset163\fprq2 Cambria Math (Vietnamese);}&#13;&#10;{\flomajor\f31508\fbidi \froman\fcharset238\fprq2 Times New Roman CE;}{\flomajor\f31509\fbidi \froman\fcharset204\fprq2 Times New Roman Cyr;}{\flomajor\f31511\fbidi \froman\fcharset161\fprq2 Times New Roman Greek;}&#13;&#10;{\flomajor\f31512\fbidi \froman\fcharset162\fprq2 Times New Roman Tur;}{\flomajor\f31513\fbidi \froman\fcharset177\fprq2 Times New Roman (Hebrew);}{\flomajor\f31514\fbidi \froman\fcharset178\fprq2 Times New Roman (Arabic);}&#13;&#10;{\flomajor\f31515\fbidi \froman\fcharset186\fprq2 Times New Roman Baltic;}{\flomajor\f31516\fbidi \froman\fcharset163\fprq2 Times New Roman (Vietnamese);}{\fdbmajor\f31518\fbidi \froman\fcharset238\fprq2 Times New Roman CE;}&#13;&#10;{\fdbmajor\f31519\fbidi \froman\fcharset204\fprq2 Times New Roman Cyr;}{\fdbmajor\f31521\fbidi \froman\fcharset161\fprq2 Times New Roman Greek;}{\fdbmajor\f31522\fbidi \froman\fcharset162\fprq2 Times New Roman Tur;}&#13;&#10;{\fdbmajor\f31523\fbidi \froman\fcharset177\fprq2 Times New Roman (Hebrew);}{\fdbmajor\f31524\fbidi \froman\fcharset178\fprq2 Times New Roman (Arabic);}{\fdbmajor\f31525\fbidi \froman\fcharset186\fprq2 Times New Roman Baltic;}&#13;&#10;{\fdbmajor\f31526\fbidi \froman\fcharset163\fprq2 Times New Roman (Vietnamese);}{\fhimajor\f31528\fbidi \froman\fcharset238\fprq2 Cambria CE;}{\fhimajor\f31529\fbidi \froman\fcharset204\fprq2 Cambria Cyr;}&#13;&#10;{\fhimajor\f31531\fbidi \froman\fcharset161\fprq2 Cambria Greek;}{\fhimajor\f31532\fbidi \froman\fcharset162\fprq2 Cambria Tur;}{\fhimajor\f31535\fbidi \froman\fcharset186\fprq2 Cambria Baltic;}&#13;&#10;{\fhimajor\f31536\fbidi \froman\fcharset163\fprq2 Cambria (Vietnamese);}{\fbimajor\f31538\fbidi \froman\fcharset238\fprq2 Times New Roman CE;}{\fbimajor\f31539\fbidi \froman\fcharset204\fprq2 Times New Roman Cyr;}&#13;&#10;{\fbimajor\f31541\fbidi \froman\fcharset161\fprq2 Times New Roman Greek;}{\fbimajor\f31542\fbidi \froman\fcharset162\fprq2 Times New Roman Tur;}{\fbimajor\f31543\fbidi \froman\fcharset177\fprq2 Times New Roman (Hebrew);}&#13;&#10;{\fbimajor\f31544\fbidi \froman\fcharset178\fprq2 Times New Roman (Arabic);}{\fbimajor\f31545\fbidi \froman\fcharset186\fprq2 Times New Roman Baltic;}{\fbimajor\f31546\fbidi \froman\fcharset163\fprq2 Times New Roman (Vietnamese);}&#13;&#10;{\flominor\f31548\fbidi \froman\fcharset238\fprq2 Times New Roman CE;}{\flominor\f31549\fbidi \froman\fcharset204\fprq2 Times New Roman Cyr;}{\flominor\f31551\fbidi \froman\fcharset161\fprq2 Times New Roman Greek;}&#13;&#10;{\flominor\f31552\fbidi \froman\fcharset162\fprq2 Times New Roman Tur;}{\flominor\f31553\fbidi \froman\fcharset177\fprq2 Times New Roman (Hebrew);}{\flominor\f31554\fbidi \froman\fcharset178\fprq2 Times New Roman (Arabic);}&#13;&#10;{\flominor\f31555\fbidi \froman\fcharset186\fprq2 Times New Roman Baltic;}{\flominor\f31556\fbidi \froman\fcharset163\fprq2 Times New Roman (Vietnamese);}{\fdbminor\f31558\fbidi \froman\fcharset238\fprq2 Times New Roman CE;}&#13;&#10;{\fdbminor\f31559\fbidi \froman\fcharset204\fprq2 Times New Roman Cyr;}{\fdbminor\f31561\fbidi \froman\fcharset161\fprq2 Times New Roman Greek;}{\fdbminor\f31562\fbidi \froman\fcharset162\fprq2 Times New Roman Tur;}&#13;&#10;{\fdbminor\f31563\fbidi \froman\fcharset177\fprq2 Times New Roman (Hebrew);}{\fdbminor\f31564\fbidi \froman\fcharset178\fprq2 Times New Roman (Arabic);}{\fdbminor\f31565\fbidi \froman\fcharset186\fprq2 Times New Roman Baltic;}&#13;&#10;{\fdbminor\f31566\fbidi \froman\fcharset163\fprq2 Times New Roman (Vietnamese);}{\fhiminor\f31568\fbidi \fswiss\fcharset238\fprq2 Calibri CE;}{\fhiminor\f31569\fbidi \fswiss\fcharset204\fprq2 Calibri Cyr;}&#13;&#10;{\fhiminor\f31571\fbidi \fswiss\fcharset161\fprq2 Calibri Greek;}{\fhiminor\f31572\fbidi \fswiss\fcharset162\fprq2 Calibri Tur;}{\fhiminor\f31575\fbidi \fswiss\fcharset186\fprq2 Calibri Baltic;}&#13;&#10;{\fhiminor\f31576\fbidi \fswiss\fcharset163\fprq2 Calibri (Vietnamese);}{\fbiminor\f31578\fbidi \froman\fcharset238\fprq2 Times New Roman CE;}{\fbiminor\f31579\fbidi \froman\fcharset204\fprq2 Times New Roman Cyr;}&#13;&#10;{\fbiminor\f31581\fbidi \froman\fcharset161\fprq2 Times New Roman Greek;}{\fbiminor\f31582\fbidi \froman\fcharset162\fprq2 Times New Roman Tur;}{\fbiminor\f31583\fbidi \froman\fcharset177\fprq2 Times New Roman (Hebrew);}&#13;&#10;{\fbiminor\f31584\fbidi \froman\fcharset178\fprq2 Times New Roman (Arabic);}{\fbiminor\f31585\fbidi \froman\fcharset186\fprq2 Times New Roman Baltic;}{\fbiminor\f31586\fbidi \froman\fcharset163\fprq2 Times New Roman (Vietnamese);}}&#13;&#10;{\colortbl;\red0\green0\blue0;\red0\green0\blue255;\red0\green255\blue255;\red0\green255\blue0;\red255\green0\blue255;\red255\green0\blue0;\red255\green255\blue0;\red255\green255\blue255;\red0\green0\blue128;\red0\green128\blue128;\red0\green128\blue0;&#13;&#10;\red128\green0\blue128;\red128\green0\blue0;\red128\green128\blue0;\red128\green128\blue128;\red192\green192\blue192;}{\*\defchp }{\*\defpap \ql \li0\ri0\widctlpar\wrapdefault\aspalpha\aspnum\faauto\adjustright\rin0\lin0\itap0 }\noqfpromote {\stylesheet{&#13;&#10;\ql \li0\ri0\widctlpar\wrapdefault\aspalpha\aspnum\faauto\adjustright\rin0\lin0\itap0 \rtlch\fcs1 \af0\afs20\alang1025 \ltrch\fcs0 \fs24\lang2057\langfe2057\cgrid\langnp2057\langfenp2057 \snext0 \sqformat \spriority0 Normal;}{\*\cs10 \additive &#13;&#10;\ssemihidden \spriority0 Default Paragraph Font;}{\*\ts11\tsrowd\trftsWidthB3\trpaddl108\trpaddr108\trpaddfl3\trpaddft3\trpaddfb3\trpaddfr3\tblind0\tblindtype3\tsvertalt\tsbrdrt\tsbrdrl\tsbrdrb\tsbrdrr\tsbrdrdgl\tsbrdrdgr\tsbrdrh\tsbrdrv &#13;&#10;\ql \li0\ri0\widctlpar\wrapdefault\aspalpha\aspnum\faauto\adjustright\rin0\lin0\itap0 \rtlch\fcs1 \af0\afs20\alang1025 \ltrch\fcs0 \fs20\lang1043\langfe1043\cgrid\langnp1043\langfenp1043 \snext11 \ssemihidden \spriority0 Normal Table;}{\*\cs15 \additive &#13;&#10;\v\f1\fs20\cf9\lang1024\langfe1024\noproof \spriority0 \styrsid11163973 HideTWBExt;}}{\*\rsidtbl \rsid24658\rsid735077\rsid2892074\rsid4666813\rsid6057549\rsid6641733\rsid9636012\rsid11163973\rsid11215221\rsid12154954\rsid14424199\rsid15204470&#13;&#10;\rsid15285974\rsid15950462\rsid16324206\rsid16662270}{\mmathPr\mmathFont34\mbrkBin0\mbrkBinSub0\msmallFrac0\mdispDef1\mlMargin0\mrMargin0\mdefJc1\mwrapIndent1440\mintLim0\mnaryLim1}{\info{\author FELIX Karina}{\operator FELIX Karina}&#13;&#10;{\creatim\yr2015\mo5\dy8\hr15\min23}{\revtim\yr2015\mo5\dy8\hr15\min23}{\version1}{\edmins0}{\nofpages1}{\nofwords3}{\nofchars18}{\*\company European Parliament}{\nofcharsws20}{\vern49165}}{\*\xmlnstbl {\xmlns1 http://schemas.microsoft.com/office/word/200&#13;&#10;3/wordml}}\paperw11906\paperh16838\margl1418\margr1418\margt1134\margb1418\gutter0\ltrsect &#13;&#10;\facingp\widowctrl\ftnbj\aenddoc\ftnrstpg\trackmoves0\trackformatting1\donotembedsysfont1\relyonvml0\donotembedlingdata0\grfdocevents0\validatexml1\showplaceholdtext0\ignoremixedcontent0\saveinvalidxml0&#13;&#10;\showxmlerrors1\margmirror\noxlattoyen\expshrtn\noultrlspc\dntblnsbdb\nospaceforul\formshade\horzdoc\dghspace180\dgvspace180\dghorigin1701\dgvorigin1984\dghshow0\dgvshow0&#13;&#10;\jexpand\viewkind1\viewscale90\pgbrdrhead\pgbrdrfoot\nolnhtadjtbl\nojkernpunct\rsidroot11163973\utinl \fet0{\*\wgrffmtfilter 013f}\ilfomacatclnup0{\*\template C:\\Users\\kfelix\\AppData\\Local\\Temp\\Blank1.dot}{\*\ftnsep \ltrpar \pard\plain \ltrpar&#13;&#10;\ql \li0\ri0\widctlpar\wrapdefault\aspalpha\aspnum\faauto\adjustright\rin0\lin0\itap0 \rtlch\fcs1 \af0\afs20\alang1025 \ltrch\fcs0 \fs24\lang2057\langfe2057\cgrid\langnp2057\langfenp2057 {\rtlch\fcs1 \af0 \ltrch\fcs0 \insrsid6057549 \chftnsep &#13;&#10;\par }}{\*\ftnsepc \ltrpar \pard\plain \ltrpar\ql \li0\ri0\widctlpar\wrapdefault\aspalpha\aspnum\faauto\adjustright\rin0\lin0\itap0 \rtlch\fcs1 \af0\afs20\alang1025 \ltrch\fcs0 \fs24\lang2057\langfe2057\cgrid\langnp2057\langfenp2057 {\rtlch\fcs1 \af0 &#13;&#10;\ltrch\fcs0 \insrsid6057549 \chftnsepc &#13;&#10;\par }}{\*\aftnsep \ltrpar \pard\plain \ltrpar\ql \li0\ri0\widctlpar\wrapdefault\aspalpha\aspnum\faauto\adjustright\rin0\lin0\itap0 \rtlch\fcs1 \af0\afs20\alang1025 \ltrch\fcs0 \fs24\lang2057\langfe2057\cgrid\langnp2057\langfenp2057 {\rtlch\fcs1 \af0 &#13;&#10;\ltrch\fcs0 \insrsid6057549 \chftnsep &#13;&#10;\par }}{\*\aftnsepc \ltrpar \pard\plain \ltrpar\ql \li0\ri0\widctlpar\wrapdefault\aspalpha\aspnum\faauto\adjustright\rin0\lin0\itap0 \rtlch\fcs1 \af0\afs20\alang1025 \ltrch\fcs0 \fs24\lang2057\langfe2057\cgrid\langnp2057\langfenp2057 {\rtlch\fcs1 \af0 &#13;&#10;\ltrch\fcs0 \insrsid6057549 \chftnsepc &#13;&#10;\par }}\ltrpar \sectd \ltrsect\psz9\linex0\headery1134\footery505\endnhere\titlepg\sectdefaultcl\sectrsid14424199\sftnbj\sftnrstpg {\*\pnseclvl1\pnucrm\pnstart1\pnindent720\pnhang {\pntxta .}}{\*\pnseclvl2\pnucltr\pnstart1\pnindent720\pnhang {\pntxta .}}&#13;&#10;{\*\pnseclvl3\pndec\pnstart1\pnindent720\pnhang {\pntxta .}}{\*\pnseclvl4\pnlcltr\pnstart1\pnindent720\pnhang {\pntxta )}}{\*\pnseclvl5\pndec\pnstart1\pnindent720\pnhang {\pntxtb (}{\pntxta )}}{\*\pnseclvl6\pnlcltr\pnstart1\pnindent720\pnhang {\pntxtb (}&#13;&#10;{\pntxta )}}{\*\pnseclvl7\pnlcrm\pnstart1\pnindent720\pnhang {\pntxtb (}{\pntxta )}}{\*\pnseclvl8\pnlcltr\pnstart1\pnindent720\pnhang {\pntxtb (}{\pntxta )}}{\*\pnseclvl9\pnlcrm\pnstart1\pnindent720\pnhang {\pntxtb (}{\pntxta )}}\pard\plain \ltrpar&#13;&#10;\ql \li0\ri0\widctlpar\wrapdefault\aspalpha\aspnum\faauto\adjustright\rin0\lin0\itap0\pararsid16324206 \rtlch\fcs1 \af0\afs20\alang1025 \ltrch\fcs0 \fs24\lang2057\langfe2057\cgrid\langnp2057\langfenp2057 {\rtlch\fcs1 \af0 \ltrch\fcs0 &#13;&#10;\cs15\b\v\f1\fs20\cf9\insrsid11163973\charrsid946740 {\*\bkmkstart IntroA}&lt;RepeatBlock-AmendA&gt;}{\rtlch\fcs1 \af0 \ltrch\fcs0 \insrsid24658\charrsid16324206 {\*\bkmkend IntroA}&#13;&#10;\par }{\*\themedata 504b030414000600080000002100e9de0fbfff0000001c020000130000005b436f6e74656e745f54797065735d2e786d6cac91cb4ec3301045f748fc83e52d4a&#13;&#10;9cb2400825e982c78ec7a27cc0c8992416c9d8b2a755fbf74cd25442a820166c2cd933f79e3be372bd1f07b5c3989ca74aaff2422b24eb1b475da5df374fd9ad&#13;&#10;5689811a183c61a50f98f4babebc2837878049899a52a57be670674cb23d8e90721f90a4d2fa3802cb35762680fd800ecd7551dc18eb899138e3c943d7e503b6&#13;&#10;b01d583deee5f99824e290b4ba3f364eac4a430883b3c092d4eca8f946c916422ecab927f52ea42b89a1cd59c254f919b0e85e6535d135a8de20f20b8c12c3b0&#13;&#10;0c895fcf6720192de6bf3b9e89ecdbd6596cbcdd8eb28e7c365ecc4ec1ff1460f53fe813d3cc7f5b7f020000ffff0300504b030414000600080000002100a5d6&#13;&#10;a7e7c0000000360100000b0000005f72656c732f2e72656c73848fcf6ac3300c87ef85bd83d17d51d2c31825762fa590432fa37d00e1287f68221bdb1bebdb4f&#13;&#10;c7060abb0884a4eff7a93dfeae8bf9e194e720169aaa06c3e2433fcb68e1763dbf7f82c985a4a725085b787086a37bdbb55fbc50d1a33ccd311ba548b6309512&#13;&#10;0f88d94fbc52ae4264d1c910d24a45db3462247fa791715fd71f989e19e0364cd3f51652d73760ae8fa8c9ffb3c330cc9e4fc17faf2ce545046e37944c69e462&#13;&#10;a1a82fe353bd90a865aad41ed0b5b8f9d6fd010000ffff0300504b0304140006000800000021006b799616830000008a0000001c0000007468656d652f746865&#13;&#10;6d652f7468656d654d616e616765722e786d6c0ccc4d0ac3201040e17da17790d93763bb284562b2cbaebbf600439c1a41c7a0d29fdbd7e5e38337cedf14d59b&#13;&#10;4b0d592c9c070d8a65cd2e88b7f07c2ca71ba8da481cc52c6ce1c715e6e97818c9b48d13df49c873517d23d59085adb5dd20d6b52bd521ef2cdd5eb9246a3d8b&#13;&#10;4757e8d3f729e245eb2b260a0238fd010000ffff0300504b03041400060008000000210030dd4329a8060000a41b0000160000007468656d652f7468656d652f&#13;&#10;7468656d65312e786d6cec594f6fdb3614bf0fd87720746f6327761a07758ad8b19b2d4d1bc46e871e698996d850a240d2497d1bdae38001c3ba618715d86d87&#13;&#10;615b8116d8a5fb34d93a6c1dd0afb0475292c5585e9236d88aad3e2412f9e3fbff1e1fa9abd7eec70c1d1221294fda5efd72cd4324f1794093b0eddd1ef62fad&#13;&#10;79482a9c0498f184b4bd2991deb58df7dfbb8ad755446282607d22d771db8b944ad79796a40fc3585ee62949606ecc458c15bc8a702910f808e8c66c69b9565b&#13;&#10;5d8a314d3c94e018c8de1a8fa94fd05093f43672e23d06af89927ac06762a049136785c10607758d9053d965021d62d6f6804fc08f86e4bef210c352c144dbab&#13;&#10;999fb7b4717509af678b985ab0b6b4ae6f7ed9ba6c4170b06c788a705430adf71bad2b5b057d03606a1ed7ebf5babd7a41cf00b0ef83a6569632cd467faddec9&#13;&#10;699640f6719e76b7d6ac355c7c89feca9cccad4ea7d36c65b258a206641f1b73f8b5da6a6373d9c11b90c537e7f08dce66b7bbeae00dc8e257e7f0fd2badd586&#13;&#10;8b37a088d1e4600ead1ddaef67d40bc898b3ed4af81ac0d76a197c86826828a24bb318f3442d8ab518dfe3a20f000d6458d104a9694ac6d88728eee2782428d6&#13;&#10;0cf03ac1a5193be4cbb921cd0b495fd054b5bd0f530c1931a3f7eaf9f7af9e3f45c70f9e1d3ff8e9f8e1c3e3073f5a42ceaa6d9c84e5552fbffdeccfc71fa33f&#13;&#10;9e7ef3f2d117d57859c6fffac327bffcfc793510d26726ce8b2f9ffcf6ecc98baf3efdfdbb4715f04d814765f890c644a29be408edf3181433567125272371be&#13;&#10;15c308d3f28acd249438c19a4b05fd9e8a1cf4cd296699771c393ac4b5e01d01e5a30a787d72cf1178108989a2159c77a2d801ee72ce3a5c545a6147f32a9979&#13;&#10;3849c26ae66252c6ed637c58c5bb8b13c7bfbd490a75330f4b47f16e441c31f7184e140e494214d273fc80900aedee52ead87597fa824b3e56e82e451d4c2b4d&#13;&#10;32a423279a668bb6690c7e9956e90cfe766cb37b077538abd27a8b1cba48c80acc2a841f12e698f13a9e281c57911ce298950d7e03aba84ac8c154f8655c4f2a&#13;&#10;f074481847bd804859b5e696007d4b4edfc150b12addbecba6b18b148a1e54d1bc81392f23b7f84137c2715a851dd0242a633f900710a218ed715505dfe56e86&#13;&#10;e877f0034e16bafb0e258ebb4faf06b769e888340b103d331115bebc4eb813bf83291b63624a0d1475a756c734f9bbc2cd28546ecbe1e20a3794ca175f3fae90&#13;&#10;fb6d2dd99bb07b55e5ccf68942bd0877b23c77b908e8db5f9db7f024d9239010f35bd4bbe2fcae387bfff9e2bc289f2fbe24cfaa301468dd8bd846dbb4ddf1c2&#13;&#10;ae7b4c191ba8292337a469bc25ec3d411f06f53a73e224c5292c8de0516732307070a1c0660d125c7d44553488700a4d7bddd3444299910e254ab984c3a219ae&#13;&#10;a4adf1d0f82b7bd46cea4388ad1c12ab5d1ed8e1153d9c9f350a3246aad01c6873462b9ac05999ad5cc988826eafc3acae853a33b7ba11cd1445875ba1b236b1&#13;&#10;399483c90bd560b0b0263435085a21b0f22a9cf9356b38ec6046026d77eba3dc2dc60b17e92219e180643ed27acffba86e9c94c7ca9c225a0f1b0cfae0788ad5&#13;&#10;4adc5a9aec1b703b8b93caec1a0bd8e5de7b132fe5113cf312503b998e2c2927274bd051db6b35979b1ef271daf6c6704e86c73805af4bdd476216c26593af84&#13;&#10;0dfb5393d964f9cc9bad5c313709ea70f561ed3ea7b053075221d51696910d0d339585004b34272bff7213cc7a510a5454a3b349b1b206c1f0af490176745d4b&#13;&#10;c663e2abb2b34b23da76f6352ba57ca2881844c1111ab189d8c7e07e1daaa04f40255c77988aa05fe06e4e5bdb4cb9c5394bbaf28d98c1d971ccd20867e556a7&#13;&#10;689ec9166e0a522183792b8907ba55ca6e943bbf2a26e52f48957218ffcf54d1fb09dc3eac04da033e5c0d0b8c74a6b43d2e54c4a10aa511f5fb021a07533b20&#13;&#10;5ae07e17a621a8e082dafc17e450ffb739676998b48643a4daa7211214f623150942f6a02c99e83b85583ddbbb2c4996113211551257a656ec1139246ca86be0&#13;&#10;aadedb3d1441a89b6a929501833b197fee7b9641a3503739e57c732a59b1f7da1cf8a73b1f9bcca0945b874d4393dbbf10b1680f66bbaa5d6f96e77b6f59113d&#13;&#10;316bb31a795600b3d256d0cad2fe354538e7566b2bd69cc6cbcd5c38f0e2bcc63058344429dc2121fd07f63f2a7c66bf76e80d75c8f7a1b622f878a18941d840&#13;&#10;545fb28d07d205d20e8ea071b283369834296bdaac75d256cb37eb0bee740bbe278cad253b8bbfcf69eca23973d939b97891c6ce2cecd8da8e2d343578f6648a&#13;&#10;c2d0383fc818c798cf64e52f597c740f1cbd05df0c264c49134cf09d4a60e8a107260f20f92d47b374e32f000000ffff0300504b030414000600080000002100&#13;&#10;0dd1909fb60000001b010000270000007468656d652f7468656d652f5f72656c732f7468656d654d616e616765722e786d6c2e72656c73848f4d0ac2301484f7&#13;&#10;8277086f6fd3ba109126dd88d0add40384e4350d363f2451eced0dae2c082e8761be9969bb979dc9136332de3168aa1a083ae995719ac16db8ec8e4052164e89&#13;&#10;d93b64b060828e6f37ed1567914b284d262452282e3198720e274a939cd08a54f980ae38a38f56e422a3a641c8bbd048f7757da0f19b017cc524bd62107bd500&#13;&#10;1996509affb3fd381a89672f1f165dfe514173d9850528a2c6cce0239baa4c04ca5bbabac4df000000ffff0300504b01022d0014000600080000002100e9de0f&#13;&#10;bfff0000001c0200001300000000000000000000000000000000005b436f6e74656e745f54797065735d2e786d6c504b01022d0014000600080000002100a5d6&#13;&#10;a7e7c0000000360100000b00000000000000000000000000300100005f72656c732f2e72656c73504b01022d00140006000800000021006b799616830000008a&#13;&#10;0000001c00000000000000000000000000190200007468656d652f7468656d652f7468656d654d616e616765722e786d6c504b01022d00140006000800000021&#13;&#10;0030dd4329a8060000a41b00001600000000000000000000000000d60200007468656d652f7468656d652f7468656d65312e786d6c504b01022d001400060008&#13;&#10;00000021000dd1909fb60000001b0100002700000000000000000000000000b20900007468656d652f7468656d652f5f72656c732f7468656d654d616e616765722e786d6c2e72656c73504b050600000000050005005d010000ad0a00000000}&#13;&#10;{\*\colorschememapping 3c3f786d6c2076657273696f6e3d22312e302220656e636f64696e673d225554462d3822207374616e64616c6f6e653d22796573223f3e0d0a3c613a636c724d&#13;&#10;617020786d6c6e733a613d22687474703a2f2f736368656d61732e6f70656e786d6c666f726d6174732e6f72672f64726177696e676d6c2f323030362f6d6169&#13;&#10;6e22206267313d226c743122207478313d22646b3122206267323d226c743222207478323d22646b322220616363656e74313d22616363656e74312220616363&#13;&#10;656e74323d22616363656e74322220616363656e74333d22616363656e74332220616363656e74343d22616363656e74342220616363656e74353d22616363656e74352220616363656e74363d22616363656e74362220686c696e6b3d22686c696e6b2220666f6c486c696e6b3d22666f6c486c696e6b222f3e}&#13;&#10;{\*\latentstyles\lsdstimax267\lsdlockeddef0\lsdsemihiddendef0\lsdunhideuseddef0\lsdqformatdef0\lsdprioritydef0{\lsdlockedexcept \lsdqformat1 \lsdlocked0 Normal;\lsdqformat1 \lsdlocked0 heading 1;&#13;&#10;\lsdsemihidden1 \lsdunhideused1 \lsdqformat1 \lsdlocked0 heading 2;\lsdsemihidden1 \lsdunhideused1 \lsdqformat1 \lsdlocked0 heading 3;\lsdsemihidden1 \lsdunhideused1 \lsdqformat1 \lsdlocked0 heading 4;&#13;&#10;\lsdsemihidden1 \lsdunhideused1 \lsdqformat1 \lsdlocked0 heading 5;\lsdsemihidden1 \lsdunhideused1 \lsdqformat1 \lsdlocked0 heading 6;\lsdsemihidden1 \lsdunhideused1 \lsdqformat1 \lsdlocked0 heading 7;&#13;&#10;\lsdsemihidden1 \lsdunhideused1 \lsdqformat1 \lsdlocked0 heading 8;\lsdsemihidden1 \lsdunhideused1 \lsdqformat1 \lsdlocked0 heading 9;\lsdsemihidden1 \lsdunhideused1 \lsdqformat1 \lsdlocked0 caption;\lsdqformat1 \lsdlocked0 Title;&#13;&#10;\lsdqformat1 \lsdlocked0 Subtitle;\lsdqformat1 \lsdlocked0 Strong;\lsdqformat1 \lsdlocked0 Emphasis;\lsdsemihidden1 \lsdpriority99 \lsdlocked0 Placeholder Text;\lsdqformat1 \lsdpriority1 \lsdlocked0 No Spacing;\lsdpriority60 \lsdlocked0 Light Shading;&#13;&#10;\lsdpriority61 \lsdlocked0 Light List;\lsdpriority62 \lsdlocked0 Light Grid;\lsdpriority63 \lsdlocked0 Medium Shading 1;\lsdpriority64 \lsdlocked0 Medium Shading 2;\lsdpriority65 \lsdlocked0 Medium List 1;\lsdpriority66 \lsdlocked0 Medium List 2;&#13;&#10;\lsdpriority67 \lsdlocked0 Medium Grid 1;\lsdpriority68 \lsdlocked0 Medium Grid 2;\lsdpriority69 \lsdlocked0 Medium Grid 3;\lsdpriority70 \lsdlocked0 Dark List;\lsdpriority71 \lsdlocked0 Colorful Shading;\lsdpriority72 \lsdlocked0 Colorful List;&#13;&#10;\lsdpriority73 \lsdlocked0 Colorful Grid;\lsdpriority60 \lsdlocked0 Light Shading Accent 1;\lsdpriority61 \lsdlocked0 Light List Accent 1;\lsdpriority62 \lsdlocked0 Light Grid Accent 1;\lsdpriority63 \lsdlocked0 Medium Shading 1 Accent 1;&#13;&#10;\lsdpriority64 \lsdlocked0 Medium Shading 2 Accent 1;\lsdpriority65 \lsdlocked0 Medium List 1 Accent 1;\lsdsemihidden1 \lsdpriority99 \lsdlocked0 Revision;\lsdqformat1 \lsdpriority34 \lsdlocked0 List Paragraph;&#13;&#10;\lsdqformat1 \lsdpriority29 \lsdlocked0 Quote;\lsdqformat1 \lsdpriority30 \lsdlocked0 Intense Quote;\lsdpriority66 \lsdlocked0 Medium List 2 Accent 1;\lsdpriority67 \lsdlocked0 Medium Grid 1 Accent 1;\lsdpriority68 \lsdlocked0 Medium Grid 2 Accent 1;&#13;&#10;\lsdpriority69 \lsdlocked0 Medium Grid 3 Accent 1;\lsdpriority70 \lsdlocked0 Dark List Accent 1;\lsdpriority71 \lsdlocked0 Colorful Shading Accent 1;\lsdpriority72 \lsdlocked0 Colorful List Accent 1;\lsdpriority73 \lsdlocked0 Colorful Grid Accent 1;&#13;&#10;\lsdpriority60 \lsdlocked0 Light Shading Accent 2;\lsdpriority61 \lsdlocked0 Light List Accent 2;\lsdpriority62 \lsdlocked0 Light Grid Accent 2;\lsdpriority63 \lsdlocked0 Medium Shading 1 Accent 2;\lsdpriority64 \lsdlocked0 Medium Shading 2 Accent 2;&#13;&#10;\lsdpriority65 \lsdlocked0 Medium List 1 Accent 2;\lsdpriority66 \lsdlocked0 Medium List 2 Accent 2;\lsdpriority67 \lsdlocked0 Medium Grid 1 Accent 2;\lsdpriority68 \lsdlocked0 Medium Grid 2 Accent 2;\lsdpriority69 \lsdlocked0 Medium Grid 3 Accent 2;&#13;&#10;\lsdpriority70 \lsdlocked0 Dark List Accent 2;\lsdpriority71 \lsdlocked0 Colorful Shading Accent 2;\lsdpriority72 \lsdlocked0 Colorful List Accent 2;\lsdpriority73 \lsdlocked0 Colorful Grid Accent 2;\lsdpriority60 \lsdlocked0 Light Shading Accent 3;&#13;&#10;\lsdpriority61 \lsdlocked0 Light List Accent 3;\lsdpriority62 \lsdlocked0 Light Grid Accent 3;\lsdpriority63 \lsdlocked0 Medium Shading 1 Accent 3;\lsdpriority64 \lsdlocked0 Medium Shading 2 Accent 3;\lsdpriority65 \lsdlocked0 Medium List 1 Accent 3;&#13;&#10;\lsdpriority66 \lsdlocked0 Medium List 2 Accent 3;\lsdpriority67 \lsdlocked0 Medium Grid 1 Accent 3;\lsdpriority68 \lsdlocked0 Medium Grid 2 Accent 3;\lsdpriority69 \lsdlocked0 Medium Grid 3 Accent 3;\lsdpriority70 \lsdlocked0 Dark List Accent 3;&#13;&#10;\lsdpriority71 \lsdlocked0 Colorful Shading Accent 3;\lsdpriority72 \lsdlocked0 Colorful List Accent 3;\lsdpriority73 \lsdlocked0 Colorful Grid Accent 3;\lsdpriority60 \lsdlocked0 Light Shading Accent 4;\lsdpriority61 \lsdlocked0 Light List Accent 4;&#13;&#10;\lsdpriority62 \lsdlocked0 Light Grid Accent 4;\lsdpriority63 \lsdlocked0 Medium Shading 1 Accent 4;\lsdpriority64 \lsdlocked0 Medium Shading 2 Accent 4;\lsdpriority65 \lsdlocked0 Medium List 1 Accent 4;\lsdpriority66 \lsdlocked0 Medium List 2 Accent 4;&#13;&#10;\lsdpriority67 \lsdlocked0 Medium Grid 1 Accent 4;\lsdpriority68 \lsdlocked0 Medium Grid 2 Accent 4;\lsdpriority69 \lsdlocked0 Medium Grid 3 Accent 4;\lsdpriority70 \lsdlocked0 Dark List Accent 4;\lsdpriority71 \lsdlocked0 Colorful Shading Accent 4;&#13;&#10;\lsdpriority72 \lsdlocked0 Colorful List Accent 4;\lsdpriority73 \lsdlocked0 Colorful Grid Accent 4;\lsdpriority60 \lsdlocked0 Light Shading Accent 5;\lsdpriority61 \lsdlocked0 Light List Accent 5;\lsdpriority62 \lsdlocked0 Light Grid Accent 5;&#13;&#10;\lsdpriority63 \lsdlocked0 Medium Shading 1 Accent 5;\lsdpriority64 \lsdlocked0 Medium Shading 2 Accent 5;\lsdpriority65 \lsdlocked0 Medium List 1 Accent 5;\lsdpriority66 \lsdlocked0 Medium List 2 Accent 5;&#13;&#10;\lsdpriority67 \lsdlocked0 Medium Grid 1 Accent 5;\lsdpriority68 \lsdlocked0 Medium Grid 2 Accent 5;\lsdpriority69 \lsdlocked0 Medium Grid 3 Accent 5;\lsdpriority70 \lsdlocked0 Dark List Accent 5;\lsdpriority71 \lsdlocked0 Colorful Shading Accent 5;&#13;&#10;\lsdpriority72 \lsdlocked0 Colorful List Accent 5;\lsdpriority73 \lsdlocked0 Colorful Grid Accent 5;\lsdpriority60 \lsdlocked0 Light Shading Accent 6;\lsdpriority61 \lsdlocked0 Light List Accent 6;\lsdpriority62 \lsdlocked0 Light Grid Accent 6;&#13;&#10;\lsdpriority63 \lsdlocked0 Medium Shading 1 Accent 6;\lsdpriority64 \lsdlocked0 Medium Shading 2 Accent 6;\lsdpriority65 \lsdlocked0 Medium List 1 Accent 6;\lsdpriority66 \lsdlocked0 Medium List 2 Accent 6;&#13;&#10;\lsdpriority67 \lsdlocked0 Medium Grid 1 Accent 6;\lsdpriority68 \lsdlocked0 Medium Grid 2 Accent 6;\lsdpriority69 \lsdlocked0 Medium Grid 3 Accent 6;\lsdpriority70 \lsdlocked0 Dark List Accent 6;\lsdpriority71 \lsdlocked0 Colorful Shading Accent 6;&#13;&#10;\lsdpriority72 \lsdlocked0 Colorful List Accent 6;\lsdpriority73 \lsdlocked0 Colorful Grid Accent 6;\lsdqformat1 \lsdpriority19 \lsdlocked0 Subtle Emphasis;\lsdqformat1 \lsdpriority21 \lsdlocked0 Intense Emphasis;&#13;&#10;\lsdqformat1 \lsdpriority31 \lsdlocked0 Subtle Reference;\lsdqformat1 \lsdpriority32 \lsdlocked0 Intense Reference;\lsdqformat1 \lsdpriority33 \lsdlocked0 Book Title;\lsdsemihidden1 \lsdunhideused1 \lsdpriority37 \lsdlocked0 Bibliography;&#13;&#10;\lsdsemihidden1 \lsdunhideused1 \lsdqformat1 \lsdpriority39 \lsdlocked0 TOC Heading;}}{\*\datastore 0105000002000000180000004d73786d6c322e534158584d4c5265616465722e362e3000000000000000000000060000&#13;&#10;d0cf11e0a1b11ae1000000000000000000000000000000003e000300feff090006000000000000000000000001000000010000000000000000100000feffffff00000000feffffff0000000000000000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dfffffffe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52006f006f007400200045006e00740072007900000000000000000000000000000000000000000000000000000000000000000000000000000000000000000016000500ffffffffffffffffffffffff0c6ad98892f1d411a65f0040963251e50000000000000000000000000095&#13;&#10;761f9289d001feffffff00000000000000000000000000000000000000000000000000000000000000000000000000000000000000000000000000000000000000000000000000000000000000000000000000000000ffffffffffffffffffffffff00000000000000000000000000000000000000000000000000000000&#13;&#10;00000000000000000000000000000000000000000000000000000000000000000000000000000000000000000000000000000000000000000000000000000000000000000000000000000000000000000000000000000000ffffffffffffffffffffffff0000000000000000000000000000000000000000000000000000&#13;&#10;000000000000000000000000000000000000000000000000000000000000000000000000000000000000000000000000000000000000000000000000000000000000000000000000000000000000000000000000000000000000ffffffffffffffffffffffff000000000000000000000000000000000000000000000000&#13;&#10;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13;&#10;{\f34\fbidi \froman\fcharset0\fprq2{\*\panose 02040503050406030204}Cambria Math;}{\flomajor\f31500\fbidi \froman\fcharset0\fprq2{\*\panose 02020603050405020304}Times New Roman;}&#13;&#10;{\fdbmajor\f31501\fbidi \froman\fcharset0\fprq2{\*\panose 02020603050405020304}Times New Roman;}{\fhimajor\f31502\fbidi \froman\fcharset0\fprq2{\*\panose 02040503050406030204}Cambria;}&#13;&#10;{\fbimajor\f31503\fbidi \froman\fcharset0\fprq2{\*\panose 02020603050405020304}Times New Roman;}{\flominor\f31504\fbidi \froman\fcharset0\fprq2{\*\panose 02020603050405020304}Times New Roman;}&#13;&#10;{\fdbminor\f31505\fbidi \froman\fcharset0\fprq2{\*\panose 02020603050405020304}Times New Roman;}{\fhiminor\f31506\fbidi \fswiss\fcharset0\fprq2{\*\panose 020f0502020204030204}Calibri;}&#13;&#10;{\fbiminor\f31507\fbidi \froman\fcharset0\fprq2{\*\panose 02020603050405020304}Times New Roman;}{\f42\fbidi \froman\fcharset238\fprq2 Times New Roman CE;}{\f43\fbidi \froman\fcharset204\fprq2 Times New Roman Cyr;}&#13;&#10;{\f45\fbidi \froman\fcharset161\fprq2 Times New Roman Greek;}{\f46\fbidi \froman\fcharset162\fprq2 Times New Roman Tur;}{\f47\fbidi \froman\fcharset177\fprq2 Times New Roman (Hebrew);}{\f48\fbidi \froman\fcharset178\fprq2 Times New Roman (Arabic);}&#13;&#10;{\f49\fbidi \froman\fcharset186\fprq2 Times New Roman Baltic;}{\f50\fbidi \froman\fcharset163\fprq2 Times New Roman (Vietnamese);}{\f52\fbidi \fswiss\fcharset238\fprq2 Arial CE;}{\f53\fbidi \fswiss\fcharset204\fprq2 Arial Cyr;}&#13;&#10;{\f55\fbidi \fswiss\fcharset161\fprq2 Arial Greek;}{\f56\fbidi \fswiss\fcharset162\fprq2 Arial Tur;}{\f57\fbidi \fswiss\fcharset177\fprq2 Arial (Hebrew);}{\f58\fbidi \fswiss\fcharset178\fprq2 Arial (Arabic);}&#13;&#10;{\f59\fbidi \fswiss\fcharset186\fprq2 Arial Baltic;}{\f60\fbidi \fswiss\fcharset163\fprq2 Arial (Vietnamese);}{\f382\fbidi \froman\fcharset238\fprq2 Cambria Math CE;}{\f383\fbidi \froman\fcharset204\fprq2 Cambria Math Cyr;}&#13;&#10;{\f385\fbidi \froman\fcharset161\fprq2 Cambria Math Greek;}{\f386\fbidi \froman\fcharset162\fprq2 Cambria Math Tur;}{\f389\fbidi \froman\fcharset186\fprq2 Cambria Math Baltic;}{\f390\fbidi \froman\fcharset163\fprq2 Cambria Math (Vietnamese);}&#13;&#10;{\flomajor\f31508\fbidi \froman\fcharset238\fprq2 Times New Roman CE;}{\flomajor\f31509\fbidi \froman\fcharset204\fprq2 Times New Roman Cyr;}{\flomajor\f31511\fbidi \froman\fcharset161\fprq2 Times New Roman Greek;}&#13;&#10;{\flomajor\f31512\fbidi \froman\fcharset162\fprq2 Times New Roman Tur;}{\flomajor\f31513\fbidi \froman\fcharset177\fprq2 Times New Roman (Hebrew);}{\flomajor\f31514\fbidi \froman\fcharset178\fprq2 Times New Roman (Arabic);}&#13;&#10;{\flomajor\f31515\fbidi \froman\fcharset186\fprq2 Times New Roman Baltic;}{\flomajor\f31516\fbidi \froman\fcharset163\fprq2 Times New Roman (Vietnamese);}{\fdbmajor\f31518\fbidi \froman\fcharset238\fprq2 Times New Roman CE;}&#13;&#10;{\fdbmajor\f31519\fbidi \froman\fcharset204\fprq2 Times New Roman Cyr;}{\fdbmajor\f31521\fbidi \froman\fcharset161\fprq2 Times New Roman Greek;}{\fdbmajor\f31522\fbidi \froman\fcharset162\fprq2 Times New Roman Tur;}&#13;&#10;{\fdbmajor\f31523\fbidi \froman\fcharset177\fprq2 Times New Roman (Hebrew);}{\fdbmajor\f31524\fbidi \froman\fcharset178\fprq2 Times New Roman (Arabic);}{\fdbmajor\f31525\fbidi \froman\fcharset186\fprq2 Times New Roman Baltic;}&#13;&#10;{\fdbmajor\f31526\fbidi \froman\fcharset163\fprq2 Times New Roman (Vietnamese);}{\fhimajor\f31528\fbidi \froman\fcharset238\fprq2 Cambria CE;}{\fhimajor\f31529\fbidi \froman\fcharset204\fprq2 Cambria Cyr;}&#13;&#10;{\fhimajor\f31531\fbidi \froman\fcharset161\fprq2 Cambria Greek;}{\fhimajor\f31532\fbidi \froman\fcharset162\fprq2 Cambria Tur;}{\fhimajor\f31535\fbidi \froman\fcharset186\fprq2 Cambria Baltic;}&#13;&#10;{\fhimajor\f31536\fbidi \froman\fcharset163\fprq2 Cambria (Vietnamese);}{\fbimajor\f31538\fbidi \froman\fcharset238\fprq2 Times New Roman CE;}{\fbimajor\f31539\fbidi \froman\fcharset204\fprq2 Times New Roman Cyr;}&#13;&#10;{\fbimajor\f31541\fbidi \froman\fcharset161\fprq2 Times New Roman Greek;}{\fbimajor\f31542\fbidi \froman\fcharset162\fprq2 Times New Roman Tur;}{\fbimajor\f31543\fbidi \froman\fcharset177\fprq2 Times New Roman (Hebrew);}&#13;&#10;{\fbimajor\f31544\fbidi \froman\fcharset178\fprq2 Times New Roman (Arabic);}{\fbimajor\f31545\fbidi \froman\fcharset186\fprq2 Times New Roman Baltic;}{\fbimajor\f31546\fbidi \froman\fcharset163\fprq2 Times New Roman (Vietnamese);}&#13;&#10;{\flominor\f31548\fbidi \froman\fcharset238\fprq2 Times New Roman CE;}{\flominor\f31549\fbidi \froman\fcharset204\fprq2 Times New Roman Cyr;}{\flominor\f31551\fbidi \froman\fcharset161\fprq2 Times New Roman Greek;}&#13;&#10;{\flominor\f31552\fbidi \froman\fcharset162\fprq2 Times New Roman Tur;}{\flominor\f31553\fbidi \froman\fcharset177\fprq2 Times New Roman (Hebrew);}{\flominor\f31554\fbidi \froman\fcharset178\fprq2 Times New Roman (Arabic);}&#13;&#10;{\flominor\f31555\fbidi \froman\fcharset186\fprq2 Times New Roman Baltic;}{\flominor\f31556\fbidi \froman\fcharset163\fprq2 Times New Roman (Vietnamese);}{\fdbminor\f31558\fbidi \froman\fcharset238\fprq2 Times New Roman CE;}&#13;&#10;{\fdbminor\f31559\fbidi \froman\fcharset204\fprq2 Times New Roman Cyr;}{\fdbminor\f31561\fbidi \froman\fcharset161\fprq2 Times New Roman Greek;}{\fdbminor\f31562\fbidi \froman\fcharset162\fprq2 Times New Roman Tur;}&#13;&#10;{\fdbminor\f31563\fbidi \froman\fcharset177\fprq2 Times New Roman (Hebrew);}{\fdbminor\f31564\fbidi \froman\fcharset178\fprq2 Times New Roman (Arabic);}{\fdbminor\f31565\fbidi \froman\fcharset186\fprq2 Times New Roman Baltic;}&#13;&#10;{\fdbminor\f31566\fbidi \froman\fcharset163\fprq2 Times New Roman (Vietnamese);}{\fhiminor\f31568\fbidi \fswiss\fcharset238\fprq2 Calibri CE;}{\fhiminor\f31569\fbidi \fswiss\fcharset204\fprq2 Calibri Cyr;}&#13;&#10;{\fhiminor\f31571\fbidi \fswiss\fcharset161\fprq2 Calibri Greek;}{\fhiminor\f31572\fbidi \fswiss\fcharset162\fprq2 Calibri Tur;}{\fhiminor\f31575\fbidi \fswiss\fcharset186\fprq2 Calibri Baltic;}&#13;&#10;{\fhiminor\f31576\fbidi \fswiss\fcharset163\fprq2 Calibri (Vietnamese);}{\fbiminor\f31578\fbidi \froman\fcharset238\fprq2 Times New Roman CE;}{\fbiminor\f31579\fbidi \froman\fcharset204\fprq2 Times New Roman Cyr;}&#13;&#10;{\fbiminor\f31581\fbidi \froman\fcharset161\fprq2 Times New Roman Greek;}{\fbiminor\f31582\fbidi \froman\fcharset162\fprq2 Times New Roman Tur;}{\fbiminor\f31583\fbidi \froman\fcharset177\fprq2 Times New Roman (Hebrew);}&#13;&#10;{\fbiminor\f31584\fbidi \froman\fcharset178\fprq2 Times New Roman (Arabic);}{\fbiminor\f31585\fbidi \froman\fcharset186\fprq2 Times New Roman Baltic;}{\fbiminor\f31586\fbidi \froman\fcharset163\fprq2 Times New Roman (Vietnamese);}}&#13;&#10;{\colortbl;\red0\green0\blue0;\red0\green0\blue255;\red0\green255\blue255;\red0\green255\blue0;\red255\green0\blue255;\red255\green0\blue0;\red255\green255\blue0;\red255\green255\blue255;\red0\green0\blue128;\red0\green128\blue128;\red0\green128\blue0;&#13;&#10;\red128\green0\blue128;\red128\green0\blue0;\red128\green128\blue0;\red128\green128\blue128;\red192\green192\blue192;}{\*\defchp }{\*\defpap \ql \li0\ri0\widctlpar\wrapdefault\aspalpha\aspnum\faauto\adjustright\rin0\lin0\itap0 }\noqfpromote {\stylesheet{&#13;&#10;\ql \li0\ri0\widctlpar\wrapdefault\aspalpha\aspnum\faauto\adjustright\rin0\lin0\itap0 \rtlch\fcs1 \af0\afs20\alang1025 \ltrch\fcs0 \fs24\lang2057\langfe2057\cgrid\langnp2057\langfenp2057 \snext0 \sqformat \spriority0 Normal;}{\*\cs10 \additive &#13;&#10;\ssemihidden \spriority0 Default Paragraph Font;}{\*\ts11\tsrowd\trftsWidthB3\trpaddl108\trpaddr108\trpaddfl3\trpaddft3\trpaddfb3\trpaddfr3\tblind0\tblindtype3\tsvertalt\tsbrdrt\tsbrdrl\tsbrdrb\tsbrdrr\tsbrdrdgl\tsbrdrdgr\tsbrdrh\tsbrdrv &#13;&#10;\ql \li0\ri0\widctlpar\wrapdefault\aspalpha\aspnum\faauto\adjustright\rin0\lin0\itap0 \rtlch\fcs1 \af0\afs20\alang1025 \ltrch\fcs0 \fs20\lang1043\langfe1043\cgrid\langnp1043\langfenp1043 \snext11 \ssemihidden \spriority0 Normal Table;}{\*\cs15 \additive &#13;&#10;\v\f1\fs20\cf9\lang1024\langfe1024\noproof \spriority0 \styrsid12335126 HideTWBExt;}}{\*\rsidtbl \rsid24658\rsid735077\rsid2892074\rsid4666813\rsid6641733\rsid9636012\rsid11215221\rsid11358468\rsid12154954\rsid12335126\rsid14424199\rsid15204470&#13;&#10;\rsid15285974\rsid15950462\rsid16324206\rsid16662270}{\mmathPr\mmathFont34\mbrkBin0\mbrkBinSub0\msmallFrac0\mdispDef1\mlMargin0\mrMargin0\mdefJc1\mwrapIndent1440\mintLim0\mnaryLim1}{\info{\author FELIX Karina}{\operator FELIX Karina}&#13;&#10;{\creatim\yr2015\mo5\dy8\hr15\min23}{\revtim\yr2015\mo5\dy8\hr15\min23}{\version1}{\edmins0}{\nofpages1}{\nofwords3}{\nofchars18}{\*\company European Parliament}{\nofcharsws20}{\vern49165}}{\*\xmlnstbl {\xmlns1 http://schemas.microsoft.com/office/word/200&#13;&#10;3/wordml}}\paperw11906\paperh16838\margl1418\margr1418\margt1134\margb1418\gutter0\ltrsect &#13;&#10;\facingp\widowctrl\ftnbj\aenddoc\ftnrstpg\trackmoves0\trackformatting1\donotembedsysfont1\relyonvml0\donotembedlingdata0\grfdocevents0\validatexml1\showplaceholdtext0\ignoremixedcontent0\saveinvalidxml0&#13;&#10;\showxmlerrors1\margmirror\noxlattoyen\expshrtn\noultrlspc\dntblnsbdb\nospaceforul\formshade\horzdoc\dghspace180\dgvspace180\dghorigin1701\dgvorigin1984\dghshow0\dgvshow0&#13;&#10;\jexpand\viewkind1\viewscale90\pgbrdrhead\pgbrdrfoot\nolnhtadjtbl\nojkernpunct\rsidroot12335126\utinl \fet0{\*\wgrffmtfilter 013f}\ilfomacatclnup0{\*\template C:\\Users\\kfelix\\AppData\\Local\\Temp\\Blank1.dot}{\*\ftnsep \ltrpar \pard\plain \ltrpar&#13;&#10;\ql \li0\ri0\widctlpar\wrapdefault\aspalpha\aspnum\faauto\adjustright\rin0\lin0\itap0 \rtlch\fcs1 \af0\afs20\alang1025 \ltrch\fcs0 \fs24\lang2057\langfe2057\cgrid\langnp2057\langfenp2057 {\rtlch\fcs1 \af0 \ltrch\fcs0 \insrsid11358468 \chftnsep &#13;&#10;\par }}{\*\ftnsepc \ltrpar \pard\plain \ltrpar\ql \li0\ri0\widctlpar\wrapdefault\aspalpha\aspnum\faauto\adjustright\rin0\lin0\itap0 \rtlch\fcs1 \af0\afs20\alang1025 \ltrch\fcs0 \fs24\lang2057\langfe2057\cgrid\langnp2057\langfenp2057 {\rtlch\fcs1 \af0 &#13;&#10;\ltrch\fcs0 \insrsid11358468 \chftnsepc &#13;&#10;\par }}{\*\aftnsep \ltrpar \pard\plain \ltrpar\ql \li0\ri0\widctlpar\wrapdefault\aspalpha\aspnum\faauto\adjustright\rin0\lin0\itap0 \rtlch\fcs1 \af0\afs20\alang1025 \ltrch\fcs0 \fs24\lang2057\langfe2057\cgrid\langnp2057\langfenp2057 {\rtlch\fcs1 \af0 &#13;&#10;\ltrch\fcs0 \insrsid11358468 \chftnsep &#13;&#10;\par }}{\*\aftnsepc \ltrpar \pard\plain \ltrpar\ql \li0\ri0\widctlpar\wrapdefault\aspalpha\aspnum\faauto\adjustright\rin0\lin0\itap0 \rtlch\fcs1 \af0\afs20\alang1025 \ltrch\fcs0 \fs24\lang2057\langfe2057\cgrid\langnp2057\langfenp2057 {\rtlch\fcs1 \af0 &#13;&#10;\ltrch\fcs0 \insrsid11358468 \chftnsepc &#13;&#10;\par }}\ltrpar \sectd \ltrsect\psz9\linex0\headery1134\footery505\endnhere\titlepg\sectdefaultcl\sectrsid14424199\sftnbj\sftnrstpg {\*\pnseclvl1\pnucrm\pnstart1\pnindent720\pnhang {\pntxta .}}{\*\pnseclvl2\pnucltr\pnstart1\pnindent720\pnhang {\pntxta .}}&#13;&#10;{\*\pnseclvl3\pndec\pnstart1\pnindent720\pnhang {\pntxta .}}{\*\pnseclvl4\pnlcltr\pnstart1\pnindent720\pnhang {\pntxta )}}{\*\pnseclvl5\pndec\pnstart1\pnindent720\pnhang {\pntxtb (}{\pntxta )}}{\*\pnseclvl6\pnlcltr\pnstart1\pnindent720\pnhang {\pntxtb (}&#13;&#10;{\pntxta )}}{\*\pnseclvl7\pnlcrm\pnstart1\pnindent720\pnhang {\pntxtb (}{\pntxta )}}{\*\pnseclvl8\pnlcltr\pnstart1\pnindent720\pnhang {\pntxtb (}{\pntxta )}}{\*\pnseclvl9\pnlcrm\pnstart1\pnindent720\pnhang {\pntxtb (}{\pntxta )}}\pard\plain \ltrpar&#13;&#10;\ql \li0\ri0\widctlpar\wrapdefault\aspalpha\aspnum\faauto\adjustright\rin0\lin0\itap0\pararsid16324206 \rtlch\fcs1 \af0\afs20\alang1025 \ltrch\fcs0 \fs24\lang2057\langfe2057\cgrid\langnp2057\langfenp2057 {\rtlch\fcs1 \af0 \ltrch\fcs0 &#13;&#10;\cs15\b\v\f1\fs20\cf9\insrsid12335126\charrsid946740 {\*\bkmkstart IntroB}&lt;RepeatBlock-AmendB&gt;}{\rtlch\fcs1 \af0 \ltrch\fcs0 \insrsid24658\charrsid16324206 {\*\bkmkend IntroB}&#13;&#10;\par }{\*\themedata 504b030414000600080000002100e9de0fbfff0000001c020000130000005b436f6e74656e745f54797065735d2e786d6cac91cb4ec3301045f748fc83e52d4a&#13;&#10;9cb2400825e982c78ec7a27cc0c8992416c9d8b2a755fbf74cd25442a820166c2cd933f79e3be372bd1f07b5c3989ca74aaff2422b24eb1b475da5df374fd9ad&#13;&#10;5689811a183c61a50f98f4babebc2837878049899a52a57be670674cb23d8e90721f90a4d2fa3802cb35762680fd800ecd7551dc18eb899138e3c943d7e503b6&#13;&#10;b01d583deee5f99824e290b4ba3f364eac4a430883b3c092d4eca8f946c916422ecab927f52ea42b89a1cd59c254f919b0e85e6535d135a8de20f20b8c12c3b0&#13;&#10;0c895fcf6720192de6bf3b9e89ecdbd6596cbcdd8eb28e7c365ecc4ec1ff1460f53fe813d3cc7f5b7f020000ffff0300504b030414000600080000002100a5d6&#13;&#10;a7e7c0000000360100000b0000005f72656c732f2e72656c73848fcf6ac3300c87ef85bd83d17d51d2c31825762fa590432fa37d00e1287f68221bdb1bebdb4f&#13;&#10;c7060abb0884a4eff7a93dfeae8bf9e194e720169aaa06c3e2433fcb68e1763dbf7f82c985a4a725085b787086a37bdbb55fbc50d1a33ccd311ba548b6309512&#13;&#10;0f88d94fbc52ae4264d1c910d24a45db3462247fa791715fd71f989e19e0364cd3f51652d73760ae8fa8c9ffb3c330cc9e4fc17faf2ce545046e37944c69e462&#13;&#10;a1a82fe353bd90a865aad41ed0b5b8f9d6fd010000ffff0300504b0304140006000800000021006b799616830000008a0000001c0000007468656d652f746865&#13;&#10;6d652f7468656d654d616e616765722e786d6c0ccc4d0ac3201040e17da17790d93763bb284562b2cbaebbf600439c1a41c7a0d29fdbd7e5e38337cedf14d59b&#13;&#10;4b0d592c9c070d8a65cd2e88b7f07c2ca71ba8da481cc52c6ce1c715e6e97818c9b48d13df49c873517d23d59085adb5dd20d6b52bd521ef2cdd5eb9246a3d8b&#13;&#10;4757e8d3f729e245eb2b260a0238fd010000ffff0300504b03041400060008000000210030dd4329a8060000a41b0000160000007468656d652f7468656d652f&#13;&#10;7468656d65312e786d6cec594f6fdb3614bf0fd87720746f6327761a07758ad8b19b2d4d1bc46e871e698996d850a240d2497d1bdae38001c3ba618715d86d87&#13;&#10;615b8116d8a5fb34d93a6c1dd0afb0475292c5585e9236d88aad3e2412f9e3fbff1e1fa9abd7eec70c1d1221294fda5efd72cd4324f1794093b0eddd1ef62fad&#13;&#10;79482a9c0498f184b4bd2991deb58df7dfbb8ad755446282607d22d771db8b944ad79796a40fc3585ee62949606ecc458c15bc8a702910f808e8c66c69b9565b&#13;&#10;5d8a314d3c94e018c8de1a8fa94fd05093f43672e23d06af89927ac06762a049136785c10607758d9053d965021d62d6f6804fc08f86e4bef210c352c144dbab&#13;&#10;999fb7b4717509af678b985ab0b6b4ae6f7ed9ba6c4170b06c788a705430adf71bad2b5b057d03606a1ed7ebf5babd7a41cf00b0ef83a6569632cd467faddec9&#13;&#10;699640f6719e76b7d6ac355c7c89feca9cccad4ea7d36c65b258a206641f1b73f8b5da6a6373d9c11b90c537e7f08dce66b7bbeae00dc8e257e7f0fd2badd586&#13;&#10;8b37a088d1e4600ead1ddaef67d40bc898b3ed4af81ac0d76a197c86826828a24bb318f3442d8ab518dfe3a20f000d6458d104a9694ac6d88728eee2782428d6&#13;&#10;0cf03ac1a5193be4cbb921cd0b495fd054b5bd0f530c1931a3f7eaf9f7af9e3f45c70f9e1d3ff8e9f8e1c3e3073f5a42ceaa6d9c84e5552fbffdeccfc71fa33f&#13;&#10;9e7ef3f2d117d57859c6fffac327bffcfc793510d26726ce8b2f9ffcf6ecc98baf3efdfdbb4715f04d814765f890c644a29be408edf3181433567125272371be&#13;&#10;15c308d3f28acd249438c19a4b05fd9e8a1cf4cd296699771c393ac4b5e01d01e5a30a787d72cf1178108989a2159c77a2d801ee72ce3a5c545a6147f32a9979&#13;&#10;3849c26ae66252c6ed637c58c5bb8b13c7bfbd490a75330f4b47f16e441c31f7184e140e494214d273fc80900aedee52ead87597fa824b3e56e82e451d4c2b4d&#13;&#10;32a423279a668bb6690c7e9956e90cfe766cb37b077538abd27a8b1cba48c80acc2a841f12e698f13a9e281c57911ce298950d7e03aba84ac8c154f8655c4f2a&#13;&#10;f074481847bd804859b5e696007d4b4edfc150b12addbecba6b18b148a1e54d1bc81392f23b7f84137c2715a851dd0242a633f900710a218ed715505dfe56e86&#13;&#10;e877f0034e16bafb0e258ebb4faf06b769e888340b103d331115bebc4eb813bf83291b63624a0d1475a756c734f9bbc2cd28546ecbe1e20a3794ca175f3fae90&#13;&#10;fb6d2dd99bb07b55e5ccf68942bd0877b23c77b908e8db5f9db7f024d9239010f35bd4bbe2fcae387bfff9e2bc289f2fbe24cfaa301468dd8bd846dbb4ddf1c2&#13;&#10;ae7b4c191ba8292337a469bc25ec3d411f06f53a73e224c5292c8de0516732307070a1c0660d125c7d44553488700a4d7bddd3444299910e254ab984c3a219ae&#13;&#10;a4adf1d0f82b7bd46cea4388ad1c12ab5d1ed8e1153d9c9f350a3246aad01c6873462b9ac05999ad5cc988826eafc3acae853a33b7ba11cd1445875ba1b236b1&#13;&#10;399483c90bd560b0b0263435085a21b0f22a9cf9356b38ec6046026d77eba3dc2dc60b17e92219e180643ed27acffba86e9c94c7ca9c225a0f1b0cfae0788ad5&#13;&#10;4adc5a9aec1b703b8b93caec1a0bd8e5de7b132fe5113cf312503b998e2c2927274bd051db6b35979b1ef271daf6c6704e86c73805af4bdd476216c26593af84&#13;&#10;0dfb5393d964f9cc9bad5c313709ea70f561ed3ea7b053075221d51696910d0d339585004b34272bff7213cc7a510a5454a3b349b1b206c1f0af490176745d4b&#13;&#10;c663e2abb2b34b23da76f6352ba57ca2881844c1111ab189d8c7e07e1daaa04f40255c77988aa05fe06e4e5bdb4cb9c5394bbaf28d98c1d971ccd20867e556a7&#13;&#10;689ec9166e0a522183792b8907ba55ca6e943bbf2a26e52f48957218ffcf54d1fb09dc3eac04da033e5c0d0b8c74a6b43d2e54c4a10aa511f5fb021a07533b20&#13;&#10;5ae07e17a621a8e082dafc17e450ffb739676998b48643a4daa7211214f623150942f6a02c99e83b85583ddbbb2c4996113211551257a656ec1139246ca86be0&#13;&#10;aadedb3d1441a89b6a929501833b197fee7b9641a3503739e57c732a59b1f7da1cf8a73b1f9bcca0945b874d4393dbbf10b1680f66bbaa5d6f96e77b6f59113d&#13;&#10;316bb31a795600b3d256d0cad2fe354538e7566b2bd69cc6cbcd5c38f0e2bcc63058344429dc2121fd07f63f2a7c66bf76e80d75c8f7a1b622f878a18941d840&#13;&#10;545fb28d07d205d20e8ea071b283369834296bdaac75d256cb37eb0bee740bbe278cad253b8bbfcf69eca23973d939b97891c6ce2cecd8da8e2d343578f6648a&#13;&#10;c2d0383fc818c798cf64e52f597c740f1cbd05df0c264c49134cf09d4a60e8a107260f20f92d47b374e32f000000ffff0300504b030414000600080000002100&#13;&#10;0dd1909fb60000001b010000270000007468656d652f7468656d652f5f72656c732f7468656d654d616e616765722e786d6c2e72656c73848f4d0ac2301484f7&#13;&#10;8277086f6fd3ba109126dd88d0add40384e4350d363f2451eced0dae2c082e8761be9969bb979dc9136332de3168aa1a083ae995719ac16db8ec8e4052164e89&#13;&#10;d93b64b060828e6f37ed1567914b284d262452282e3198720e274a939cd08a54f980ae38a38f56e422a3a641c8bbd048f7757da0f19b017cc524bd62107bd500&#13;&#10;1996509affb3fd381a89672f1f165dfe514173d9850528a2c6cce0239baa4c04ca5bbabac4df000000ffff0300504b01022d0014000600080000002100e9de0f&#13;&#10;bfff0000001c0200001300000000000000000000000000000000005b436f6e74656e745f54797065735d2e786d6c504b01022d0014000600080000002100a5d6&#13;&#10;a7e7c0000000360100000b00000000000000000000000000300100005f72656c732f2e72656c73504b01022d00140006000800000021006b799616830000008a&#13;&#10;0000001c00000000000000000000000000190200007468656d652f7468656d652f7468656d654d616e616765722e786d6c504b01022d00140006000800000021&#13;&#10;0030dd4329a8060000a41b00001600000000000000000000000000d60200007468656d652f7468656d652f7468656d65312e786d6c504b01022d001400060008&#13;&#10;00000021000dd1909fb60000001b0100002700000000000000000000000000b20900007468656d652f7468656d652f5f72656c732f7468656d654d616e616765722e786d6c2e72656c73504b050600000000050005005d010000ad0a00000000}&#13;&#10;{\*\colorschememapping 3c3f786d6c2076657273696f6e3d22312e302220656e636f64696e673d225554462d3822207374616e64616c6f6e653d22796573223f3e0d0a3c613a636c724d&#13;&#10;617020786d6c6e733a613d22687474703a2f2f736368656d61732e6f70656e786d6c666f726d6174732e6f72672f64726177696e676d6c2f323030362f6d6169&#13;&#10;6e22206267313d226c743122207478313d22646b3122206267323d226c743222207478323d22646b322220616363656e74313d22616363656e74312220616363&#13;&#10;656e74323d22616363656e74322220616363656e74333d22616363656e74332220616363656e74343d22616363656e74342220616363656e74353d22616363656e74352220616363656e74363d22616363656e74362220686c696e6b3d22686c696e6b2220666f6c486c696e6b3d22666f6c486c696e6b222f3e}&#13;&#10;{\*\latentstyles\lsdstimax267\lsdlockeddef0\lsdsemihiddendef0\lsdunhideuseddef0\lsdqformatdef0\lsdprioritydef0{\lsdlockedexcept \lsdqformat1 \lsdlocked0 Normal;\lsdqformat1 \lsdlocked0 heading 1;&#13;&#10;\lsdsemihidden1 \lsdunhideused1 \lsdqformat1 \lsdlocked0 heading 2;\lsdsemihidden1 \lsdunhideused1 \lsdqformat1 \lsdlocked0 heading 3;\lsdsemihidden1 \lsdunhideused1 \lsdqformat1 \lsdlocked0 heading 4;&#13;&#10;\lsdsemihidden1 \lsdunhideused1 \lsdqformat1 \lsdlocked0 heading 5;\lsdsemihidden1 \lsdunhideused1 \lsdqformat1 \lsdlocked0 heading 6;\lsdsemihidden1 \lsdunhideused1 \lsdqformat1 \lsdlocked0 heading 7;&#13;&#10;\lsdsemihidden1 \lsdunhideused1 \lsdqformat1 \lsdlocked0 heading 8;\lsdsemihidden1 \lsdunhideused1 \lsdqformat1 \lsdlocked0 heading 9;\lsdsemihidden1 \lsdunhideused1 \lsdqformat1 \lsdlocked0 caption;\lsdqformat1 \lsdlocked0 Title;&#13;&#10;\lsdqformat1 \lsdlocked0 Subtitle;\lsdqformat1 \lsdlocked0 Strong;\lsdqformat1 \lsdlocked0 Emphasis;\lsdsemihidden1 \lsdpriority99 \lsdlocked0 Placeholder Text;\lsdqformat1 \lsdpriority1 \lsdlocked0 No Spacing;\lsdpriority60 \lsdlocked0 Light Shading;&#13;&#10;\lsdpriority61 \lsdlocked0 Light List;\lsdpriority62 \lsdlocked0 Light Grid;\lsdpriority63 \lsdlocked0 Medium Shading 1;\lsdpriority64 \lsdlocked0 Medium Shading 2;\lsdpriority65 \lsdlocked0 Medium List 1;\lsdpriority66 \lsdlocked0 Medium List 2;&#13;&#10;\lsdpriority67 \lsdlocked0 Medium Grid 1;\lsdpriority68 \lsdlocked0 Medium Grid 2;\lsdpriority69 \lsdlocked0 Medium Grid 3;\lsdpriority70 \lsdlocked0 Dark List;\lsdpriority71 \lsdlocked0 Colorful Shading;\lsdpriority72 \lsdlocked0 Colorful List;&#13;&#10;\lsdpriority73 \lsdlocked0 Colorful Grid;\lsdpriority60 \lsdlocked0 Light Shading Accent 1;\lsdpriority61 \lsdlocked0 Light List Accent 1;\lsdpriority62 \lsdlocked0 Light Grid Accent 1;\lsdpriority63 \lsdlocked0 Medium Shading 1 Accent 1;&#13;&#10;\lsdpriority64 \lsdlocked0 Medium Shading 2 Accent 1;\lsdpriority65 \lsdlocked0 Medium List 1 Accent 1;\lsdsemihidden1 \lsdpriority99 \lsdlocked0 Revision;\lsdqformat1 \lsdpriority34 \lsdlocked0 List Paragraph;&#13;&#10;\lsdqformat1 \lsdpriority29 \lsdlocked0 Quote;\lsdqformat1 \lsdpriority30 \lsdlocked0 Intense Quote;\lsdpriority66 \lsdlocked0 Medium List 2 Accent 1;\lsdpriority67 \lsdlocked0 Medium Grid 1 Accent 1;\lsdpriority68 \lsdlocked0 Medium Grid 2 Accent 1;&#13;&#10;\lsdpriority69 \lsdlocked0 Medium Grid 3 Accent 1;\lsdpriority70 \lsdlocked0 Dark List Accent 1;\lsdpriority71 \lsdlocked0 Colorful Shading Accent 1;\lsdpriority72 \lsdlocked0 Colorful List Accent 1;\lsdpriority73 \lsdlocked0 Colorful Grid Accent 1;&#13;&#10;\lsdpriority60 \lsdlocked0 Light Shading Accent 2;\lsdpriority61 \lsdlocked0 Light List Accent 2;\lsdpriority62 \lsdlocked0 Light Grid Accent 2;\lsdpriority63 \lsdlocked0 Medium Shading 1 Accent 2;\lsdpriority64 \lsdlocked0 Medium Shading 2 Accent 2;&#13;&#10;\lsdpriority65 \lsdlocked0 Medium List 1 Accent 2;\lsdpriority66 \lsdlocked0 Medium List 2 Accent 2;\lsdpriority67 \lsdlocked0 Medium Grid 1 Accent 2;\lsdpriority68 \lsdlocked0 Medium Grid 2 Accent 2;\lsdpriority69 \lsdlocked0 Medium Grid 3 Accent 2;&#13;&#10;\lsdpriority70 \lsdlocked0 Dark List Accent 2;\lsdpriority71 \lsdlocked0 Colorful Shading Accent 2;\lsdpriority72 \lsdlocked0 Colorful List Accent 2;\lsdpriority73 \lsdlocked0 Colorful Grid Accent 2;\lsdpriority60 \lsdlocked0 Light Shading Accent 3;&#13;&#10;\lsdpriority61 \lsdlocked0 Light List Accent 3;\lsdpriority62 \lsdlocked0 Light Grid Accent 3;\lsdpriority63 \lsdlocked0 Medium Shading 1 Accent 3;\lsdpriority64 \lsdlocked0 Medium Shading 2 Accent 3;\lsdpriority65 \lsdlocked0 Medium List 1 Accent 3;&#13;&#10;\lsdpriority66 \lsdlocked0 Medium List 2 Accent 3;\lsdpriority67 \lsdlocked0 Medium Grid 1 Accent 3;\lsdpriority68 \lsdlocked0 Medium Grid 2 Accent 3;\lsdpriority69 \lsdlocked0 Medium Grid 3 Accent 3;\lsdpriority70 \lsdlocked0 Dark List Accent 3;&#13;&#10;\lsdpriority71 \lsdlocked0 Colorful Shading Accent 3;\lsdpriority72 \lsdlocked0 Colorful List Accent 3;\lsdpriority73 \lsdlocked0 Colorful Grid Accent 3;\lsdpriority60 \lsdlocked0 Light Shading Accent 4;\lsdpriority61 \lsdlocked0 Light List Accent 4;&#13;&#10;\lsdpriority62 \lsdlocked0 Light Grid Accent 4;\lsdpriority63 \lsdlocked0 Medium Shading 1 Accent 4;\lsdpriority64 \lsdlocked0 Medium Shading 2 Accent 4;\lsdpriority65 \lsdlocked0 Medium List 1 Accent 4;\lsdpriority66 \lsdlocked0 Medium List 2 Accent 4;&#13;&#10;\lsdpriority67 \lsdlocked0 Medium Grid 1 Accent 4;\lsdpriority68 \lsdlocked0 Medium Grid 2 Accent 4;\lsdpriority69 \lsdlocked0 Medium Grid 3 Accent 4;\lsdpriority70 \lsdlocked0 Dark List Accent 4;\lsdpriority71 \lsdlocked0 Colorful Shading Accent 4;&#13;&#10;\lsdpriority72 \lsdlocked0 Colorful List Accent 4;\lsdpriority73 \lsdlocked0 Colorful Grid Accent 4;\lsdpriority60 \lsdlocked0 Light Shading Accent 5;\lsdpriority61 \lsdlocked0 Light List Accent 5;\lsdpriority62 \lsdlocked0 Light Grid Accent 5;&#13;&#10;\lsdpriority63 \lsdlocked0 Medium Shading 1 Accent 5;\lsdpriority64 \lsdlocked0 Medium Shading 2 Accent 5;\lsdpriority65 \lsdlocked0 Medium List 1 Accent 5;\lsdpriority66 \lsdlocked0 Medium List 2 Accent 5;&#13;&#10;\lsdpriority67 \lsdlocked0 Medium Grid 1 Accent 5;\lsdpriority68 \lsdlocked0 Medium Grid 2 Accent 5;\lsdpriority69 \lsdlocked0 Medium Grid 3 Accent 5;\lsdpriority70 \lsdlocked0 Dark List Accent 5;\lsdpriority71 \lsdlocked0 Colorful Shading Accent 5;&#13;&#10;\lsdpriority72 \lsdlocked0 Colorful List Accent 5;\lsdpriority73 \lsdlocked0 Colorful Grid Accent 5;\lsdpriority60 \lsdlocked0 Light Shading Accent 6;\lsdpriority61 \lsdlocked0 Light List Accent 6;\lsdpriority62 \lsdlocked0 Light Grid Accent 6;&#13;&#10;\lsdpriority63 \lsdlocked0 Medium Shading 1 Accent 6;\lsdpriority64 \lsdlocked0 Medium Shading 2 Accent 6;\lsdpriority65 \lsdlocked0 Medium List 1 Accent 6;\lsdpriority66 \lsdlocked0 Medium List 2 Accent 6;&#13;&#10;\lsdpriority67 \lsdlocked0 Medium Grid 1 Accent 6;\lsdpriority68 \lsdlocked0 Medium Grid 2 Accent 6;\lsdpriority69 \lsdlocked0 Medium Grid 3 Accent 6;\lsdpriority70 \lsdlocked0 Dark List Accent 6;\lsdpriority71 \lsdlocked0 Colorful Shading Accent 6;&#13;&#10;\lsdpriority72 \lsdlocked0 Colorful List Accent 6;\lsdpriority73 \lsdlocked0 Colorful Grid Accent 6;\lsdqformat1 \lsdpriority19 \lsdlocked0 Subtle Emphasis;\lsdqformat1 \lsdpriority21 \lsdlocked0 Intense Emphasis;&#13;&#10;\lsdqformat1 \lsdpriority31 \lsdlocked0 Subtle Reference;\lsdqformat1 \lsdpriority32 \lsdlocked0 Intense Reference;\lsdqformat1 \lsdpriority33 \lsdlocked0 Book Title;\lsdsemihidden1 \lsdunhideused1 \lsdpriority37 \lsdlocked0 Bibliography;&#13;&#10;\lsdsemihidden1 \lsdunhideused1 \lsdqformat1 \lsdpriority39 \lsdlocked0 TOC Heading;}}{\*\datastore 0105000002000000180000004d73786d6c322e534158584d4c5265616465722e362e3000000000000000000000060000&#13;&#10;d0cf11e0a1b11ae1000000000000000000000000000000003e000300feff090006000000000000000000000001000000010000000000000000100000feffffff00000000feffffff0000000000000000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dfffffffe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52006f006f007400200045006e00740072007900000000000000000000000000000000000000000000000000000000000000000000000000000000000000000016000500ffffffffffffffffffffffff0c6ad98892f1d411a65f0040963251e5000000000000000000000000c0fc&#13;&#10;1b209289d001feffffff00000000000000000000000000000000000000000000000000000000000000000000000000000000000000000000000000000000000000000000000000000000000000000000000000000000ffffffffffffffffffffffff00000000000000000000000000000000000000000000000000000000&#13;&#10;00000000000000000000000000000000000000000000000000000000000000000000000000000000000000000000000000000000000000000000000000000000000000000000000000000000000000000000000000000000ffffffffffffffffffffffff0000000000000000000000000000000000000000000000000000&#13;&#10;000000000000000000000000000000000000000000000000000000000000000000000000000000000000000000000000000000000000000000000000000000000000000000000000000000000000000000000000000000000000ffffffffffffffffffffffff000000000000000000000000000000000000000000000000&#13;&#10;0000000000000000000000000000000000000000000000000105000000000000}}"/>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13;&#10;{\f34\fbidi \froman\fcharset0\fprq2{\*\panose 02040503050406030204}Cambria Math;}{\flomajor\f31500\fbidi \froman\fcharset0\fprq2{\*\panose 02020603050405020304}Times New Roman;}&#13;&#10;{\fdbmajor\f31501\fbidi \froman\fcharset0\fprq2{\*\panose 02020603050405020304}Times New Roman;}{\fhimajor\f31502\fbidi \froman\fcharset0\fprq2{\*\panose 02040503050406030204}Cambria;}&#13;&#10;{\fbimajor\f31503\fbidi \froman\fcharset0\fprq2{\*\panose 02020603050405020304}Times New Roman;}{\flominor\f31504\fbidi \froman\fcharset0\fprq2{\*\panose 02020603050405020304}Times New Roman;}&#13;&#10;{\fdbminor\f31505\fbidi \froman\fcharset0\fprq2{\*\panose 02020603050405020304}Times New Roman;}{\fhiminor\f31506\fbidi \fswiss\fcharset0\fprq2{\*\panose 020f0502020204030204}Calibri;}&#13;&#10;{\fbiminor\f31507\fbidi \froman\fcharset0\fprq2{\*\panose 02020603050405020304}Times New Roman;}{\f42\fbidi \froman\fcharset238\fprq2 Times New Roman CE;}{\f43\fbidi \froman\fcharset204\fprq2 Times New Roman Cyr;}&#13;&#10;{\f45\fbidi \froman\fcharset161\fprq2 Times New Roman Greek;}{\f46\fbidi \froman\fcharset162\fprq2 Times New Roman Tur;}{\f47\fbidi \froman\fcharset177\fprq2 Times New Roman (Hebrew);}{\f48\fbidi \froman\fcharset178\fprq2 Times New Roman (Arabic);}&#13;&#10;{\f49\fbidi \froman\fcharset186\fprq2 Times New Roman Baltic;}{\f50\fbidi \froman\fcharset163\fprq2 Times New Roman (Vietnamese);}{\f52\fbidi \fswiss\fcharset238\fprq2 Arial CE;}{\f53\fbidi \fswiss\fcharset204\fprq2 Arial Cyr;}&#13;&#10;{\f55\fbidi \fswiss\fcharset161\fprq2 Arial Greek;}{\f56\fbidi \fswiss\fcharset162\fprq2 Arial Tur;}{\f57\fbidi \fswiss\fcharset177\fprq2 Arial (Hebrew);}{\f58\fbidi \fswiss\fcharset178\fprq2 Arial (Arabic);}&#13;&#10;{\f59\fbidi \fswiss\fcharset186\fprq2 Arial Baltic;}{\f60\fbidi \fswiss\fcharset163\fprq2 Arial (Vietnamese);}{\f382\fbidi \froman\fcharset238\fprq2 Cambria Math CE;}{\f383\fbidi \froman\fcharset204\fprq2 Cambria Math Cyr;}&#13;&#10;{\f385\fbidi \froman\fcharset161\fprq2 Cambria Math Greek;}{\f386\fbidi \froman\fcharset162\fprq2 Cambria Math Tur;}{\f389\fbidi \froman\fcharset186\fprq2 Cambria Math Baltic;}{\f390\fbidi \froman\fcharset163\fprq2 Cambria Math (Vietnamese);}&#13;&#10;{\flomajor\f31508\fbidi \froman\fcharset238\fprq2 Times New Roman CE;}{\flomajor\f31509\fbidi \froman\fcharset204\fprq2 Times New Roman Cyr;}{\flomajor\f31511\fbidi \froman\fcharset161\fprq2 Times New Roman Greek;}&#13;&#10;{\flomajor\f31512\fbidi \froman\fcharset162\fprq2 Times New Roman Tur;}{\flomajor\f31513\fbidi \froman\fcharset177\fprq2 Times New Roman (Hebrew);}{\flomajor\f31514\fbidi \froman\fcharset178\fprq2 Times New Roman (Arabic);}&#13;&#10;{\flomajor\f31515\fbidi \froman\fcharset186\fprq2 Times New Roman Baltic;}{\flomajor\f31516\fbidi \froman\fcharset163\fprq2 Times New Roman (Vietnamese);}{\fdbmajor\f31518\fbidi \froman\fcharset238\fprq2 Times New Roman CE;}&#13;&#10;{\fdbmajor\f31519\fbidi \froman\fcharset204\fprq2 Times New Roman Cyr;}{\fdbmajor\f31521\fbidi \froman\fcharset161\fprq2 Times New Roman Greek;}{\fdbmajor\f31522\fbidi \froman\fcharset162\fprq2 Times New Roman Tur;}&#13;&#10;{\fdbmajor\f31523\fbidi \froman\fcharset177\fprq2 Times New Roman (Hebrew);}{\fdbmajor\f31524\fbidi \froman\fcharset178\fprq2 Times New Roman (Arabic);}{\fdbmajor\f31525\fbidi \froman\fcharset186\fprq2 Times New Roman Baltic;}&#13;&#10;{\fdbmajor\f31526\fbidi \froman\fcharset163\fprq2 Times New Roman (Vietnamese);}{\fhimajor\f31528\fbidi \froman\fcharset238\fprq2 Cambria CE;}{\fhimajor\f31529\fbidi \froman\fcharset204\fprq2 Cambria Cyr;}&#13;&#10;{\fhimajor\f31531\fbidi \froman\fcharset161\fprq2 Cambria Greek;}{\fhimajor\f31532\fbidi \froman\fcharset162\fprq2 Cambria Tur;}{\fhimajor\f31535\fbidi \froman\fcharset186\fprq2 Cambria Baltic;}&#13;&#10;{\fhimajor\f31536\fbidi \froman\fcharset163\fprq2 Cambria (Vietnamese);}{\fbimajor\f31538\fbidi \froman\fcharset238\fprq2 Times New Roman CE;}{\fbimajor\f31539\fbidi \froman\fcharset204\fprq2 Times New Roman Cyr;}&#13;&#10;{\fbimajor\f31541\fbidi \froman\fcharset161\fprq2 Times New Roman Greek;}{\fbimajor\f31542\fbidi \froman\fcharset162\fprq2 Times New Roman Tur;}{\fbimajor\f31543\fbidi \froman\fcharset177\fprq2 Times New Roman (Hebrew);}&#13;&#10;{\fbimajor\f31544\fbidi \froman\fcharset178\fprq2 Times New Roman (Arabic);}{\fbimajor\f31545\fbidi \froman\fcharset186\fprq2 Times New Roman Baltic;}{\fbimajor\f31546\fbidi \froman\fcharset163\fprq2 Times New Roman (Vietnamese);}&#13;&#10;{\flominor\f31548\fbidi \froman\fcharset238\fprq2 Times New Roman CE;}{\flominor\f31549\fbidi \froman\fcharset204\fprq2 Times New Roman Cyr;}{\flominor\f31551\fbidi \froman\fcharset161\fprq2 Times New Roman Greek;}&#13;&#10;{\flominor\f31552\fbidi \froman\fcharset162\fprq2 Times New Roman Tur;}{\flominor\f31553\fbidi \froman\fcharset177\fprq2 Times New Roman (Hebrew);}{\flominor\f31554\fbidi \froman\fcharset178\fprq2 Times New Roman (Arabic);}&#13;&#10;{\flominor\f31555\fbidi \froman\fcharset186\fprq2 Times New Roman Baltic;}{\flominor\f31556\fbidi \froman\fcharset163\fprq2 Times New Roman (Vietnamese);}{\fdbminor\f31558\fbidi \froman\fcharset238\fprq2 Times New Roman CE;}&#13;&#10;{\fdbminor\f31559\fbidi \froman\fcharset204\fprq2 Times New Roman Cyr;}{\fdbminor\f31561\fbidi \froman\fcharset161\fprq2 Times New Roman Greek;}{\fdbminor\f31562\fbidi \froman\fcharset162\fprq2 Times New Roman Tur;}&#13;&#10;{\fdbminor\f31563\fbidi \froman\fcharset177\fprq2 Times New Roman (Hebrew);}{\fdbminor\f31564\fbidi \froman\fcharset178\fprq2 Times New Roman (Arabic);}{\fdbminor\f31565\fbidi \froman\fcharset186\fprq2 Times New Roman Baltic;}&#13;&#10;{\fdbminor\f31566\fbidi \froman\fcharset163\fprq2 Times New Roman (Vietnamese);}{\fhiminor\f31568\fbidi \fswiss\fcharset238\fprq2 Calibri CE;}{\fhiminor\f31569\fbidi \fswiss\fcharset204\fprq2 Calibri Cyr;}&#13;&#10;{\fhiminor\f31571\fbidi \fswiss\fcharset161\fprq2 Calibri Greek;}{\fhiminor\f31572\fbidi \fswiss\fcharset162\fprq2 Calibri Tur;}{\fhiminor\f31575\fbidi \fswiss\fcharset186\fprq2 Calibri Baltic;}&#13;&#10;{\fhiminor\f31576\fbidi \fswiss\fcharset163\fprq2 Calibri (Vietnamese);}{\fbiminor\f31578\fbidi \froman\fcharset238\fprq2 Times New Roman CE;}{\fbiminor\f31579\fbidi \froman\fcharset204\fprq2 Times New Roman Cyr;}&#13;&#10;{\fbiminor\f31581\fbidi \froman\fcharset161\fprq2 Times New Roman Greek;}{\fbiminor\f31582\fbidi \froman\fcharset162\fprq2 Times New Roman Tur;}{\fbiminor\f31583\fbidi \froman\fcharset177\fprq2 Times New Roman (Hebrew);}&#13;&#10;{\fbiminor\f31584\fbidi \froman\fcharset178\fprq2 Times New Roman (Arabic);}{\fbiminor\f31585\fbidi \froman\fcharset186\fprq2 Times New Roman Baltic;}{\fbiminor\f31586\fbidi \froman\fcharset163\fprq2 Times New Roman (Vietnamese);}}&#13;&#10;{\colortbl;\red0\green0\blue0;\red0\green0\blue255;\red0\green255\blue255;\red0\green255\blue0;\red255\green0\blue255;\red255\green0\blue0;\red255\green255\blue0;\red255\green255\blue255;\red0\green0\blue128;\red0\green128\blue128;\red0\green128\blue0;&#13;&#10;\red128\green0\blue128;\red128\green0\blue0;\red128\green128\blue0;\red128\green128\blue128;\red192\green192\blue192;}{\*\defchp }{\*\defpap \ql \li0\ri0\widctlpar\wrapdefault\aspalpha\aspnum\faauto\adjustright\rin0\lin0\itap0 }\noqfpromote {\stylesheet{&#13;&#10;\ql \li0\ri0\widctlpar\wrapdefault\aspalpha\aspnum\faauto\adjustright\rin0\lin0\itap0 \rtlch\fcs1 \af0\afs20\alang1025 \ltrch\fcs0 \fs24\lang2057\langfe2057\cgrid\langnp2057\langfenp2057 \snext0 \sqformat \spriority0 Normal;}{\*\cs10 \additive &#13;&#10;\ssemihidden \spriority0 Default Paragraph Font;}{\*\ts11\tsrowd\trftsWidthB3\trpaddl108\trpaddr108\trpaddfl3\trpaddft3\trpaddfb3\trpaddfr3\tblind0\tblindtype3\tsvertalt\tsbrdrt\tsbrdrl\tsbrdrb\tsbrdrr\tsbrdrdgl\tsbrdrdgr\tsbrdrh\tsbrdrv &#13;&#10;\ql \li0\ri0\widctlpar\wrapdefault\aspalpha\aspnum\faauto\adjustright\rin0\lin0\itap0 \rtlch\fcs1 \af0\afs20\alang1025 \ltrch\fcs0 \fs20\lang1043\langfe1043\cgrid\langnp1043\langfenp1043 \snext11 \ssemihidden \spriority0 Normal Table;}{\*\cs15 \additive &#13;&#10;\v\f1\fs20\cf9\lang1024\langfe1024\noproof \spriority0 \styrsid15625260 HideTWBExt;}{\s16\ql \li0\ri0\sa120\nowidctlpar\wrapdefault\aspalpha\aspnum\faauto\adjustright\rin0\lin0\itap0 \rtlch\fcs1 \af0\afs20\alang1025 \ltrch\fcs0 &#13;&#10;\fs24\lang2057\langfe2057\cgrid\langnp2057\langfenp2057 \sbasedon0 \snext16 \slink17 \spriority0 \styrsid15625260 Normal6;}{\*\cs17 \additive \fs24\lang2057\langfe2057\langnp2057\langfenp2057 \slink16 \slocked \spriority0 \styrsid15625260 Normal6 Char;}{&#13;&#10;\s18\ql \li0\ri0\nowidctlpar\wrapdefault\aspalpha\aspnum\faauto\adjustright\rin0\lin0\itap0 \rtlch\fcs1 \af0\afs20\alang1025 \ltrch\fcs0 \b\fs24\lang2057\langfe2057\cgrid\langnp2057\langfenp2057 \sbasedon0 \snext18 \slink19 \spriority0 \styrsid15625260 &#13;&#10;NormalBold;}{\*\cs19 \additive \b\fs24\lang2057\langfe2057\langnp2057\langfenp2057 \slink18 \slocked \spriority0 \styrsid15625260 NormalBold Char;}{\s20\ql \li0\ri0\sa240\nowidctlpar\wrapdefault\aspalpha\aspnum\faauto\adjustright\rin0\lin0\itap0 &#13;&#10;\rtlch\fcs1 \af0\afs20\alang1025 \ltrch\fcs0 \i\fs24\lang1024\langfe1024\cgrid\noproof\langnp2057\langfenp2057 \sbasedon0 \snext20 \spriority0 \styrsid15625260 Normal12Italic;}{&#13;&#10;\s21\qc \li0\ri0\sb240\sa240\keepn\nowidctlpar\wrapdefault\aspalpha\aspnum\faauto\adjustright\rin0\lin0\itap0 \rtlch\fcs1 \af0\afs20\alang1025 \ltrch\fcs0 \i\fs24\lang1024\langfe1024\cgrid\noproof\langnp2057\langfenp2057 &#13;&#10;\sbasedon0 \snext0 \spriority0 \styrsid15625260 JustificationTitle;}{\s22\qr \li0\ri0\sb240\sa240\nowidctlpar\wrapdefault\aspalpha\aspnum\faauto\adjustright\rin0\lin0\itap0 \rtlch\fcs1 \af0\afs20\alang1025 \ltrch\fcs0 &#13;&#10;\fs24\lang1024\langfe1024\cgrid\noproof\langnp2057\langfenp2057 \sbasedon0 \snext22 \spriority0 \styrsid15625260 Olang;}{\s23\qc \li0\ri0\sa240\nowidctlpar\wrapdefault\aspalpha\aspnum\faauto\adjustright\rin0\lin0\itap0 \rtlch\fcs1 \af0\afs20\alang1025 &#13;&#10;\ltrch\fcs0 \i\fs24\lang2057\langfe2057\cgrid\langnp2057\langfenp2057 \sbasedon0 \snext23 \spriority0 \styrsid15625260 ColumnHeading;}{\s24\ql \li0\ri0\sb240\nowidctlpar&#13;&#10;\tx879\tx936\tx1021\tx1077\tx1134\tx1191\tx1247\tx1304\tx1361\tx1418\tx1474\tx1531\tx1588\tx1644\tx1701\tx1758\tx1814\tx1871\tx2070\tx2126\tx3374\tx3430\wrapdefault\aspalpha\aspnum\faauto\adjustright\rin0\lin0\itap0 \rtlch\fcs1 \af0\afs20\alang1025 &#13;&#10;\ltrch\fcs0 \b\fs24\lang2057\langfe2057\cgrid\langnp2057\langfenp2057 \sbasedon0 \snext24 \spriority0 \styrsid15625260 AMNumberTabs;}}{\*\rsidtbl \rsid24658\rsid735077\rsid2892074\rsid4666813\rsid6641733\rsid9636012\rsid11215221\rsid12154954\rsid14424199&#13;&#10;\rsid15204470\rsid15285974\rsid15625260\rsid15950462\rsid16324206\rsid16662270\rsid16743564}{\mmathPr\mmathFont34\mbrkBin0\mbrkBinSub0\msmallFrac0\mdispDef1\mlMargin0\mrMargin0\mdefJc1\mwrapIndent1440\mintLim0\mnaryLim1}{\info{\author FELIX Karina}&#13;&#10;{\operator FELIX Karina}{\creatim\yr2015\mo5\dy8\hr15\min23}{\revtim\yr2015\mo5\dy8\hr15\min23}{\version1}{\edmins0}{\nofpages1}{\nofwords62}{\nofchars342}{\*\company European Parliament}{\nofcharsws403}{\vern49165}}{\*\xmlnstbl {\xmlns1 http://schemas.mi&#13;&#10;crosoft.com/office/word/2003/wordml}}\paperw11906\paperh16838\margl1418\margr1418\margt1134\margb1418\gutter0\ltrsect &#13;&#10;\facingp\widowctrl\ftnbj\aenddoc\ftnrstpg\trackmoves0\trackformatting1\donotembedsysfont1\relyonvml0\donotembedlingdata0\grfdocevents0\validatexml1\showplaceholdtext0\ignoremixedcontent0\saveinvalidxml0&#13;&#10;\showxmlerrors1\margmirror\noxlattoyen\expshrtn\noultrlspc\dntblnsbdb\nospaceforul\formshade\horzdoc\dghspace180\dgvspace180\dghorigin1701\dgvorigin1984\dghshow0\dgvshow0&#13;&#10;\jexpand\viewkind1\viewscale90\pgbrdrhead\pgbrdrfoot\nolnhtadjtbl\nojkernpunct\rsidroot15625260\utinl \fet0{\*\wgrffmtfilter 013f}\ilfomacatclnup0{\*\template C:\\Users\\kfelix\\AppData\\Local\\Temp\\Blank1.dot}{\*\ftnsep \ltrpar \pard\plain \ltrpar&#13;&#10;\ql \li0\ri0\widctlpar\wrapdefault\aspalpha\aspnum\faauto\adjustright\rin0\lin0\itap0 \rtlch\fcs1 \af0\afs20\alang1025 \ltrch\fcs0 \fs24\lang2057\langfe2057\cgrid\langnp2057\langfenp2057 {\rtlch\fcs1 \af0 \ltrch\fcs0 \insrsid16743564 \chftnsep &#13;&#10;\par }}{\*\ftnsepc \ltrpar \pard\plain \ltrpar\ql \li0\ri0\widctlpar\wrapdefault\aspalpha\aspnum\faauto\adjustright\rin0\lin0\itap0 \rtlch\fcs1 \af0\afs20\alang1025 \ltrch\fcs0 \fs24\lang2057\langfe2057\cgrid\langnp2057\langfenp2057 {\rtlch\fcs1 \af0 &#13;&#10;\ltrch\fcs0 \insrsid16743564 \chftnsepc &#13;&#10;\par }}{\*\aftnsep \ltrpar \pard\plain \ltrpar\ql \li0\ri0\widctlpar\wrapdefault\aspalpha\aspnum\faauto\adjustright\rin0\lin0\itap0 \rtlch\fcs1 \af0\afs20\alang1025 \ltrch\fcs0 \fs24\lang2057\langfe2057\cgrid\langnp2057\langfenp2057 {\rtlch\fcs1 \af0 &#13;&#10;\ltrch\fcs0 \insrsid16743564 \chftnsep &#13;&#10;\par }}{\*\aftnsepc \ltrpar \pard\plain \ltrpar\ql \li0\ri0\widctlpar\wrapdefault\aspalpha\aspnum\faauto\adjustright\rin0\lin0\itap0 \rtlch\fcs1 \af0\afs20\alang1025 \ltrch\fcs0 \fs24\lang2057\langfe2057\cgrid\langnp2057\langfenp2057 {\rtlch\fcs1 \af0 &#13;&#10;\ltrch\fcs0 \insrsid16743564 \chftnsepc &#13;&#10;\par }}\ltrpar \sectd \ltrsect\psz9\linex0\headery1134\footery505\endnhere\titlepg\sectdefaultcl\sectrsid14424199\sftnbj\sftnrstpg {\*\pnseclvl1\pnucrm\pnstart1\pnindent720\pnhang {\pntxta .}}{\*\pnseclvl2\pnucltr\pnstart1\pnindent720\pnhang {\pntxta .}}&#13;&#10;{\*\pnseclvl3\pndec\pnstart1\pnindent720\pnhang {\pntxta .}}{\*\pnseclvl4\pnlcltr\pnstart1\pnindent720\pnhang {\pntxta )}}{\*\pnseclvl5\pndec\pnstart1\pnindent720\pnhang {\pntxtb (}{\pntxta )}}{\*\pnseclvl6\pnlcltr\pnstart1\pnindent720\pnhang {\pntxtb (}&#13;&#10;{\pntxta )}}{\*\pnseclvl7\pnlcrm\pnstart1\pnindent720\pnhang {\pntxtb (}{\pntxta )}}{\*\pnseclvl8\pnlcltr\pnstart1\pnindent720\pnhang {\pntxtb (}{\pntxta )}}{\*\pnseclvl9\pnlcrm\pnstart1\pnindent720\pnhang {\pntxtb (}{\pntxta )}}\pard\plain \ltrpar&#13;&#10;\s24\ql \li0\ri0\sb240\keepn\nowidctlpar\tx879\tx936\tx1021\tx1077\tx1134\tx1191\tx1247\tx1304\tx1361\tx1418\tx1474\tx1531\tx1588\tx1644\tx1701\tx1758\tx1814\tx1871\tx2070\tx2126\tx3374\tx3430\wrapdefault\aspalpha\aspnum\faauto\adjustright\rin0&#13;&#10;\lin0\itap0\pararsid6905025 \rtlch\fcs1 \af0\afs20\alang1025 \ltrch\fcs0 \b\fs24\lang2057\langfe2057\cgrid\langnp2057\langfenp2057 {\rtlch\fcs1 \af0 \ltrch\fcs0 \cs15\b0\v\f1\fs20\cf9\insrsid15625260\charrsid946740 {\*\bkmkstart restartA}&lt;AmendA&gt;}{&#13;&#10;\rtlch\fcs1 \af0 \ltrch\fcs0 \insrsid15625260\charrsid946740 [ZAMENDMENT]\tab \tab }{\rtlch\fcs1 \af0 \ltrch\fcs0 \cs15\b0\v\f1\fs20\cf9\insrsid15625260\charrsid946740 &lt;NumAmA&gt;}{\rtlch\fcs1 \af0 \ltrch\fcs0 \insrsid15625260\charrsid946740 [ZNRAM]}{&#13;&#10;\rtlch\fcs1 \af0 \ltrch\fcs0 \cs15\b0\v\f1\fs20\cf9\insrsid15625260\charrsid946740 &lt;/NumAmA&gt;}{\rtlch\fcs1 \af0 \ltrch\fcs0 \insrsid15625260\charrsid946740 &#13;&#10;\par }\pard\plain \ltrpar\s18\ql \li0\ri0\nowidctlpar\wrapdefault\aspalpha\aspnum\faauto\adjustright\rin0\lin0\itap0\pararsid5976803 \rtlch\fcs1 \af0\afs20\alang1025 \ltrch\fcs0 \b\fs24\lang2057\langfe2057\cgrid\langnp2057\langfenp2057 {\rtlch\fcs1 \af0 &#13;&#10;\ltrch\fcs0 \cs15\b0\v\f1\fs20\cf9\lang1024\langfe1024\noproof\insrsid15625260\charrsid14699840 &lt;RepeatBlock-By&gt;}{\rtlch\fcs1 \af0 \ltrch\fcs0 \lang1024\langfe1024\noproof\insrsid15625260\charrsid14699840 [RepeatMembers]}{\rtlch\fcs1 \af0 \ltrch\fcs0 &#13;&#10;\cs15\b0\v\f1\fs20\cf9\lang1024\langfe1024\noproof\insrsid15625260\charrsid14699840 &lt;Members&gt;}{\rtlch\fcs1 \af0 \ltrch\fcs0 \insrsid15625260\charrsid14699840 [ZMEMBERS]}{\rtlch\fcs1 \af0 \ltrch\fcs0 &#13;&#10;\cs15\b0\v\f1\fs20\cf9\lang1024\langfe1024\noproof\insrsid15625260\charrsid14699840 &lt;/Members&gt;}{\rtlch\fcs1 \af0 \ltrch\fcs0 \insrsid15625260\charrsid14699840 &#13;&#10;\par }\pard\plain \ltrpar\ql \li0\ri0\widctlpar\wrapdefault\aspalpha\aspnum\faauto\adjustright\rin0\lin0\itap0\pararsid5976803 \rtlch\fcs1 \af0\afs20\alang1025 \ltrch\fcs0 \fs24\lang2057\langfe2057\cgrid\langnp2057\langfenp2057 {\rtlch\fcs1 \af0 \ltrch\fcs0 &#13;&#10;\cs15\v\f1\fs20\cf9\lang1024\langfe1024\noproof\insrsid15625260\charrsid14699840 &lt;AuNomDe&gt;&lt;OptDel&gt;}{\rtlch\fcs1 \af0 \ltrch\fcs0 \lang1024\langfe1024\noproof\insrsid15625260\charrsid14699840 [ZONBEHALF]}{\rtlch\fcs1 \af0 \ltrch\fcs0 &#13;&#10;\cs15\v\f1\fs20\cf9\lang1024\langfe1024\noproof\insrsid15625260\charrsid14699840 &lt;/OptDel&gt;&lt;/AuNomDe&gt;}{\rtlch\fcs1 \af0 \ltrch\fcs0 \insrsid15625260\charrsid14699840 &#13;&#10;\par &lt;&lt;&lt;}{\rtlch\fcs1 \af0 \ltrch\fcs0 \cs15\v\f1\fs20\cf9\lang1024\langfe1024\noproof\insrsid15625260\charrsid14699840 &lt;/RepeatBlock-By&gt;}{\rtlch\fcs1 \af0 \ltrch\fcs0 \insrsid15625260\charrsid14699840 &#13;&#10;\par }\pard\plain \ltrpar\s18\ql \li0\ri0\nowidctlpar\wrapdefault\aspalpha\aspnum\faauto\adjustright\rin0\lin0\itap0\pararsid5976803 \rtlch\fcs1 \af0\afs20\alang1025 \ltrch\fcs0 \b\fs24\lang2057\langfe2057\cgrid\langnp2057\langfenp2057 {\rtlch\fcs1 \af0 &#13;&#10;\ltrch\fcs0 \cs15\b0\v\f1\fs20\cf9\insrsid15625260\charrsid946740 &lt;DocAmend&gt;}{\rtlch\fcs1 \af0 \ltrch\fcs0 \insrsid15625260\charrsid946740 [ZRESOLUTION]}{\rtlch\fcs1 \af0 \ltrch\fcs0 \cs15\b0\v\f1\fs20\cf9\insrsid15625260\charrsid946740 &lt;/DocAmend&gt;}{&#13;&#10;\rtlch\fcs1 \af0 \ltrch\fcs0 \insrsid15625260\charrsid946740 &#13;&#10;\par }\pard \ltrpar\s18\ql \li0\ri0\nowidctlpar\wrapdefault\aspalpha\aspnum\faauto\adjustright\rin0\lin0\itap0\pararsid16013815 {\rtlch\fcs1 \af0 \ltrch\fcs0 \cs15\b0\v\f1\fs20\cf9\lang1024\langfe1024\noproof\insrsid15625260\charrsid16013815 &lt;Article&gt;}{&#13;&#10;\rtlch\fcs1 \af0 \ltrch\fcs0 \insrsid15625260\charrsid16013815 [ZRESPART]}{\rtlch\fcs1 \af0 \ltrch\fcs0 \cs15\b0\v\f1\fs20\cf9\lang1024\langfe1024\noproof\insrsid15625260\charrsid16013815 &lt;/Article&gt;}{\rtlch\fcs1 \af0 \ltrch\fcs0 &#13;&#10;\insrsid15625260\charrsid16013815 &#13;&#10;\par \ltrrow}\trowd \ltrrow\ts11\trqc\trgaph340\trleft-340\trftsWidth1\trftsWidthB3\trftsWidthA3\trpaddl340\trpaddr340\trpaddfl3\trpaddfr3\tblind0\tblindtype3 \clvertalt\clbrdrt\brdrtbl \clbrdrl\brdrtbl \clbrdrb\brdrtbl \clbrdrr\brdrtbl &#13;&#10;\cltxlrtb\clftsWidth3\clwWidth9752\clshdrawnil \cellx9412\pard\plain \ltrpar\ql \li0\ri0\keepn\widctlpar\intbl\wrapdefault\aspalpha\aspnum\faauto\adjustright\rin0\lin0\pararsid10630121 \rtlch\fcs1 \af0\afs20\alang1025 \ltrch\fcs0 &#13;&#10;\fs24\lang2057\langfe2057\cgrid\langnp2057\langfenp2057 {\rtlch\fcs1 \af0 \ltrch\fcs0 \insrsid15625260\charrsid946740 \cell }\pard \ltrpar\ql \li0\ri0\widctlpar\intbl\wrapdefault\aspalpha\aspnum\faauto\adjustright\rin0\lin0 {\rtlch\fcs1 \af0 \ltrch\fcs0 &#13;&#10;\insrsid15625260\charrsid946740 \trowd \ltrrow\ts11\trqc\trgaph340\trleft-340\trftsWidth1\trftsWidthB3\trftsWidthA3\trpaddl340\trpaddr340\trpaddfl3\trpaddfr3\tblind0\tblindtype3 \clvertalt\clbrdrt\brdrtbl \clbrdrl\brdrtbl \clbrdrb\brdrtbl \clbrdrr&#13;&#10;\brdrtbl \cltxlrtb\clftsWidth3\clwWidth9752\clshdrawnil \cellx9412\row \ltrrow}\trowd \ltrrow\ts11\trqc\trgaph340\trleft-340\trftsWidth1\trftsWidthB3\trftsWidthA3\trpaddl340\trpaddr340\trpaddfl3\trpaddfr3\tblind0\tblindtype3 \clvertalt\clbrdrt\brdrtbl &#13;&#10;\clbrdrl\brdrtbl \clbrdrb\brdrtbl \clbrdrr\brdrtbl \cltxlrtb\clftsWidth3\clwWidth4876\clshdrawnil \cellx4536\clvertalt\clbrdrt\brdrtbl \clbrdrl\brdrtbl \clbrdrb\brdrtbl \clbrdrr\brdrtbl \cltxlrtb\clftsWidth3\clwWidth4876\clshdrawnil \cellx9412&#13;&#10;\pard\plain \ltrpar\s23\qc \li0\ri0\sa240\keepn\nowidctlpar\intbl\wrapdefault\aspalpha\aspnum\faauto\adjustright\rin0\lin0\pararsid10630121 \rtlch\fcs1 \af0\afs20\alang1025 \ltrch\fcs0 \i\fs24\lang2057\langfe2057\cgrid\langnp2057\langfenp2057 {&#13;&#10;\rtlch\fcs1 \af0 \ltrch\fcs0 \insrsid15625260\charrsid946740 [ZLEFTA]\cell [ZRIGHT]\cell }\pard\plain \ltrpar\ql \li0\ri0\widctlpar\intbl\wrapdefault\aspalpha\aspnum\faauto\adjustright\rin0\lin0 \rtlch\fcs1 \af0\afs20\alang1025 \ltrch\fcs0 &#13;&#10;\fs24\lang2057\langfe2057\cgrid\langnp2057\langfenp2057 {\rtlch\fcs1 \af0 \ltrch\fcs0 \insrsid15625260\charrsid946740 \trowd \ltrrow&#13;&#10;\ts11\trqc\trgaph340\trleft-340\trftsWidth1\trftsWidthB3\trftsWidthA3\trpaddl340\trpaddr340\trpaddfl3\trpaddfr3\tblind0\tblindtype3 \clvertalt\clbrdrt\brdrtbl \clbrdrl\brdrtbl \clbrdrb\brdrtbl \clbrdrr\brdrtbl &#13;&#10;\cltxlrtb\clftsWidth3\clwWidth4876\clshdrawnil \cellx4536\clvertalt\clbrdrt\brdrtbl \clbrdrl\brdrtbl \clbrdrb\brdrtbl \clbrdrr\brdrtbl \cltxlrtb\clftsWidth3\clwWidth4876\clshdrawnil \cellx9412\row \ltrrow}\pard\plain \ltrpar&#13;&#10;\s16\ql \li0\ri0\sa120\nowidctlpar\intbl\wrapdefault\aspalpha\aspnum\faauto\adjustright\rin0\lin0\pararsid12024389 \rtlch\fcs1 \af0\afs20\alang1025 \ltrch\fcs0 \fs24\lang2057\langfe2057\cgrid\langnp2057\langfenp2057 {\rtlch\fcs1 \af0 \ltrch\fcs0 &#13;&#10;\insrsid15625260\charrsid946740 [ZTEXTL]\cell [ZTEXTR]}{\rtlch\fcs1 \af0\afs24 \ltrch\fcs0 \insrsid15625260\charrsid946740 \cell }\pard\plain \ltrpar\ql \li0\ri0\widctlpar\intbl\wrapdefault\aspalpha\aspnum\faauto\adjustright\rin0\lin0 \rtlch\fcs1 &#13;&#10;\af0\afs20\alang1025 \ltrch\fcs0 \fs24\lang2057\langfe2057\cgrid\langnp2057\langfenp2057 {\rtlch\fcs1 \af0 \ltrch\fcs0 \insrsid15625260\charrsid946740 \trowd \lastrow \ltrrow&#13;&#10;\ts11\trqc\trgaph340\trleft-340\trftsWidth1\trftsWidthB3\trftsWidthA3\trpaddl340\trpaddr340\trpaddfl3\trpaddfr3\tblind0\tblindtype3 \clvertalt\clbrdrt\brdrtbl \clbrdrl\brdrtbl \clbrdrb\brdrtbl \clbrdrr\brdrtbl &#13;&#10;\cltxlrtb\clftsWidth3\clwWidth4876\clshdrawnil \cellx4536\clvertalt\clbrdrt\brdrtbl \clbrdrl\brdrtbl \clbrdrb\brdrtbl \clbrdrr\brdrtbl \cltxlrtb\clftsWidth3\clwWidth4876\clshdrawnil \cellx9412\row }\pard\plain \ltrpar&#13;&#10;\s22\qr \li0\ri0\sb240\sa240\nowidctlpar\wrapdefault\aspalpha\aspnum\faauto\adjustright\rin0\lin0\itap0\pararsid10118616 \rtlch\fcs1 \af0\afs20\alang1025 \ltrch\fcs0 \fs24\lang1024\langfe1024\cgrid\noproof\langnp2057\langfenp2057 {\rtlch\fcs1 \af0 &#13;&#10;\ltrch\fcs0 \noproof0\insrsid15625260\charrsid946740 Or. }{\rtlch\fcs1 \af0 \ltrch\fcs0 \cs15\v\f1\fs20\cf9\noproof0\insrsid15625260\charrsid946740 &lt;Original&gt;}{\rtlch\fcs1 \af0 \ltrch\fcs0 \noproof0\insrsid15625260\charrsid946740 [ZORLANG]}{\rtlch\fcs1 &#13;&#10;\af0 \ltrch\fcs0 \cs15\v\f1\fs20\cf9\noproof0\insrsid15625260\charrsid946740 &lt;/Original&gt;}{\rtlch\fcs1 \af0 \ltrch\fcs0 \noproof0\insrsid15625260\charrsid946740 &#13;&#10;\par }\pard\plain \ltrpar\s21\qc \li0\ri0\sb240\sa240\keepn\nowidctlpar\wrapdefault\aspalpha\aspnum\faauto\adjustright\rin0\lin0\itap0\pararsid16390444 \rtlch\fcs1 \af0\afs20\alang1025 \ltrch\fcs0 &#13;&#10;\i\fs24\lang1024\langfe1024\cgrid\noproof\langnp2057\langfenp2057 {\rtlch\fcs1 \af0 \ltrch\fcs0 \cs15\i0\v\f1\fs20\cf9\noproof0\insrsid15625260\charrsid946740 &lt;TitreJust&gt;}{\rtlch\fcs1 \af0 \ltrch\fcs0 \noproof0\insrsid15625260\charrsid946740 &#13;&#10;[ZJUSTIFICATION]}{\rtlch\fcs1 \af0 \ltrch\fcs0 \cs15\i0\v\f1\fs20\cf9\noproof0\insrsid15625260\charrsid946740 &lt;/TitreJust&gt;}{\rtlch\fcs1 \af0 \ltrch\fcs0 \noproof0\insrsid15625260\charrsid946740 &#13;&#10;\par }\pard\plain \ltrpar\s20\ql \li0\ri0\sa240\nowidctlpar\wrapdefault\aspalpha\aspnum\faauto\adjustright\rin0\lin0\itap0\pararsid16390444 \rtlch\fcs1 \af0\afs20\alang1025 \ltrch\fcs0 \i\fs24\lang1024\langfe1024\cgrid\noproof\langnp2057\langfenp2057 {&#13;&#10;\rtlch\fcs1 \af0 \ltrch\fcs0 \cs15\i0\v\f1\fs20\cf9\noproof0\insrsid15625260\charrsid946740 &lt;OptDelPrev&gt;}{\rtlch\fcs1 \af0 \ltrch\fcs0 \noproof0\insrsid15625260\charrsid946740 [ZTEXTJUST]}{\rtlch\fcs1 \af0 \ltrch\fcs0 &#13;&#10;\cs15\i0\v\f1\fs20\cf9\noproof0\insrsid15625260\charrsid946740 &lt;/OptDelPrev&gt;}{\rtlch\fcs1 \af0 \ltrch\fcs0 \noproof0\insrsid15625260\charrsid946740 &#13;&#10;\par }\pard\plain \ltrpar\ql \li0\ri0\widctlpar\wrapdefault\aspalpha\aspnum\faauto\adjustright\rin0\lin0\itap0\pararsid16324206 \rtlch\fcs1 \af0\afs20\alang1025 \ltrch\fcs0 \fs24\lang2057\langfe2057\cgrid\langnp2057\langfenp2057 {\rtlch\fcs1 \af0 \ltrch\fcs0 &#13;&#10;\cs15\v\f1\fs20\cf9\insrsid15625260\charrsid946740 &lt;/AmendA&gt;}{\rtlch\fcs1 \af0 \ltrch\fcs0 \insrsid24658\charrsid16324206 {\*\bkmkend restartA}&#13;&#10;\par }{\*\themedata 504b030414000600080000002100e9de0fbfff0000001c020000130000005b436f6e74656e745f54797065735d2e786d6cac91cb4ec3301045f748fc83e52d4a&#13;&#10;9cb2400825e982c78ec7a27cc0c8992416c9d8b2a755fbf74cd25442a820166c2cd933f79e3be372bd1f07b5c3989ca74aaff2422b24eb1b475da5df374fd9ad&#13;&#10;5689811a183c61a50f98f4babebc2837878049899a52a57be670674cb23d8e90721f90a4d2fa3802cb35762680fd800ecd7551dc18eb899138e3c943d7e503b6&#13;&#10;b01d583deee5f99824e290b4ba3f364eac4a430883b3c092d4eca8f946c916422ecab927f52ea42b89a1cd59c254f919b0e85e6535d135a8de20f20b8c12c3b0&#13;&#10;0c895fcf6720192de6bf3b9e89ecdbd6596cbcdd8eb28e7c365ecc4ec1ff1460f53fe813d3cc7f5b7f020000ffff0300504b030414000600080000002100a5d6&#13;&#10;a7e7c0000000360100000b0000005f72656c732f2e72656c73848fcf6ac3300c87ef85bd83d17d51d2c31825762fa590432fa37d00e1287f68221bdb1bebdb4f&#13;&#10;c7060abb0884a4eff7a93dfeae8bf9e194e720169aaa06c3e2433fcb68e1763dbf7f82c985a4a725085b787086a37bdbb55fbc50d1a33ccd311ba548b6309512&#13;&#10;0f88d94fbc52ae4264d1c910d24a45db3462247fa791715fd71f989e19e0364cd3f51652d73760ae8fa8c9ffb3c330cc9e4fc17faf2ce545046e37944c69e462&#13;&#10;a1a82fe353bd90a865aad41ed0b5b8f9d6fd010000ffff0300504b0304140006000800000021006b799616830000008a0000001c0000007468656d652f746865&#13;&#10;6d652f7468656d654d616e616765722e786d6c0ccc4d0ac3201040e17da17790d93763bb284562b2cbaebbf600439c1a41c7a0d29fdbd7e5e38337cedf14d59b&#13;&#10;4b0d592c9c070d8a65cd2e88b7f07c2ca71ba8da481cc52c6ce1c715e6e97818c9b48d13df49c873517d23d59085adb5dd20d6b52bd521ef2cdd5eb9246a3d8b&#13;&#10;4757e8d3f729e245eb2b260a0238fd010000ffff0300504b03041400060008000000210030dd4329a8060000a41b0000160000007468656d652f7468656d652f&#13;&#10;7468656d65312e786d6cec594f6fdb3614bf0fd87720746f6327761a07758ad8b19b2d4d1bc46e871e698996d850a240d2497d1bdae38001c3ba618715d86d87&#13;&#10;615b8116d8a5fb34d93a6c1dd0afb0475292c5585e9236d88aad3e2412f9e3fbff1e1fa9abd7eec70c1d1221294fda5efd72cd4324f1794093b0eddd1ef62fad&#13;&#10;79482a9c0498f184b4bd2991deb58df7dfbb8ad755446282607d22d771db8b944ad79796a40fc3585ee62949606ecc458c15bc8a702910f808e8c66c69b9565b&#13;&#10;5d8a314d3c94e018c8de1a8fa94fd05093f43672e23d06af89927ac06762a049136785c10607758d9053d965021d62d6f6804fc08f86e4bef210c352c144dbab&#13;&#10;999fb7b4717509af678b985ab0b6b4ae6f7ed9ba6c4170b06c788a705430adf71bad2b5b057d03606a1ed7ebf5babd7a41cf00b0ef83a6569632cd467faddec9&#13;&#10;699640f6719e76b7d6ac355c7c89feca9cccad4ea7d36c65b258a206641f1b73f8b5da6a6373d9c11b90c537e7f08dce66b7bbeae00dc8e257e7f0fd2badd586&#13;&#10;8b37a088d1e4600ead1ddaef67d40bc898b3ed4af81ac0d76a197c86826828a24bb318f3442d8ab518dfe3a20f000d6458d104a9694ac6d88728eee2782428d6&#13;&#10;0cf03ac1a5193be4cbb921cd0b495fd054b5bd0f530c1931a3f7eaf9f7af9e3f45c70f9e1d3ff8e9f8e1c3e3073f5a42ceaa6d9c84e5552fbffdeccfc71fa33f&#13;&#10;9e7ef3f2d117d57859c6fffac327bffcfc793510d26726ce8b2f9ffcf6ecc98baf3efdfdbb4715f04d814765f890c644a29be408edf3181433567125272371be&#13;&#10;15c308d3f28acd249438c19a4b05fd9e8a1cf4cd296699771c393ac4b5e01d01e5a30a787d72cf1178108989a2159c77a2d801ee72ce3a5c545a6147f32a9979&#13;&#10;3849c26ae66252c6ed637c58c5bb8b13c7bfbd490a75330f4b47f16e441c31f7184e140e494214d273fc80900aedee52ead87597fa824b3e56e82e451d4c2b4d&#13;&#10;32a423279a668bb6690c7e9956e90cfe766cb37b077538abd27a8b1cba48c80acc2a841f12e698f13a9e281c57911ce298950d7e03aba84ac8c154f8655c4f2a&#13;&#10;f074481847bd804859b5e696007d4b4edfc150b12addbecba6b18b148a1e54d1bc81392f23b7f84137c2715a851dd0242a633f900710a218ed715505dfe56e86&#13;&#10;e877f0034e16bafb0e258ebb4faf06b769e888340b103d331115bebc4eb813bf83291b63624a0d1475a756c734f9bbc2cd28546ecbe1e20a3794ca175f3fae90&#13;&#10;fb6d2dd99bb07b55e5ccf68942bd0877b23c77b908e8db5f9db7f024d9239010f35bd4bbe2fcae387bfff9e2bc289f2fbe24cfaa301468dd8bd846dbb4ddf1c2&#13;&#10;ae7b4c191ba8292337a469bc25ec3d411f06f53a73e224c5292c8de0516732307070a1c0660d125c7d44553488700a4d7bddd3444299910e254ab984c3a219ae&#13;&#10;a4adf1d0f82b7bd46cea4388ad1c12ab5d1ed8e1153d9c9f350a3246aad01c6873462b9ac05999ad5cc988826eafc3acae853a33b7ba11cd1445875ba1b236b1&#13;&#10;399483c90bd560b0b0263435085a21b0f22a9cf9356b38ec6046026d77eba3dc2dc60b17e92219e180643ed27acffba86e9c94c7ca9c225a0f1b0cfae0788ad5&#13;&#10;4adc5a9aec1b703b8b93caec1a0bd8e5de7b132fe5113cf312503b998e2c2927274bd051db6b35979b1ef271daf6c6704e86c73805af4bdd476216c26593af84&#13;&#10;0dfb5393d964f9cc9bad5c313709ea70f561ed3ea7b053075221d51696910d0d339585004b34272bff7213cc7a510a5454a3b349b1b206c1f0af490176745d4b&#13;&#10;c663e2abb2b34b23da76f6352ba57ca2881844c1111ab189d8c7e07e1daaa04f40255c77988aa05fe06e4e5bdb4cb9c5394bbaf28d98c1d971ccd20867e556a7&#13;&#10;689ec9166e0a522183792b8907ba55ca6e943bbf2a26e52f48957218ffcf54d1fb09dc3eac04da033e5c0d0b8c74a6b43d2e54c4a10aa511f5fb021a07533b20&#13;&#10;5ae07e17a621a8e082dafc17e450ffb739676998b48643a4daa7211214f623150942f6a02c99e83b85583ddbbb2c4996113211551257a656ec1139246ca86be0&#13;&#10;aadedb3d1441a89b6a929501833b197fee7b9641a3503739e57c732a59b1f7da1cf8a73b1f9bcca0945b874d4393dbbf10b1680f66bbaa5d6f96e77b6f59113d&#13;&#10;316bb31a795600b3d256d0cad2fe354538e7566b2bd69cc6cbcd5c38f0e2bcc63058344429dc2121fd07f63f2a7c66bf76e80d75c8f7a1b622f878a18941d840&#13;&#10;545fb28d07d205d20e8ea071b283369834296bdaac75d256cb37eb0bee740bbe278cad253b8bbfcf69eca23973d939b97891c6ce2cecd8da8e2d343578f6648a&#13;&#10;c2d0383fc818c798cf64e52f597c740f1cbd05df0c264c49134cf09d4a60e8a107260f20f92d47b374e32f000000ffff0300504b030414000600080000002100&#13;&#10;0dd1909fb60000001b010000270000007468656d652f7468656d652f5f72656c732f7468656d654d616e616765722e786d6c2e72656c73848f4d0ac2301484f7&#13;&#10;8277086f6fd3ba109126dd88d0add40384e4350d363f2451eced0dae2c082e8761be9969bb979dc9136332de3168aa1a083ae995719ac16db8ec8e4052164e89&#13;&#10;d93b64b060828e6f37ed1567914b284d262452282e3198720e274a939cd08a54f980ae38a38f56e422a3a641c8bbd048f7757da0f19b017cc524bd62107bd500&#13;&#10;1996509affb3fd381a89672f1f165dfe514173d9850528a2c6cce0239baa4c04ca5bbabac4df000000ffff0300504b01022d0014000600080000002100e9de0f&#13;&#10;bfff0000001c0200001300000000000000000000000000000000005b436f6e74656e745f54797065735d2e786d6c504b01022d0014000600080000002100a5d6&#13;&#10;a7e7c0000000360100000b00000000000000000000000000300100005f72656c732f2e72656c73504b01022d00140006000800000021006b799616830000008a&#13;&#10;0000001c00000000000000000000000000190200007468656d652f7468656d652f7468656d654d616e616765722e786d6c504b01022d00140006000800000021&#13;&#10;0030dd4329a8060000a41b00001600000000000000000000000000d60200007468656d652f7468656d652f7468656d65312e786d6c504b01022d001400060008&#13;&#10;00000021000dd1909fb60000001b0100002700000000000000000000000000b20900007468656d652f7468656d652f5f72656c732f7468656d654d616e616765722e786d6c2e72656c73504b050600000000050005005d010000ad0a00000000}&#13;&#10;{\*\colorschememapping 3c3f786d6c2076657273696f6e3d22312e302220656e636f64696e673d225554462d3822207374616e64616c6f6e653d22796573223f3e0d0a3c613a636c724d&#13;&#10;617020786d6c6e733a613d22687474703a2f2f736368656d61732e6f70656e786d6c666f726d6174732e6f72672f64726177696e676d6c2f323030362f6d6169&#13;&#10;6e22206267313d226c743122207478313d22646b3122206267323d226c743222207478323d22646b322220616363656e74313d22616363656e74312220616363&#13;&#10;656e74323d22616363656e74322220616363656e74333d22616363656e74332220616363656e74343d22616363656e74342220616363656e74353d22616363656e74352220616363656e74363d22616363656e74362220686c696e6b3d22686c696e6b2220666f6c486c696e6b3d22666f6c486c696e6b222f3e}&#13;&#10;{\*\latentstyles\lsdstimax267\lsdlockeddef0\lsdsemihiddendef0\lsdunhideuseddef0\lsdqformatdef0\lsdprioritydef0{\lsdlockedexcept \lsdqformat1 \lsdlocked0 Normal;\lsdqformat1 \lsdlocked0 heading 1;&#13;&#10;\lsdsemihidden1 \lsdunhideused1 \lsdqformat1 \lsdlocked0 heading 2;\lsdsemihidden1 \lsdunhideused1 \lsdqformat1 \lsdlocked0 heading 3;\lsdsemihidden1 \lsdunhideused1 \lsdqformat1 \lsdlocked0 heading 4;&#13;&#10;\lsdsemihidden1 \lsdunhideused1 \lsdqformat1 \lsdlocked0 heading 5;\lsdsemihidden1 \lsdunhideused1 \lsdqformat1 \lsdlocked0 heading 6;\lsdsemihidden1 \lsdunhideused1 \lsdqformat1 \lsdlocked0 heading 7;&#13;&#10;\lsdsemihidden1 \lsdunhideused1 \lsdqformat1 \lsdlocked0 heading 8;\lsdsemihidden1 \lsdunhideused1 \lsdqformat1 \lsdlocked0 heading 9;\lsdsemihidden1 \lsdunhideused1 \lsdqformat1 \lsdlocked0 caption;\lsdqformat1 \lsdlocked0 Title;&#13;&#10;\lsdqformat1 \lsdlocked0 Subtitle;\lsdqformat1 \lsdlocked0 Strong;\lsdqformat1 \lsdlocked0 Emphasis;\lsdsemihidden1 \lsdpriority99 \lsdlocked0 Placeholder Text;\lsdqformat1 \lsdpriority1 \lsdlocked0 No Spacing;\lsdpriority60 \lsdlocked0 Light Shading;&#13;&#10;\lsdpriority61 \lsdlocked0 Light List;\lsdpriority62 \lsdlocked0 Light Grid;\lsdpriority63 \lsdlocked0 Medium Shading 1;\lsdpriority64 \lsdlocked0 Medium Shading 2;\lsdpriority65 \lsdlocked0 Medium List 1;\lsdpriority66 \lsdlocked0 Medium List 2;&#13;&#10;\lsdpriority67 \lsdlocked0 Medium Grid 1;\lsdpriority68 \lsdlocked0 Medium Grid 2;\lsdpriority69 \lsdlocked0 Medium Grid 3;\lsdpriority70 \lsdlocked0 Dark List;\lsdpriority71 \lsdlocked0 Colorful Shading;\lsdpriority72 \lsdlocked0 Colorful List;&#13;&#10;\lsdpriority73 \lsdlocked0 Colorful Grid;\lsdpriority60 \lsdlocked0 Light Shading Accent 1;\lsdpriority61 \lsdlocked0 Light List Accent 1;\lsdpriority62 \lsdlocked0 Light Grid Accent 1;\lsdpriority63 \lsdlocked0 Medium Shading 1 Accent 1;&#13;&#10;\lsdpriority64 \lsdlocked0 Medium Shading 2 Accent 1;\lsdpriority65 \lsdlocked0 Medium List 1 Accent 1;\lsdsemihidden1 \lsdpriority99 \lsdlocked0 Revision;\lsdqformat1 \lsdpriority34 \lsdlocked0 List Paragraph;&#13;&#10;\lsdqformat1 \lsdpriority29 \lsdlocked0 Quote;\lsdqformat1 \lsdpriority30 \lsdlocked0 Intense Quote;\lsdpriority66 \lsdlocked0 Medium List 2 Accent 1;\lsdpriority67 \lsdlocked0 Medium Grid 1 Accent 1;\lsdpriority68 \lsdlocked0 Medium Grid 2 Accent 1;&#13;&#10;\lsdpriority69 \lsdlocked0 Medium Grid 3 Accent 1;\lsdpriority70 \lsdlocked0 Dark List Accent 1;\lsdpriority71 \lsdlocked0 Colorful Shading Accent 1;\lsdpriority72 \lsdlocked0 Colorful List Accent 1;\lsdpriority73 \lsdlocked0 Colorful Grid Accent 1;&#13;&#10;\lsdpriority60 \lsdlocked0 Light Shading Accent 2;\lsdpriority61 \lsdlocked0 Light List Accent 2;\lsdpriority62 \lsdlocked0 Light Grid Accent 2;\lsdpriority63 \lsdlocked0 Medium Shading 1 Accent 2;\lsdpriority64 \lsdlocked0 Medium Shading 2 Accent 2;&#13;&#10;\lsdpriority65 \lsdlocked0 Medium List 1 Accent 2;\lsdpriority66 \lsdlocked0 Medium List 2 Accent 2;\lsdpriority67 \lsdlocked0 Medium Grid 1 Accent 2;\lsdpriority68 \lsdlocked0 Medium Grid 2 Accent 2;\lsdpriority69 \lsdlocked0 Medium Grid 3 Accent 2;&#13;&#10;\lsdpriority70 \lsdlocked0 Dark List Accent 2;\lsdpriority71 \lsdlocked0 Colorful Shading Accent 2;\lsdpriority72 \lsdlocked0 Colorful List Accent 2;\lsdpriority73 \lsdlocked0 Colorful Grid Accent 2;\lsdpriority60 \lsdlocked0 Light Shading Accent 3;&#13;&#10;\lsdpriority61 \lsdlocked0 Light List Accent 3;\lsdpriority62 \lsdlocked0 Light Grid Accent 3;\lsdpriority63 \lsdlocked0 Medium Shading 1 Accent 3;\lsdpriority64 \lsdlocked0 Medium Shading 2 Accent 3;\lsdpriority65 \lsdlocked0 Medium List 1 Accent 3;&#13;&#10;\lsdpriority66 \lsdlocked0 Medium List 2 Accent 3;\lsdpriority67 \lsdlocked0 Medium Grid 1 Accent 3;\lsdpriority68 \lsdlocked0 Medium Grid 2 Accent 3;\lsdpriority69 \lsdlocked0 Medium Grid 3 Accent 3;\lsdpriority70 \lsdlocked0 Dark List Accent 3;&#13;&#10;\lsdpriority71 \lsdlocked0 Colorful Shading Accent 3;\lsdpriority72 \lsdlocked0 Colorful List Accent 3;\lsdpriority73 \lsdlocked0 Colorful Grid Accent 3;\lsdpriority60 \lsdlocked0 Light Shading Accent 4;\lsdpriority61 \lsdlocked0 Light List Accent 4;&#13;&#10;\lsdpriority62 \lsdlocked0 Light Grid Accent 4;\lsdpriority63 \lsdlocked0 Medium Shading 1 Accent 4;\lsdpriority64 \lsdlocked0 Medium Shading 2 Accent 4;\lsdpriority65 \lsdlocked0 Medium List 1 Accent 4;\lsdpriority66 \lsdlocked0 Medium List 2 Accent 4;&#13;&#10;\lsdpriority67 \lsdlocked0 Medium Grid 1 Accent 4;\lsdpriority68 \lsdlocked0 Medium Grid 2 Accent 4;\lsdpriority69 \lsdlocked0 Medium Grid 3 Accent 4;\lsdpriority70 \lsdlocked0 Dark List Accent 4;\lsdpriority71 \lsdlocked0 Colorful Shading Accent 4;&#13;&#10;\lsdpriority72 \lsdlocked0 Colorful List Accent 4;\lsdpriority73 \lsdlocked0 Colorful Grid Accent 4;\lsdpriority60 \lsdlocked0 Light Shading Accent 5;\lsdpriority61 \lsdlocked0 Light List Accent 5;\lsdpriority62 \lsdlocked0 Light Grid Accent 5;&#13;&#10;\lsdpriority63 \lsdlocked0 Medium Shading 1 Accent 5;\lsdpriority64 \lsdlocked0 Medium Shading 2 Accent 5;\lsdpriority65 \lsdlocked0 Medium List 1 Accent 5;\lsdpriority66 \lsdlocked0 Medium List 2 Accent 5;&#13;&#10;\lsdpriority67 \lsdlocked0 Medium Grid 1 Accent 5;\lsdpriority68 \lsdlocked0 Medium Grid 2 Accent 5;\lsdpriority69 \lsdlocked0 Medium Grid 3 Accent 5;\lsdpriority70 \lsdlocked0 Dark List Accent 5;\lsdpriority71 \lsdlocked0 Colorful Shading Accent 5;&#13;&#10;\lsdpriority72 \lsdlocked0 Colorful List Accent 5;\lsdpriority73 \lsdlocked0 Colorful Grid Accent 5;\lsdpriority60 \lsdlocked0 Light Shading Accent 6;\lsdpriority61 \lsdlocked0 Light List Accent 6;\lsdpriority62 \lsdlocked0 Light Grid Accent 6;&#13;&#10;\lsdpriority63 \lsdlocked0 Medium Shading 1 Accent 6;\lsdpriority64 \lsdlocked0 Medium Shading 2 Accent 6;\lsdpriority65 \lsdlocked0 Medium List 1 Accent 6;\lsdpriority66 \lsdlocked0 Medium List 2 Accent 6;&#13;&#10;\lsdpriority67 \lsdlocked0 Medium Grid 1 Accent 6;\lsdpriority68 \lsdlocked0 Medium Grid 2 Accent 6;\lsdpriority69 \lsdlocked0 Medium Grid 3 Accent 6;\lsdpriority70 \lsdlocked0 Dark List Accent 6;\lsdpriority71 \lsdlocked0 Colorful Shading Accent 6;&#13;&#10;\lsdpriority72 \lsdlocked0 Colorful List Accent 6;\lsdpriority73 \lsdlocked0 Colorful Grid Accent 6;\lsdqformat1 \lsdpriority19 \lsdlocked0 Subtle Emphasis;\lsdqformat1 \lsdpriority21 \lsdlocked0 Intense Emphasis;&#13;&#10;\lsdqformat1 \lsdpriority31 \lsdlocked0 Subtle Reference;\lsdqformat1 \lsdpriority32 \lsdlocked0 Intense Reference;\lsdqformat1 \lsdpriority33 \lsdlocked0 Book Title;\lsdsemihidden1 \lsdunhideused1 \lsdpriority37 \lsdlocked0 Bibliography;&#13;&#10;\lsdsemihidden1 \lsdunhideused1 \lsdqformat1 \lsdpriority39 \lsdlocked0 TOC Heading;}}{\*\datastore 0105000002000000180000004d73786d6c322e534158584d4c5265616465722e362e3000000000000000000000060000&#13;&#10;d0cf11e0a1b11ae1000000000000000000000000000000003e000300feff090006000000000000000000000001000000010000000000000000100000feffffff00000000feffffff0000000000000000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dfffffffe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52006f006f007400200045006e00740072007900000000000000000000000000000000000000000000000000000000000000000000000000000000000000000016000500ffffffffffffffffffffffff0c6ad98892f1d411a65f0040963251e5000000000000000000000000a09a&#13;&#10;bf219289d001feffffff00000000000000000000000000000000000000000000000000000000000000000000000000000000000000000000000000000000000000000000000000000000000000000000000000000000ffffffffffffffffffffffff00000000000000000000000000000000000000000000000000000000&#13;&#10;00000000000000000000000000000000000000000000000000000000000000000000000000000000000000000000000000000000000000000000000000000000000000000000000000000000000000000000000000000000ffffffffffffffffffffffff0000000000000000000000000000000000000000000000000000&#13;&#10;000000000000000000000000000000000000000000000000000000000000000000000000000000000000000000000000000000000000000000000000000000000000000000000000000000000000000000000000000000000000ffffffffffffffffffffffff000000000000000000000000000000000000000000000000&#13;&#10;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13;&#10;{\f34\fbidi \froman\fcharset0\fprq2{\*\panose 02040503050406030204}Cambria Math;}{\flomajor\f31500\fbidi \froman\fcharset0\fprq2{\*\panose 02020603050405020304}Times New Roman;}&#13;&#10;{\fdbmajor\f31501\fbidi \froman\fcharset0\fprq2{\*\panose 02020603050405020304}Times New Roman;}{\fhimajor\f31502\fbidi \froman\fcharset0\fprq2{\*\panose 02040503050406030204}Cambria;}&#13;&#10;{\fbimajor\f31503\fbidi \froman\fcharset0\fprq2{\*\panose 02020603050405020304}Times New Roman;}{\flominor\f31504\fbidi \froman\fcharset0\fprq2{\*\panose 02020603050405020304}Times New Roman;}&#13;&#10;{\fdbminor\f31505\fbidi \froman\fcharset0\fprq2{\*\panose 02020603050405020304}Times New Roman;}{\fhiminor\f31506\fbidi \fswiss\fcharset0\fprq2{\*\panose 020f0502020204030204}Calibri;}&#13;&#10;{\fbiminor\f31507\fbidi \froman\fcharset0\fprq2{\*\panose 02020603050405020304}Times New Roman;}{\f42\fbidi \froman\fcharset238\fprq2 Times New Roman CE;}{\f43\fbidi \froman\fcharset204\fprq2 Times New Roman Cyr;}&#13;&#10;{\f45\fbidi \froman\fcharset161\fprq2 Times New Roman Greek;}{\f46\fbidi \froman\fcharset162\fprq2 Times New Roman Tur;}{\f47\fbidi \froman\fcharset177\fprq2 Times New Roman (Hebrew);}{\f48\fbidi \froman\fcharset178\fprq2 Times New Roman (Arabic);}&#13;&#10;{\f49\fbidi \froman\fcharset186\fprq2 Times New Roman Baltic;}{\f50\fbidi \froman\fcharset163\fprq2 Times New Roman (Vietnamese);}{\f52\fbidi \fswiss\fcharset238\fprq2 Arial CE;}{\f53\fbidi \fswiss\fcharset204\fprq2 Arial Cyr;}&#13;&#10;{\f55\fbidi \fswiss\fcharset161\fprq2 Arial Greek;}{\f56\fbidi \fswiss\fcharset162\fprq2 Arial Tur;}{\f57\fbidi \fswiss\fcharset177\fprq2 Arial (Hebrew);}{\f58\fbidi \fswiss\fcharset178\fprq2 Arial (Arabic);}&#13;&#10;{\f59\fbidi \fswiss\fcharset186\fprq2 Arial Baltic;}{\f60\fbidi \fswiss\fcharset163\fprq2 Arial (Vietnamese);}{\f382\fbidi \froman\fcharset238\fprq2 Cambria Math CE;}{\f383\fbidi \froman\fcharset204\fprq2 Cambria Math Cyr;}&#13;&#10;{\f385\fbidi \froman\fcharset161\fprq2 Cambria Math Greek;}{\f386\fbidi \froman\fcharset162\fprq2 Cambria Math Tur;}{\f389\fbidi \froman\fcharset186\fprq2 Cambria Math Baltic;}{\f390\fbidi \froman\fcharset163\fprq2 Cambria Math (Vietnamese);}&#13;&#10;{\flomajor\f31508\fbidi \froman\fcharset238\fprq2 Times New Roman CE;}{\flomajor\f31509\fbidi \froman\fcharset204\fprq2 Times New Roman Cyr;}{\flomajor\f31511\fbidi \froman\fcharset161\fprq2 Times New Roman Greek;}&#13;&#10;{\flomajor\f31512\fbidi \froman\fcharset162\fprq2 Times New Roman Tur;}{\flomajor\f31513\fbidi \froman\fcharset177\fprq2 Times New Roman (Hebrew);}{\flomajor\f31514\fbidi \froman\fcharset178\fprq2 Times New Roman (Arabic);}&#13;&#10;{\flomajor\f31515\fbidi \froman\fcharset186\fprq2 Times New Roman Baltic;}{\flomajor\f31516\fbidi \froman\fcharset163\fprq2 Times New Roman (Vietnamese);}{\fdbmajor\f31518\fbidi \froman\fcharset238\fprq2 Times New Roman CE;}&#13;&#10;{\fdbmajor\f31519\fbidi \froman\fcharset204\fprq2 Times New Roman Cyr;}{\fdbmajor\f31521\fbidi \froman\fcharset161\fprq2 Times New Roman Greek;}{\fdbmajor\f31522\fbidi \froman\fcharset162\fprq2 Times New Roman Tur;}&#13;&#10;{\fdbmajor\f31523\fbidi \froman\fcharset177\fprq2 Times New Roman (Hebrew);}{\fdbmajor\f31524\fbidi \froman\fcharset178\fprq2 Times New Roman (Arabic);}{\fdbmajor\f31525\fbidi \froman\fcharset186\fprq2 Times New Roman Baltic;}&#13;&#10;{\fdbmajor\f31526\fbidi \froman\fcharset163\fprq2 Times New Roman (Vietnamese);}{\fhimajor\f31528\fbidi \froman\fcharset238\fprq2 Cambria CE;}{\fhimajor\f31529\fbidi \froman\fcharset204\fprq2 Cambria Cyr;}&#13;&#10;{\fhimajor\f31531\fbidi \froman\fcharset161\fprq2 Cambria Greek;}{\fhimajor\f31532\fbidi \froman\fcharset162\fprq2 Cambria Tur;}{\fhimajor\f31535\fbidi \froman\fcharset186\fprq2 Cambria Baltic;}&#13;&#10;{\fhimajor\f31536\fbidi \froman\fcharset163\fprq2 Cambria (Vietnamese);}{\fbimajor\f31538\fbidi \froman\fcharset238\fprq2 Times New Roman CE;}{\fbimajor\f31539\fbidi \froman\fcharset204\fprq2 Times New Roman Cyr;}&#13;&#10;{\fbimajor\f31541\fbidi \froman\fcharset161\fprq2 Times New Roman Greek;}{\fbimajor\f31542\fbidi \froman\fcharset162\fprq2 Times New Roman Tur;}{\fbimajor\f31543\fbidi \froman\fcharset177\fprq2 Times New Roman (Hebrew);}&#13;&#10;{\fbimajor\f31544\fbidi \froman\fcharset178\fprq2 Times New Roman (Arabic);}{\fbimajor\f31545\fbidi \froman\fcharset186\fprq2 Times New Roman Baltic;}{\fbimajor\f31546\fbidi \froman\fcharset163\fprq2 Times New Roman (Vietnamese);}&#13;&#10;{\flominor\f31548\fbidi \froman\fcharset238\fprq2 Times New Roman CE;}{\flominor\f31549\fbidi \froman\fcharset204\fprq2 Times New Roman Cyr;}{\flominor\f31551\fbidi \froman\fcharset161\fprq2 Times New Roman Greek;}&#13;&#10;{\flominor\f31552\fbidi \froman\fcharset162\fprq2 Times New Roman Tur;}{\flominor\f31553\fbidi \froman\fcharset177\fprq2 Times New Roman (Hebrew);}{\flominor\f31554\fbidi \froman\fcharset178\fprq2 Times New Roman (Arabic);}&#13;&#10;{\flominor\f31555\fbidi \froman\fcharset186\fprq2 Times New Roman Baltic;}{\flominor\f31556\fbidi \froman\fcharset163\fprq2 Times New Roman (Vietnamese);}{\fdbminor\f31558\fbidi \froman\fcharset238\fprq2 Times New Roman CE;}&#13;&#10;{\fdbminor\f31559\fbidi \froman\fcharset204\fprq2 Times New Roman Cyr;}{\fdbminor\f31561\fbidi \froman\fcharset161\fprq2 Times New Roman Greek;}{\fdbminor\f31562\fbidi \froman\fcharset162\fprq2 Times New Roman Tur;}&#13;&#10;{\fdbminor\f31563\fbidi \froman\fcharset177\fprq2 Times New Roman (Hebrew);}{\fdbminor\f31564\fbidi \froman\fcharset178\fprq2 Times New Roman (Arabic);}{\fdbminor\f31565\fbidi \froman\fcharset186\fprq2 Times New Roman Baltic;}&#13;&#10;{\fdbminor\f31566\fbidi \froman\fcharset163\fprq2 Times New Roman (Vietnamese);}{\fhiminor\f31568\fbidi \fswiss\fcharset238\fprq2 Calibri CE;}{\fhiminor\f31569\fbidi \fswiss\fcharset204\fprq2 Calibri Cyr;}&#13;&#10;{\fhiminor\f31571\fbidi \fswiss\fcharset161\fprq2 Calibri Greek;}{\fhiminor\f31572\fbidi \fswiss\fcharset162\fprq2 Calibri Tur;}{\fhiminor\f31575\fbidi \fswiss\fcharset186\fprq2 Calibri Baltic;}&#13;&#10;{\fhiminor\f31576\fbidi \fswiss\fcharset163\fprq2 Calibri (Vietnamese);}{\fbiminor\f31578\fbidi \froman\fcharset238\fprq2 Times New Roman CE;}{\fbiminor\f31579\fbidi \froman\fcharset204\fprq2 Times New Roman Cyr;}&#13;&#10;{\fbiminor\f31581\fbidi \froman\fcharset161\fprq2 Times New Roman Greek;}{\fbiminor\f31582\fbidi \froman\fcharset162\fprq2 Times New Roman Tur;}{\fbiminor\f31583\fbidi \froman\fcharset177\fprq2 Times New Roman (Hebrew);}&#13;&#10;{\fbiminor\f31584\fbidi \froman\fcharset178\fprq2 Times New Roman (Arabic);}{\fbiminor\f31585\fbidi \froman\fcharset186\fprq2 Times New Roman Baltic;}{\fbiminor\f31586\fbidi \froman\fcharset163\fprq2 Times New Roman (Vietnamese);}}&#13;&#10;{\colortbl;\red0\green0\blue0;\red0\green0\blue255;\red0\green255\blue255;\red0\green255\blue0;\red255\green0\blue255;\red255\green0\blue0;\red255\green255\blue0;\red255\green255\blue255;\red0\green0\blue128;\red0\green128\blue128;\red0\green128\blue0;&#13;&#10;\red128\green0\blue128;\red128\green0\blue0;\red128\green128\blue0;\red128\green128\blue128;\red192\green192\blue192;}{\*\defchp }{\*\defpap \ql \li0\ri0\widctlpar\wrapdefault\aspalpha\aspnum\faauto\adjustright\rin0\lin0\itap0 }\noqfpromote {\stylesheet{&#13;&#10;\ql \li0\ri0\widctlpar\wrapdefault\aspalpha\aspnum\faauto\adjustright\rin0\lin0\itap0 \rtlch\fcs1 \af0\afs20\alang1025 \ltrch\fcs0 \fs24\lang2057\langfe2057\cgrid\langnp2057\langfenp2057 \snext0 \sqformat \spriority0 Normal;}{\*\cs10 \additive &#13;&#10;\ssemihidden \spriority0 Default Paragraph Font;}{\*\ts11\tsrowd\trftsWidthB3\trpaddl108\trpaddr108\trpaddfl3\trpaddft3\trpaddfb3\trpaddfr3\tblind0\tblindtype3\tsvertalt\tsbrdrt\tsbrdrl\tsbrdrb\tsbrdrr\tsbrdrdgl\tsbrdrdgr\tsbrdrh\tsbrdrv &#13;&#10;\ql \li0\ri0\widctlpar\wrapdefault\aspalpha\aspnum\faauto\adjustright\rin0\lin0\itap0 \rtlch\fcs1 \af0\afs20\alang1025 \ltrch\fcs0 \fs20\lang1043\langfe1043\cgrid\langnp1043\langfenp1043 \snext11 \ssemihidden \spriority0 Normal Table;}{\*\cs15 \additive &#13;&#10;\v\f1\fs20\cf9\lang1024\langfe1024\noproof \spriority0 \styrsid2490866 HideTWBExt;}{\s16\ql \li0\ri0\sa120\nowidctlpar\wrapdefault\aspalpha\aspnum\faauto\adjustright\rin0\lin0\itap0 \rtlch\fcs1 \af0\afs20\alang1025 \ltrch\fcs0 &#13;&#10;\fs24\lang2057\langfe2057\cgrid\langnp2057\langfenp2057 \sbasedon0 \snext16 \slink17 \spriority0 \styrsid2490866 Normal6;}{\*\cs17 \additive \fs24\lang2057\langfe2057\langnp2057\langfenp2057 \slink16 \slocked \spriority0 \styrsid2490866 Normal6 Char;}{&#13;&#10;\s18\ql \li0\ri0\nowidctlpar\wrapdefault\aspalpha\aspnum\faauto\adjustright\rin0\lin0\itap0 \rtlch\fcs1 \af0\afs20\alang1025 \ltrch\fcs0 \b\fs24\lang2057\langfe2057\cgrid\langnp2057\langfenp2057 \sbasedon0 \snext18 \slink19 \spriority0 \styrsid2490866 &#13;&#10;NormalBold;}{\*\cs19 \additive \b\fs24\lang2057\langfe2057\langnp2057\langfenp2057 \slink18 \slocked \spriority0 \styrsid2490866 NormalBold Char;}{\s20\ql \li0\ri0\sa240\nowidctlpar\wrapdefault\aspalpha\aspnum\faauto\adjustright\rin0\lin0\itap0 &#13;&#10;\rtlch\fcs1 \af0\afs20\alang1025 \ltrch\fcs0 \i\fs24\lang1024\langfe1024\cgrid\noproof\langnp2057\langfenp2057 \sbasedon0 \snext20 \spriority0 \styrsid2490866 Normal12Italic;}{&#13;&#10;\s21\qc \li0\ri0\sb240\nowidctlpar\wrapdefault\aspalpha\aspnum\faauto\adjustright\rin0\lin0\itap0 \rtlch\fcs1 \af0\afs20\alang1025 \ltrch\fcs0 \i\fs24\lang2057\langfe2057\cgrid\langnp2057\langfenp2057 \sbasedon0 \snext21 \spriority0 \styrsid2490866 &#13;&#10;CrossRef;}{\s22\qc \li0\ri0\sb240\sa240\keepn\nowidctlpar\wrapdefault\aspalpha\aspnum\faauto\adjustright\rin0\lin0\itap0 \rtlch\fcs1 \af0\afs20\alang1025 \ltrch\fcs0 \i\fs24\lang1024\langfe1024\cgrid\noproof\langnp2057\langfenp2057 &#13;&#10;\sbasedon0 \snext0 \spriority0 \styrsid2490866 JustificationTitle;}{\s23\qr \li0\ri0\sb240\sa240\nowidctlpar\wrapdefault\aspalpha\aspnum\faauto\adjustright\rin0\lin0\itap0 \rtlch\fcs1 \af0\afs20\alang1025 \ltrch\fcs0 &#13;&#10;\fs24\lang1024\langfe1024\cgrid\noproof\langnp2057\langfenp2057 \sbasedon0 \snext23 \spriority0 \styrsid2490866 Olang;}{\s24\qc \li0\ri0\sa240\nowidctlpar\wrapdefault\aspalpha\aspnum\faauto\adjustright\rin0\lin0\itap0 \rtlch\fcs1 \af0\afs20\alang1025 &#13;&#10;\ltrch\fcs0 \i\fs24\lang2057\langfe2057\cgrid\langnp2057\langfenp2057 \sbasedon0 \snext24 \spriority0 \styrsid2490866 ColumnHeading;}{\s25\ql \li0\ri0\sb240\nowidctlpar&#13;&#10;\tx879\tx936\tx1021\tx1077\tx1134\tx1191\tx1247\tx1304\tx1361\tx1418\tx1474\tx1531\tx1588\tx1644\tx1701\tx1758\tx1814\tx1871\tx2070\tx2126\tx3374\tx3430\wrapdefault\aspalpha\aspnum\faauto\adjustright\rin0\lin0\itap0 \rtlch\fcs1 \af0\afs20\alang1025 &#13;&#10;\ltrch\fcs0 \b\fs24\lang2057\langfe2057\cgrid\langnp2057\langfenp2057 \sbasedon0 \snext25 \spriority0 \styrsid2490866 AMNumberTabs;}}{\*\rsidtbl \rsid24658\rsid735077\rsid2490866\rsid2892074\rsid4666813\rsid6641733\rsid7298627\rsid9636012\rsid11215221&#13;&#10;\rsid12154954\rsid14424199\rsid15204470\rsid15285974\rsid15950462\rsid16324206\rsid16662270}{\mmathPr\mmathFont34\mbrkBin0\mbrkBinSub0\msmallFrac0\mdispDef1\mlMargin0\mrMargin0\mdefJc1\mwrapIndent1440\mintLim0\mnaryLim1}{\info{\author FELIX Karina}&#13;&#10;{\operator FELIX Karina}{\creatim\yr2015\mo5\dy8\hr15\min23}{\revtim\yr2015\mo5\dy8\hr15\min23}{\version1}{\edmins0}{\nofpages1}{\nofwords80}{\nofchars445}{\*\company European Parliament}{\nofcharsws524}{\vern49165}}{\*\xmlnstbl {\xmlns1 http://schemas.mi&#13;&#10;crosoft.com/office/word/2003/wordml}}\paperw11906\paperh16838\margl1418\margr1418\margt1134\margb1418\gutter0\ltrsect &#13;&#10;\facingp\widowctrl\ftnbj\aenddoc\ftnrstpg\trackmoves0\trackformatting1\donotembedsysfont1\relyonvml0\donotembedlingdata0\grfdocevents0\validatexml1\showplaceholdtext0\ignoremixedcontent0\saveinvalidxml0&#13;&#10;\showxmlerrors1\margmirror\noxlattoyen\expshrtn\noultrlspc\dntblnsbdb\nospaceforul\formshade\horzdoc\dghspace180\dgvspace180\dghorigin1701\dgvorigin1984\dghshow0\dgvshow0&#13;&#10;\jexpand\viewkind1\viewscale90\pgbrdrhead\pgbrdrfoot\nolnhtadjtbl\nojkernpunct\rsidroot2490866\utinl \fet0{\*\wgrffmtfilter 013f}\ilfomacatclnup0{\*\template C:\\Users\\kfelix\\AppData\\Local\\Temp\\Blank1.dot}{\*\ftnsep \ltrpar \pard\plain \ltrpar&#13;&#10;\ql \li0\ri0\widctlpar\wrapdefault\aspalpha\aspnum\faauto\adjustright\rin0\lin0\itap0 \rtlch\fcs1 \af0\afs20\alang1025 \ltrch\fcs0 \fs24\lang2057\langfe2057\cgrid\langnp2057\langfenp2057 {\rtlch\fcs1 \af0 \ltrch\fcs0 \insrsid7298627 \chftnsep &#13;&#10;\par }}{\*\ftnsepc \ltrpar \pard\plain \ltrpar\ql \li0\ri0\widctlpar\wrapdefault\aspalpha\aspnum\faauto\adjustright\rin0\lin0\itap0 \rtlch\fcs1 \af0\afs20\alang1025 \ltrch\fcs0 \fs24\lang2057\langfe2057\cgrid\langnp2057\langfenp2057 {\rtlch\fcs1 \af0 &#13;&#10;\ltrch\fcs0 \insrsid7298627 \chftnsepc &#13;&#10;\par }}{\*\aftnsep \ltrpar \pard\plain \ltrpar\ql \li0\ri0\widctlpar\wrapdefault\aspalpha\aspnum\faauto\adjustright\rin0\lin0\itap0 \rtlch\fcs1 \af0\afs20\alang1025 \ltrch\fcs0 \fs24\lang2057\langfe2057\cgrid\langnp2057\langfenp2057 {\rtlch\fcs1 \af0 &#13;&#10;\ltrch\fcs0 \insrsid7298627 \chftnsep &#13;&#10;\par }}{\*\aftnsepc \ltrpar \pard\plain \ltrpar\ql \li0\ri0\widctlpar\wrapdefault\aspalpha\aspnum\faauto\adjustright\rin0\lin0\itap0 \rtlch\fcs1 \af0\afs20\alang1025 \ltrch\fcs0 \fs24\lang2057\langfe2057\cgrid\langnp2057\langfenp2057 {\rtlch\fcs1 \af0 &#13;&#10;\ltrch\fcs0 \insrsid7298627 \chftnsepc &#13;&#10;\par }}\ltrpar \sectd \ltrsect\psz9\linex0\headery1134\footery505\endnhere\titlepg\sectdefaultcl\sectrsid14424199\sftnbj\sftnrstpg {\*\pnseclvl1\pnucrm\pnstart1\pnindent720\pnhang {\pntxta .}}{\*\pnseclvl2\pnucltr\pnstart1\pnindent720\pnhang {\pntxta .}}&#13;&#10;{\*\pnseclvl3\pndec\pnstart1\pnindent720\pnhang {\pntxta .}}{\*\pnseclvl4\pnlcltr\pnstart1\pnindent720\pnhang {\pntxta )}}{\*\pnseclvl5\pndec\pnstart1\pnindent720\pnhang {\pntxtb (}{\pntxta )}}{\*\pnseclvl6\pnlcltr\pnstart1\pnindent720\pnhang {\pntxtb (}&#13;&#10;{\pntxta )}}{\*\pnseclvl7\pnlcrm\pnstart1\pnindent720\pnhang {\pntxtb (}{\pntxta )}}{\*\pnseclvl8\pnlcltr\pnstart1\pnindent720\pnhang {\pntxtb (}{\pntxta )}}{\*\pnseclvl9\pnlcrm\pnstart1\pnindent720\pnhang {\pntxtb (}{\pntxta )}}\pard\plain \ltrpar&#13;&#10;\s25\ql \li0\ri0\sb240\keepn\nowidctlpar\tx879\tx936\tx1021\tx1077\tx1134\tx1191\tx1247\tx1304\tx1361\tx1418\tx1474\tx1531\tx1588\tx1644\tx1701\tx1758\tx1814\tx1871\tx2070\tx2126\tx3374\tx3430\wrapdefault\aspalpha\aspnum\faauto\adjustright\rin0&#13;&#10;\lin0\itap0\pararsid3744759 \rtlch\fcs1 \af0\afs20\alang1025 \ltrch\fcs0 \b\fs24\lang2057\langfe2057\cgrid\langnp2057\langfenp2057 {\rtlch\fcs1 \af0 \ltrch\fcs0 \cs15\b0\v\f1\fs20\cf9\insrsid2490866\charrsid946740 {\*\bkmkstart restartB}&lt;AmendB&gt;}{&#13;&#10;\rtlch\fcs1 \af0 \ltrch\fcs0 \insrsid2490866\charrsid946740 [ZAMENDMENT]\tab \tab }{\rtlch\fcs1 \af0 \ltrch\fcs0 \cs15\b0\v\f1\fs20\cf9\insrsid2490866\charrsid946740 &lt;NumAmB&gt;}{\rtlch\fcs1 \af0 \ltrch\fcs0 \insrsid2490866\charrsid946740 [ZNRAM]}{&#13;&#10;\rtlch\fcs1 \af0 \ltrch\fcs0 \cs15\b0\v\f1\fs20\cf9\insrsid2490866\charrsid946740 &lt;/NumAmB&gt;}{\rtlch\fcs1 \af0 \ltrch\fcs0 \insrsid2490866\charrsid946740 &#13;&#10;\par }\pard\plain \ltrpar\s18\ql \li0\ri0\nowidctlpar\wrapdefault\aspalpha\aspnum\faauto\adjustright\rin0\lin0\itap0\pararsid5976803 \rtlch\fcs1 \af0\afs20\alang1025 \ltrch\fcs0 \b\fs24\lang2057\langfe2057\cgrid\langnp2057\langfenp2057 {\rtlch\fcs1 \af0 &#13;&#10;\ltrch\fcs0 \cs15\b0\v\f1\fs20\cf9\lang1024\langfe1024\noproof\insrsid2490866\charrsid14699840 &lt;RepeatBlock-By&gt;}{\rtlch\fcs1 \af0 \ltrch\fcs0 \lang1024\langfe1024\noproof\insrsid2490866\charrsid14699840 [RepeatMembers]}{\rtlch\fcs1 \af0 \ltrch\fcs0 &#13;&#10;\cs15\b0\v\f1\fs20\cf9\lang1024\langfe1024\noproof\insrsid2490866\charrsid14699840 &lt;Members&gt;}{\rtlch\fcs1 \af0 \ltrch\fcs0 \insrsid2490866\charrsid14699840 [ZMEMBERS]}{\rtlch\fcs1 \af0 \ltrch\fcs0 &#13;&#10;\cs15\b0\v\f1\fs20\cf9\lang1024\langfe1024\noproof\insrsid2490866\charrsid14699840 &lt;/Members&gt;}{\rtlch\fcs1 \af0 \ltrch\fcs0 \insrsid2490866\charrsid14699840 &#13;&#10;\par }\pard\plain \ltrpar\ql \li0\ri0\widctlpar\wrapdefault\aspalpha\aspnum\faauto\adjustright\rin0\lin0\itap0\pararsid5976803 \rtlch\fcs1 \af0\afs20\alang1025 \ltrch\fcs0 \fs24\lang2057\langfe2057\cgrid\langnp2057\langfenp2057 {\rtlch\fcs1 \af0 \ltrch\fcs0 &#13;&#10;\cs15\v\f1\fs20\cf9\lang1024\langfe1024\noproof\insrsid2490866\charrsid14699840 &lt;AuNomDe&gt;&lt;OptDel&gt;}{\rtlch\fcs1 \af0 \ltrch\fcs0 \lang1024\langfe1024\noproof\insrsid2490866\charrsid14699840 [ZONBEHALF]}{\rtlch\fcs1 \af0 \ltrch\fcs0 &#13;&#10;\cs15\v\f1\fs20\cf9\lang1024\langfe1024\noproof\insrsid2490866\charrsid14699840 &lt;/OptDel&gt;&lt;/AuNomDe&gt;}{\rtlch\fcs1 \af0 \ltrch\fcs0 \insrsid2490866\charrsid14699840 &#13;&#10;\par &lt;&lt;&lt;}{\rtlch\fcs1 \af0 \ltrch\fcs0 \cs15\v\f1\fs20\cf9\lang1024\langfe1024\noproof\insrsid2490866\charrsid14699840 &lt;/RepeatBlock-By&gt;}{\rtlch\fcs1 \af0 \ltrch\fcs0 \insrsid2490866\charrsid14699840 &#13;&#10;\par }\pard\plain \ltrpar\s18\ql \li0\ri0\nowidctlpar\wrapdefault\aspalpha\aspnum\faauto\adjustright\rin0\lin0\itap0\pararsid5976803 \rtlch\fcs1 \af0\afs20\alang1025 \ltrch\fcs0 \b\fs24\lang2057\langfe2057\cgrid\langnp2057\langfenp2057 {\rtlch\fcs1 \af0 &#13;&#10;\ltrch\fcs0 \cs15\b0\v\f1\fs20\cf9\insrsid2490866\charrsid946740 &lt;DocAmend&gt;}{\rtlch\fcs1 \af0 \ltrch\fcs0 \insrsid2490866\charrsid946740 [Z}{\rtlch\fcs1 \af0 \ltrch\fcs0 \insrsid2490866 AMDOC}{\rtlch\fcs1 \af0 \ltrch\fcs0 \insrsid2490866\charrsid946740 ]}&#13;&#10;{\rtlch\fcs1 \af0 \ltrch\fcs0 \cs15\b0\v\f1\fs20\cf9\insrsid2490866\charrsid946740 &lt;/DocAmend&gt;}{\rtlch\fcs1 \af0 \ltrch\fcs0 \insrsid2490866\charrsid946740 &#13;&#10;\par }\pard \ltrpar\s18\ql \li0\ri0\keepn\nowidctlpar\wrapdefault\aspalpha\aspnum\faauto\adjustright\rin0\lin0\itap0\pararsid10630121 {\rtlch\fcs1 \af0 \ltrch\fcs0 \cs15\b0\v\f1\fs20\cf9\insrsid2490866\charrsid946740 &lt;Article&gt;}{\rtlch\fcs1 \af0 \ltrch\fcs0 &#13;&#10;\insrsid2490866\charrsid946740 [ZAMPART]}{\rtlch\fcs1 \af0 \ltrch\fcs0 \cs15\b0\v\f1\fs20\cf9\insrsid2490866\charrsid946740 &lt;/Article&gt;}{\rtlch\fcs1 \af0 \ltrch\fcs0 \insrsid2490866\charrsid946740 &#13;&#10;\par }\pard\plain \ltrpar\ql \li0\ri0\keepn\widctlpar\wrapdefault\aspalpha\aspnum\faauto\adjustright\rin0\lin0\itap0\pararsid3744759 \rtlch\fcs1 \af0\afs20\alang1025 \ltrch\fcs0 \fs24\lang2057\langfe2057\cgrid\langnp2057\langfenp2057 {\rtlch\fcs1 \af0 &#13;&#10;\ltrch\fcs0 \cs15\v\f1\fs20\cf9\insrsid2490866\charrsid946740 &lt;DocAmend2&gt;&lt;OptDel&gt;}{\rtlch\fcs1 \af0 \ltrch\fcs0 \insrsid2490866\charrsid946740 [ZNRACT]}{\rtlch\fcs1 \af0 \ltrch\fcs0 \cs15\v\f1\fs20\cf9\insrsid2490866\charrsid946740 &lt;/OptDel&gt;&lt;/DocAmend2&gt;}{&#13;&#10;\rtlch\fcs1 \af0 \ltrch\fcs0 \insrsid2490866\charrsid946740 &#13;&#10;\par }\pard \ltrpar\ql \li0\ri0\widctlpar\wrapdefault\aspalpha\aspnum\faauto\adjustright\rin0\lin0\itap0\pararsid10158853 {\rtlch\fcs1 \af0 \ltrch\fcs0 \cs15\v\f1\fs20\cf9\insrsid2490866\charrsid946740 &lt;Article2&gt;&lt;OptDel&gt;}{\rtlch\fcs1 \af0 \ltrch\fcs0 &#13;&#10;\insrsid2490866\charrsid946740 [ZACTPART]}{\rtlch\fcs1 \af0 \ltrch\fcs0 \cs15\v\f1\fs20\cf9\insrsid2490866\charrsid946740 &lt;/OptDel&gt;&lt;/Article2&gt;}{\rtlch\fcs1 \af0 \ltrch\fcs0 \insrsid2490866\charrsid946740 &#13;&#10;\par \ltrrow}\trowd \ltrrow\ts11\trqc\trgaph340\trleft-340\trftsWidth3\trwWidth9752\trftsWidthB3\trftsWidthA3\trpaddl340\trpaddr340\trpaddfl3\trpaddfr3\tblind0\tblindtype3 \clvertalt\clbrdrt\brdrtbl \clbrdrl\brdrtbl \clbrdrb\brdrtbl \clbrdrr\brdrtbl &#13;&#10;\cltxlrtb\clftsWidth3\clwWidth9752\clshdrawnil \cellx9412\pard \ltrpar\ql \li0\ri0\keepn\widctlpar\intbl\wrapdefault\aspalpha\aspnum\faauto\adjustright\rin0\lin0\pararsid10630121 {\rtlch\fcs1 \af0 \ltrch\fcs0 \insrsid2490866\charrsid946740 \cell &#13;&#10;}\pard \ltrpar\ql \li0\ri0\widctlpar\intbl\wrapdefault\aspalpha\aspnum\faauto\adjustright\rin0\lin0 {\rtlch\fcs1 \af0 \ltrch\fcs0 \insrsid2490866\charrsid946740 \trowd \ltrrow&#13;&#10;\ts11\trqc\trgaph340\trleft-340\trftsWidth3\trwWidth9752\trftsWidthB3\trftsWidthA3\trpaddl340\trpaddr340\trpaddfl3\trpaddfr3\tblind0\tblindtype3 \clvertalt\clbrdrt\brdrtbl \clbrdrl\brdrtbl \clbrdrb\brdrtbl \clbrdrr\brdrtbl &#13;&#10;\cltxlrtb\clftsWidth3\clwWidth9752\clshdrawnil \cellx9412\row \ltrrow}\trowd \ltrrow\ts11\trqc\trgaph340\trleft-340\trftsWidth3\trwWidth9752\trftsWidthB3\trftsWidthA3\trpaddl340\trpaddr340\trpaddfl3\trpaddfr3\tblind0\tblindtype3 \clvertalt\clbrdrt&#13;&#10;\brdrtbl \clbrdrl\brdrtbl \clbrdrb\brdrtbl \clbrdrr\brdrtbl \cltxlrtb\clftsWidth3\clwWidth4876\clshdrawnil \cellx4536\clvertalt\clbrdrt\brdrtbl \clbrdrl\brdrtbl \clbrdrb\brdrtbl \clbrdrr\brdrtbl \cltxlrtb\clftsWidth3\clwWidth4876\clshdrawnil \cellx9412&#13;&#10;\pard\plain \ltrpar\s24\qc \li0\ri0\sa240\keepn\nowidctlpar\intbl\wrapdefault\aspalpha\aspnum\faauto\adjustright\rin0\lin0\pararsid10630121 \rtlch\fcs1 \af0\afs20\alang1025 \ltrch\fcs0 \i\fs24\lang2057\langfe2057\cgrid\langnp2057\langfenp2057 {&#13;&#10;\rtlch\fcs1 \af0 \ltrch\fcs0 \insrsid2490866\charrsid946740 [ZLEFTB]\cell [ZRIGHT]\cell }\pard\plain \ltrpar\ql \li0\ri0\widctlpar\intbl\wrapdefault\aspalpha\aspnum\faauto\adjustright\rin0\lin0 \rtlch\fcs1 \af0\afs20\alang1025 \ltrch\fcs0 &#13;&#10;\fs24\lang2057\langfe2057\cgrid\langnp2057\langfenp2057 {\rtlch\fcs1 \af0 \ltrch\fcs0 \insrsid2490866\charrsid946740 \trowd \ltrrow&#13;&#10;\ts11\trqc\trgaph340\trleft-340\trftsWidth3\trwWidth9752\trftsWidthB3\trftsWidthA3\trpaddl340\trpaddr340\trpaddfl3\trpaddfr3\tblind0\tblindtype3 \clvertalt\clbrdrt\brdrtbl \clbrdrl\brdrtbl \clbrdrb\brdrtbl \clbrdrr\brdrtbl &#13;&#10;\cltxlrtb\clftsWidth3\clwWidth4876\clshdrawnil \cellx4536\clvertalt\clbrdrt\brdrtbl \clbrdrl\brdrtbl \clbrdrb\brdrtbl \clbrdrr\brdrtbl \cltxlrtb\clftsWidth3\clwWidth4876\clshdrawnil \cellx9412\row \ltrrow}\pard\plain \ltrpar&#13;&#10;\s16\ql \li0\ri0\sa120\nowidctlpar\intbl\wrapdefault\aspalpha\aspnum\faauto\adjustright\rin0\lin0\pararsid12024389 \rtlch\fcs1 \af0\afs20\alang1025 \ltrch\fcs0 \fs24\lang2057\langfe2057\cgrid\langnp2057\langfenp2057 {\rtlch\fcs1 \af0 \ltrch\fcs0 &#13;&#10;\insrsid2490866\charrsid946740 [ZTEXTL]\cell [ZTEXTR]}{\rtlch\fcs1 \af0\afs24 \ltrch\fcs0 \insrsid2490866\charrsid946740 \cell }\pard\plain \ltrpar\ql \li0\ri0\widctlpar\intbl\wrapdefault\aspalpha\aspnum\faauto\adjustright\rin0\lin0 \rtlch\fcs1 &#13;&#10;\af0\afs20\alang1025 \ltrch\fcs0 \fs24\lang2057\langfe2057\cgrid\langnp2057\langfenp2057 {\rtlch\fcs1 \af0 \ltrch\fcs0 \insrsid2490866\charrsid946740 \trowd \lastrow \ltrrow&#13;&#10;\ts11\trqc\trgaph340\trleft-340\trftsWidth3\trwWidth9752\trftsWidthB3\trftsWidthA3\trpaddl340\trpaddr340\trpaddfl3\trpaddfr3\tblind0\tblindtype3 \clvertalt\clbrdrt\brdrtbl \clbrdrl\brdrtbl \clbrdrb\brdrtbl \clbrdrr\brdrtbl &#13;&#10;\cltxlrtb\clftsWidth3\clwWidth4876\clshdrawnil \cellx4536\clvertalt\clbrdrt\brdrtbl \clbrdrl\brdrtbl \clbrdrb\brdrtbl \clbrdrr\brdrtbl \cltxlrtb\clftsWidth3\clwWidth4876\clshdrawnil \cellx9412\row }\pard\plain \ltrpar&#13;&#10;\s23\qr \li0\ri0\sb240\sa240\nowidctlpar\wrapdefault\aspalpha\aspnum\faauto\adjustright\rin0\lin0\itap0\pararsid16390444 \rtlch\fcs1 \af0\afs20\alang1025 \ltrch\fcs0 \fs24\lang1024\langfe1024\cgrid\noproof\langnp2057\langfenp2057 {\rtlch\fcs1 \af0 &#13;&#10;\ltrch\fcs0 \noproof0\insrsid2490866\charrsid946740 Or. }{\rtlch\fcs1 \af0 \ltrch\fcs0 \cs15\v\f1\fs20\cf9\noproof0\insrsid2490866\charrsid946740 &lt;Original&gt;}{\rtlch\fcs1 \af0 \ltrch\fcs0 \noproof0\insrsid2490866\charrsid946740 [ZORLANG]}{\rtlch\fcs1 \af0 &#13;&#10;\ltrch\fcs0 \cs15\v\f1\fs20\cf9\noproof0\insrsid2490866\charrsid946740 &lt;/Original&gt;}{\rtlch\fcs1 \af0 \ltrch\fcs0 \noproof0\insrsid2490866\charrsid946740 &#13;&#10;\par }\pard\plain \ltrpar\s21\qc \li0\ri0\sb240\nowidctlpar\wrapdefault\aspalpha\aspnum\faauto\adjustright\rin0\lin0\itap0\pararsid10630121 \rtlch\fcs1 \af0\afs20\alang1025 \ltrch\fcs0 \i\fs24\lang2057\langfe2057\cgrid\langnp2057\langfenp2057 {\rtlch\fcs1 &#13;&#10;\af0 \ltrch\fcs0 \cs15\i0\v\f1\fs20\cf9\insrsid2490866\charrsid946740 &lt;OptDel&gt;}{\rtlch\fcs1 \af0 \ltrch\fcs0 \insrsid2490866\charrsid946740 [ZCROSSREF]}{\rtlch\fcs1 \af0 \ltrch\fcs0 \cs15\i0\v\f1\fs20\cf9\insrsid2490866\charrsid946740 &lt;/OptDel&gt;}{&#13;&#10;\rtlch\fcs1 \af0 \ltrch\fcs0 \insrsid2490866\charrsid946740 &#13;&#10;\par }\pard\plain \ltrpar\s22\qc \li0\ri0\sb240\sa240\keepn\nowidctlpar\wrapdefault\aspalpha\aspnum\faauto\adjustright\rin0\lin0\itap0\pararsid3744759 \rtlch\fcs1 \af0\afs20\alang1025 \ltrch\fcs0 &#13;&#10;\i\fs24\lang1024\langfe1024\cgrid\noproof\langnp2057\langfenp2057 {\rtlch\fcs1 \af0 \ltrch\fcs0 \cs15\i0\v\f1\fs20\cf9\noproof0\insrsid2490866\charrsid946740 &lt;TitreJust&gt;}{\rtlch\fcs1 \af0 \ltrch\fcs0 \noproof0\insrsid2490866\charrsid946740 &#13;&#10;[ZJUSTIFICATION]}{\rtlch\fcs1 \af0 \ltrch\fcs0 \cs15\i0\v\f1\fs20\cf9\noproof0\insrsid2490866\charrsid946740 &lt;/TitreJust&gt;}{\rtlch\fcs1 \af0 \ltrch\fcs0 \noproof0\insrsid2490866\charrsid946740 &#13;&#10;\par }\pard\plain \ltrpar\s20\ql \li0\ri0\sa240\nowidctlpar\wrapdefault\aspalpha\aspnum\faauto\adjustright\rin0\lin0\itap0\pararsid16390444 \rtlch\fcs1 \af0\afs20\alang1025 \ltrch\fcs0 \i\fs24\lang1024\langfe1024\cgrid\noproof\langnp2057\langfenp2057 {&#13;&#10;\rtlch\fcs1 \af0 \ltrch\fcs0 \cs15\i0\v\f1\fs20\cf9\noproof0\insrsid2490866\charrsid946740 &lt;OptDelPrev&gt;}{\rtlch\fcs1 \af0 \ltrch\fcs0 \noproof0\insrsid2490866\charrsid946740 [ZTEXTJUST]}{\rtlch\fcs1 \af0 \ltrch\fcs0 &#13;&#10;\cs15\i0\v\f1\fs20\cf9\noproof0\insrsid2490866\charrsid946740 &lt;/OptDelPrev&gt;}{\rtlch\fcs1 \af0 \ltrch\fcs0 \noproof0\insrsid2490866\charrsid946740 &#13;&#10;\par }\pard\plain \ltrpar\ql \li0\ri0\widctlpar\wrapdefault\aspalpha\aspnum\faauto\adjustright\rin0\lin0\itap0\pararsid16324206 \rtlch\fcs1 \af0\afs20\alang1025 \ltrch\fcs0 \fs24\lang2057\langfe2057\cgrid\langnp2057\langfenp2057 {\rtlch\fcs1 \af0 \ltrch\fcs0 &#13;&#10;\cs15\v\f1\fs20\cf9\insrsid2490866\charrsid946740 &lt;/AmendB&gt;}{\rtlch\fcs1 \af0 \ltrch\fcs0 \insrsid24658\charrsid16324206 {\*\bkmkend restartB}&#13;&#10;\par }{\*\themedata 504b030414000600080000002100e9de0fbfff0000001c020000130000005b436f6e74656e745f54797065735d2e786d6cac91cb4ec3301045f748fc83e52d4a&#13;&#10;9cb2400825e982c78ec7a27cc0c8992416c9d8b2a755fbf74cd25442a820166c2cd933f79e3be372bd1f07b5c3989ca74aaff2422b24eb1b475da5df374fd9ad&#13;&#10;5689811a183c61a50f98f4babebc2837878049899a52a57be670674cb23d8e90721f90a4d2fa3802cb35762680fd800ecd7551dc18eb899138e3c943d7e503b6&#13;&#10;b01d583deee5f99824e290b4ba3f364eac4a430883b3c092d4eca8f946c916422ecab927f52ea42b89a1cd59c254f919b0e85e6535d135a8de20f20b8c12c3b0&#13;&#10;0c895fcf6720192de6bf3b9e89ecdbd6596cbcdd8eb28e7c365ecc4ec1ff1460f53fe813d3cc7f5b7f020000ffff0300504b030414000600080000002100a5d6&#13;&#10;a7e7c0000000360100000b0000005f72656c732f2e72656c73848fcf6ac3300c87ef85bd83d17d51d2c31825762fa590432fa37d00e1287f68221bdb1bebdb4f&#13;&#10;c7060abb0884a4eff7a93dfeae8bf9e194e720169aaa06c3e2433fcb68e1763dbf7f82c985a4a725085b787086a37bdbb55fbc50d1a33ccd311ba548b6309512&#13;&#10;0f88d94fbc52ae4264d1c910d24a45db3462247fa791715fd71f989e19e0364cd3f51652d73760ae8fa8c9ffb3c330cc9e4fc17faf2ce545046e37944c69e462&#13;&#10;a1a82fe353bd90a865aad41ed0b5b8f9d6fd010000ffff0300504b0304140006000800000021006b799616830000008a0000001c0000007468656d652f746865&#13;&#10;6d652f7468656d654d616e616765722e786d6c0ccc4d0ac3201040e17da17790d93763bb284562b2cbaebbf600439c1a41c7a0d29fdbd7e5e38337cedf14d59b&#13;&#10;4b0d592c9c070d8a65cd2e88b7f07c2ca71ba8da481cc52c6ce1c715e6e97818c9b48d13df49c873517d23d59085adb5dd20d6b52bd521ef2cdd5eb9246a3d8b&#13;&#10;4757e8d3f729e245eb2b260a0238fd010000ffff0300504b03041400060008000000210030dd4329a8060000a41b0000160000007468656d652f7468656d652f&#13;&#10;7468656d65312e786d6cec594f6fdb3614bf0fd87720746f6327761a07758ad8b19b2d4d1bc46e871e698996d850a240d2497d1bdae38001c3ba618715d86d87&#13;&#10;615b8116d8a5fb34d93a6c1dd0afb0475292c5585e9236d88aad3e2412f9e3fbff1e1fa9abd7eec70c1d1221294fda5efd72cd4324f1794093b0eddd1ef62fad&#13;&#10;79482a9c0498f184b4bd2991deb58df7dfbb8ad755446282607d22d771db8b944ad79796a40fc3585ee62949606ecc458c15bc8a702910f808e8c66c69b9565b&#13;&#10;5d8a314d3c94e018c8de1a8fa94fd05093f43672e23d06af89927ac06762a049136785c10607758d9053d965021d62d6f6804fc08f86e4bef210c352c144dbab&#13;&#10;999fb7b4717509af678b985ab0b6b4ae6f7ed9ba6c4170b06c788a705430adf71bad2b5b057d03606a1ed7ebf5babd7a41cf00b0ef83a6569632cd467faddec9&#13;&#10;699640f6719e76b7d6ac355c7c89feca9cccad4ea7d36c65b258a206641f1b73f8b5da6a6373d9c11b90c537e7f08dce66b7bbeae00dc8e257e7f0fd2badd586&#13;&#10;8b37a088d1e4600ead1ddaef67d40bc898b3ed4af81ac0d76a197c86826828a24bb318f3442d8ab518dfe3a20f000d6458d104a9694ac6d88728eee2782428d6&#13;&#10;0cf03ac1a5193be4cbb921cd0b495fd054b5bd0f530c1931a3f7eaf9f7af9e3f45c70f9e1d3ff8e9f8e1c3e3073f5a42ceaa6d9c84e5552fbffdeccfc71fa33f&#13;&#10;9e7ef3f2d117d57859c6fffac327bffcfc793510d26726ce8b2f9ffcf6ecc98baf3efdfdbb4715f04d814765f890c644a29be408edf3181433567125272371be&#13;&#10;15c308d3f28acd249438c19a4b05fd9e8a1cf4cd296699771c393ac4b5e01d01e5a30a787d72cf1178108989a2159c77a2d801ee72ce3a5c545a6147f32a9979&#13;&#10;3849c26ae66252c6ed637c58c5bb8b13c7bfbd490a75330f4b47f16e441c31f7184e140e494214d273fc80900aedee52ead87597fa824b3e56e82e451d4c2b4d&#13;&#10;32a423279a668bb6690c7e9956e90cfe766cb37b077538abd27a8b1cba48c80acc2a841f12e698f13a9e281c57911ce298950d7e03aba84ac8c154f8655c4f2a&#13;&#10;f074481847bd804859b5e696007d4b4edfc150b12addbecba6b18b148a1e54d1bc81392f23b7f84137c2715a851dd0242a633f900710a218ed715505dfe56e86&#13;&#10;e877f0034e16bafb0e258ebb4faf06b769e888340b103d331115bebc4eb813bf83291b63624a0d1475a756c734f9bbc2cd28546ecbe1e20a3794ca175f3fae90&#13;&#10;fb6d2dd99bb07b55e5ccf68942bd0877b23c77b908e8db5f9db7f024d9239010f35bd4bbe2fcae387bfff9e2bc289f2fbe24cfaa301468dd8bd846dbb4ddf1c2&#13;&#10;ae7b4c191ba8292337a469bc25ec3d411f06f53a73e224c5292c8de0516732307070a1c0660d125c7d44553488700a4d7bddd3444299910e254ab984c3a219ae&#13;&#10;a4adf1d0f82b7bd46cea4388ad1c12ab5d1ed8e1153d9c9f350a3246aad01c6873462b9ac05999ad5cc988826eafc3acae853a33b7ba11cd1445875ba1b236b1&#13;&#10;399483c90bd560b0b0263435085a21b0f22a9cf9356b38ec6046026d77eba3dc2dc60b17e92219e180643ed27acffba86e9c94c7ca9c225a0f1b0cfae0788ad5&#13;&#10;4adc5a9aec1b703b8b93caec1a0bd8e5de7b132fe5113cf312503b998e2c2927274bd051db6b35979b1ef271daf6c6704e86c73805af4bdd476216c26593af84&#13;&#10;0dfb5393d964f9cc9bad5c313709ea70f561ed3ea7b053075221d51696910d0d339585004b34272bff7213cc7a510a5454a3b349b1b206c1f0af490176745d4b&#13;&#10;c663e2abb2b34b23da76f6352ba57ca2881844c1111ab189d8c7e07e1daaa04f40255c77988aa05fe06e4e5bdb4cb9c5394bbaf28d98c1d971ccd20867e556a7&#13;&#10;689ec9166e0a522183792b8907ba55ca6e943bbf2a26e52f48957218ffcf54d1fb09dc3eac04da033e5c0d0b8c74a6b43d2e54c4a10aa511f5fb021a07533b20&#13;&#10;5ae07e17a621a8e082dafc17e450ffb739676998b48643a4daa7211214f623150942f6a02c99e83b85583ddbbb2c4996113211551257a656ec1139246ca86be0&#13;&#10;aadedb3d1441a89b6a929501833b197fee7b9641a3503739e57c732a59b1f7da1cf8a73b1f9bcca0945b874d4393dbbf10b1680f66bbaa5d6f96e77b6f59113d&#13;&#10;316bb31a795600b3d256d0cad2fe354538e7566b2bd69cc6cbcd5c38f0e2bcc63058344429dc2121fd07f63f2a7c66bf76e80d75c8f7a1b622f878a18941d840&#13;&#10;545fb28d07d205d20e8ea071b283369834296bdaac75d256cb37eb0bee740bbe278cad253b8bbfcf69eca23973d939b97891c6ce2cecd8da8e2d343578f6648a&#13;&#10;c2d0383fc818c798cf64e52f597c740f1cbd05df0c264c49134cf09d4a60e8a107260f20f92d47b374e32f000000ffff0300504b030414000600080000002100&#13;&#10;0dd1909fb60000001b010000270000007468656d652f7468656d652f5f72656c732f7468656d654d616e616765722e786d6c2e72656c73848f4d0ac2301484f7&#13;&#10;8277086f6fd3ba109126dd88d0add40384e4350d363f2451eced0dae2c082e8761be9969bb979dc9136332de3168aa1a083ae995719ac16db8ec8e4052164e89&#13;&#10;d93b64b060828e6f37ed1567914b284d262452282e3198720e274a939cd08a54f980ae38a38f56e422a3a641c8bbd048f7757da0f19b017cc524bd62107bd500&#13;&#10;1996509affb3fd381a89672f1f165dfe514173d9850528a2c6cce0239baa4c04ca5bbabac4df000000ffff0300504b01022d0014000600080000002100e9de0f&#13;&#10;bfff0000001c0200001300000000000000000000000000000000005b436f6e74656e745f54797065735d2e786d6c504b01022d0014000600080000002100a5d6&#13;&#10;a7e7c0000000360100000b00000000000000000000000000300100005f72656c732f2e72656c73504b01022d00140006000800000021006b799616830000008a&#13;&#10;0000001c00000000000000000000000000190200007468656d652f7468656d652f7468656d654d616e616765722e786d6c504b01022d00140006000800000021&#13;&#10;0030dd4329a8060000a41b00001600000000000000000000000000d60200007468656d652f7468656d652f7468656d65312e786d6c504b01022d001400060008&#13;&#10;00000021000dd1909fb60000001b0100002700000000000000000000000000b20900007468656d652f7468656d652f5f72656c732f7468656d654d616e616765722e786d6c2e72656c73504b050600000000050005005d010000ad0a00000000}&#13;&#10;{\*\colorschememapping 3c3f786d6c2076657273696f6e3d22312e302220656e636f64696e673d225554462d3822207374616e64616c6f6e653d22796573223f3e0d0a3c613a636c724d&#13;&#10;617020786d6c6e733a613d22687474703a2f2f736368656d61732e6f70656e786d6c666f726d6174732e6f72672f64726177696e676d6c2f323030362f6d6169&#13;&#10;6e22206267313d226c743122207478313d22646b3122206267323d226c743222207478323d22646b322220616363656e74313d22616363656e74312220616363&#13;&#10;656e74323d22616363656e74322220616363656e74333d22616363656e74332220616363656e74343d22616363656e74342220616363656e74353d22616363656e74352220616363656e74363d22616363656e74362220686c696e6b3d22686c696e6b2220666f6c486c696e6b3d22666f6c486c696e6b222f3e}&#13;&#10;{\*\latentstyles\lsdstimax267\lsdlockeddef0\lsdsemihiddendef0\lsdunhideuseddef0\lsdqformatdef0\lsdprioritydef0{\lsdlockedexcept \lsdqformat1 \lsdlocked0 Normal;\lsdqformat1 \lsdlocked0 heading 1;&#13;&#10;\lsdsemihidden1 \lsdunhideused1 \lsdqformat1 \lsdlocked0 heading 2;\lsdsemihidden1 \lsdunhideused1 \lsdqformat1 \lsdlocked0 heading 3;\lsdsemihidden1 \lsdunhideused1 \lsdqformat1 \lsdlocked0 heading 4;&#13;&#10;\lsdsemihidden1 \lsdunhideused1 \lsdqformat1 \lsdlocked0 heading 5;\lsdsemihidden1 \lsdunhideused1 \lsdqformat1 \lsdlocked0 heading 6;\lsdsemihidden1 \lsdunhideused1 \lsdqformat1 \lsdlocked0 heading 7;&#13;&#10;\lsdsemihidden1 \lsdunhideused1 \lsdqformat1 \lsdlocked0 heading 8;\lsdsemihidden1 \lsdunhideused1 \lsdqformat1 \lsdlocked0 heading 9;\lsdsemihidden1 \lsdunhideused1 \lsdqformat1 \lsdlocked0 caption;\lsdqformat1 \lsdlocked0 Title;&#13;&#10;\lsdqformat1 \lsdlocked0 Subtitle;\lsdqformat1 \lsdlocked0 Strong;\lsdqformat1 \lsdlocked0 Emphasis;\lsdsemihidden1 \lsdpriority99 \lsdlocked0 Placeholder Text;\lsdqformat1 \lsdpriority1 \lsdlocked0 No Spacing;\lsdpriority60 \lsdlocked0 Light Shading;&#13;&#10;\lsdpriority61 \lsdlocked0 Light List;\lsdpriority62 \lsdlocked0 Light Grid;\lsdpriority63 \lsdlocked0 Medium Shading 1;\lsdpriority64 \lsdlocked0 Medium Shading 2;\lsdpriority65 \lsdlocked0 Medium List 1;\lsdpriority66 \lsdlocked0 Medium List 2;&#13;&#10;\lsdpriority67 \lsdlocked0 Medium Grid 1;\lsdpriority68 \lsdlocked0 Medium Grid 2;\lsdpriority69 \lsdlocked0 Medium Grid 3;\lsdpriority70 \lsdlocked0 Dark List;\lsdpriority71 \lsdlocked0 Colorful Shading;\lsdpriority72 \lsdlocked0 Colorful List;&#13;&#10;\lsdpriority73 \lsdlocked0 Colorful Grid;\lsdpriority60 \lsdlocked0 Light Shading Accent 1;\lsdpriority61 \lsdlocked0 Light List Accent 1;\lsdpriority62 \lsdlocked0 Light Grid Accent 1;\lsdpriority63 \lsdlocked0 Medium Shading 1 Accent 1;&#13;&#10;\lsdpriority64 \lsdlocked0 Medium Shading 2 Accent 1;\lsdpriority65 \lsdlocked0 Medium List 1 Accent 1;\lsdsemihidden1 \lsdpriority99 \lsdlocked0 Revision;\lsdqformat1 \lsdpriority34 \lsdlocked0 List Paragraph;&#13;&#10;\lsdqformat1 \lsdpriority29 \lsdlocked0 Quote;\lsdqformat1 \lsdpriority30 \lsdlocked0 Intense Quote;\lsdpriority66 \lsdlocked0 Medium List 2 Accent 1;\lsdpriority67 \lsdlocked0 Medium Grid 1 Accent 1;\lsdpriority68 \lsdlocked0 Medium Grid 2 Accent 1;&#13;&#10;\lsdpriority69 \lsdlocked0 Medium Grid 3 Accent 1;\lsdpriority70 \lsdlocked0 Dark List Accent 1;\lsdpriority71 \lsdlocked0 Colorful Shading Accent 1;\lsdpriority72 \lsdlocked0 Colorful List Accent 1;\lsdpriority73 \lsdlocked0 Colorful Grid Accent 1;&#13;&#10;\lsdpriority60 \lsdlocked0 Light Shading Accent 2;\lsdpriority61 \lsdlocked0 Light List Accent 2;\lsdpriority62 \lsdlocked0 Light Grid Accent 2;\lsdpriority63 \lsdlocked0 Medium Shading 1 Accent 2;\lsdpriority64 \lsdlocked0 Medium Shading 2 Accent 2;&#13;&#10;\lsdpriority65 \lsdlocked0 Medium List 1 Accent 2;\lsdpriority66 \lsdlocked0 Medium List 2 Accent 2;\lsdpriority67 \lsdlocked0 Medium Grid 1 Accent 2;\lsdpriority68 \lsdlocked0 Medium Grid 2 Accent 2;\lsdpriority69 \lsdlocked0 Medium Grid 3 Accent 2;&#13;&#10;\lsdpriority70 \lsdlocked0 Dark List Accent 2;\lsdpriority71 \lsdlocked0 Colorful Shading Accent 2;\lsdpriority72 \lsdlocked0 Colorful List Accent 2;\lsdpriority73 \lsdlocked0 Colorful Grid Accent 2;\lsdpriority60 \lsdlocked0 Light Shading Accent 3;&#13;&#10;\lsdpriority61 \lsdlocked0 Light List Accent 3;\lsdpriority62 \lsdlocked0 Light Grid Accent 3;\lsdpriority63 \lsdlocked0 Medium Shading 1 Accent 3;\lsdpriority64 \lsdlocked0 Medium Shading 2 Accent 3;\lsdpriority65 \lsdlocked0 Medium List 1 Accent 3;&#13;&#10;\lsdpriority66 \lsdlocked0 Medium List 2 Accent 3;\lsdpriority67 \lsdlocked0 Medium Grid 1 Accent 3;\lsdpriority68 \lsdlocked0 Medium Grid 2 Accent 3;\lsdpriority69 \lsdlocked0 Medium Grid 3 Accent 3;\lsdpriority70 \lsdlocked0 Dark List Accent 3;&#13;&#10;\lsdpriority71 \lsdlocked0 Colorful Shading Accent 3;\lsdpriority72 \lsdlocked0 Colorful List Accent 3;\lsdpriority73 \lsdlocked0 Colorful Grid Accent 3;\lsdpriority60 \lsdlocked0 Light Shading Accent 4;\lsdpriority61 \lsdlocked0 Light List Accent 4;&#13;&#10;\lsdpriority62 \lsdlocked0 Light Grid Accent 4;\lsdpriority63 \lsdlocked0 Medium Shading 1 Accent 4;\lsdpriority64 \lsdlocked0 Medium Shading 2 Accent 4;\lsdpriority65 \lsdlocked0 Medium List 1 Accent 4;\lsdpriority66 \lsdlocked0 Medium List 2 Accent 4;&#13;&#10;\lsdpriority67 \lsdlocked0 Medium Grid 1 Accent 4;\lsdpriority68 \lsdlocked0 Medium Grid 2 Accent 4;\lsdpriority69 \lsdlocked0 Medium Grid 3 Accent 4;\lsdpriority70 \lsdlocked0 Dark List Accent 4;\lsdpriority71 \lsdlocked0 Colorful Shading Accent 4;&#13;&#10;\lsdpriority72 \lsdlocked0 Colorful List Accent 4;\lsdpriority73 \lsdlocked0 Colorful Grid Accent 4;\lsdpriority60 \lsdlocked0 Light Shading Accent 5;\lsdpriority61 \lsdlocked0 Light List Accent 5;\lsdpriority62 \lsdlocked0 Light Grid Accent 5;&#13;&#10;\lsdpriority63 \lsdlocked0 Medium Shading 1 Accent 5;\lsdpriority64 \lsdlocked0 Medium Shading 2 Accent 5;\lsdpriority65 \lsdlocked0 Medium List 1 Accent 5;\lsdpriority66 \lsdlocked0 Medium List 2 Accent 5;&#13;&#10;\lsdpriority67 \lsdlocked0 Medium Grid 1 Accent 5;\lsdpriority68 \lsdlocked0 Medium Grid 2 Accent 5;\lsdpriority69 \lsdlocked0 Medium Grid 3 Accent 5;\lsdpriority70 \lsdlocked0 Dark List Accent 5;\lsdpriority71 \lsdlocked0 Colorful Shading Accent 5;&#13;&#10;\lsdpriority72 \lsdlocked0 Colorful List Accent 5;\lsdpriority73 \lsdlocked0 Colorful Grid Accent 5;\lsdpriority60 \lsdlocked0 Light Shading Accent 6;\lsdpriority61 \lsdlocked0 Light List Accent 6;\lsdpriority62 \lsdlocked0 Light Grid Accent 6;&#13;&#10;\lsdpriority63 \lsdlocked0 Medium Shading 1 Accent 6;\lsdpriority64 \lsdlocked0 Medium Shading 2 Accent 6;\lsdpriority65 \lsdlocked0 Medium List 1 Accent 6;\lsdpriority66 \lsdlocked0 Medium List 2 Accent 6;&#13;&#10;\lsdpriority67 \lsdlocked0 Medium Grid 1 Accent 6;\lsdpriority68 \lsdlocked0 Medium Grid 2 Accent 6;\lsdpriority69 \lsdlocked0 Medium Grid 3 Accent 6;\lsdpriority70 \lsdlocked0 Dark List Accent 6;\lsdpriority71 \lsdlocked0 Colorful Shading Accent 6;&#13;&#10;\lsdpriority72 \lsdlocked0 Colorful List Accent 6;\lsdpriority73 \lsdlocked0 Colorful Grid Accent 6;\lsdqformat1 \lsdpriority19 \lsdlocked0 Subtle Emphasis;\lsdqformat1 \lsdpriority21 \lsdlocked0 Intense Emphasis;&#13;&#10;\lsdqformat1 \lsdpriority31 \lsdlocked0 Subtle Reference;\lsdqformat1 \lsdpriority32 \lsdlocked0 Intense Reference;\lsdqformat1 \lsdpriority33 \lsdlocked0 Book Title;\lsdsemihidden1 \lsdunhideused1 \lsdpriority37 \lsdlocked0 Bibliography;&#13;&#10;\lsdsemihidden1 \lsdunhideused1 \lsdqformat1 \lsdpriority39 \lsdlocked0 TOC Heading;}}{\*\datastore 0105000002000000180000004d73786d6c322e534158584d4c5265616465722e362e3000000000000000000000060000&#13;&#10;d0cf11e0a1b11ae1000000000000000000000000000000003e000300feff090006000000000000000000000001000000010000000000000000100000feffffff00000000feffffff0000000000000000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dfffffffe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52006f006f007400200045006e00740072007900000000000000000000000000000000000000000000000000000000000000000000000000000000000000000016000500ffffffffffffffffffffffff0c6ad98892f1d411a65f0040963251e5000000000000000000000000c03f&#13;&#10;6d229289d001feffffff00000000000000000000000000000000000000000000000000000000000000000000000000000000000000000000000000000000000000000000000000000000000000000000000000000000ffffffffffffffffffffffff00000000000000000000000000000000000000000000000000000000&#13;&#10;00000000000000000000000000000000000000000000000000000000000000000000000000000000000000000000000000000000000000000000000000000000000000000000000000000000000000000000000000000000ffffffffffffffffffffffff0000000000000000000000000000000000000000000000000000&#13;&#10;000000000000000000000000000000000000000000000000000000000000000000000000000000000000000000000000000000000000000000000000000000000000000000000000000000000000000000000000000000000000ffffffffffffffffffffffff000000000000000000000000000000000000000000000000&#13;&#10;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sz w:val="24"/>
      <w:szCs w:val="24"/>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sz w:val="24"/>
      <w:szCs w:val="24"/>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sz w:val="24"/>
      <w:szCs w:val="24"/>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next w:val="DefaultParagraphFont"/>
    <w:uiPriority w:val="1"/>
    <w:semiHidden/>
    <w:unhideWhenUsed/>
  </w:style>
  <w:style w:type="paragraph" w:customStyle="1" w:styleId="EPLogo">
    <w:name w:val="EPLogo"/>
    <w:basedOn w:val="Normal"/>
    <w:qFormat/>
    <w:rsid w:val="00D7732B"/>
    <w:pPr>
      <w:widowControl w:val="0"/>
      <w:jc w:val="right"/>
    </w:pPr>
    <w:rPr>
      <w:sz w:val="24"/>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6"/>
        <w:tab w:val="right" w:pos="9072"/>
      </w:tabs>
      <w:spacing w:before="0" w:after="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rsid w:val="00A801F5"/>
    <w:pPr>
      <w:tabs>
        <w:tab w:val="center" w:pos="4535"/>
        <w:tab w:val="right" w:pos="9923"/>
      </w:tabs>
      <w:spacing w:after="240"/>
      <w:ind w:left="-851"/>
    </w:pPr>
    <w:rPr>
      <w:rFonts w:ascii="Arial" w:eastAsia="Arial" w:hAnsi="Arial" w:cs="Arial"/>
      <w:b/>
      <w:color w:val="000000"/>
      <w:sz w:val="48"/>
      <w:szCs w:val="24"/>
    </w:rPr>
  </w:style>
  <w:style w:type="paragraph" w:customStyle="1" w:styleId="Footer2Landscape">
    <w:name w:val="Footer2Landscape"/>
    <w:qFormat/>
    <w:rsid w:val="00126EF9"/>
    <w:pPr>
      <w:tabs>
        <w:tab w:val="center" w:pos="4535"/>
        <w:tab w:val="center" w:pos="6804"/>
        <w:tab w:val="clear" w:pos="9923"/>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lear" w:pos="4536"/>
        <w:tab w:val="center" w:pos="6804"/>
        <w:tab w:val="clear" w:pos="9072"/>
        <w:tab w:val="center" w:pos="13608"/>
      </w:tabs>
      <w:spacing w:before="0" w:after="0"/>
    </w:pPr>
    <w:rPr>
      <w:color w:val="000000"/>
      <w:sz w:val="22"/>
      <w:szCs w:val="24"/>
    </w:rPr>
  </w:style>
  <w:style w:type="character" w:customStyle="1" w:styleId="HideTWBExt">
    <w:name w:val="HideTWBExt"/>
    <w:basedOn w:val="DefaultParagraphFont"/>
    <w:rPr>
      <w:rFonts w:ascii="Arial" w:eastAsia="Arial" w:hAnsi="Arial" w:cs="Arial"/>
      <w:b w:val="0"/>
      <w:i w:val="0"/>
      <w:caps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szCs w:val="24"/>
    </w:rPr>
  </w:style>
  <w:style w:type="paragraph" w:customStyle="1" w:styleId="LineTop">
    <w:name w:val="LineTop"/>
    <w:basedOn w:val="Normal"/>
    <w:pPr>
      <w:pBdr>
        <w:top w:val="single" w:sz="4" w:space="0" w:color="auto"/>
      </w:pBdr>
      <w:jc w:val="center"/>
    </w:pPr>
    <w:rPr>
      <w:rFonts w:ascii="Arial" w:eastAsia="Arial" w:hAnsi="Arial" w:cs="Arial"/>
      <w:color w:val="000000"/>
      <w:sz w:val="16"/>
      <w:szCs w:val="24"/>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sz w:val="24"/>
      <w:szCs w:val="24"/>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sz w:val="24"/>
      <w:szCs w:val="24"/>
    </w:rPr>
  </w:style>
  <w:style w:type="paragraph" w:customStyle="1" w:styleId="Normal24">
    <w:name w:val="Normal24"/>
    <w:basedOn w:val="Normal"/>
    <w:pPr>
      <w:spacing w:after="480"/>
    </w:pPr>
    <w:rPr>
      <w:color w:val="000000"/>
      <w:sz w:val="24"/>
      <w:szCs w:val="24"/>
    </w:rPr>
  </w:style>
  <w:style w:type="paragraph" w:customStyle="1" w:styleId="Normal6">
    <w:name w:val="Normal6"/>
    <w:basedOn w:val="Normal"/>
    <w:pPr>
      <w:spacing w:after="120"/>
    </w:pPr>
    <w:rPr>
      <w:color w:val="000000"/>
      <w:sz w:val="24"/>
      <w:szCs w:val="24"/>
    </w:rPr>
  </w:style>
  <w:style w:type="paragraph" w:customStyle="1" w:styleId="Normal6Italic">
    <w:name w:val="Normal6Italic"/>
    <w:basedOn w:val="Normal"/>
    <w:pPr>
      <w:spacing w:after="120"/>
    </w:pPr>
    <w:rPr>
      <w:i/>
      <w:color w:val="000000"/>
      <w:sz w:val="24"/>
      <w:szCs w:val="24"/>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sz w:val="24"/>
      <w:szCs w:val="24"/>
    </w:rPr>
  </w:style>
  <w:style w:type="paragraph" w:customStyle="1" w:styleId="NormalBold12b">
    <w:name w:val="NormalBold12b"/>
    <w:basedOn w:val="Normal"/>
    <w:pPr>
      <w:spacing w:before="240"/>
    </w:pPr>
    <w:rPr>
      <w:b/>
      <w:color w:val="000000"/>
      <w:sz w:val="24"/>
      <w:szCs w:val="24"/>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sz w:val="24"/>
      <w:szCs w:val="24"/>
    </w:rPr>
  </w:style>
  <w:style w:type="paragraph" w:customStyle="1" w:styleId="RefProc">
    <w:name w:val="RefProc"/>
    <w:basedOn w:val="Normal"/>
    <w:pPr>
      <w:spacing w:after="240"/>
      <w:jc w:val="right"/>
    </w:pPr>
    <w:rPr>
      <w:rFonts w:ascii="Arial" w:eastAsia="Arial" w:hAnsi="Arial" w:cs="Arial"/>
      <w:b/>
      <w:caps/>
      <w:color w:val="000000"/>
      <w:sz w:val="22"/>
      <w:szCs w:val="24"/>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b w:val="0"/>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szCs w:val="24"/>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szCs w:val="24"/>
    </w:rPr>
  </w:style>
  <w:style w:type="paragraph" w:customStyle="1" w:styleId="ZDate">
    <w:name w:val="ZDate"/>
    <w:basedOn w:val="Normal"/>
    <w:pPr>
      <w:spacing w:after="1680"/>
    </w:pPr>
    <w:rPr>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1119113</vt:lpwstr>
  </property>
  <property fmtid="{D5CDD505-2E9C-101B-9397-08002B2CF9AE}" pid="4" name="&lt;FooterPath&gt;">
    <vt:lpwstr>AM\1119113HU.doc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20170317-130047-325625-626509</vt:lpwstr>
  </property>
  <property fmtid="{D5CDD505-2E9C-101B-9397-08002B2CF9AE}" pid="8" name="PE Number">
    <vt:lpwstr>601.040</vt:lpwstr>
  </property>
  <property fmtid="{D5CDD505-2E9C-101B-9397-08002B2CF9AE}" pid="9" name="UID">
    <vt:lpwstr>eu.europa.europarl-DIN1-2017-0000024575_02.00-hu-01.00_text-xml</vt:lpwstr>
  </property>
</Properties>
</file>