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C92E8F" w:rsidRPr="00565F80">
        <w:trPr>
          <w:trHeight w:hRule="exact" w:val="1417"/>
          <w:jc w:val="center"/>
        </w:trPr>
        <w:tc>
          <w:tcPr>
            <w:tcW w:w="6804" w:type="dxa"/>
            <w:vAlign w:val="center"/>
          </w:tcPr>
          <w:p w:rsidR="00A77B3E" w:rsidRPr="00565F80" w:rsidRDefault="002F7B52">
            <w:pPr>
              <w:pStyle w:val="EPName"/>
              <w:rPr>
                <w:color w:val="auto"/>
              </w:rPr>
            </w:pPr>
            <w:r w:rsidRPr="00565F80">
              <w:rPr>
                <w:color w:val="auto"/>
              </w:rPr>
              <w:t>Europos Parlamentas</w:t>
            </w:r>
          </w:p>
          <w:p w:rsidR="00C92E8F" w:rsidRPr="00565F80" w:rsidRDefault="00A050CF">
            <w:pPr>
              <w:pStyle w:val="EPTerm"/>
              <w:rPr>
                <w:lang w:val="lt-LT"/>
              </w:rPr>
            </w:pPr>
            <w:r w:rsidRPr="00565F80">
              <w:rPr>
                <w:lang w:val="lt-LT"/>
              </w:rPr>
              <w:t>2014-2019</w:t>
            </w:r>
          </w:p>
        </w:tc>
        <w:tc>
          <w:tcPr>
            <w:tcW w:w="2268" w:type="dxa"/>
          </w:tcPr>
          <w:p w:rsidR="00C92E8F" w:rsidRPr="00565F80" w:rsidRDefault="00EF072B">
            <w:pPr>
              <w:pStyle w:val="EPLogo"/>
            </w:pPr>
            <w:r w:rsidRPr="00565F8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A77B3E" w:rsidRPr="00565F80" w:rsidRDefault="00D8426E">
      <w:pPr>
        <w:pStyle w:val="LineTop"/>
        <w:rPr>
          <w:color w:val="auto"/>
        </w:rPr>
      </w:pPr>
    </w:p>
    <w:p w:rsidR="00C92E8F" w:rsidRPr="00565F80" w:rsidRDefault="00A050CF">
      <w:pPr>
        <w:pStyle w:val="ZCommittee"/>
        <w:rPr>
          <w:color w:val="auto"/>
        </w:rPr>
      </w:pPr>
      <w:r w:rsidRPr="00565F80">
        <w:rPr>
          <w:rStyle w:val="HideTWBExt"/>
          <w:color w:val="auto"/>
        </w:rPr>
        <w:t>&lt;Commission&gt;</w:t>
      </w:r>
      <w:r w:rsidRPr="00565F80">
        <w:rPr>
          <w:rStyle w:val="HideTWBInt"/>
          <w:color w:val="auto"/>
        </w:rPr>
        <w:t>{LIBE}</w:t>
      </w:r>
      <w:r w:rsidR="002F7B52" w:rsidRPr="00565F80">
        <w:rPr>
          <w:color w:val="auto"/>
        </w:rPr>
        <w:t>Piliečių laisvių, teisingumo ir vidaus reikalų komitetas</w:t>
      </w:r>
      <w:r w:rsidRPr="00565F80">
        <w:rPr>
          <w:rStyle w:val="HideTWBExt"/>
          <w:color w:val="auto"/>
        </w:rPr>
        <w:t>&lt;/Commission&gt;</w:t>
      </w:r>
    </w:p>
    <w:p w:rsidR="00C92E8F" w:rsidRPr="00565F80" w:rsidRDefault="00C92E8F">
      <w:pPr>
        <w:pStyle w:val="LineBottom"/>
        <w:rPr>
          <w:color w:val="auto"/>
        </w:rPr>
      </w:pPr>
    </w:p>
    <w:p w:rsidR="00C92E8F" w:rsidRPr="00565F80" w:rsidRDefault="00A050CF">
      <w:pPr>
        <w:pStyle w:val="RefProc"/>
        <w:rPr>
          <w:color w:val="auto"/>
        </w:rPr>
      </w:pPr>
      <w:r w:rsidRPr="00565F80">
        <w:rPr>
          <w:rStyle w:val="HideTWBExt"/>
          <w:color w:val="auto"/>
        </w:rPr>
        <w:t>&lt;RefProc&gt;</w:t>
      </w:r>
      <w:r w:rsidRPr="00565F80">
        <w:rPr>
          <w:color w:val="auto"/>
        </w:rPr>
        <w:t>2016/0132</w:t>
      </w:r>
      <w:r w:rsidRPr="00565F80">
        <w:rPr>
          <w:rStyle w:val="HideTWBExt"/>
          <w:color w:val="auto"/>
        </w:rPr>
        <w:t>&lt;/RefProc&gt;&lt;RefTypeProc&gt;</w:t>
      </w:r>
      <w:r w:rsidRPr="00565F80">
        <w:rPr>
          <w:color w:val="auto"/>
        </w:rPr>
        <w:t>(COD)</w:t>
      </w:r>
      <w:r w:rsidRPr="00565F80">
        <w:rPr>
          <w:rStyle w:val="HideTWBExt"/>
          <w:color w:val="auto"/>
        </w:rPr>
        <w:t>&lt;/RefTypeProc&gt;</w:t>
      </w:r>
    </w:p>
    <w:p w:rsidR="00C92E8F" w:rsidRPr="00565F80" w:rsidRDefault="00A050CF">
      <w:pPr>
        <w:pStyle w:val="ZDate"/>
        <w:rPr>
          <w:color w:val="auto"/>
        </w:rPr>
      </w:pPr>
      <w:r w:rsidRPr="00565F80">
        <w:rPr>
          <w:rStyle w:val="HideTWBExt"/>
          <w:color w:val="auto"/>
        </w:rPr>
        <w:t>&lt;Date&gt;</w:t>
      </w:r>
      <w:r w:rsidRPr="00565F80">
        <w:rPr>
          <w:rStyle w:val="HideTWBInt"/>
          <w:color w:val="auto"/>
        </w:rPr>
        <w:t>{03/03/2017}</w:t>
      </w:r>
      <w:r w:rsidRPr="00565F80">
        <w:rPr>
          <w:color w:val="auto"/>
        </w:rPr>
        <w:t>3.3.2017</w:t>
      </w:r>
      <w:r w:rsidRPr="00565F80">
        <w:rPr>
          <w:rStyle w:val="HideTWBExt"/>
          <w:color w:val="auto"/>
        </w:rPr>
        <w:t>&lt;/Date&gt;</w:t>
      </w:r>
    </w:p>
    <w:p w:rsidR="00C92E8F" w:rsidRPr="00565F80" w:rsidRDefault="00A050CF">
      <w:pPr>
        <w:pStyle w:val="TypeDocAM"/>
        <w:rPr>
          <w:color w:val="auto"/>
        </w:rPr>
      </w:pPr>
      <w:r w:rsidRPr="00565F80">
        <w:rPr>
          <w:rStyle w:val="HideTWBExt"/>
          <w:color w:val="auto"/>
        </w:rPr>
        <w:t>&lt;TypeAM&gt;</w:t>
      </w:r>
      <w:r w:rsidR="002F7B52" w:rsidRPr="00565F80">
        <w:rPr>
          <w:color w:val="auto"/>
        </w:rPr>
        <w:t>PAKEITIMAI</w:t>
      </w:r>
      <w:r w:rsidRPr="00565F80">
        <w:rPr>
          <w:rStyle w:val="HideTWBExt"/>
          <w:color w:val="auto"/>
        </w:rPr>
        <w:t>&lt;/TypeAM&gt;</w:t>
      </w:r>
    </w:p>
    <w:p w:rsidR="00C92E8F" w:rsidRPr="00565F80" w:rsidRDefault="00A050CF">
      <w:pPr>
        <w:pStyle w:val="NRAMS"/>
        <w:rPr>
          <w:color w:val="auto"/>
          <w:lang w:val="lt-LT"/>
        </w:rPr>
      </w:pPr>
      <w:r w:rsidRPr="00565F80">
        <w:rPr>
          <w:rStyle w:val="HideTWBExt"/>
          <w:color w:val="auto"/>
          <w:lang w:val="lt-LT"/>
        </w:rPr>
        <w:t>&lt;RangeAM&gt;</w:t>
      </w:r>
      <w:r w:rsidRPr="00565F80">
        <w:rPr>
          <w:color w:val="auto"/>
          <w:lang w:val="lt-LT"/>
        </w:rPr>
        <w:t>61</w:t>
      </w:r>
      <w:r w:rsidR="002F7B52" w:rsidRPr="00565F80">
        <w:rPr>
          <w:color w:val="auto"/>
          <w:lang w:val="lt-LT"/>
        </w:rPr>
        <w:t>–</w:t>
      </w:r>
      <w:r w:rsidRPr="00565F80">
        <w:rPr>
          <w:color w:val="auto"/>
          <w:lang w:val="lt-LT"/>
        </w:rPr>
        <w:t>271</w:t>
      </w:r>
      <w:bookmarkStart w:id="0" w:name="_GoBack"/>
      <w:bookmarkEnd w:id="0"/>
      <w:r w:rsidRPr="00565F80">
        <w:rPr>
          <w:rStyle w:val="HideTWBExt"/>
          <w:color w:val="auto"/>
          <w:lang w:val="lt-LT"/>
        </w:rPr>
        <w:t>&lt;/RangeAM&gt;</w:t>
      </w:r>
    </w:p>
    <w:p w:rsidR="00C92E8F" w:rsidRPr="00565F80" w:rsidRDefault="00A050CF">
      <w:pPr>
        <w:pStyle w:val="CoverBold"/>
        <w:rPr>
          <w:color w:val="auto"/>
          <w:lang w:val="lt-LT"/>
        </w:rPr>
      </w:pPr>
      <w:r w:rsidRPr="00565F80">
        <w:rPr>
          <w:rStyle w:val="HideTWBExt"/>
          <w:color w:val="auto"/>
          <w:lang w:val="lt-LT"/>
        </w:rPr>
        <w:t>&lt;TitreType&gt;</w:t>
      </w:r>
      <w:r w:rsidR="002F7B52" w:rsidRPr="00565F80">
        <w:rPr>
          <w:color w:val="auto"/>
          <w:lang w:val="lt-LT"/>
        </w:rPr>
        <w:t>Pranešimo projektas</w:t>
      </w:r>
      <w:r w:rsidRPr="00565F80">
        <w:rPr>
          <w:rStyle w:val="HideTWBExt"/>
          <w:color w:val="auto"/>
          <w:lang w:val="lt-LT"/>
        </w:rPr>
        <w:t>&lt;/TitreType&gt;</w:t>
      </w:r>
    </w:p>
    <w:p w:rsidR="00C92E8F" w:rsidRPr="00565F80" w:rsidRDefault="00A050CF">
      <w:pPr>
        <w:pStyle w:val="CoverBold"/>
        <w:rPr>
          <w:color w:val="auto"/>
          <w:lang w:val="lt-LT"/>
        </w:rPr>
      </w:pPr>
      <w:r w:rsidRPr="00565F80">
        <w:rPr>
          <w:rStyle w:val="HideTWBExt"/>
          <w:color w:val="auto"/>
          <w:lang w:val="lt-LT"/>
        </w:rPr>
        <w:t>&lt;Rapporteur&gt;</w:t>
      </w:r>
      <w:r w:rsidRPr="00565F80">
        <w:rPr>
          <w:color w:val="auto"/>
          <w:lang w:val="lt-LT"/>
        </w:rPr>
        <w:t>Monica Macovei</w:t>
      </w:r>
      <w:r w:rsidRPr="00565F80">
        <w:rPr>
          <w:rStyle w:val="HideTWBExt"/>
          <w:color w:val="auto"/>
          <w:lang w:val="lt-LT"/>
        </w:rPr>
        <w:t>&lt;/Rapporteur&gt;</w:t>
      </w:r>
    </w:p>
    <w:p w:rsidR="00C92E8F" w:rsidRPr="00565F80" w:rsidRDefault="00A050CF">
      <w:pPr>
        <w:pStyle w:val="Cover24"/>
        <w:rPr>
          <w:color w:val="auto"/>
          <w:lang w:val="lt-LT"/>
        </w:rPr>
      </w:pPr>
      <w:r w:rsidRPr="00565F80">
        <w:rPr>
          <w:color w:val="auto"/>
          <w:lang w:val="lt-LT"/>
        </w:rPr>
        <w:t>(PE597.620v02-00)</w:t>
      </w:r>
    </w:p>
    <w:p w:rsidR="00C92E8F" w:rsidRPr="00565F80" w:rsidRDefault="00A050CF">
      <w:pPr>
        <w:pStyle w:val="Cover24"/>
        <w:rPr>
          <w:color w:val="auto"/>
          <w:lang w:val="lt-LT"/>
        </w:rPr>
      </w:pPr>
      <w:r w:rsidRPr="00565F80">
        <w:rPr>
          <w:rStyle w:val="HideTWBExt"/>
          <w:color w:val="auto"/>
          <w:lang w:val="lt-LT"/>
        </w:rPr>
        <w:t>&lt;Titre&gt;</w:t>
      </w:r>
      <w:r w:rsidR="002F7B52" w:rsidRPr="00565F80">
        <w:rPr>
          <w:color w:val="auto"/>
          <w:lang w:val="lt-LT"/>
        </w:rPr>
        <w:t>dėl pirštų atspaudų lyginimo sistemos EURODAC sukūrimo siekiant veiksmingai taikyti Reglamentą (ES) Nr. 604/2013, siekiant nustatyti neteisėtai esančius trečiųjų šalių piliečius ar asmenis be pilietybės, ir dėl valstybių narių teisėsaugos institucijų bei Europolo teisėsaugos tikslais teikiamų prašymų palyginti duomenis su sistemos EURODAC duomenimis (nauja redakcija)</w:t>
      </w:r>
      <w:r w:rsidRPr="00565F80">
        <w:rPr>
          <w:rStyle w:val="HideTWBExt"/>
          <w:color w:val="auto"/>
          <w:lang w:val="lt-LT"/>
        </w:rPr>
        <w:t>&lt;/Titre&gt;</w:t>
      </w:r>
    </w:p>
    <w:p w:rsidR="00C92E8F" w:rsidRPr="00565F80" w:rsidRDefault="00A050CF">
      <w:pPr>
        <w:pStyle w:val="CoverNormal"/>
        <w:rPr>
          <w:color w:val="auto"/>
        </w:rPr>
      </w:pPr>
      <w:r w:rsidRPr="00565F80">
        <w:rPr>
          <w:rStyle w:val="HideTWBExt"/>
          <w:color w:val="auto"/>
        </w:rPr>
        <w:t>&lt;DocAmend&gt;</w:t>
      </w:r>
      <w:r w:rsidR="002F7B52" w:rsidRPr="00565F80">
        <w:rPr>
          <w:color w:val="auto"/>
        </w:rPr>
        <w:t>Pasiūlymas dėl reglamento</w:t>
      </w:r>
      <w:r w:rsidRPr="00565F80">
        <w:rPr>
          <w:rStyle w:val="HideTWBExt"/>
          <w:color w:val="auto"/>
        </w:rPr>
        <w:t>&lt;/DocAmend&gt;</w:t>
      </w:r>
    </w:p>
    <w:p w:rsidR="00C92E8F" w:rsidRPr="00565F80" w:rsidRDefault="00A050CF">
      <w:pPr>
        <w:pStyle w:val="Cover24"/>
        <w:rPr>
          <w:color w:val="auto"/>
          <w:lang w:val="lt-LT"/>
        </w:rPr>
      </w:pPr>
      <w:r w:rsidRPr="00565F80">
        <w:rPr>
          <w:rStyle w:val="HideTWBExt"/>
          <w:color w:val="auto"/>
          <w:lang w:val="lt-LT"/>
        </w:rPr>
        <w:t>&lt;DocRef&gt;</w:t>
      </w:r>
      <w:r w:rsidRPr="00565F80">
        <w:rPr>
          <w:color w:val="auto"/>
          <w:lang w:val="lt-LT"/>
        </w:rPr>
        <w:t>(COM(2016)</w:t>
      </w:r>
      <w:r w:rsidR="002F7B52" w:rsidRPr="00565F80">
        <w:rPr>
          <w:color w:val="auto"/>
          <w:lang w:val="lt-LT"/>
        </w:rPr>
        <w:t> </w:t>
      </w:r>
      <w:r w:rsidRPr="00565F80">
        <w:rPr>
          <w:color w:val="auto"/>
          <w:lang w:val="lt-LT"/>
        </w:rPr>
        <w:t>0272 – C8-0179/2016 – 2016/0132(COD))</w:t>
      </w:r>
      <w:r w:rsidRPr="00565F80">
        <w:rPr>
          <w:rStyle w:val="HideTWBExt"/>
          <w:color w:val="auto"/>
          <w:lang w:val="lt-LT"/>
        </w:rPr>
        <w:t>&lt;/DocRef&gt;</w:t>
      </w:r>
    </w:p>
    <w:p w:rsidR="00C92E8F" w:rsidRPr="00565F80" w:rsidRDefault="00A050CF">
      <w:r w:rsidRPr="00565F80">
        <w:br w:type="page"/>
      </w:r>
      <w:r w:rsidRPr="00565F80">
        <w:lastRenderedPageBreak/>
        <w:t>AM_Com_LegReport</w:t>
      </w:r>
    </w:p>
    <w:p w:rsidR="00BF668E" w:rsidRPr="00565F80" w:rsidRDefault="00A050CF" w:rsidP="00BF668E">
      <w:pPr>
        <w:pStyle w:val="AMNumberTabs"/>
        <w:rPr>
          <w:color w:val="auto"/>
        </w:rPr>
      </w:pPr>
      <w:r w:rsidRPr="00565F80">
        <w:rPr>
          <w:color w:val="auto"/>
        </w:rPr>
        <w:br w:type="page"/>
      </w:r>
    </w:p>
    <w:p w:rsidR="00BF668E" w:rsidRPr="00565F80" w:rsidRDefault="00BF668E" w:rsidP="00BF668E">
      <w:pPr>
        <w:pStyle w:val="AMNumberTabs"/>
        <w:rPr>
          <w:color w:val="auto"/>
        </w:rPr>
      </w:pPr>
      <w:r w:rsidRPr="00565F80">
        <w:rPr>
          <w:rStyle w:val="HideTWBExt"/>
          <w:b w:val="0"/>
          <w:color w:val="auto"/>
        </w:rPr>
        <w:t>&lt;RepeatBlock-Amend&gt;</w:t>
      </w:r>
      <w:r w:rsidRPr="00565F80">
        <w:rPr>
          <w:rStyle w:val="HideTWBExt"/>
          <w:color w:val="auto"/>
        </w:rPr>
        <w:t>&lt;Amend&gt;</w:t>
      </w:r>
      <w:r w:rsidRPr="00565F80">
        <w:rPr>
          <w:color w:val="auto"/>
        </w:rPr>
        <w:t>Pakeitimas</w:t>
      </w:r>
      <w:r w:rsidR="009D2074" w:rsidRPr="00565F80">
        <w:rPr>
          <w:color w:val="auto"/>
        </w:rPr>
        <w:t xml:space="preserve"> </w:t>
      </w:r>
      <w:r w:rsidRPr="00565F80">
        <w:rPr>
          <w:rStyle w:val="HideTWBExt"/>
          <w:color w:val="auto"/>
        </w:rPr>
        <w:t>&lt;NumAm&gt;</w:t>
      </w:r>
      <w:r w:rsidRPr="00565F80">
        <w:rPr>
          <w:color w:val="auto"/>
        </w:rPr>
        <w:t>61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nurodomoji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 xml:space="preserve">atsižvelgdami į Sutartį dėl Europos Sąjungos veikimo, ypač į jos 78 straipsnio 2 dalies e </w:t>
            </w:r>
            <w:r w:rsidRPr="00565F80">
              <w:rPr>
                <w:b/>
                <w:i/>
                <w:color w:val="auto"/>
              </w:rPr>
              <w:t>punktą</w:t>
            </w:r>
            <w:r w:rsidRPr="00565F80">
              <w:rPr>
                <w:color w:val="auto"/>
              </w:rPr>
              <w:t>, 79 straipsnio 2 dalies c punktą, 87 straipsnio 2 dalies a punktą ir 88 straipsnio 2 dalies a punktą,</w:t>
            </w:r>
          </w:p>
        </w:tc>
        <w:tc>
          <w:tcPr>
            <w:tcW w:w="4876" w:type="dxa"/>
          </w:tcPr>
          <w:p w:rsidR="00BF668E" w:rsidRPr="00565F80" w:rsidRDefault="00BF668E" w:rsidP="00C555DE">
            <w:pPr>
              <w:pStyle w:val="Normal6"/>
              <w:rPr>
                <w:color w:val="auto"/>
              </w:rPr>
            </w:pPr>
            <w:r w:rsidRPr="00565F80">
              <w:rPr>
                <w:color w:val="auto"/>
              </w:rPr>
              <w:t xml:space="preserve">atsižvelgdami į Sutartį dėl Europos Sąjungos veikimo, ypač į jos 78 straipsnio 2 dalies </w:t>
            </w:r>
            <w:r w:rsidRPr="00565F80">
              <w:rPr>
                <w:b/>
                <w:i/>
                <w:color w:val="auto"/>
              </w:rPr>
              <w:t xml:space="preserve">d ir </w:t>
            </w:r>
            <w:r w:rsidRPr="00565F80">
              <w:rPr>
                <w:color w:val="auto"/>
              </w:rPr>
              <w:t xml:space="preserve">e </w:t>
            </w:r>
            <w:r w:rsidRPr="00565F80">
              <w:rPr>
                <w:b/>
                <w:i/>
                <w:color w:val="auto"/>
              </w:rPr>
              <w:t>punktus</w:t>
            </w:r>
            <w:r w:rsidRPr="00565F80">
              <w:rPr>
                <w:color w:val="auto"/>
              </w:rPr>
              <w:t>, 79 straipsnio 2 dalies c punktą, 87 straipsnio 2 dalies a punktą ir 88 straipsnio 2 dalies a punktą,</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Išdėstymas nauja redakcija. Turimas omenyje Pasiūlymo dėl reglamento dėl Sąjungos perkėlimo politikos atitinkamas teisinis pagrindas. Pridėti šiuos punktus būtina, nes juose siūloma į EURODAC reglamento taikymo sritį įtraukti asmenis, kuriuos valstybės narės ketina perkelti pagal Pasiūlymą dėl reglamento dėl Sąjungos perkėlimo politikos 10 straipsnio 2 dalį.</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62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Nadine Morano</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konstatuojamoji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Europos Sąjungos tikslas palaipsniui sukurti laisvės, saugumo ir teisingumo erdvę, atvirą asmenims, kurie </w:t>
            </w:r>
            <w:r w:rsidRPr="00565F80">
              <w:rPr>
                <w:b/>
                <w:i/>
                <w:color w:val="auto"/>
              </w:rPr>
              <w:t xml:space="preserve">priversti aplinkybių </w:t>
            </w:r>
            <w:r w:rsidRPr="00565F80">
              <w:rPr>
                <w:color w:val="auto"/>
              </w:rPr>
              <w:t>prašo Sąjungoje tarptautinės apsaugos, apima bendrą prieglobsčio politiką, įskaitant bendrą Europos prieglobsčio sistemą;</w:t>
            </w:r>
          </w:p>
        </w:tc>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Europos Sąjungos tikslas palaipsniui sukurti laisvės, saugumo ir teisingumo erdvę, atvirą asmenims, kurie </w:t>
            </w:r>
            <w:r w:rsidRPr="00565F80">
              <w:rPr>
                <w:b/>
                <w:i/>
                <w:color w:val="auto"/>
              </w:rPr>
              <w:t>dėl asmeninių priežasčių pagrįstai</w:t>
            </w:r>
            <w:r w:rsidRPr="00565F80">
              <w:rPr>
                <w:color w:val="auto"/>
              </w:rPr>
              <w:t xml:space="preserve"> prašo Sąjungoje tarptautinės apsaugos, apima bendrą prieglobsčio politiką, įskaitant bendrą Europos prieglobsčio sistemą;</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 xml:space="preserve">Les termes "poussés par les circonstances" semblent trop généraux et laissent penser que toute circonstance, même imprécise, pourrait justifier une protection internationale. Or les taux de refus d'une protection internationale (plus de 66% en France en 2016) démontrent </w:t>
      </w:r>
      <w:r w:rsidRPr="00565F80">
        <w:rPr>
          <w:color w:val="auto"/>
          <w:lang w:val="lt-LT"/>
        </w:rPr>
        <w:lastRenderedPageBreak/>
        <w:t>que la filière de la protection internationale est souvent détournée à des fins d'immigration clandestine contre laquelle nous devons mieux lutter. Il convient donc de rappeler que seule la situation personnelle d'un demandeur (ou de sa famille) motive au final une demande fondée de protection internationale dans l'Union.</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63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4 konstatuojamoji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(4)</w:t>
            </w:r>
            <w:r w:rsidRPr="00565F80">
              <w:rPr>
                <w:color w:val="auto"/>
              </w:rPr>
              <w:tab/>
              <w:t>Reglamento (ES) Nr. […/…] , kuriuo sukuriami valstybės narės, atsakingos už vienoje iš valstybių narių trečiosios šalies piliečio arba asmens be pilietybės pateikto tarptautinės apsaugos prašymo nagrinėjimą, nustatymo kriterijai ir mechanizmai</w:t>
            </w:r>
            <w:r w:rsidRPr="00565F80">
              <w:rPr>
                <w:rStyle w:val="Sup"/>
                <w:color w:val="auto"/>
              </w:rPr>
              <w:t>24</w:t>
            </w:r>
            <w:r w:rsidRPr="00565F80">
              <w:rPr>
                <w:color w:val="auto"/>
              </w:rPr>
              <w:t>, taikymo tikslais reikia nustatyti tarptautinės apsaugos prašytojų ir asmenų, sulaikytų dėl neteisėto Sąjungos išorės sienų kirtimo, tapatybę. Siekiant veiksmingai taikyti Reglamentą (ES) Nr. […/…] ir visų pirma jo [...] ir [...] straipsnius, taip pat pageidautina leisti kiekvienai valstybei narei patikrinti, ar jos teritorijoje nelegaliai esantis trečiosios šalies pilietis arba asmuo be pilietybės yra pateikęs prašymą suteikti tarptautinę apsaugą kitoje valstybėje narėje;</w:t>
            </w:r>
          </w:p>
        </w:tc>
        <w:tc>
          <w:tcPr>
            <w:tcW w:w="4876" w:type="dxa"/>
          </w:tcPr>
          <w:p w:rsidR="00BF668E" w:rsidRPr="00565F80" w:rsidRDefault="00BF668E" w:rsidP="00C555DE">
            <w:pPr>
              <w:pStyle w:val="Normal6"/>
              <w:rPr>
                <w:color w:val="auto"/>
              </w:rPr>
            </w:pPr>
            <w:r w:rsidRPr="00565F80">
              <w:rPr>
                <w:color w:val="auto"/>
              </w:rPr>
              <w:t>(4)</w:t>
            </w:r>
            <w:r w:rsidRPr="00565F80">
              <w:rPr>
                <w:color w:val="auto"/>
              </w:rPr>
              <w:tab/>
              <w:t>Reglamento (ES) Nr. […/…] , kuriuo sukuriami valstybės narės, atsakingos už vienoje iš valstybių narių trečiosios šalies piliečio arba asmens be pilietybės pateikto tarptautinės apsaugos prašymo nagrinėjimą, nustatymo kriterijai ir mechanizmai</w:t>
            </w:r>
            <w:r w:rsidRPr="00565F80">
              <w:rPr>
                <w:rStyle w:val="Sup"/>
                <w:color w:val="auto"/>
              </w:rPr>
              <w:t>24</w:t>
            </w:r>
            <w:r w:rsidRPr="00565F80">
              <w:rPr>
                <w:color w:val="auto"/>
              </w:rPr>
              <w:t xml:space="preserve">, </w:t>
            </w:r>
            <w:r w:rsidRPr="00565F80">
              <w:rPr>
                <w:b/>
                <w:i/>
                <w:color w:val="auto"/>
              </w:rPr>
              <w:t xml:space="preserve">ir Reglamento XXX/XXX, kuriuo nustatoma Sąjungos perkėlimo politika, </w:t>
            </w:r>
            <w:r w:rsidRPr="00565F80">
              <w:rPr>
                <w:color w:val="auto"/>
              </w:rPr>
              <w:t>taikymo tikslais reikia nustatyti tarptautinės apsaugos prašytojų</w:t>
            </w:r>
            <w:r w:rsidRPr="00565F80">
              <w:rPr>
                <w:b/>
                <w:i/>
                <w:color w:val="auto"/>
              </w:rPr>
              <w:t>, asmenų, kuriems valstybė narė ketina taikyti perkėlimo procedūrą,</w:t>
            </w:r>
            <w:r w:rsidRPr="00565F80">
              <w:rPr>
                <w:color w:val="auto"/>
              </w:rPr>
              <w:t xml:space="preserve"> ir asmenų, sulaikytų dėl neteisėto Sąjungos išorės sienų kirtimo, tapatybę. Siekiant veiksmingai taikyti Reglamentą (ES) Nr. […/…] ir visų pirma jo [...] ir [...] straipsnius, taip pat pageidautina leisti kiekvienai valstybei narei patikrinti, ar jos teritorijoje nelegaliai esantis trečiosios šalies pilietis arba asmuo be pilietybės yra pateikęs prašymą suteikti tarptautinę apsaugą kitoje valstybėje narėje;</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24</w:t>
            </w:r>
            <w:r w:rsidRPr="00565F80">
              <w:rPr>
                <w:color w:val="auto"/>
              </w:rPr>
              <w:t xml:space="preserve"> Žr. šio Oficialiojo leidinio p. 31.</w:t>
            </w:r>
          </w:p>
        </w:tc>
        <w:tc>
          <w:tcPr>
            <w:tcW w:w="4876" w:type="dxa"/>
          </w:tcPr>
          <w:p w:rsidR="00BF668E" w:rsidRPr="00565F80" w:rsidRDefault="00BF668E" w:rsidP="00C555DE">
            <w:pPr>
              <w:pStyle w:val="Normal6"/>
              <w:rPr>
                <w:color w:val="auto"/>
              </w:rPr>
            </w:pPr>
            <w:r w:rsidRPr="00565F80">
              <w:rPr>
                <w:rStyle w:val="Sup"/>
                <w:color w:val="auto"/>
              </w:rPr>
              <w:t>24</w:t>
            </w:r>
            <w:r w:rsidRPr="00565F80">
              <w:rPr>
                <w:color w:val="auto"/>
              </w:rPr>
              <w:t xml:space="preserve"> Žr. šio Oficialiojo leidinio p. 31.</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Išdėstymas nauja redakcija. Į galutinę EURODAC reglamento versiją reikia įtraukti būsimo reglamento, kuriuo bus nustatoma Sąjungos perkėlimo politika, taikymo sritį, siekiant numatyti asmenų, kuriems valstybės narės ketina taikyti perkėlimo procedūrą pagal minėto reglamento 10 straipsnio 2 dalį, registraciją.</w:t>
      </w:r>
    </w:p>
    <w:p w:rsidR="00BF668E" w:rsidRPr="00565F80" w:rsidRDefault="00BF668E" w:rsidP="00BF668E">
      <w:r w:rsidRPr="00565F80">
        <w:rPr>
          <w:rStyle w:val="HideTWBExt"/>
          <w:color w:val="auto"/>
        </w:rPr>
        <w:lastRenderedPageBreak/>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64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4 a konstatuojamoji dalis (nauja)</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(4a)</w:t>
            </w:r>
            <w:r w:rsidRPr="00565F80">
              <w:rPr>
                <w:color w:val="auto"/>
              </w:rPr>
              <w:tab/>
            </w:r>
            <w:r w:rsidRPr="00565F80">
              <w:rPr>
                <w:b/>
                <w:i/>
                <w:color w:val="auto"/>
              </w:rPr>
              <w:t>siekiant taikyti Reglamentą XXX/XXX, kuriuo nustatoma Sąjungos perkėlimo politika, valstybės narės turi į sistemą EURODAC registruoti trečiųjų šalių piliečius ar asmenis be pilietybės, kuriems ketina taikyti perkėlimo procedūrą, laikantis minėto reglamento 10 straipsnio 2 dalies;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Recast : l’article 10 de la proposition de règlement relatif à la réinstallation prévoit que les États membres enregistrent les données des personnes qu’ils entendent réinstaller et les stockent ensuite. Il n’est pas précisé dans quelle base de données celles-ci sont enregistrées. Il est donc proposé de les enregistrer directement dans Eurodac afin qu’elles puissent bénéficier des garanties offertes par le présent règlement et qu’elles soient soumises au même régime que les données des autres bénéficiaires de protection internationale. Cet enregistrement permettra aussi de pouvoir déterminer l’État membre de réinstallation et ce, afin de contrôler les mouvements secondaires comme cela est avancé par la Commission dans sa proposition.</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65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4 b konstatuojamoji dalis (nauja)</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lastRenderedPageBreak/>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(4b)</w:t>
            </w:r>
            <w:r w:rsidRPr="00565F80">
              <w:rPr>
                <w:color w:val="auto"/>
              </w:rPr>
              <w:tab/>
            </w:r>
            <w:r w:rsidRPr="00565F80">
              <w:rPr>
                <w:b/>
                <w:i/>
                <w:color w:val="auto"/>
              </w:rPr>
              <w:t>užregistravus asmenis sistemoje EUR</w:t>
            </w:r>
            <w:r w:rsidR="00881C47" w:rsidRPr="00565F80">
              <w:rPr>
                <w:b/>
                <w:i/>
                <w:color w:val="auto"/>
              </w:rPr>
              <w:t>ODAC bus užtikrinama, kad asmenim</w:t>
            </w:r>
            <w:r w:rsidRPr="00565F80">
              <w:rPr>
                <w:b/>
                <w:i/>
                <w:color w:val="auto"/>
              </w:rPr>
              <w:t xml:space="preserve">s, kuriems valstybė narė ketina taikyti perkėlimo procedūrą, bus taikoma tokia pat apsauga ir tokios pat teisės, taip pat tokios </w:t>
            </w:r>
            <w:r w:rsidR="00881C47" w:rsidRPr="00565F80">
              <w:rPr>
                <w:b/>
                <w:i/>
                <w:color w:val="auto"/>
              </w:rPr>
              <w:t>pat jų duomenų tvarkymo sąlygos</w:t>
            </w:r>
            <w:r w:rsidRPr="00565F80">
              <w:rPr>
                <w:b/>
                <w:i/>
                <w:color w:val="auto"/>
              </w:rPr>
              <w:t xml:space="preserve"> kaip ir kitiems tarptautinės apsaugos prašytojams ir gavėjams. Tai turėtų suteikti galimybę valstybėms narėms patikrinti, ar trečiųjų šalių piliečiai arba asmenys be pilietybės jau įsikūrė kitoje valstybėje narėje pagal Reglamentą XXX/XXX. Pasitvirtinus šiam faktui bus galima nustatyti, kurioje valstybėje narėje asmuo įsikūrė, ir kontroliuoti kitus galimus veiksmus;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 xml:space="preserve">Išdėstymas nauja </w:t>
      </w:r>
      <w:r w:rsidR="00881C47" w:rsidRPr="00565F80">
        <w:rPr>
          <w:color w:val="auto"/>
          <w:lang w:val="lt-LT"/>
        </w:rPr>
        <w:t>redakcija. Š</w:t>
      </w:r>
      <w:r w:rsidRPr="00565F80">
        <w:rPr>
          <w:color w:val="auto"/>
          <w:lang w:val="lt-LT"/>
        </w:rPr>
        <w:t>iuo pakeitimu siekiama paaiškinti, kodėl reikėtų registruoti perkeltų asmenų duomenis į sistemą EURODAC pagal Reglamentą XXX/XXX.</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color w:val="auto"/>
        </w:rPr>
        <w:tab/>
      </w:r>
      <w:r w:rsidRPr="00565F80">
        <w:rPr>
          <w:rStyle w:val="HideTWBExt"/>
          <w:color w:val="auto"/>
        </w:rPr>
        <w:t>&lt;NumAm&gt;</w:t>
      </w:r>
      <w:r w:rsidRPr="00565F80">
        <w:rPr>
          <w:color w:val="auto"/>
        </w:rPr>
        <w:t>66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5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(5)</w:t>
            </w:r>
            <w:r w:rsidRPr="00565F80">
              <w:rPr>
                <w:color w:val="auto"/>
              </w:rPr>
              <w:tab/>
            </w:r>
            <w:r w:rsidRPr="00565F80">
              <w:rPr>
                <w:b/>
                <w:i/>
                <w:color w:val="auto"/>
              </w:rPr>
              <w:t>biometriniai duomenys yra svarbus elementas nustatant tikrą</w:t>
            </w:r>
            <w:r w:rsidRPr="00565F80">
              <w:rPr>
                <w:color w:val="auto"/>
              </w:rPr>
              <w:t xml:space="preserve"> tokių asmenų </w:t>
            </w:r>
            <w:r w:rsidRPr="00565F80">
              <w:rPr>
                <w:b/>
                <w:i/>
                <w:color w:val="auto"/>
              </w:rPr>
              <w:t>tapatybę.</w:t>
            </w:r>
            <w:r w:rsidRPr="00565F80">
              <w:rPr>
                <w:color w:val="auto"/>
              </w:rPr>
              <w:t xml:space="preserve"> Reikia sukurti jų pirštų atspaudų ir veido atvaizdo duomenų lyginimo sistemą;</w:t>
            </w:r>
          </w:p>
        </w:tc>
        <w:tc>
          <w:tcPr>
            <w:tcW w:w="4876" w:type="dxa"/>
          </w:tcPr>
          <w:p w:rsidR="00BF668E" w:rsidRPr="00565F80" w:rsidRDefault="00BF668E" w:rsidP="00C555DE">
            <w:pPr>
              <w:pStyle w:val="Normal6"/>
              <w:rPr>
                <w:color w:val="auto"/>
              </w:rPr>
            </w:pPr>
            <w:r w:rsidRPr="00565F80">
              <w:rPr>
                <w:color w:val="auto"/>
              </w:rPr>
              <w:t>(5)</w:t>
            </w:r>
            <w:r w:rsidRPr="00565F80">
              <w:rPr>
                <w:color w:val="auto"/>
              </w:rPr>
              <w:tab/>
            </w:r>
            <w:r w:rsidRPr="00565F80">
              <w:rPr>
                <w:b/>
                <w:i/>
                <w:color w:val="auto"/>
              </w:rPr>
              <w:t xml:space="preserve">siekiant užtikrinti aukštą </w:t>
            </w:r>
            <w:r w:rsidRPr="00565F80">
              <w:rPr>
                <w:color w:val="auto"/>
              </w:rPr>
              <w:t>tokių asmenų</w:t>
            </w:r>
            <w:r w:rsidRPr="00565F80">
              <w:rPr>
                <w:b/>
                <w:i/>
                <w:color w:val="auto"/>
              </w:rPr>
              <w:t xml:space="preserve"> tapatybės nustatymo tikslumą, </w:t>
            </w:r>
            <w:r w:rsidRPr="00565F80">
              <w:rPr>
                <w:color w:val="auto"/>
              </w:rPr>
              <w:t>reikia sukurti jų pirštų atspaudų ir veido atvaizdo duomenų lyginimo sistemą;</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Pagrindinis EURODAC tikslas – registruoti ir užtikrinti aukštą asmenų, kurie patenka į tris kategorijas pagal šį reglamentą, tapatybės (pakartotinio) nustatymo tikslumą. Todėl tekste tai turėtų būti aiškiai nurodyta vienoje iš pagrindinių konstatuojamųjų dalių.</w:t>
      </w:r>
    </w:p>
    <w:p w:rsidR="00BF668E" w:rsidRPr="00565F80" w:rsidRDefault="00BF668E" w:rsidP="00BF668E">
      <w:r w:rsidRPr="00565F80">
        <w:rPr>
          <w:rStyle w:val="HideTWBExt"/>
          <w:color w:val="auto"/>
        </w:rPr>
        <w:lastRenderedPageBreak/>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67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5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(5)</w:t>
            </w:r>
            <w:r w:rsidRPr="00565F80">
              <w:rPr>
                <w:color w:val="auto"/>
              </w:rPr>
              <w:tab/>
              <w:t xml:space="preserve">biometriniai duomenys yra svarbus elementas nustatant tikrą tokių asmenų tapatybę. Reikia sukurti jų pirštų atspaudų </w:t>
            </w:r>
            <w:r w:rsidRPr="00565F80">
              <w:rPr>
                <w:b/>
                <w:i/>
                <w:color w:val="auto"/>
              </w:rPr>
              <w:t>ir</w:t>
            </w:r>
            <w:r w:rsidRPr="00565F80">
              <w:rPr>
                <w:color w:val="auto"/>
              </w:rPr>
              <w:t xml:space="preserve"> veido atvaizdo duomenų lyginimo sistemą;</w:t>
            </w:r>
          </w:p>
        </w:tc>
        <w:tc>
          <w:tcPr>
            <w:tcW w:w="4876" w:type="dxa"/>
          </w:tcPr>
          <w:p w:rsidR="00BF668E" w:rsidRPr="00565F80" w:rsidRDefault="00BF668E" w:rsidP="00C555DE">
            <w:pPr>
              <w:pStyle w:val="Normal6"/>
              <w:rPr>
                <w:color w:val="auto"/>
              </w:rPr>
            </w:pPr>
            <w:r w:rsidRPr="00565F80">
              <w:rPr>
                <w:color w:val="auto"/>
              </w:rPr>
              <w:t>(5)</w:t>
            </w:r>
            <w:r w:rsidRPr="00565F80">
              <w:rPr>
                <w:color w:val="auto"/>
              </w:rPr>
              <w:tab/>
              <w:t xml:space="preserve">biometriniai duomenys yra svarbus elementas nustatant tikrą tokių asmenų tapatybę. Reikia sukurti jų pirštų atspaudų </w:t>
            </w:r>
            <w:r w:rsidRPr="00565F80">
              <w:rPr>
                <w:b/>
                <w:i/>
                <w:color w:val="auto"/>
              </w:rPr>
              <w:t>duomenų,</w:t>
            </w:r>
            <w:r w:rsidRPr="00565F80">
              <w:rPr>
                <w:i/>
                <w:color w:val="auto"/>
              </w:rPr>
              <w:t xml:space="preserve"> </w:t>
            </w:r>
            <w:r w:rsidRPr="00565F80">
              <w:rPr>
                <w:color w:val="auto"/>
              </w:rPr>
              <w:t xml:space="preserve">veido atvaizdo duomenų </w:t>
            </w:r>
            <w:r w:rsidRPr="00565F80">
              <w:rPr>
                <w:b/>
                <w:i/>
                <w:color w:val="auto"/>
              </w:rPr>
              <w:t xml:space="preserve">arba abiejų rūšių duomenų </w:t>
            </w:r>
            <w:r w:rsidRPr="00565F80">
              <w:rPr>
                <w:color w:val="auto"/>
              </w:rPr>
              <w:t>lyginimo sistemą;</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68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6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(6)</w:t>
            </w:r>
            <w:r w:rsidRPr="00565F80">
              <w:rPr>
                <w:color w:val="auto"/>
              </w:rPr>
              <w:tab/>
              <w:t xml:space="preserve">tuo tikslu reikia sukurti sistemą, vadinamą EURODAC, kurią sudarytų centrinė sistema, valdysianti kompiuterizuotą centrinę pirštų atspaudų </w:t>
            </w:r>
            <w:r w:rsidRPr="00565F80">
              <w:rPr>
                <w:b/>
                <w:i/>
                <w:color w:val="auto"/>
              </w:rPr>
              <w:t>ir</w:t>
            </w:r>
            <w:r w:rsidRPr="00565F80">
              <w:rPr>
                <w:color w:val="auto"/>
              </w:rPr>
              <w:t xml:space="preserve"> veido atvaizdo duomenų bazę, ir elektronines duomenų perdavimo tarp valstybių narių ir centrinės sistemos (toliau – ryšių infrastruktūra) priemones;</w:t>
            </w:r>
          </w:p>
        </w:tc>
        <w:tc>
          <w:tcPr>
            <w:tcW w:w="4876" w:type="dxa"/>
          </w:tcPr>
          <w:p w:rsidR="00BF668E" w:rsidRPr="00565F80" w:rsidRDefault="00BF668E" w:rsidP="00C555DE">
            <w:pPr>
              <w:pStyle w:val="Normal6"/>
              <w:rPr>
                <w:color w:val="auto"/>
              </w:rPr>
            </w:pPr>
            <w:r w:rsidRPr="00565F80">
              <w:rPr>
                <w:color w:val="auto"/>
              </w:rPr>
              <w:t>(6)</w:t>
            </w:r>
            <w:r w:rsidRPr="00565F80">
              <w:rPr>
                <w:color w:val="auto"/>
              </w:rPr>
              <w:tab/>
              <w:t xml:space="preserve">tuo tikslu reikia sukurti sistemą, vadinamą EURODAC, kurią sudarytų centrinė sistema, valdysianti kompiuterizuotą centrinę pirštų atspaudų </w:t>
            </w:r>
            <w:r w:rsidRPr="00565F80">
              <w:rPr>
                <w:b/>
                <w:i/>
                <w:color w:val="auto"/>
              </w:rPr>
              <w:t xml:space="preserve">duomenų, </w:t>
            </w:r>
            <w:r w:rsidRPr="00565F80">
              <w:rPr>
                <w:color w:val="auto"/>
              </w:rPr>
              <w:t xml:space="preserve">veido atvaizdo duomenų </w:t>
            </w:r>
            <w:r w:rsidRPr="00565F80">
              <w:rPr>
                <w:b/>
                <w:i/>
                <w:color w:val="auto"/>
              </w:rPr>
              <w:t xml:space="preserve">arba abiejų rūšių duomenų </w:t>
            </w:r>
            <w:r w:rsidRPr="00565F80">
              <w:rPr>
                <w:color w:val="auto"/>
              </w:rPr>
              <w:t>bazę, ir elektronines duomenų perdavimo tarp valstybių narių ir centrinės sistemos (toliau – ryšių infrastruktūra) priemones;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69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lastRenderedPageBreak/>
        <w:t>&lt;Article&gt;</w:t>
      </w:r>
      <w:r w:rsidRPr="00565F80">
        <w:rPr>
          <w:color w:val="auto"/>
        </w:rPr>
        <w:t>6 a konstatuojamoji dalis (nauja)</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(6a)</w:t>
            </w:r>
            <w:r w:rsidRPr="00565F80">
              <w:rPr>
                <w:color w:val="auto"/>
              </w:rPr>
              <w:tab/>
            </w:r>
            <w:r w:rsidRPr="00565F80">
              <w:rPr>
                <w:b/>
                <w:i/>
                <w:color w:val="auto"/>
              </w:rPr>
              <w:t>Europos didelės apimties IT sistemų laisvės, saugumo ir teisingumo erdvėje operacijų valdymo agentūra („eu-LISA“) turėtų atlikti tyrimą siekdama nustatyti, ar teisingumo ir vidaus reikalų srityje reikėtų suderinti įvairių ES duomenų bankų biometrinių identifikatorių derinius TVR srityje. Visų pirma</w:t>
            </w:r>
            <w:r w:rsidR="00881C47" w:rsidRPr="00565F80">
              <w:rPr>
                <w:b/>
                <w:i/>
                <w:color w:val="auto"/>
              </w:rPr>
              <w:t>,</w:t>
            </w:r>
            <w:r w:rsidRPr="00565F80">
              <w:rPr>
                <w:b/>
                <w:i/>
                <w:color w:val="auto"/>
              </w:rPr>
              <w:t xml:space="preserve"> ar reikėtų EURODAC identifikatorių skaičių sumažinti iki keturių pirštų atspaudų ir vieno veido atvaizdo, kaip tai padaryta atvykimo ir išvykimo sistemos atveju pagal Europos Parlamento ir Tarybos reglamentą (ES) .../...;</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Išdėstymas nauja redakcija. Reikėtų suderinti įvairių ES duomenų bankų biometrinių identifikatorių derinius TVR srityje.</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70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9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(9)</w:t>
            </w:r>
            <w:r w:rsidRPr="00565F80">
              <w:rPr>
                <w:color w:val="auto"/>
              </w:rPr>
              <w:tab/>
            </w:r>
            <w:smartTag w:uri="urn:schemas-microsoft-com:office:smarttags" w:element="metricconverter">
              <w:smartTagPr>
                <w:attr w:name="ProductID" w:val="2015 m"/>
              </w:smartTagPr>
              <w:r w:rsidRPr="00565F80">
                <w:rPr>
                  <w:b/>
                  <w:i/>
                  <w:color w:val="auto"/>
                </w:rPr>
                <w:t>2015 m</w:t>
              </w:r>
            </w:smartTag>
            <w:r w:rsidRPr="00565F80">
              <w:rPr>
                <w:b/>
                <w:i/>
                <w:color w:val="auto"/>
              </w:rPr>
              <w:t>. pabėgėlių ir migracijos krizė išryškino sunkumus, kurių kai kurios valstybės narės patyrė siekdamos paimti pirštų atspaudus iš neteisėtai esančių trečiųjų šalių piliečių arba asmenų be pilietybės, siekusių išvengti procedūrų, skirtų valstybei narei, atsakingai už tarptautinės apsaugos prašymo nagrinėjimą, nustatyti.</w:t>
            </w:r>
            <w:r w:rsidRPr="00565F80">
              <w:rPr>
                <w:color w:val="auto"/>
              </w:rPr>
              <w:t xml:space="preserve"> </w:t>
            </w:r>
            <w:smartTag w:uri="urn:schemas-microsoft-com:office:smarttags" w:element="metricconverter">
              <w:smartTagPr>
                <w:attr w:name="ProductID" w:val="2015 m"/>
              </w:smartTagPr>
              <w:r w:rsidRPr="00565F80">
                <w:rPr>
                  <w:color w:val="auto"/>
                </w:rPr>
                <w:t>2015 m</w:t>
              </w:r>
            </w:smartTag>
            <w:r w:rsidRPr="00565F80">
              <w:rPr>
                <w:color w:val="auto"/>
              </w:rPr>
              <w:t>. gegužės 13 d. Komisijos komunikate „Europos migracijos darbotvarkė“</w:t>
            </w:r>
            <w:r w:rsidRPr="00565F80">
              <w:rPr>
                <w:rStyle w:val="Sup"/>
                <w:color w:val="auto"/>
              </w:rPr>
              <w:t>25</w:t>
            </w:r>
            <w:r w:rsidRPr="00565F80">
              <w:rPr>
                <w:color w:val="auto"/>
              </w:rPr>
              <w:t xml:space="preserve"> nurodyta, kad „valstybės narės taip pat </w:t>
            </w:r>
            <w:r w:rsidRPr="00565F80">
              <w:rPr>
                <w:color w:val="auto"/>
              </w:rPr>
              <w:lastRenderedPageBreak/>
              <w:t>privalo visapusiškai taikyti migrantų pirštų atspaudų ėmimo prie sienų taisykles“ ir kad „Komisija taip pat tirs, kaip naudojant sistemą EURODAC galima panaudoti daugiau biometrinių identifikatorių (pavyzdžiui, taikyti veido atpažinimo metodus atpažinimui iš skaitmeninių nuotraukų)“;</w:t>
            </w:r>
          </w:p>
        </w:tc>
        <w:tc>
          <w:tcPr>
            <w:tcW w:w="4876" w:type="dxa"/>
          </w:tcPr>
          <w:p w:rsidR="00BF668E" w:rsidRPr="00565F80" w:rsidRDefault="00BF668E" w:rsidP="00C555DE">
            <w:pPr>
              <w:pStyle w:val="Normal6"/>
              <w:rPr>
                <w:color w:val="auto"/>
              </w:rPr>
            </w:pPr>
            <w:r w:rsidRPr="00565F80">
              <w:rPr>
                <w:color w:val="auto"/>
              </w:rPr>
              <w:lastRenderedPageBreak/>
              <w:t>(9)</w:t>
            </w:r>
            <w:r w:rsidRPr="00565F80">
              <w:rPr>
                <w:color w:val="auto"/>
              </w:rPr>
              <w:tab/>
            </w:r>
            <w:smartTag w:uri="urn:schemas-microsoft-com:office:smarttags" w:element="metricconverter">
              <w:smartTagPr>
                <w:attr w:name="ProductID" w:val="2015 m"/>
              </w:smartTagPr>
              <w:r w:rsidRPr="00565F80">
                <w:rPr>
                  <w:color w:val="auto"/>
                </w:rPr>
                <w:t>2015 m</w:t>
              </w:r>
            </w:smartTag>
            <w:r w:rsidRPr="00565F80">
              <w:rPr>
                <w:color w:val="auto"/>
              </w:rPr>
              <w:t>. gegužės 13 d. Komisijos komunikate „Europos migracijos darbotvarkė“</w:t>
            </w:r>
            <w:r w:rsidRPr="00565F80">
              <w:rPr>
                <w:rStyle w:val="Sup"/>
                <w:color w:val="auto"/>
              </w:rPr>
              <w:t>25</w:t>
            </w:r>
            <w:r w:rsidRPr="00565F80">
              <w:rPr>
                <w:color w:val="auto"/>
              </w:rPr>
              <w:t xml:space="preserve"> nurodyta, kad „valstybės narės taip pat privalo visapusiškai taikyti migrantų pirštų atspaudų ėmimo prie sienų taisykles“ ir kad „Komisija taip pat tirs, kaip naudojant sistemą EURODAC galima panaudoti daugiau biometrinių identifikatorių (pavyzdžiui, taikyti veido atpažinimo metodus atpažinimui iš skaitmeninių nuotraukų)“;</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25</w:t>
            </w:r>
            <w:r w:rsidRPr="00565F80">
              <w:rPr>
                <w:color w:val="auto"/>
              </w:rPr>
              <w:t xml:space="preserve"> COM(2015) 240 </w:t>
            </w:r>
            <w:r w:rsidRPr="00565F80">
              <w:rPr>
                <w:i/>
                <w:color w:val="auto"/>
              </w:rPr>
              <w:t>final</w:t>
            </w:r>
            <w:r w:rsidRPr="00565F80">
              <w:rPr>
                <w:color w:val="auto"/>
              </w:rPr>
              <w:t>, 2015 5 13.</w:t>
            </w:r>
          </w:p>
        </w:tc>
        <w:tc>
          <w:tcPr>
            <w:tcW w:w="4876" w:type="dxa"/>
          </w:tcPr>
          <w:p w:rsidR="00BF668E" w:rsidRPr="00565F80" w:rsidRDefault="00BF668E" w:rsidP="00C555DE">
            <w:pPr>
              <w:pStyle w:val="Normal6"/>
              <w:rPr>
                <w:color w:val="auto"/>
              </w:rPr>
            </w:pPr>
            <w:r w:rsidRPr="00565F80">
              <w:rPr>
                <w:rStyle w:val="Sup"/>
                <w:color w:val="auto"/>
              </w:rPr>
              <w:t>25</w:t>
            </w:r>
            <w:r w:rsidRPr="00565F80">
              <w:rPr>
                <w:color w:val="auto"/>
              </w:rPr>
              <w:t xml:space="preserve"> COM(2015) 240 </w:t>
            </w:r>
            <w:r w:rsidRPr="00565F80">
              <w:rPr>
                <w:i/>
                <w:color w:val="auto"/>
              </w:rPr>
              <w:t>final</w:t>
            </w:r>
            <w:r w:rsidRPr="00565F80">
              <w:rPr>
                <w:color w:val="auto"/>
              </w:rPr>
              <w:t>, 2015 5 13.</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71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10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(10)</w:t>
            </w:r>
            <w:r w:rsidRPr="00565F80">
              <w:rPr>
                <w:color w:val="auto"/>
              </w:rPr>
              <w:tab/>
              <w:t xml:space="preserve">siekiant padėti valstybėms narėms įveikti sunkumus, susijusius su pirštų atspaudų ėmimo tvarkos nesilaikymu, </w:t>
            </w:r>
            <w:r w:rsidRPr="00565F80">
              <w:rPr>
                <w:b/>
                <w:i/>
                <w:color w:val="auto"/>
              </w:rPr>
              <w:t xml:space="preserve">šiuo reglamentu, jei nėra kitos išeities, taip pat leidžiama lyginti veido atvaizdą be pirštų atspaudų, jei paimti trečiosios šalies piliečio arba asmens be pilietybės pirštų atspaudų yra neįmanoma, nes jo pirštų pagalvėlės yra – tyčia arba netyčia – sužalotos arba nupjautos. Valstybės narės </w:t>
            </w:r>
            <w:r w:rsidRPr="00565F80">
              <w:rPr>
                <w:color w:val="auto"/>
              </w:rPr>
              <w:t xml:space="preserve">turėtų </w:t>
            </w:r>
            <w:r w:rsidRPr="00565F80">
              <w:rPr>
                <w:b/>
                <w:i/>
                <w:color w:val="auto"/>
              </w:rPr>
              <w:t xml:space="preserve">išnaudoti visas įmanomas galimybes paimti duomenų subjekto pirštų atspaudus prieš atlikdamos palyginimą naudodamosi vien veido atvaizdu, jei nurodomos tvarkos nesilaikymas grindžiamas priežastimis, nesusijusiomis su asmens pirštų pagalvėlių būkle. Tais atvejais, kai veido atvaizdai naudojami kartu su pirštų atspaudų duomenimis, galima sumažinti registruojamų pirštų atspaudų kiekį ir sudaromos sąlygos pasiekti tokį pat tapatybės nustatymo </w:t>
            </w:r>
            <w:r w:rsidRPr="00565F80">
              <w:rPr>
                <w:b/>
                <w:i/>
                <w:color w:val="auto"/>
              </w:rPr>
              <w:lastRenderedPageBreak/>
              <w:t>tikslumo rezultatą</w:t>
            </w:r>
            <w:r w:rsidRPr="00565F80">
              <w:rPr>
                <w:color w:val="auto"/>
              </w:rPr>
              <w:t>;</w:t>
            </w:r>
          </w:p>
        </w:tc>
        <w:tc>
          <w:tcPr>
            <w:tcW w:w="4876" w:type="dxa"/>
          </w:tcPr>
          <w:p w:rsidR="00BF668E" w:rsidRPr="00565F80" w:rsidRDefault="00BF668E" w:rsidP="00C555DE">
            <w:pPr>
              <w:pStyle w:val="Normal6"/>
              <w:rPr>
                <w:color w:val="auto"/>
              </w:rPr>
            </w:pPr>
            <w:r w:rsidRPr="00565F80">
              <w:rPr>
                <w:color w:val="auto"/>
              </w:rPr>
              <w:lastRenderedPageBreak/>
              <w:t>(10)</w:t>
            </w:r>
            <w:r w:rsidRPr="00565F80">
              <w:rPr>
                <w:color w:val="auto"/>
              </w:rPr>
              <w:tab/>
              <w:t xml:space="preserve">siekiant padėti valstybėms narėms įveikti sunkumus, susijusius su pirštų atspaudų ėmimo tvarkos nesilaikymu, </w:t>
            </w:r>
            <w:r w:rsidRPr="00565F80">
              <w:rPr>
                <w:b/>
                <w:i/>
                <w:color w:val="auto"/>
              </w:rPr>
              <w:t>šis reglamentas</w:t>
            </w:r>
            <w:r w:rsidRPr="00565F80">
              <w:rPr>
                <w:color w:val="auto"/>
              </w:rPr>
              <w:t xml:space="preserve"> turėtų </w:t>
            </w:r>
            <w:r w:rsidRPr="00565F80">
              <w:rPr>
                <w:b/>
                <w:i/>
                <w:color w:val="auto"/>
              </w:rPr>
              <w:t xml:space="preserve">būti įgyvendintas pagal Europos Sąjungos pagrindinių teisių agentūros gaires, nustatytas </w:t>
            </w:r>
            <w:smartTag w:uri="urn:schemas-microsoft-com:office:smarttags" w:element="metricconverter">
              <w:smartTagPr>
                <w:attr w:name="ProductID" w:val="2015 m"/>
              </w:smartTagPr>
              <w:r w:rsidRPr="00565F80">
                <w:rPr>
                  <w:b/>
                  <w:i/>
                  <w:color w:val="auto"/>
                </w:rPr>
                <w:t>2015 m</w:t>
              </w:r>
            </w:smartTag>
            <w:r w:rsidRPr="00565F80">
              <w:rPr>
                <w:b/>
                <w:i/>
                <w:color w:val="auto"/>
              </w:rPr>
              <w:t>. gegužės mėn. prioritetiniame dokumente „Prievolės teikti pirštų atspaudus EURODAC padariniai pagrindinėms teisėms“</w:t>
            </w:r>
            <w:r w:rsidRPr="00565F80">
              <w:rPr>
                <w:rStyle w:val="SupBoldItalic"/>
                <w:color w:val="auto"/>
              </w:rPr>
              <w:t>1a</w:t>
            </w:r>
            <w:r w:rsidRPr="00565F80">
              <w:rPr>
                <w:color w:val="auto"/>
              </w:rPr>
              <w:t>;</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rStyle w:val="SupBoldItalic"/>
                <w:color w:val="auto"/>
              </w:rPr>
              <w:t>1a</w:t>
            </w:r>
            <w:r w:rsidRPr="00565F80">
              <w:rPr>
                <w:color w:val="auto"/>
              </w:rPr>
              <w:t xml:space="preserve"> </w:t>
            </w:r>
            <w:r w:rsidRPr="00565F80">
              <w:rPr>
                <w:b/>
                <w:i/>
                <w:color w:val="auto"/>
              </w:rPr>
              <w:t>http://fra.europa.eu/sites/default/files/fra_uploads/fra-2015-fingerprinting-focus-paper_en.pdf</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72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10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(10)</w:t>
            </w:r>
            <w:r w:rsidRPr="00565F80">
              <w:rPr>
                <w:color w:val="auto"/>
              </w:rPr>
              <w:tab/>
              <w:t>siekiant padėti valstybėms narėms įveikti sunkumus,</w:t>
            </w:r>
            <w:r w:rsidRPr="00565F80">
              <w:rPr>
                <w:b/>
                <w:i/>
                <w:color w:val="auto"/>
              </w:rPr>
              <w:t xml:space="preserve"> susijusius su pirštų atspaudų ėmimo tvarkos nesilaikymu, šiuo reglamentu, jei nėra kitos išeities, taip pat leidžiama lyginti veido atvaizdą be pirštų atspaudų,</w:t>
            </w:r>
            <w:r w:rsidRPr="00565F80">
              <w:rPr>
                <w:color w:val="auto"/>
              </w:rPr>
              <w:t xml:space="preserve"> jei paimti trečiosios šalies piliečio arba asmens be pilietybės pirštų atspaudų yra neįmanoma, nes jo pirštų pagalvėlės yra – tyčia arba netyčia – sužalotos arba nupjautos. Valstybės narės turėtų išnaudoti visas įmanomas galimybes paimti duomenų subjekto pirštų atspaudus prieš atlikdamos palyginimą naudodamosi vien veido atvaizdu</w:t>
            </w:r>
            <w:r w:rsidRPr="00565F80">
              <w:rPr>
                <w:b/>
                <w:i/>
                <w:color w:val="auto"/>
              </w:rPr>
              <w:t>, jei nurodomos tvarkos nesilaikymas grindžiamas priežastimis, nesusijusiomis su asmens pirštų pagalvėlių būkle. Tais atvejais, kai veido atvaizdai naudojami kartu su pirštų atspaudų duomenimis, galima sumažinti registruojamų pirštų atspaudų kiekį ir sudaromos sąlygos pasiekti tokį pat tapatybės nustatymo tikslumo rezultatą</w:t>
            </w:r>
            <w:r w:rsidRPr="00565F80">
              <w:rPr>
                <w:color w:val="auto"/>
              </w:rPr>
              <w:t>;</w:t>
            </w:r>
          </w:p>
        </w:tc>
        <w:tc>
          <w:tcPr>
            <w:tcW w:w="4876" w:type="dxa"/>
          </w:tcPr>
          <w:p w:rsidR="00BF668E" w:rsidRPr="00565F80" w:rsidRDefault="00BF668E" w:rsidP="00754F41">
            <w:pPr>
              <w:pStyle w:val="Normal6"/>
              <w:rPr>
                <w:color w:val="auto"/>
              </w:rPr>
            </w:pPr>
            <w:r w:rsidRPr="00565F80">
              <w:rPr>
                <w:color w:val="auto"/>
              </w:rPr>
              <w:t>(10)</w:t>
            </w:r>
            <w:r w:rsidRPr="00565F80">
              <w:rPr>
                <w:color w:val="auto"/>
              </w:rPr>
              <w:tab/>
            </w:r>
            <w:r w:rsidRPr="00565F80">
              <w:rPr>
                <w:b/>
                <w:i/>
                <w:color w:val="auto"/>
              </w:rPr>
              <w:t xml:space="preserve">siekiant užtikrinti aukštą tapatybės nustatymo tikslumą, pirmenybė </w:t>
            </w:r>
            <w:r w:rsidR="00754F41" w:rsidRPr="00565F80">
              <w:rPr>
                <w:b/>
                <w:i/>
                <w:color w:val="auto"/>
              </w:rPr>
              <w:t>visada turėtų būti teikiama pirštų atspaudams, o ne</w:t>
            </w:r>
            <w:r w:rsidRPr="00565F80">
              <w:rPr>
                <w:b/>
                <w:i/>
                <w:color w:val="auto"/>
              </w:rPr>
              <w:t xml:space="preserve"> veido atvaizdams. </w:t>
            </w:r>
            <w:r w:rsidRPr="00565F80">
              <w:rPr>
                <w:color w:val="auto"/>
              </w:rPr>
              <w:t xml:space="preserve">Siekiant padėti valstybėms narėms įveikti sunkumus, jei paimti trečiosios šalies piliečio arba asmens be pilietybės pirštų atspaudų yra neįmanoma, nes jo pirštų pagalvėlės yra – tyčia arba netyčia – sužalotos arba nupjautos, </w:t>
            </w:r>
            <w:r w:rsidRPr="00565F80">
              <w:rPr>
                <w:b/>
                <w:i/>
                <w:color w:val="auto"/>
              </w:rPr>
              <w:t>šiuo reglamentu taip pat turėtų būti leidžiama registruoti ir palyginti veido atvaizdą be pirštų atspaudų</w:t>
            </w:r>
            <w:r w:rsidRPr="00565F80">
              <w:rPr>
                <w:color w:val="auto"/>
              </w:rPr>
              <w:t>. Valstybės narės turėtų išnaudoti visas įmanomas galimybes paimti duomenų subjekto pirštų atspaudus prieš atlikdamos palyginimą naudodamosi vien veido atvaizdu;</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73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Monika Hohlmeier, Heinz K. Becker, Rachida Dati, Brice Hortefeux, Artis Pabriks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lastRenderedPageBreak/>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10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(10)</w:t>
            </w:r>
            <w:r w:rsidRPr="00565F80">
              <w:rPr>
                <w:color w:val="auto"/>
              </w:rPr>
              <w:tab/>
              <w:t xml:space="preserve">siekiant padėti valstybėms narėms įveikti sunkumus, susijusius su pirštų atspaudų ėmimo tvarkos nesilaikymu, šiuo reglamentu, jei nėra kitos išeities, taip pat leidžiama lyginti veido atvaizdą be pirštų atspaudų, jei paimti trečiosios šalies piliečio arba asmens be pilietybės pirštų atspaudų yra neįmanoma, nes jo pirštų pagalvėlės yra – tyčia arba netyčia – sužalotos arba nupjautos. Valstybės narės turėtų išnaudoti visas įmanomas galimybes paimti duomenų subjekto pirštų atspaudus prieš atlikdamos palyginimą naudodamosi vien veido atvaizdu, jei nurodomos tvarkos nesilaikymas grindžiamas priežastimis, nesusijusiomis su asmens pirštų pagalvėlių būkle. Tais atvejais, kai veido atvaizdai naudojami kartu su pirštų atspaudų duomenimis, galima sumažinti registruojamų pirštų atspaudų kiekį </w:t>
            </w:r>
            <w:r w:rsidRPr="00565F80">
              <w:rPr>
                <w:b/>
                <w:i/>
                <w:color w:val="auto"/>
              </w:rPr>
              <w:t>ir</w:t>
            </w:r>
            <w:r w:rsidRPr="00565F80">
              <w:rPr>
                <w:color w:val="auto"/>
              </w:rPr>
              <w:t xml:space="preserve"> sudaromos sąlygos pasiekti tokį pat tapatybės nustatymo tikslumo rezultatą;</w:t>
            </w:r>
          </w:p>
        </w:tc>
        <w:tc>
          <w:tcPr>
            <w:tcW w:w="4876" w:type="dxa"/>
          </w:tcPr>
          <w:p w:rsidR="00BF668E" w:rsidRPr="00565F80" w:rsidRDefault="00BF668E" w:rsidP="00C555DE">
            <w:pPr>
              <w:pStyle w:val="Normal6"/>
              <w:rPr>
                <w:color w:val="auto"/>
              </w:rPr>
            </w:pPr>
            <w:r w:rsidRPr="00565F80">
              <w:rPr>
                <w:color w:val="auto"/>
              </w:rPr>
              <w:t>(10)</w:t>
            </w:r>
            <w:r w:rsidRPr="00565F80">
              <w:rPr>
                <w:color w:val="auto"/>
              </w:rPr>
              <w:tab/>
              <w:t xml:space="preserve">siekiant padėti valstybėms narėms įveikti sunkumus, susijusius su pirštų atspaudų ėmimo tvarkos nesilaikymu, šiuo reglamentu, jei nėra kitos išeities, taip pat leidžiama lyginti veido atvaizdą be pirštų atspaudų, jei paimti trečiosios šalies piliečio arba asmens be pilietybės pirštų atspaudų yra neįmanoma, nes jo pirštų pagalvėlės yra – tyčia arba netyčia – sužalotos arba nupjautos. </w:t>
            </w:r>
            <w:r w:rsidRPr="00565F80">
              <w:rPr>
                <w:b/>
                <w:i/>
                <w:color w:val="auto"/>
              </w:rPr>
              <w:t>Jei fizinis negalimumas duoti pirštų atspaudus yra laikino pobūdžio, jis turėtų būti registruojamas, o pirštų atspaudų ėmimo procesas turėtų būti atliekamas vėliau, kai atkuriamas pirštų atspaudų fizinis vientisumas.</w:t>
            </w:r>
            <w:r w:rsidRPr="00565F80">
              <w:rPr>
                <w:color w:val="auto"/>
              </w:rPr>
              <w:t xml:space="preserve"> Valstybės narės turėtų išnaudoti visas įmanomas galimybes paimti duomenų subjekto pirštų atspaudus prieš atlikdamos palyginimą naudodamosi vien veido atvaizdu, jei nurodomos tvarkos nesilaikymas grindžiamas priežastimis, nesusijusiomis su asmens pirštų pagalvėlių būkle. Tais atvejais, kai </w:t>
            </w:r>
            <w:r w:rsidRPr="00565F80">
              <w:rPr>
                <w:b/>
                <w:i/>
                <w:color w:val="auto"/>
              </w:rPr>
              <w:t>tinkamos raiškos ir kokybės</w:t>
            </w:r>
            <w:r w:rsidRPr="00565F80">
              <w:rPr>
                <w:color w:val="auto"/>
              </w:rPr>
              <w:t xml:space="preserve"> veido atvaizdai </w:t>
            </w:r>
            <w:r w:rsidRPr="00565F80">
              <w:rPr>
                <w:b/>
                <w:i/>
                <w:color w:val="auto"/>
              </w:rPr>
              <w:t xml:space="preserve">yra </w:t>
            </w:r>
            <w:r w:rsidRPr="00565F80">
              <w:rPr>
                <w:color w:val="auto"/>
              </w:rPr>
              <w:t xml:space="preserve">naudojami </w:t>
            </w:r>
            <w:r w:rsidRPr="00565F80">
              <w:rPr>
                <w:b/>
                <w:i/>
                <w:color w:val="auto"/>
              </w:rPr>
              <w:t>automatiškai nustatant biometrinių duomenų atitiktį</w:t>
            </w:r>
            <w:r w:rsidRPr="00565F80">
              <w:rPr>
                <w:color w:val="auto"/>
              </w:rPr>
              <w:t xml:space="preserve"> kartu su pirštų atspaudų duomenimis, </w:t>
            </w:r>
            <w:r w:rsidRPr="00565F80">
              <w:rPr>
                <w:b/>
                <w:i/>
                <w:color w:val="auto"/>
              </w:rPr>
              <w:t xml:space="preserve">turėtų būti </w:t>
            </w:r>
            <w:r w:rsidRPr="00565F80">
              <w:rPr>
                <w:color w:val="auto"/>
              </w:rPr>
              <w:t xml:space="preserve">galima </w:t>
            </w:r>
            <w:r w:rsidRPr="00565F80">
              <w:rPr>
                <w:b/>
                <w:i/>
                <w:color w:val="auto"/>
              </w:rPr>
              <w:t xml:space="preserve">apsvarstyti galimybę </w:t>
            </w:r>
            <w:r w:rsidRPr="00565F80">
              <w:rPr>
                <w:color w:val="auto"/>
              </w:rPr>
              <w:t>sumažinti registruojamų pirštų atspaudų kiekį</w:t>
            </w:r>
            <w:r w:rsidRPr="00565F80">
              <w:rPr>
                <w:b/>
                <w:i/>
                <w:color w:val="auto"/>
              </w:rPr>
              <w:t>, jeigu</w:t>
            </w:r>
            <w:r w:rsidRPr="00565F80">
              <w:rPr>
                <w:color w:val="auto"/>
              </w:rPr>
              <w:t xml:space="preserve"> </w:t>
            </w:r>
            <w:r w:rsidRPr="00565F80">
              <w:rPr>
                <w:b/>
                <w:i/>
                <w:color w:val="auto"/>
              </w:rPr>
              <w:t>tuo</w:t>
            </w:r>
            <w:r w:rsidRPr="00565F80">
              <w:rPr>
                <w:i/>
                <w:color w:val="auto"/>
              </w:rPr>
              <w:t xml:space="preserve"> </w:t>
            </w:r>
            <w:r w:rsidRPr="00565F80">
              <w:rPr>
                <w:color w:val="auto"/>
              </w:rPr>
              <w:t>sudaromos sąlygos pasiekti tokį pat tapatybės nustatymo tikslumo rezultatą;</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74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lastRenderedPageBreak/>
        <w:t>&lt;Article&gt;</w:t>
      </w:r>
      <w:r w:rsidRPr="00565F80">
        <w:rPr>
          <w:color w:val="auto"/>
        </w:rPr>
        <w:t>11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(11)</w:t>
            </w:r>
            <w:r w:rsidRPr="00565F80">
              <w:rPr>
                <w:color w:val="auto"/>
              </w:rPr>
              <w:tab/>
            </w:r>
            <w:r w:rsidRPr="00565F80">
              <w:rPr>
                <w:b/>
                <w:i/>
                <w:color w:val="auto"/>
              </w:rPr>
              <w:t>trečiųjų šalių piliečių, neturinčių teisės būti Sąjungoje, grąžinimas laikantis tokių pagrindinių teisių kaip Sąjungos teisės ir tarptautinės teisės bendrieji principai, įskaitant įsipareigojimus pabėgėlių apsaugos ir žmogaus teisių srityse, ir vadovaujantis Direktyvos 2008/115/EB</w:t>
            </w:r>
            <w:r w:rsidRPr="00565F80">
              <w:rPr>
                <w:rStyle w:val="SupBoldItalic"/>
                <w:color w:val="auto"/>
              </w:rPr>
              <w:t>26</w:t>
            </w:r>
            <w:r w:rsidRPr="00565F80">
              <w:rPr>
                <w:color w:val="auto"/>
              </w:rPr>
              <w:t xml:space="preserve"> </w:t>
            </w:r>
            <w:r w:rsidRPr="00565F80">
              <w:rPr>
                <w:b/>
                <w:i/>
                <w:color w:val="auto"/>
              </w:rPr>
              <w:t>nuostatomis yra esminė visapusiškų ES pastangų spręsti migracijos problemas ir visų pirma sustiprinti grąžinimą, kaip atgrasomąją priemonę nuo neteisėtos migracijos, dalis. Siekiant išsaugoti visuomenės pasitikėjimą Sąjungos migracijos ir prieglobsčio sistema, reikia didinti Sąjungos taikomos neteisėtai jos teritorijoje esančių trečiųjų šalių piliečių grąžinimo sistemos veiksmingumą ir drauge dėti pastangas apsaugoti tuos, kuriems reikia apsaugos;</w:t>
            </w:r>
          </w:p>
        </w:tc>
        <w:tc>
          <w:tcPr>
            <w:tcW w:w="4876" w:type="dxa"/>
          </w:tcPr>
          <w:p w:rsidR="00BF668E" w:rsidRPr="00565F80" w:rsidRDefault="00BF668E" w:rsidP="00C555DE">
            <w:pPr>
              <w:pStyle w:val="Normal6"/>
              <w:rPr>
                <w:color w:val="auto"/>
              </w:rPr>
            </w:pPr>
            <w:r w:rsidRPr="00565F80">
              <w:rPr>
                <w:b/>
                <w:i/>
                <w:color w:val="auto"/>
              </w:rPr>
              <w:t>Išbraukta.</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_________________</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BoldItalic"/>
                <w:color w:val="auto"/>
              </w:rPr>
              <w:t>26</w:t>
            </w:r>
            <w:r w:rsidRPr="00565F80">
              <w:rPr>
                <w:color w:val="auto"/>
              </w:rPr>
              <w:t xml:space="preserve"> </w:t>
            </w:r>
            <w:r w:rsidRPr="00565F80">
              <w:rPr>
                <w:b/>
                <w:i/>
                <w:color w:val="auto"/>
              </w:rPr>
              <w:t>2008 m. gruodžio 16 d. Europos Parlamento ir Tarybos direktyva dėl bendrų nelegaliai esančių trečiųjų šalių piliečių grąžinimo standartų ir tvarkos valstybėse narėse (OL L 348, 2008 12 24, p. 98).</w:t>
            </w:r>
          </w:p>
        </w:tc>
        <w:tc>
          <w:tcPr>
            <w:tcW w:w="4876" w:type="dxa"/>
          </w:tcPr>
          <w:p w:rsidR="00BF668E" w:rsidRPr="00565F80" w:rsidRDefault="00BF668E" w:rsidP="00C555DE">
            <w:pPr>
              <w:pStyle w:val="Normal6"/>
              <w:rPr>
                <w:color w:val="auto"/>
              </w:rPr>
            </w:pP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75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11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(11)</w:t>
            </w:r>
            <w:r w:rsidRPr="00565F80">
              <w:rPr>
                <w:color w:val="auto"/>
              </w:rPr>
              <w:tab/>
              <w:t xml:space="preserve">trečiųjų šalių piliečių, neturinčių teisės būti Sąjungoje, grąžinimas laikantis tokių pagrindinių teisių kaip Sąjungos teisės ir tarptautinės teisės bendrieji principai, įskaitant įsipareigojimus </w:t>
            </w:r>
            <w:r w:rsidRPr="00565F80">
              <w:rPr>
                <w:color w:val="auto"/>
              </w:rPr>
              <w:lastRenderedPageBreak/>
              <w:t>pabėgėlių apsaugos ir žmogaus teisių srityse, ir vadovaujantis Direktyvos 2008/115/EB</w:t>
            </w:r>
            <w:r w:rsidRPr="00565F80">
              <w:rPr>
                <w:rStyle w:val="Sup"/>
                <w:color w:val="auto"/>
              </w:rPr>
              <w:t>26</w:t>
            </w:r>
            <w:r w:rsidRPr="00565F80">
              <w:rPr>
                <w:color w:val="auto"/>
              </w:rPr>
              <w:t xml:space="preserve"> nuostatomis yra </w:t>
            </w:r>
            <w:r w:rsidRPr="00565F80">
              <w:rPr>
                <w:b/>
                <w:i/>
                <w:color w:val="auto"/>
              </w:rPr>
              <w:t>esminė</w:t>
            </w:r>
            <w:r w:rsidRPr="00565F80">
              <w:rPr>
                <w:color w:val="auto"/>
              </w:rPr>
              <w:t xml:space="preserve"> </w:t>
            </w:r>
            <w:r w:rsidRPr="00565F80">
              <w:rPr>
                <w:b/>
                <w:i/>
                <w:color w:val="auto"/>
              </w:rPr>
              <w:t>visapusiškų ES pastangų spręsti migracijos problemas ir visų pirma sustiprinti grąžinimą, kaip atgrasomąją priemonę nuo neteisėtos migracijos,</w:t>
            </w:r>
            <w:r w:rsidRPr="00565F80">
              <w:rPr>
                <w:color w:val="auto"/>
              </w:rPr>
              <w:t xml:space="preserve"> </w:t>
            </w:r>
            <w:r w:rsidRPr="00565F80">
              <w:rPr>
                <w:b/>
                <w:i/>
                <w:color w:val="auto"/>
              </w:rPr>
              <w:t>dalis</w:t>
            </w:r>
            <w:r w:rsidRPr="00565F80">
              <w:rPr>
                <w:color w:val="auto"/>
              </w:rPr>
              <w:t xml:space="preserve">. Siekiant išsaugoti visuomenės pasitikėjimą </w:t>
            </w:r>
            <w:r w:rsidRPr="00565F80">
              <w:rPr>
                <w:b/>
                <w:i/>
                <w:color w:val="auto"/>
              </w:rPr>
              <w:t>Sąjungos migracijos ir</w:t>
            </w:r>
            <w:r w:rsidRPr="00565F80">
              <w:rPr>
                <w:color w:val="auto"/>
              </w:rPr>
              <w:t xml:space="preserve"> prieglobsčio sistema, </w:t>
            </w:r>
            <w:r w:rsidRPr="00565F80">
              <w:rPr>
                <w:b/>
                <w:i/>
                <w:color w:val="auto"/>
              </w:rPr>
              <w:t>reikia</w:t>
            </w:r>
            <w:r w:rsidRPr="00565F80">
              <w:rPr>
                <w:color w:val="auto"/>
              </w:rPr>
              <w:t xml:space="preserve"> didinti Sąjungos taikomos neteisėtai jos teritorijoje esančių trečiųjų šalių piliečių grąžinimo sistemos veiksmingumą</w:t>
            </w:r>
            <w:r w:rsidRPr="00565F80">
              <w:rPr>
                <w:b/>
                <w:i/>
                <w:color w:val="auto"/>
              </w:rPr>
              <w:t xml:space="preserve"> ir drauge dėti pastangas</w:t>
            </w:r>
            <w:r w:rsidRPr="00565F80">
              <w:rPr>
                <w:color w:val="auto"/>
              </w:rPr>
              <w:t xml:space="preserve"> apsaugoti tuos, kuriems reikia apsaugos;</w:t>
            </w:r>
          </w:p>
        </w:tc>
        <w:tc>
          <w:tcPr>
            <w:tcW w:w="4876" w:type="dxa"/>
          </w:tcPr>
          <w:p w:rsidR="00BF668E" w:rsidRPr="00565F80" w:rsidRDefault="00BF668E" w:rsidP="00C555DE">
            <w:pPr>
              <w:pStyle w:val="Normal6"/>
              <w:rPr>
                <w:color w:val="auto"/>
              </w:rPr>
            </w:pPr>
            <w:r w:rsidRPr="00565F80">
              <w:rPr>
                <w:color w:val="auto"/>
              </w:rPr>
              <w:lastRenderedPageBreak/>
              <w:t>(11)</w:t>
            </w:r>
            <w:r w:rsidRPr="00565F80">
              <w:rPr>
                <w:color w:val="auto"/>
              </w:rPr>
              <w:tab/>
              <w:t xml:space="preserve">trečiųjų šalių piliečių, neturinčių teisės būti Sąjungoje, grąžinimas laikantis tokių pagrindinių teisių kaip Sąjungos teisės ir tarptautinės teisės bendrieji principai, įskaitant įsipareigojimus </w:t>
            </w:r>
            <w:r w:rsidRPr="00565F80">
              <w:rPr>
                <w:color w:val="auto"/>
              </w:rPr>
              <w:lastRenderedPageBreak/>
              <w:t>pabėgėlių apsaugos ir žmogaus teisių srityse, ir vadovaujantis Direktyvos 2008/115/EB</w:t>
            </w:r>
            <w:r w:rsidRPr="00565F80">
              <w:rPr>
                <w:rStyle w:val="Sup"/>
                <w:color w:val="auto"/>
              </w:rPr>
              <w:t>26</w:t>
            </w:r>
            <w:r w:rsidRPr="00565F80">
              <w:rPr>
                <w:color w:val="auto"/>
              </w:rPr>
              <w:t xml:space="preserve"> nuostatomis yra </w:t>
            </w:r>
            <w:r w:rsidRPr="00565F80">
              <w:rPr>
                <w:b/>
                <w:i/>
                <w:color w:val="auto"/>
              </w:rPr>
              <w:t>esminis teisingos ir veiksmingos</w:t>
            </w:r>
            <w:r w:rsidRPr="00565F80">
              <w:rPr>
                <w:b/>
                <w:color w:val="auto"/>
              </w:rPr>
              <w:t xml:space="preserve"> </w:t>
            </w:r>
            <w:r w:rsidRPr="00565F80">
              <w:rPr>
                <w:b/>
                <w:i/>
                <w:color w:val="auto"/>
              </w:rPr>
              <w:t>bendros Europos prieglobsčio sistemos, kuria taip pat siekiama sumažinti neteisėtą migraciją ir nuo jos atgrasyti, pagrindas</w:t>
            </w:r>
            <w:r w:rsidRPr="00565F80">
              <w:rPr>
                <w:color w:val="auto"/>
              </w:rPr>
              <w:t xml:space="preserve">. Siekiant išsaugoti visuomenės pasitikėjimą </w:t>
            </w:r>
            <w:r w:rsidRPr="00565F80">
              <w:rPr>
                <w:b/>
                <w:i/>
                <w:color w:val="auto"/>
              </w:rPr>
              <w:t>bendra Europos</w:t>
            </w:r>
            <w:r w:rsidRPr="00565F80">
              <w:rPr>
                <w:color w:val="auto"/>
              </w:rPr>
              <w:t xml:space="preserve"> prieglobsčio sistema, </w:t>
            </w:r>
            <w:r w:rsidRPr="00565F80">
              <w:rPr>
                <w:b/>
                <w:i/>
                <w:color w:val="auto"/>
              </w:rPr>
              <w:t>būtina</w:t>
            </w:r>
            <w:r w:rsidRPr="00565F80">
              <w:rPr>
                <w:color w:val="auto"/>
              </w:rPr>
              <w:t xml:space="preserve"> didinti Sąjungos taikomos neteisėtai jos teritorijoje esančių trečiųjų šalių piliečių grąžinimo sistemos veiksmingumą</w:t>
            </w:r>
            <w:r w:rsidRPr="00565F80">
              <w:rPr>
                <w:b/>
                <w:i/>
                <w:color w:val="auto"/>
              </w:rPr>
              <w:t>, nes tai labai svarbu siekiant laikytis pareigos</w:t>
            </w:r>
            <w:r w:rsidRPr="00565F80">
              <w:rPr>
                <w:color w:val="auto"/>
              </w:rPr>
              <w:t xml:space="preserve"> apsaugoti tuos, kuriems reikia apsaugos;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26</w:t>
            </w:r>
            <w:r w:rsidRPr="00565F80">
              <w:rPr>
                <w:color w:val="auto"/>
              </w:rPr>
              <w:t xml:space="preserve"> 2008 m. gruodžio 16 d. Europos Parlamento ir Tarybos direktyva dėl bendrų nelegaliai esančių trečiųjų šalių piliečių grąžinimo standartų ir tvarkos valstybėse narėse (OL L 348, 2008 12 24, p. 98).</w:t>
            </w:r>
          </w:p>
        </w:tc>
        <w:tc>
          <w:tcPr>
            <w:tcW w:w="4876" w:type="dxa"/>
          </w:tcPr>
          <w:p w:rsidR="00BF668E" w:rsidRPr="00565F80" w:rsidRDefault="00BF668E" w:rsidP="00C555DE">
            <w:pPr>
              <w:pStyle w:val="Normal6"/>
              <w:rPr>
                <w:color w:val="auto"/>
              </w:rPr>
            </w:pPr>
            <w:r w:rsidRPr="00565F80">
              <w:rPr>
                <w:rStyle w:val="Sup"/>
                <w:color w:val="auto"/>
              </w:rPr>
              <w:t>26</w:t>
            </w:r>
            <w:r w:rsidRPr="00565F80">
              <w:rPr>
                <w:color w:val="auto"/>
              </w:rPr>
              <w:t xml:space="preserve"> 2008 m. gruodžio 16 d. Europos Parlamento ir Tarybos direktyva dėl bendrų nelegaliai esančių trečiųjų šalių piliečių grąžinimo standartų ir tvarkos valstybėse narėse (OL L 348, 2008 12 24, p. 98).</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76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Nadine Morano</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11 konstatuojamoji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(11)</w:t>
            </w:r>
            <w:r w:rsidRPr="00565F80">
              <w:rPr>
                <w:color w:val="auto"/>
              </w:rPr>
              <w:tab/>
              <w:t>trečiųjų šalių piliečių, neturinčių teisės būti Sąjungoje, grąžinimas laikantis tokių pagrindinių teisių kaip Sąjungos teisės ir tarptautinės teisės bendrieji principai, įskaitant įsipareigojimus pabėgėlių apsaugos ir žmogaus teisių srityse, ir vadovaujantis Direktyvos 2008/115/EB</w:t>
            </w:r>
            <w:r w:rsidRPr="00565F80">
              <w:rPr>
                <w:rStyle w:val="Sup"/>
                <w:color w:val="auto"/>
              </w:rPr>
              <w:t>26</w:t>
            </w:r>
            <w:r w:rsidRPr="00565F80">
              <w:rPr>
                <w:color w:val="auto"/>
              </w:rPr>
              <w:t xml:space="preserve"> nuostatomis yra esminė visapusiškų ES pastangų spręsti migracijos problemas ir visų pirma sustiprinti grąžinimą, kaip atgrasomąją priemonę nuo neteisėtos migracijos, dalis. Siekiant išsaugoti visuomenės pasitikėjimą </w:t>
            </w:r>
            <w:r w:rsidRPr="00565F80">
              <w:rPr>
                <w:color w:val="auto"/>
              </w:rPr>
              <w:lastRenderedPageBreak/>
              <w:t xml:space="preserve">Sąjungos migracijos ir prieglobsčio sistema, reikia didinti Sąjungos taikomos neteisėtai jos teritorijoje esančių trečiųjų šalių piliečių grąžinimo sistemos veiksmingumą ir </w:t>
            </w:r>
            <w:r w:rsidRPr="00565F80">
              <w:rPr>
                <w:b/>
                <w:i/>
                <w:color w:val="auto"/>
              </w:rPr>
              <w:t xml:space="preserve">drauge </w:t>
            </w:r>
            <w:r w:rsidRPr="00565F80">
              <w:rPr>
                <w:color w:val="auto"/>
              </w:rPr>
              <w:t>dėti pastangas apsaugoti tuos, kuriems reikia apsaugos;</w:t>
            </w:r>
          </w:p>
        </w:tc>
        <w:tc>
          <w:tcPr>
            <w:tcW w:w="4876" w:type="dxa"/>
          </w:tcPr>
          <w:p w:rsidR="00BF668E" w:rsidRPr="00565F80" w:rsidRDefault="00BF668E" w:rsidP="00C555DE">
            <w:pPr>
              <w:pStyle w:val="Normal6"/>
              <w:rPr>
                <w:color w:val="auto"/>
              </w:rPr>
            </w:pPr>
            <w:r w:rsidRPr="00565F80">
              <w:rPr>
                <w:color w:val="auto"/>
              </w:rPr>
              <w:lastRenderedPageBreak/>
              <w:t>(11)</w:t>
            </w:r>
            <w:r w:rsidRPr="00565F80">
              <w:rPr>
                <w:color w:val="auto"/>
              </w:rPr>
              <w:tab/>
              <w:t>trečiųjų šalių piliečių, neturinčių teisės būti Sąjungoje, grąžinimas laikantis tokių pagrindinių teisių kaip Sąjungos teisės ir tarptautinės teisės bendrieji principai, įskaitant įsipareigojimus pabėgėlių apsaugos ir žmogaus teisių srityse, ir vadovaujantis Direktyvos 2008/115/EB</w:t>
            </w:r>
            <w:r w:rsidRPr="00565F80">
              <w:rPr>
                <w:rStyle w:val="Sup"/>
                <w:color w:val="auto"/>
              </w:rPr>
              <w:t>26</w:t>
            </w:r>
            <w:r w:rsidRPr="00565F80">
              <w:rPr>
                <w:color w:val="auto"/>
              </w:rPr>
              <w:t xml:space="preserve"> nuostatomis yra esminė visapusiškų ES pastangų spręsti migracijos problemas ir visų pirma sustiprinti grąžinimą, kaip atgrasomąją priemonę nuo neteisėtos migracijos, dalis. Siekiant išsaugoti visuomenės pasitikėjimą </w:t>
            </w:r>
            <w:r w:rsidRPr="00565F80">
              <w:rPr>
                <w:color w:val="auto"/>
              </w:rPr>
              <w:lastRenderedPageBreak/>
              <w:t xml:space="preserve">Sąjungos migracijos ir prieglobsčio sistema, reikia didinti Sąjungos taikomos neteisėtai jos teritorijoje esančių trečiųjų šalių piliečių </w:t>
            </w:r>
            <w:r w:rsidRPr="00565F80">
              <w:rPr>
                <w:b/>
                <w:i/>
                <w:color w:val="auto"/>
              </w:rPr>
              <w:t xml:space="preserve">reguliaraus </w:t>
            </w:r>
            <w:r w:rsidRPr="00565F80">
              <w:rPr>
                <w:color w:val="auto"/>
              </w:rPr>
              <w:t xml:space="preserve">grąžinimo sistemos veiksmingumą ir </w:t>
            </w:r>
            <w:r w:rsidRPr="00565F80">
              <w:rPr>
                <w:b/>
                <w:i/>
                <w:color w:val="auto"/>
              </w:rPr>
              <w:t xml:space="preserve">būtinai </w:t>
            </w:r>
            <w:r w:rsidRPr="00565F80">
              <w:rPr>
                <w:color w:val="auto"/>
              </w:rPr>
              <w:t xml:space="preserve">dėti pastangas apsaugoti tuos, kuriems reikia apsaugos </w:t>
            </w:r>
            <w:r w:rsidRPr="00565F80">
              <w:rPr>
                <w:b/>
                <w:i/>
                <w:color w:val="auto"/>
              </w:rPr>
              <w:t>ir kurie labiausiai kenčia nuo neteisėtos migracijos</w:t>
            </w:r>
            <w:r w:rsidRPr="00565F80">
              <w:rPr>
                <w:color w:val="auto"/>
              </w:rPr>
              <w:t>;</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26</w:t>
            </w:r>
            <w:r w:rsidRPr="00565F80">
              <w:rPr>
                <w:color w:val="auto"/>
              </w:rPr>
              <w:t xml:space="preserve"> 2008 m. gruodžio 16 d. Europos Parlamento ir Tarybos direktyva dėl bendrų nelegaliai esančių trečiųjų šalių piliečių grąžinimo standartų ir tvarkos valstybėse narėse (OL L 348, 2008 12 24, p. 98).</w:t>
            </w:r>
          </w:p>
        </w:tc>
        <w:tc>
          <w:tcPr>
            <w:tcW w:w="4876" w:type="dxa"/>
          </w:tcPr>
          <w:p w:rsidR="00BF668E" w:rsidRPr="00565F80" w:rsidRDefault="00BF668E" w:rsidP="00C555DE">
            <w:pPr>
              <w:pStyle w:val="Normal6"/>
              <w:rPr>
                <w:color w:val="auto"/>
              </w:rPr>
            </w:pPr>
            <w:r w:rsidRPr="00565F80">
              <w:rPr>
                <w:rStyle w:val="Sup"/>
                <w:color w:val="auto"/>
              </w:rPr>
              <w:t>26</w:t>
            </w:r>
            <w:r w:rsidRPr="00565F80">
              <w:rPr>
                <w:color w:val="auto"/>
              </w:rPr>
              <w:t xml:space="preserve"> 2008 m. gruodžio 16 d. Europos Parlamento ir Tarybos direktyva dėl bendrų nelegaliai esančių trečiųjų šalių piliečių grąžinimo standartų ir tvarkos valstybėse narėse (OL L 348, 2008 12 24, p. 98).</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Le taux d'exécution des retours des ressortissants de pays tiers est incroyablement faible (pour la France, de 1% selon la Cour des Comptes à 10% selon la CIMADE). La politique d'asile doit par conséquent être mieux équilibrée et reposer sur deux piliers indissociables : accueil des ressortissants éligibles à la protection internationale mais retour systématique et rapide de ceux qui ne le sont pas. La faiblesse structurelle de ce second pilier est l'un des moteurs qui nourrissent la défiance des peuples européens vis-à-vis de l'immigration. Parmi les premières personnes à pâtir de cette défiance généralisée, on compte les ressortissants éligibles à une protection internationale. Il convient donc de mieux aborder la question de la systématicité des retours et leur caractère indissociable des efforts fournis pour l'accueil.</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77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11 konstatuojamoji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(11)</w:t>
            </w:r>
            <w:r w:rsidRPr="00565F80">
              <w:rPr>
                <w:color w:val="auto"/>
              </w:rPr>
              <w:tab/>
              <w:t>trečiųjų šalių piliečių, neturinčių teisės būti Sąjungoje, grąžinimas laikantis tokių pagrindinių teisių kaip Sąjungos teisės ir tarptautinės teisės bendrieji principai, įskaitant įsipareigojimus pabėgėlių apsaugos ir žmogaus teisių srityse, ir vadovaujantis Direktyvos 2008/115/EB</w:t>
            </w:r>
            <w:r w:rsidRPr="00565F80">
              <w:rPr>
                <w:rStyle w:val="Sup"/>
                <w:color w:val="auto"/>
              </w:rPr>
              <w:t>26</w:t>
            </w:r>
            <w:r w:rsidRPr="00565F80">
              <w:rPr>
                <w:color w:val="auto"/>
              </w:rPr>
              <w:t xml:space="preserve"> nuostatomis yra esminė visapusiškų ES pastangų spręsti migracijos problemas ir visų pirma sustiprinti </w:t>
            </w:r>
            <w:r w:rsidRPr="00565F80">
              <w:rPr>
                <w:color w:val="auto"/>
              </w:rPr>
              <w:lastRenderedPageBreak/>
              <w:t>grąžinimą, kaip atgrasomąją priemonę nuo neteisėtos migracijos, dalis. Siekiant išsaugoti visuomenės pasitikėjimą Sąjungos migracijos ir prieglobsčio sistema, reikia didinti Sąjungos taikomos neteisėtai jos teritorijoje esančių trečiųjų šalių piliečių grąžinimo sistemos veiksmingumą ir drauge dėti pastangas apsaugoti tuos, kuriems reikia apsaugos;</w:t>
            </w:r>
          </w:p>
        </w:tc>
        <w:tc>
          <w:tcPr>
            <w:tcW w:w="4876" w:type="dxa"/>
          </w:tcPr>
          <w:p w:rsidR="00BF668E" w:rsidRPr="00565F80" w:rsidRDefault="00BF668E" w:rsidP="00C555DE">
            <w:pPr>
              <w:pStyle w:val="Normal6"/>
              <w:rPr>
                <w:color w:val="auto"/>
              </w:rPr>
            </w:pPr>
            <w:r w:rsidRPr="00565F80">
              <w:rPr>
                <w:color w:val="auto"/>
              </w:rPr>
              <w:lastRenderedPageBreak/>
              <w:t>(11)</w:t>
            </w:r>
            <w:r w:rsidRPr="00565F80">
              <w:rPr>
                <w:color w:val="auto"/>
              </w:rPr>
              <w:tab/>
              <w:t xml:space="preserve">trečiųjų šalių piliečių, neturinčių teisės būti Sąjungoje, grąžinimas laikantis tokių pagrindinių teisių kaip Sąjungos teisės ir tarptautinės teisės bendrieji principai, įskaitant įsipareigojimus pabėgėlių </w:t>
            </w:r>
            <w:r w:rsidRPr="00565F80">
              <w:rPr>
                <w:b/>
                <w:i/>
                <w:color w:val="auto"/>
              </w:rPr>
              <w:t xml:space="preserve">negrąžinimo, </w:t>
            </w:r>
            <w:r w:rsidRPr="00565F80">
              <w:rPr>
                <w:color w:val="auto"/>
              </w:rPr>
              <w:t>apsaugos ir žmogaus teisių srityse, ir vadovaujantis Direktyvos 2008/115/EB</w:t>
            </w:r>
            <w:r w:rsidRPr="00565F80">
              <w:rPr>
                <w:rStyle w:val="Sup"/>
                <w:color w:val="auto"/>
              </w:rPr>
              <w:t>26</w:t>
            </w:r>
            <w:r w:rsidRPr="00565F80">
              <w:rPr>
                <w:color w:val="auto"/>
              </w:rPr>
              <w:t xml:space="preserve"> nuostatomis yra esminė visapusiškų ES pastangų spręsti migracijos problemas ir visų pirma </w:t>
            </w:r>
            <w:r w:rsidRPr="00565F80">
              <w:rPr>
                <w:color w:val="auto"/>
              </w:rPr>
              <w:lastRenderedPageBreak/>
              <w:t>sustiprinti grąžinimą, kaip atgrasomąją priemonę nuo neteisėtos migracijos, dalis. Siekiant išsaugoti visuomenės pasitikėjimą Sąjungos migracijos ir prieglobsčio sistema, reikia didinti Sąjungos taikomos neteisėtai jos teritorijoje esančių trečiųjų šalių piliečių grąžinimo sistemos veiksmingumą ir drauge dėti pastangas apsaugoti tuos, kuriems reikia apsaugos;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26</w:t>
            </w:r>
            <w:r w:rsidRPr="00565F80">
              <w:rPr>
                <w:color w:val="auto"/>
              </w:rPr>
              <w:t xml:space="preserve"> 2008 m. gruodžio 16 d. Europos Parlamento ir Tarybos direktyva dėl bendrų nelegaliai esančių trečiųjų šalių piliečių grąžinimo standartų ir tvarkos valstybėse narėse (OL L 348, 2008 12 24, p. 98).</w:t>
            </w:r>
          </w:p>
        </w:tc>
        <w:tc>
          <w:tcPr>
            <w:tcW w:w="4876" w:type="dxa"/>
          </w:tcPr>
          <w:p w:rsidR="00BF668E" w:rsidRPr="00565F80" w:rsidRDefault="00BF668E" w:rsidP="00C555DE">
            <w:pPr>
              <w:pStyle w:val="Normal6"/>
              <w:rPr>
                <w:color w:val="auto"/>
              </w:rPr>
            </w:pPr>
            <w:r w:rsidRPr="00565F80">
              <w:rPr>
                <w:rStyle w:val="Sup"/>
                <w:color w:val="auto"/>
              </w:rPr>
              <w:t>26</w:t>
            </w:r>
            <w:r w:rsidRPr="00565F80">
              <w:rPr>
                <w:color w:val="auto"/>
              </w:rPr>
              <w:t xml:space="preserve"> 2008 m. gruodžio 16 d. Europos Parlamento ir Tarybos direktyva dėl bendrų nelegaliai esančių trečiųjų šalių piliečių grąžinimo standartų ir tvarkos valstybėse narėse (OL L 348, 2008 12 24, p. 98).</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78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Maria Grapini, Juan Fernando López Aguilar, Caterina Chinnici</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11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(11)</w:t>
            </w:r>
            <w:r w:rsidRPr="00565F80">
              <w:rPr>
                <w:color w:val="auto"/>
              </w:rPr>
              <w:tab/>
              <w:t>trečiųjų šalių piliečių, neturinčių teisės būti Sąjungoje, grąžinimas laikantis tokių pagrindinių teisių kaip Sąjungos teisės ir tarptautinės teisės bendrieji principai, įskaitant įsipareigojimus pabėgėlių apsaugos ir žmogaus teisių srityse, ir vadovaujantis Direktyvos 2008/115/EB</w:t>
            </w:r>
            <w:r w:rsidRPr="00565F80">
              <w:rPr>
                <w:rStyle w:val="Sup"/>
                <w:color w:val="auto"/>
              </w:rPr>
              <w:t>26</w:t>
            </w:r>
            <w:r w:rsidRPr="00565F80">
              <w:rPr>
                <w:color w:val="auto"/>
              </w:rPr>
              <w:t xml:space="preserve"> nuostatomis yra </w:t>
            </w:r>
            <w:r w:rsidRPr="00565F80">
              <w:rPr>
                <w:b/>
                <w:i/>
                <w:color w:val="auto"/>
              </w:rPr>
              <w:t>esminė</w:t>
            </w:r>
            <w:r w:rsidRPr="00565F80">
              <w:rPr>
                <w:color w:val="auto"/>
              </w:rPr>
              <w:t xml:space="preserve"> visapusiškų ES pastangų spręsti migracijos problemas ir visų pirma sustiprinti grąžinimą, kaip atgrasomąją priemonę nuo neteisėtos migracijos, dalis. Siekiant išsaugoti visuomenės pasitikėjimą Sąjungos migracijos ir prieglobsčio sistema, reikia didinti Sąjungos taikomos neteisėtai jos teritorijoje esančių trečiųjų </w:t>
            </w:r>
            <w:r w:rsidRPr="00565F80">
              <w:rPr>
                <w:color w:val="auto"/>
              </w:rPr>
              <w:lastRenderedPageBreak/>
              <w:t>šalių piliečių grąžinimo sistemos veiksmingumą ir drauge dėti pastangas apsaugoti tuos, kuriems reikia apsaugos;</w:t>
            </w:r>
          </w:p>
        </w:tc>
        <w:tc>
          <w:tcPr>
            <w:tcW w:w="4876" w:type="dxa"/>
          </w:tcPr>
          <w:p w:rsidR="00BF668E" w:rsidRPr="00565F80" w:rsidRDefault="00BF668E" w:rsidP="00C555DE">
            <w:pPr>
              <w:pStyle w:val="Normal6"/>
              <w:rPr>
                <w:color w:val="auto"/>
              </w:rPr>
            </w:pPr>
            <w:r w:rsidRPr="00565F80">
              <w:rPr>
                <w:color w:val="auto"/>
              </w:rPr>
              <w:lastRenderedPageBreak/>
              <w:t>(11)</w:t>
            </w:r>
            <w:r w:rsidRPr="00565F80">
              <w:rPr>
                <w:color w:val="auto"/>
              </w:rPr>
              <w:tab/>
              <w:t>trečiųjų šalių piliečių, neturinčių teisės būti Sąjungoje, grąžinimas laikantis tokių pagrindinių teisių kaip Sąjungos teisės ir tarptautinės teisės bendrieji principai, įskaitant įsipareigojimus pabėgėlių apsaugos ir žmogaus teisių srityse, ir vadovaujantis Direktyvos 2008/115/EB</w:t>
            </w:r>
            <w:r w:rsidRPr="00565F80">
              <w:rPr>
                <w:rStyle w:val="Sup"/>
                <w:color w:val="auto"/>
              </w:rPr>
              <w:t>26</w:t>
            </w:r>
            <w:r w:rsidRPr="00565F80">
              <w:rPr>
                <w:color w:val="auto"/>
              </w:rPr>
              <w:t xml:space="preserve"> nuostatomis yra visapusiškų ES pastangų spręsti migracijos problemas ir visų pirma sustiprinti grąžinimą, kaip atgrasomąją priemonę nuo neteisėtos migracijos, dalis. Siekiant išsaugoti visuomenės pasitikėjimą Sąjungos migracijos ir prieglobsčio sistema, reikia didinti Sąjungos taikomos neteisėtai jos teritorijoje esančių trečiųjų </w:t>
            </w:r>
            <w:r w:rsidRPr="00565F80">
              <w:rPr>
                <w:color w:val="auto"/>
              </w:rPr>
              <w:lastRenderedPageBreak/>
              <w:t>šalių piliečių grąžinimo sistemos veiksmingumą ir drauge dėti pastangas apsaugoti tuos, kuriems reikia apsaugos;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26</w:t>
            </w:r>
            <w:r w:rsidRPr="00565F80">
              <w:rPr>
                <w:color w:val="auto"/>
              </w:rPr>
              <w:t xml:space="preserve"> 2008 m. gruodžio 16 d. Europos Parlamento ir Tarybos direktyva dėl bendrų nelegaliai esančių trečiųjų šalių piliečių grąžinimo standartų ir tvarkos valstybėse narėse (OL L 348, 2008 12 24, p. 98).</w:t>
            </w:r>
          </w:p>
        </w:tc>
        <w:tc>
          <w:tcPr>
            <w:tcW w:w="4876" w:type="dxa"/>
          </w:tcPr>
          <w:p w:rsidR="00BF668E" w:rsidRPr="00565F80" w:rsidRDefault="00BF668E" w:rsidP="00C555DE">
            <w:pPr>
              <w:pStyle w:val="Normal6"/>
              <w:rPr>
                <w:color w:val="auto"/>
              </w:rPr>
            </w:pPr>
            <w:r w:rsidRPr="00565F80">
              <w:rPr>
                <w:rStyle w:val="Sup"/>
                <w:color w:val="auto"/>
              </w:rPr>
              <w:t>26</w:t>
            </w:r>
            <w:r w:rsidRPr="00565F80">
              <w:rPr>
                <w:color w:val="auto"/>
              </w:rPr>
              <w:t xml:space="preserve"> 2008 m. gruodžio 16 d. Europos Parlamento ir Tarybos direktyva dėl bendrų nelegaliai esančių trečiųjų šalių piliečių grąžinimo standartų ir tvarkos valstybėse narėse (OL L 348, 2008 12 24, p. 98).</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79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11 a konstatuojamoji dalis (nauja)</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(11a)</w:t>
            </w:r>
            <w:r w:rsidRPr="00565F80">
              <w:rPr>
                <w:color w:val="auto"/>
              </w:rPr>
              <w:tab/>
            </w:r>
            <w:r w:rsidRPr="00565F80">
              <w:rPr>
                <w:b/>
                <w:i/>
                <w:color w:val="auto"/>
              </w:rPr>
              <w:t>siekiant didinti valstybių narių bendradarbiavimą neteisėtos migracijos valdymo srityje, reikėtų vietoj neteisėtai teritorijoje esančių piliečių prieglobsčio prašymo numerio įrašyti išsiuntimo iš šalies priemonės, kurios ėmėsi duomenis į EURODAC įtraukusi valstybė narė, pavadinimą;</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lastRenderedPageBreak/>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Neteisėtai teritorijoje esančių asmenų išsiuntimo iš šalies priemonių yra daug, pavyzdžiui: savanoriškas grįžimas, įpareigojimas išvykti iš šalies, įpareigojimas palydėti iki sienos, grąžinimas, išsiuntimas ir kt. Kiekvienos priemonės procedūros ir taikymo terminai skiriasi. Todėl svarbu, kad valstybė narė galėtų susipažinti su išsiuntimo iš šalies priemonėmis, kurių prieš neteisėtai teritorijoje esantį pilietį ėmėsi kita valstybė narė, ir taip būtų pagerintas jų bendradarbiavimas.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80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12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(12)</w:t>
            </w:r>
            <w:r w:rsidRPr="00565F80">
              <w:rPr>
                <w:color w:val="auto"/>
              </w:rPr>
              <w:tab/>
            </w:r>
            <w:r w:rsidRPr="00565F80">
              <w:rPr>
                <w:b/>
                <w:i/>
                <w:color w:val="auto"/>
              </w:rPr>
              <w:t xml:space="preserve">valstybių narių nacionalinės institucijos patiria sunkumų nustatydamos neteisėtai esančius trečiųjų šalių piliečius, kurie naudojasi apgaule, kad išvengtų tapatybės nustatymo ir sužlugdytų naujų dokumentų rengimo procedūrą, po kurios būtų vykdomas jų grąžinimas ir readmisija. Todėl būtina užtikrinti, kad informacija apie trečiųjų šalių piliečius ar asmenis be pilietybės, neteisėtai esančius ES, būtų renkami ir perduodami EURODAC ir kad šie duomenys būtų lyginami ir su tais duomenimis, kurie buvo surinkti ir perduoti tarptautinės apsaugos prašytojų ir trečiųjų šalių piliečių, sulaikytų dėl neteisėto Sąjungos išorės sienų kirtimo, tapatybės nustatymo tikslais, kad būtų lengviau nustatyti jų tapatybę ir išduoti naujus dokumentus ir būtų užtikrintas jų grąžinimas ir readmisija bei sumažintas tapatybės klastojimo atvejų skaičius. Tokiu būdu taip pat turėtų būti prisidėta prie administracinių procedūrų, kurių reikia trečiųjų šalių piliečių grąžinimui ir readmisijai užtikrinti, trukmės, įskaitant galimą grąžinimo laukiančių asmenų administracinio sulaikymo laikotarpį, </w:t>
            </w:r>
            <w:r w:rsidRPr="00565F80">
              <w:rPr>
                <w:b/>
                <w:i/>
                <w:color w:val="auto"/>
              </w:rPr>
              <w:lastRenderedPageBreak/>
              <w:t>sutrumpinimo. Tai taip pat turėtų padėti nustatyti trečiąsias tranzito šalis, į kurias gali būti vykdoma neteisėtai esančių trečiųjų šalių piliečių readmisija;</w:t>
            </w:r>
          </w:p>
        </w:tc>
        <w:tc>
          <w:tcPr>
            <w:tcW w:w="4876" w:type="dxa"/>
          </w:tcPr>
          <w:p w:rsidR="00BF668E" w:rsidRPr="00565F80" w:rsidRDefault="00BF668E" w:rsidP="00C555DE">
            <w:pPr>
              <w:pStyle w:val="Normal6"/>
              <w:rPr>
                <w:color w:val="auto"/>
              </w:rPr>
            </w:pPr>
            <w:r w:rsidRPr="00565F80">
              <w:rPr>
                <w:b/>
                <w:i/>
                <w:color w:val="auto"/>
              </w:rPr>
              <w:lastRenderedPageBreak/>
              <w:t>Išbraukta.</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81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Maria Grapini, Juan Fernando López Aguilar</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12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(12)</w:t>
            </w:r>
            <w:r w:rsidRPr="00565F80">
              <w:rPr>
                <w:color w:val="auto"/>
              </w:rPr>
              <w:tab/>
            </w:r>
            <w:r w:rsidRPr="00565F80">
              <w:rPr>
                <w:b/>
                <w:i/>
                <w:color w:val="auto"/>
              </w:rPr>
              <w:t>valstybių narių nacionalinės institucijos patiria sunkumų nustatydamos neteisėtai esančius trečiųjų šalių piliečius, kurie naudojasi apgaule, kad išvengtų tapatybės nustatymo ir sužlugdytų naujų dokumentų rengimo procedūrą, po kurios būtų vykdomas jų grąžinimas ir readmisija.</w:t>
            </w:r>
            <w:r w:rsidRPr="00565F80">
              <w:rPr>
                <w:color w:val="auto"/>
              </w:rPr>
              <w:t xml:space="preserve"> </w:t>
            </w:r>
            <w:r w:rsidRPr="00565F80">
              <w:rPr>
                <w:b/>
                <w:i/>
                <w:color w:val="auto"/>
              </w:rPr>
              <w:t>Todėl</w:t>
            </w:r>
            <w:r w:rsidRPr="00565F80">
              <w:rPr>
                <w:color w:val="auto"/>
              </w:rPr>
              <w:t xml:space="preserve"> būtina užtikrinti, kad informacija apie trečiųjų šalių piliečius ar asmenis be pilietybės, neteisėtai esančius ES, būtų renkami ir perduodami EURODAC ir kad šie duomenys būtų lyginami ir su tais duomenimis, kurie buvo surinkti ir perduoti tarptautinės apsaugos prašytojų ir trečiųjų šalių piliečių, sulaikytų dėl neteisėto Sąjungos išorės sienų kirtimo, tapatybės nustatymo tikslais, kad būtų lengviau nustatyti jų tapatybę ir išduoti naujus dokumentus ir būtų užtikrintas jų grąžinimas ir readmisija bei sumažintas tapatybės klastojimo atvejų skaičius. Tokiu būdu taip pat turėtų būti prisidėta prie administracinių procedūrų, kurių reikia trečiųjų šalių piliečių grąžinimui ir readmisijai užtikrinti, trukmės, įskaitant galimą grąžinimo laukiančių asmenų administracinio sulaikymo laikotarpį, </w:t>
            </w:r>
            <w:r w:rsidRPr="00565F80">
              <w:rPr>
                <w:color w:val="auto"/>
              </w:rPr>
              <w:lastRenderedPageBreak/>
              <w:t>sutrumpinimo. Tai taip pat turėtų padėti nustatyti trečiąsias tranzito šalis, į kurias gali būti vykdoma neteisėtai esančių trečiųjų šalių piliečių readmisija;</w:t>
            </w:r>
          </w:p>
        </w:tc>
        <w:tc>
          <w:tcPr>
            <w:tcW w:w="4876" w:type="dxa"/>
          </w:tcPr>
          <w:p w:rsidR="00BF668E" w:rsidRPr="00565F80" w:rsidRDefault="00BF668E" w:rsidP="00C555DE">
            <w:pPr>
              <w:pStyle w:val="Normal6"/>
              <w:rPr>
                <w:color w:val="auto"/>
              </w:rPr>
            </w:pPr>
            <w:r w:rsidRPr="00565F80">
              <w:rPr>
                <w:color w:val="auto"/>
              </w:rPr>
              <w:lastRenderedPageBreak/>
              <w:t>(12)</w:t>
            </w:r>
            <w:r w:rsidRPr="00565F80">
              <w:rPr>
                <w:color w:val="auto"/>
              </w:rPr>
              <w:tab/>
              <w:t>būtina užtikrinti, kad informacija apie trečiųjų šalių piliečius ar asmenis be pilietybės, neteisėtai esančius ES, būtų renkami ir perduodami EURODAC ir kad šie duomenys būtų lyginami ir su tais duomenimis, kurie buvo surinkti ir perduoti tarptautinės apsaugos prašytojų ir trečiųjų šalių piliečių, sulaikytų dėl neteisėto Sąjungos išorės sienų kirtimo, tapatybės nustatymo tikslais, kad būtų lengviau nustatyti jų tapatybę ir išduoti naujus dokumentus ir būtų užtikrintas jų grąžinimas ir readmisija bei sumažintas tapatybės klastojimo atvejų skaičius. Tokiu būdu taip pat turėtų būti prisidėta prie administracinių procedūrų, kurių reikia trečiųjų šalių piliečių grąžinimui ir readmisijai užtikrinti, trukmės, įskaitant galimą grąžinimo laukiančių asmenų administracinio sulaikymo laikotarpį, sutrumpinimo. Tai taip pat turėtų padėti nustatyti trečiąsias tranzito šalis, į kurias gali būti vykdoma neteisėtai esančių trečiųjų šalių piliečių readmisija;</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82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Carlos Coelho, 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12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(12)</w:t>
            </w:r>
            <w:r w:rsidRPr="00565F80">
              <w:rPr>
                <w:color w:val="auto"/>
              </w:rPr>
              <w:tab/>
              <w:t xml:space="preserve">valstybių narių nacionalinės institucijos patiria sunkumų nustatydamos neteisėtai esančius trečiųjų šalių piliečius, kurie naudojasi apgaule, kad išvengtų tapatybės nustatymo ir sužlugdytų naujų dokumentų rengimo procedūrą, po kurios būtų vykdomas jų grąžinimas ir readmisija. Todėl būtina užtikrinti, kad informacija apie trečiųjų šalių piliečius ar asmenis be pilietybės, neteisėtai esančius ES, būtų renkami ir perduodami EURODAC ir kad šie duomenys būtų lyginami ir su tais duomenimis, kurie buvo surinkti ir perduoti tarptautinės apsaugos prašytojų ir trečiųjų šalių piliečių, sulaikytų dėl neteisėto Sąjungos išorės sienų kirtimo, tapatybės nustatymo tikslais, kad būtų lengviau nustatyti jų tapatybę ir išduoti naujus dokumentus ir būtų užtikrintas jų grąžinimas ir readmisija bei sumažintas tapatybės klastojimo atvejų skaičius. Tokiu būdu taip pat turėtų būti prisidėta prie administracinių procedūrų, kurių reikia trečiųjų šalių piliečių grąžinimui ir readmisijai užtikrinti, trukmės, įskaitant galimą grąžinimo laukiančių asmenų administracinio sulaikymo laikotarpį, sutrumpinimo. Tai taip pat turėtų padėti nustatyti trečiąsias tranzito šalis, į kurias gali būti vykdoma neteisėtai esančių </w:t>
            </w:r>
            <w:r w:rsidRPr="00565F80">
              <w:rPr>
                <w:color w:val="auto"/>
              </w:rPr>
              <w:lastRenderedPageBreak/>
              <w:t>trečiųjų šalių piliečių readmisija;</w:t>
            </w:r>
          </w:p>
        </w:tc>
        <w:tc>
          <w:tcPr>
            <w:tcW w:w="4876" w:type="dxa"/>
          </w:tcPr>
          <w:p w:rsidR="00BF668E" w:rsidRPr="00565F80" w:rsidRDefault="00BF668E" w:rsidP="00C555DE">
            <w:pPr>
              <w:pStyle w:val="Normal6"/>
              <w:rPr>
                <w:color w:val="auto"/>
              </w:rPr>
            </w:pPr>
            <w:r w:rsidRPr="00565F80">
              <w:rPr>
                <w:color w:val="auto"/>
              </w:rPr>
              <w:lastRenderedPageBreak/>
              <w:t>(12)</w:t>
            </w:r>
            <w:r w:rsidRPr="00565F80">
              <w:rPr>
                <w:color w:val="auto"/>
              </w:rPr>
              <w:tab/>
              <w:t xml:space="preserve">valstybių narių nacionalinės institucijos patiria sunkumų nustatydamos neteisėtai esančius trečiųjų šalių piliečius, kurie naudojasi apgaule, kad išvengtų tapatybės nustatymo ir sužlugdytų naujų dokumentų rengimo procedūrą, po kurios būtų vykdomas jų grąžinimas ir readmisija. Todėl būtina užtikrinti, kad informacija apie trečiųjų šalių piliečius ar asmenis be pilietybės, neteisėtai esančius ES, būtų renkami ir perduodami EURODAC ir kad šie duomenys būtų lyginami ir su tais duomenimis, kurie buvo surinkti ir perduoti tarptautinės apsaugos prašytojų ir trečiųjų šalių piliečių, sulaikytų dėl neteisėto Sąjungos išorės sienų kirtimo, tapatybės nustatymo tikslais, kad būtų lengviau nustatyti jų tapatybę ir išduoti naujus dokumentus ir būtų užtikrintas jų grąžinimas ir readmisija bei sumažintas tapatybės klastojimo atvejų skaičius. Tokiu būdu taip pat turėtų būti prisidėta prie administracinių procedūrų, kurių reikia trečiųjų šalių piliečių grąžinimui ir readmisijai užtikrinti, trukmės, įskaitant galimą grąžinimo laukiančių asmenų administracinio sulaikymo laikotarpį, sutrumpinimo. Tai taip pat turėtų padėti nustatyti trečiąsias tranzito šalis, į kurias gali būti vykdoma neteisėtai esančių </w:t>
            </w:r>
            <w:r w:rsidRPr="00565F80">
              <w:rPr>
                <w:color w:val="auto"/>
              </w:rPr>
              <w:lastRenderedPageBreak/>
              <w:t>trečiųjų šalių piliečių readmisija</w:t>
            </w:r>
            <w:r w:rsidRPr="00565F80">
              <w:rPr>
                <w:b/>
                <w:i/>
                <w:color w:val="auto"/>
              </w:rPr>
              <w:t>.</w:t>
            </w:r>
            <w:r w:rsidRPr="00565F80">
              <w:rPr>
                <w:color w:val="auto"/>
              </w:rPr>
              <w:t xml:space="preserve"> </w:t>
            </w:r>
            <w:r w:rsidRPr="00565F80">
              <w:rPr>
                <w:b/>
                <w:i/>
                <w:color w:val="auto"/>
              </w:rPr>
              <w:t>Tuo nepažeidžiama Šengeno informacinė sistema (SIS), kuri išlieka pagrindinė sistema siekiant užtikrinti bendradarbiavimą ir keitimąsi informacija dėl grąžinimo</w:t>
            </w:r>
            <w:r w:rsidRPr="00565F80">
              <w:rPr>
                <w:color w:val="auto"/>
              </w:rPr>
              <w:t>;</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83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Juan Fernando López Aguilar, Caterina Chinnici</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12 a konstatuojamoji dalis (nauja)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(12a)</w:t>
            </w:r>
            <w:r w:rsidRPr="00565F80">
              <w:rPr>
                <w:color w:val="auto"/>
              </w:rPr>
              <w:tab/>
            </w:r>
            <w:r w:rsidRPr="00565F80">
              <w:rPr>
                <w:b/>
                <w:i/>
                <w:color w:val="auto"/>
              </w:rPr>
              <w:t>kai trečiųjų šalių piliečiai teritorijoje yra neteisėtai ir į ją pateko neteisėtai kirtę Šengeno erdvės išorės sieną, valstybėms narėms turėtų būti leidžiama taikyti pagrįstą 15 dienų leidžiamo užsibuvimo terminą, prieš vykdant su šiuo reglamentu susijusius įsipareigojimus dėl pirštų atspaudų ir veido atvaizdo duomenų palyginimo, rinkimo ir perdavimo;</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pakeitimas yra tiesiogiai susijęs su 14 straipsniu Komisijos pasiūlyme. Taikymo srities išplėtimas siekiant įtraukti „valstybėje narėje aptiktus nelegaliai esančius trečiųjų šalių piliečius arba asmenis be pilietybės“ turi būti papildytas apsaugos priemonėmis, jeigu asmuo teisėtai pateko į ES ir viršija savo buvimo laiką keletą dienų dėl priežasčių, kurios galėtų būti netyčinės.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84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lastRenderedPageBreak/>
        <w:t>&lt;Article&gt;</w:t>
      </w:r>
      <w:r w:rsidRPr="00565F80">
        <w:rPr>
          <w:color w:val="auto"/>
        </w:rPr>
        <w:t>12 a konstatuojamoji dalis (nauja)</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(12a)</w:t>
            </w:r>
            <w:r w:rsidRPr="00565F80">
              <w:rPr>
                <w:color w:val="auto"/>
              </w:rPr>
              <w:tab/>
            </w:r>
            <w:r w:rsidRPr="00565F80">
              <w:rPr>
                <w:b/>
                <w:i/>
                <w:color w:val="auto"/>
              </w:rPr>
              <w:t>kai trečiųjų šalių piliečiai teritorijoje yra neteisėtai, tačiau į ją pateko teisėtai kirtę Šengeno erdvės išorės sieną, valstybėms narėms turėtų būti leidžiama taikyti pagrįstą 15 dienų leidžiamo užsibuvimo terminą, prieš vykdant 14 straipsnyje nustatytus įsipareigojimus;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Il convient donc que pour les personnes entré illégalement sur le territoire d'un Etat membre, ces données soient directement enregistrées dans Eurodac mais que pour celles entré légalement un délai raisonnable de 15 jours leur soit laissé.</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85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13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(13)</w:t>
            </w:r>
            <w:r w:rsidRPr="00565F80">
              <w:rPr>
                <w:color w:val="auto"/>
              </w:rPr>
              <w:tab/>
            </w:r>
            <w:r w:rsidRPr="00565F80">
              <w:rPr>
                <w:b/>
                <w:i/>
                <w:color w:val="auto"/>
              </w:rPr>
              <w:t>2015 m. spalio 8 d. Išvadose dėl grąžinimo politikos ateities Taryba patvirtino Komisijos pasiūlymą išnagrinėti galimybę išplėsti EURODAC aprėptį ir tikslus, kad duomenimis būtų galima naudotis grąžinimo tikslais</w:t>
            </w:r>
            <w:r w:rsidRPr="00565F80">
              <w:rPr>
                <w:rStyle w:val="SupBoldItalic"/>
                <w:color w:val="auto"/>
              </w:rPr>
              <w:t>27</w:t>
            </w:r>
            <w:r w:rsidRPr="00565F80">
              <w:rPr>
                <w:b/>
                <w:i/>
                <w:color w:val="auto"/>
              </w:rPr>
              <w:t xml:space="preserve">. Valstybėms narėms turėtų būti suteikta reikiamų priemonių, kad jos galėtų nustatyti neteisėtą migraciją į Sąjungą ir neteisėtai </w:t>
            </w:r>
            <w:r w:rsidRPr="00565F80">
              <w:rPr>
                <w:b/>
                <w:i/>
                <w:color w:val="auto"/>
              </w:rPr>
              <w:lastRenderedPageBreak/>
              <w:t>esančių trečiųjų šalių piliečių antrinį judėjimą Sąjungoje. Todėl valstybių narių paskirtoms institucijoms šiame reglamente nustatytomis sąlygomis turėtų būti suteikta prieiga prie EURODAC duomenų, kad jos galėtų juos palyginti;</w:t>
            </w:r>
          </w:p>
        </w:tc>
        <w:tc>
          <w:tcPr>
            <w:tcW w:w="4876" w:type="dxa"/>
          </w:tcPr>
          <w:p w:rsidR="00BF668E" w:rsidRPr="00565F80" w:rsidRDefault="00BF668E" w:rsidP="00C555DE">
            <w:pPr>
              <w:pStyle w:val="Normal6"/>
              <w:rPr>
                <w:color w:val="auto"/>
              </w:rPr>
            </w:pPr>
            <w:r w:rsidRPr="00565F80">
              <w:rPr>
                <w:b/>
                <w:i/>
                <w:color w:val="auto"/>
              </w:rPr>
              <w:lastRenderedPageBreak/>
              <w:t>Išbraukta.</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_________________</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BoldItalic"/>
                <w:color w:val="auto"/>
              </w:rPr>
              <w:t>27</w:t>
            </w:r>
            <w:r w:rsidRPr="00565F80">
              <w:rPr>
                <w:color w:val="auto"/>
              </w:rPr>
              <w:t xml:space="preserve"> </w:t>
            </w:r>
            <w:r w:rsidRPr="00565F80">
              <w:rPr>
                <w:b/>
                <w:i/>
                <w:color w:val="auto"/>
              </w:rPr>
              <w:t>ES veiksmų grąžinimo srityje planas, COM(2015) 453 final.</w:t>
            </w:r>
          </w:p>
        </w:tc>
        <w:tc>
          <w:tcPr>
            <w:tcW w:w="4876" w:type="dxa"/>
          </w:tcPr>
          <w:p w:rsidR="00BF668E" w:rsidRPr="00565F80" w:rsidRDefault="00BF668E" w:rsidP="00C555DE">
            <w:pPr>
              <w:pStyle w:val="Normal6"/>
              <w:rPr>
                <w:color w:val="auto"/>
              </w:rPr>
            </w:pP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86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Kati Piri, Maria Grapini, Juan Fernando López Aguilar</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13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(13)</w:t>
            </w:r>
            <w:r w:rsidRPr="00565F80">
              <w:rPr>
                <w:color w:val="auto"/>
              </w:rPr>
              <w:tab/>
              <w:t>2015 m. spalio 8 d. Išvadose dėl grąžinimo politikos ateities Taryba patvirtino Komisijos pasiūlymą išnagrinėti galimybę išplėsti EURODAC aprėptį ir tikslus, kad duomenimis būtų galima naudotis grąžinimo tikslais</w:t>
            </w:r>
            <w:r w:rsidRPr="00565F80">
              <w:rPr>
                <w:rStyle w:val="Sup"/>
                <w:color w:val="auto"/>
              </w:rPr>
              <w:t>27</w:t>
            </w:r>
            <w:r w:rsidRPr="00565F80">
              <w:rPr>
                <w:color w:val="auto"/>
              </w:rPr>
              <w:t xml:space="preserve"> . Valstybėms narėms turėtų būti suteikta reikiamų priemonių, kad jos galėtų nustatyti neteisėtą migraciją </w:t>
            </w:r>
            <w:r w:rsidRPr="00565F80">
              <w:rPr>
                <w:b/>
                <w:i/>
                <w:color w:val="auto"/>
              </w:rPr>
              <w:t>į Sąjungą ir neteisėtai esančių trečiųjų šalių piliečių antrinį judėjimą Sąjungoje. Todėl valstybių narių paskirtoms institucijoms šiame reglamente nustatytomis sąlygomis turėtų būti suteikta prieiga prie EURODAC duomenų, kad jos galėtų juos palyginti</w:t>
            </w:r>
            <w:r w:rsidRPr="00565F80">
              <w:rPr>
                <w:color w:val="auto"/>
              </w:rPr>
              <w:t>;</w:t>
            </w:r>
          </w:p>
        </w:tc>
        <w:tc>
          <w:tcPr>
            <w:tcW w:w="4876" w:type="dxa"/>
          </w:tcPr>
          <w:p w:rsidR="00BF668E" w:rsidRPr="00565F80" w:rsidRDefault="00BF668E" w:rsidP="00C555DE">
            <w:pPr>
              <w:pStyle w:val="Normal6"/>
              <w:rPr>
                <w:color w:val="auto"/>
              </w:rPr>
            </w:pPr>
            <w:r w:rsidRPr="00565F80">
              <w:rPr>
                <w:color w:val="auto"/>
              </w:rPr>
              <w:t>(13)</w:t>
            </w:r>
            <w:r w:rsidRPr="00565F80">
              <w:rPr>
                <w:color w:val="auto"/>
              </w:rPr>
              <w:tab/>
              <w:t>2015 m. spalio 8 d. Išvadose dėl grąžinimo politikos ateities Taryba patvirtino Komisijos pasiūlymą išnagrinėti galimybę išplėsti EURODAC aprėptį ir tikslus, kad duomenimis būtų galima naudotis grąžinimo tikslais</w:t>
            </w:r>
            <w:r w:rsidRPr="00565F80">
              <w:rPr>
                <w:rStyle w:val="Sup"/>
                <w:color w:val="auto"/>
              </w:rPr>
              <w:t>27</w:t>
            </w:r>
            <w:r w:rsidRPr="00565F80">
              <w:rPr>
                <w:color w:val="auto"/>
              </w:rPr>
              <w:t xml:space="preserve"> . Valstybėms narėms turėtų būti suteikta reikiamų priemonių, kad jos galėtų nustatyti neteisėtą migraciją;</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27</w:t>
            </w:r>
            <w:r w:rsidRPr="00565F80">
              <w:rPr>
                <w:color w:val="auto"/>
              </w:rPr>
              <w:t xml:space="preserve"> ES veiksmų grąžinimo srityje planas, COM(2015) 453 </w:t>
            </w:r>
            <w:r w:rsidRPr="00565F80">
              <w:rPr>
                <w:i/>
                <w:color w:val="auto"/>
              </w:rPr>
              <w:t>final</w:t>
            </w:r>
            <w:r w:rsidRPr="00565F80">
              <w:rPr>
                <w:color w:val="auto"/>
              </w:rPr>
              <w:t>.</w:t>
            </w:r>
          </w:p>
        </w:tc>
        <w:tc>
          <w:tcPr>
            <w:tcW w:w="4876" w:type="dxa"/>
          </w:tcPr>
          <w:p w:rsidR="00BF668E" w:rsidRPr="00565F80" w:rsidRDefault="00BF668E" w:rsidP="00C555DE">
            <w:pPr>
              <w:pStyle w:val="Normal6"/>
              <w:rPr>
                <w:color w:val="auto"/>
              </w:rPr>
            </w:pPr>
            <w:r w:rsidRPr="00565F80">
              <w:rPr>
                <w:rStyle w:val="Sup"/>
                <w:color w:val="auto"/>
              </w:rPr>
              <w:t>27</w:t>
            </w:r>
            <w:r w:rsidRPr="00565F80">
              <w:rPr>
                <w:color w:val="auto"/>
              </w:rPr>
              <w:t xml:space="preserve"> ES veiksmų grąžinimo srityje planas, COM(2015) 453 </w:t>
            </w:r>
            <w:r w:rsidRPr="00565F80">
              <w:rPr>
                <w:i/>
                <w:color w:val="auto"/>
              </w:rPr>
              <w:t>final</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lastRenderedPageBreak/>
        <w:t>&lt;Amend&gt;</w:t>
      </w:r>
      <w:r w:rsidRPr="00565F80">
        <w:rPr>
          <w:color w:val="auto"/>
        </w:rPr>
        <w:t xml:space="preserve">Pakeitimas </w:t>
      </w:r>
      <w:r w:rsidRPr="00565F80">
        <w:rPr>
          <w:rStyle w:val="HideTWBExt"/>
          <w:color w:val="auto"/>
        </w:rPr>
        <w:t>&lt;NumAm&gt;</w:t>
      </w:r>
      <w:r w:rsidRPr="00565F80">
        <w:rPr>
          <w:color w:val="auto"/>
        </w:rPr>
        <w:t>87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Carlos Coelho, 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13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(13)</w:t>
            </w:r>
            <w:r w:rsidRPr="00565F80">
              <w:rPr>
                <w:color w:val="auto"/>
              </w:rPr>
              <w:tab/>
              <w:t>2015 m. spalio 8 d. Išvadose dėl grąžinimo politikos ateities Taryba patvirtino Komisijos pasiūlymą išnagrinėti galimybę išplėsti EURODAC aprėptį ir tikslus, kad duomenimis būtų galima naudotis grąžinimo tikslais</w:t>
            </w:r>
            <w:r w:rsidRPr="00565F80">
              <w:rPr>
                <w:rStyle w:val="Sup"/>
                <w:color w:val="auto"/>
              </w:rPr>
              <w:t>27</w:t>
            </w:r>
            <w:r w:rsidRPr="00565F80">
              <w:rPr>
                <w:color w:val="auto"/>
              </w:rPr>
              <w:t xml:space="preserve"> . Valstybėms narėms turėtų būti suteikta reikiamų priemonių, kad jos galėtų nustatyti neteisėtą migraciją </w:t>
            </w:r>
            <w:r w:rsidRPr="00565F80">
              <w:rPr>
                <w:b/>
                <w:i/>
                <w:color w:val="auto"/>
              </w:rPr>
              <w:t>į Sąjungą</w:t>
            </w:r>
            <w:r w:rsidRPr="00565F80">
              <w:rPr>
                <w:color w:val="auto"/>
              </w:rPr>
              <w:t xml:space="preserve"> ir </w:t>
            </w:r>
            <w:r w:rsidRPr="00565F80">
              <w:rPr>
                <w:b/>
                <w:i/>
                <w:color w:val="auto"/>
              </w:rPr>
              <w:t>neteisėtai esančių trečiųjų šalių piliečių</w:t>
            </w:r>
            <w:r w:rsidRPr="00565F80">
              <w:rPr>
                <w:color w:val="auto"/>
              </w:rPr>
              <w:t xml:space="preserve"> antrinį judėjimą Sąjungoje. Todėl valstybių narių paskirtoms institucijoms šiame reglamente nustatytomis sąlygomis turėtų būti suteikta prieiga prie EURODAC duomenų, kad jos galėtų juos palyginti;</w:t>
            </w:r>
          </w:p>
        </w:tc>
        <w:tc>
          <w:tcPr>
            <w:tcW w:w="4876" w:type="dxa"/>
          </w:tcPr>
          <w:p w:rsidR="00BF668E" w:rsidRPr="00565F80" w:rsidRDefault="00BF668E" w:rsidP="00C555DE">
            <w:pPr>
              <w:pStyle w:val="Normal6"/>
              <w:rPr>
                <w:color w:val="auto"/>
              </w:rPr>
            </w:pPr>
            <w:r w:rsidRPr="00565F80">
              <w:rPr>
                <w:color w:val="auto"/>
              </w:rPr>
              <w:t>(13)</w:t>
            </w:r>
            <w:r w:rsidRPr="00565F80">
              <w:rPr>
                <w:color w:val="auto"/>
              </w:rPr>
              <w:tab/>
              <w:t>2015 m. spalio 8 d. Išvadose dėl grąžinimo politikos ateities Taryba patvirtino Komisijos pasiūlymą išnagrinėti galimybę išplėsti EURODAC aprėptį ir tikslus, kad duomenimis būtų galima naudotis grąžinimo tikslais</w:t>
            </w:r>
            <w:r w:rsidRPr="00565F80">
              <w:rPr>
                <w:rStyle w:val="Sup"/>
                <w:color w:val="auto"/>
              </w:rPr>
              <w:t>27</w:t>
            </w:r>
            <w:r w:rsidRPr="00565F80">
              <w:rPr>
                <w:color w:val="auto"/>
              </w:rPr>
              <w:t xml:space="preserve"> . Valstybėms narėms turėtų būti suteikta reikiamų priemonių, kad jos galėtų nustatyti neteisėtą migraciją ir antrinį judėjimą </w:t>
            </w:r>
            <w:r w:rsidRPr="00565F80">
              <w:rPr>
                <w:b/>
                <w:i/>
                <w:color w:val="auto"/>
              </w:rPr>
              <w:t>nustatant neteisėtai esančius trečiųjų šalių piliečius</w:t>
            </w:r>
            <w:r w:rsidRPr="00565F80">
              <w:rPr>
                <w:color w:val="auto"/>
              </w:rPr>
              <w:t xml:space="preserve"> Sąjungoje. Todėl valstybių narių paskirtoms institucijoms šiame reglamente nustatytomis sąlygomis turėtų būti suteikta prieiga prie EURODAC duomenų, kad jos galėtų juos palyginti;</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27</w:t>
            </w:r>
            <w:r w:rsidRPr="00565F80">
              <w:rPr>
                <w:color w:val="auto"/>
              </w:rPr>
              <w:t xml:space="preserve"> ES veiksmų grąžinimo srityje planas, COM(2015) 453 </w:t>
            </w:r>
            <w:r w:rsidRPr="00565F80">
              <w:rPr>
                <w:i/>
                <w:color w:val="auto"/>
              </w:rPr>
              <w:t>final</w:t>
            </w:r>
            <w:r w:rsidRPr="00565F80">
              <w:rPr>
                <w:color w:val="auto"/>
              </w:rPr>
              <w:t>.</w:t>
            </w:r>
          </w:p>
        </w:tc>
        <w:tc>
          <w:tcPr>
            <w:tcW w:w="4876" w:type="dxa"/>
          </w:tcPr>
          <w:p w:rsidR="00BF668E" w:rsidRPr="00565F80" w:rsidRDefault="00BF668E" w:rsidP="00C555DE">
            <w:pPr>
              <w:pStyle w:val="Normal6"/>
              <w:rPr>
                <w:color w:val="auto"/>
              </w:rPr>
            </w:pPr>
            <w:r w:rsidRPr="00565F80">
              <w:rPr>
                <w:rStyle w:val="Sup"/>
                <w:color w:val="auto"/>
              </w:rPr>
              <w:t>27</w:t>
            </w:r>
            <w:r w:rsidRPr="00565F80">
              <w:rPr>
                <w:color w:val="auto"/>
              </w:rPr>
              <w:t xml:space="preserve"> ES veiksmų grąžinimo srityje planas, COM(2015) 453 </w:t>
            </w:r>
            <w:r w:rsidRPr="00565F80">
              <w:rPr>
                <w:i/>
                <w:color w:val="auto"/>
              </w:rPr>
              <w:t>final</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88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13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(13)</w:t>
            </w:r>
            <w:r w:rsidRPr="00565F80">
              <w:rPr>
                <w:color w:val="auto"/>
              </w:rPr>
              <w:tab/>
              <w:t>2015 m. spalio 8 d. Išvadose dėl grąžinimo politikos ateities Taryba patvirtino Komisijos pasiūlymą išnagrinėti galimybę išplėsti EURODAC aprėptį ir tikslus, kad duomenimis būtų galima naudotis grąžinimo tikslais</w:t>
            </w:r>
            <w:r w:rsidRPr="00565F80">
              <w:rPr>
                <w:rStyle w:val="Sup"/>
                <w:color w:val="auto"/>
              </w:rPr>
              <w:t>27</w:t>
            </w:r>
            <w:r w:rsidRPr="00565F80">
              <w:rPr>
                <w:color w:val="auto"/>
              </w:rPr>
              <w:t xml:space="preserve"> . Valstybėms narėms turėtų būti suteikta reikiamų priemonių, kad jos galėtų nustatyti </w:t>
            </w:r>
            <w:r w:rsidRPr="00565F80">
              <w:rPr>
                <w:color w:val="auto"/>
              </w:rPr>
              <w:lastRenderedPageBreak/>
              <w:t>neteisėtą migraciją į Sąjungą ir neteisėtai esančių trečiųjų šalių piliečių antrinį judėjimą Sąjungoje. Todėl valstybių narių paskirtoms institucijoms šiame reglamente nustatytomis sąlygomis turėtų būti suteikta prieiga prie EURODAC duomenų, kad jos galėtų juos palyginti;</w:t>
            </w:r>
          </w:p>
        </w:tc>
        <w:tc>
          <w:tcPr>
            <w:tcW w:w="4876" w:type="dxa"/>
          </w:tcPr>
          <w:p w:rsidR="00BF668E" w:rsidRPr="00565F80" w:rsidRDefault="00BF668E" w:rsidP="00C555DE">
            <w:pPr>
              <w:pStyle w:val="Normal6"/>
              <w:rPr>
                <w:color w:val="auto"/>
              </w:rPr>
            </w:pPr>
            <w:r w:rsidRPr="00565F80">
              <w:rPr>
                <w:color w:val="auto"/>
              </w:rPr>
              <w:lastRenderedPageBreak/>
              <w:t>(13)</w:t>
            </w:r>
            <w:r w:rsidRPr="00565F80">
              <w:rPr>
                <w:color w:val="auto"/>
              </w:rPr>
              <w:tab/>
              <w:t>2015 m. spalio 8 d. Išvadose dėl grąžinimo politikos ateities Taryba patvirtino Komisijos pasiūlymą išnagrinėti galimybę išplėsti EURODAC aprėptį ir tikslus, kad duomenimis būtų galima naudotis grąžinimo tikslais</w:t>
            </w:r>
            <w:r w:rsidRPr="00565F80">
              <w:rPr>
                <w:rStyle w:val="Sup"/>
                <w:color w:val="auto"/>
              </w:rPr>
              <w:t>27</w:t>
            </w:r>
            <w:r w:rsidRPr="00565F80">
              <w:rPr>
                <w:color w:val="auto"/>
              </w:rPr>
              <w:t xml:space="preserve"> . Valstybėms narėms turėtų būti suteikta reikiamų priemonių, kad jos galėtų nustatyti </w:t>
            </w:r>
            <w:r w:rsidRPr="00565F80">
              <w:rPr>
                <w:color w:val="auto"/>
              </w:rPr>
              <w:lastRenderedPageBreak/>
              <w:t xml:space="preserve">neteisėtą migraciją į Sąjungą ir neteisėtai esančių trečiųjų šalių piliečių </w:t>
            </w:r>
            <w:r w:rsidRPr="00565F80">
              <w:rPr>
                <w:b/>
                <w:i/>
                <w:color w:val="auto"/>
              </w:rPr>
              <w:t xml:space="preserve">arba asmenų be pilietybės </w:t>
            </w:r>
            <w:r w:rsidRPr="00565F80">
              <w:rPr>
                <w:color w:val="auto"/>
              </w:rPr>
              <w:t>antrinį judėjimą Sąjungoje. Todėl valstybių narių paskirtoms institucijoms šiame reglamente nustatytomis sąlygomis turėtų būti suteikta prieiga prie EURODAC duomenų, kad jos galėtų juos palyginti;</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27</w:t>
            </w:r>
            <w:r w:rsidRPr="00565F80">
              <w:rPr>
                <w:color w:val="auto"/>
              </w:rPr>
              <w:t xml:space="preserve"> ES veiksmų grąžinimo srityje planas, COM(2015) 453 </w:t>
            </w:r>
            <w:r w:rsidRPr="00565F80">
              <w:rPr>
                <w:i/>
                <w:color w:val="auto"/>
              </w:rPr>
              <w:t>final</w:t>
            </w:r>
            <w:r w:rsidRPr="00565F80">
              <w:rPr>
                <w:color w:val="auto"/>
              </w:rPr>
              <w:t>.</w:t>
            </w:r>
          </w:p>
        </w:tc>
        <w:tc>
          <w:tcPr>
            <w:tcW w:w="4876" w:type="dxa"/>
          </w:tcPr>
          <w:p w:rsidR="00BF668E" w:rsidRPr="00565F80" w:rsidRDefault="00BF668E" w:rsidP="00C555DE">
            <w:pPr>
              <w:pStyle w:val="Normal6"/>
              <w:rPr>
                <w:color w:val="auto"/>
              </w:rPr>
            </w:pPr>
            <w:r w:rsidRPr="00565F80">
              <w:rPr>
                <w:rStyle w:val="Sup"/>
                <w:color w:val="auto"/>
              </w:rPr>
              <w:t>27</w:t>
            </w:r>
            <w:r w:rsidRPr="00565F80">
              <w:rPr>
                <w:color w:val="auto"/>
              </w:rPr>
              <w:t xml:space="preserve"> ES veiksmų grąžinimo srityje planas, COM(2015) 453 </w:t>
            </w:r>
            <w:r w:rsidRPr="00565F80">
              <w:rPr>
                <w:i/>
                <w:color w:val="auto"/>
              </w:rPr>
              <w:t>final</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89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Anna Maria Corazza Bildt, Damiano Zoffoli, Barbara Matera, Petras Auštrevičius, Beatriz Becerra Basterrechea, Hilde Vautmans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14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(14)</w:t>
            </w:r>
            <w:r w:rsidRPr="00565F80">
              <w:rPr>
                <w:color w:val="auto"/>
              </w:rPr>
              <w:tab/>
              <w:t>Komisijos komunikate „Patikimesnės ir pažangesnės sienų ir saugumo informacinės sistemos“</w:t>
            </w:r>
            <w:r w:rsidRPr="00565F80">
              <w:rPr>
                <w:rStyle w:val="Sup"/>
                <w:color w:val="auto"/>
              </w:rPr>
              <w:t>28</w:t>
            </w:r>
            <w:r w:rsidRPr="00565F80">
              <w:rPr>
                <w:color w:val="auto"/>
              </w:rPr>
              <w:t xml:space="preserve"> kaip ilgalaikis tikslas pabrėžiamas poreikis pagerinti informacinių sistemų sąveiką; tokį tikslą nustatė ir Europos Vadovų Taryba bei Taryba. Komunikate siūloma įsteigti informacinių sistemų ir sąveikumo ekspertų grupę, kuri įvertintų teisines ir technines galimybes pasiekti </w:t>
            </w:r>
            <w:r w:rsidRPr="00565F80">
              <w:rPr>
                <w:b/>
                <w:i/>
                <w:color w:val="auto"/>
              </w:rPr>
              <w:t>sienoms ir saugumui</w:t>
            </w:r>
            <w:r w:rsidRPr="00565F80">
              <w:rPr>
                <w:color w:val="auto"/>
              </w:rPr>
              <w:t xml:space="preserve"> </w:t>
            </w:r>
            <w:r w:rsidRPr="00565F80">
              <w:rPr>
                <w:b/>
                <w:i/>
                <w:color w:val="auto"/>
              </w:rPr>
              <w:t>skirtų</w:t>
            </w:r>
            <w:r w:rsidRPr="00565F80">
              <w:rPr>
                <w:color w:val="auto"/>
              </w:rPr>
              <w:t xml:space="preserve"> informacinių sistemų sąveiką</w:t>
            </w:r>
            <w:r w:rsidRPr="00565F80">
              <w:rPr>
                <w:b/>
                <w:i/>
                <w:color w:val="auto"/>
              </w:rPr>
              <w:t xml:space="preserve">. Ši grupė </w:t>
            </w:r>
            <w:r w:rsidRPr="00565F80">
              <w:rPr>
                <w:color w:val="auto"/>
              </w:rPr>
              <w:t xml:space="preserve">turėtų </w:t>
            </w:r>
            <w:r w:rsidRPr="00565F80">
              <w:rPr>
                <w:b/>
                <w:i/>
                <w:color w:val="auto"/>
              </w:rPr>
              <w:t xml:space="preserve">įvertinti poreikį ir proporcingumą sukurti sąveiką </w:t>
            </w:r>
            <w:r w:rsidRPr="00565F80">
              <w:rPr>
                <w:color w:val="auto"/>
              </w:rPr>
              <w:t>su Šengeno</w:t>
            </w:r>
            <w:r w:rsidRPr="00565F80">
              <w:rPr>
                <w:b/>
                <w:i/>
                <w:color w:val="auto"/>
              </w:rPr>
              <w:t xml:space="preserve"> informacinėmis sistemomis </w:t>
            </w:r>
            <w:r w:rsidRPr="00565F80">
              <w:rPr>
                <w:color w:val="auto"/>
              </w:rPr>
              <w:t>(SIS)</w:t>
            </w:r>
            <w:r w:rsidRPr="00565F80">
              <w:rPr>
                <w:b/>
                <w:i/>
                <w:color w:val="auto"/>
              </w:rPr>
              <w:t xml:space="preserve"> ir</w:t>
            </w:r>
            <w:r w:rsidRPr="00565F80">
              <w:rPr>
                <w:color w:val="auto"/>
              </w:rPr>
              <w:t xml:space="preserve"> vizų </w:t>
            </w:r>
            <w:r w:rsidRPr="00565F80">
              <w:rPr>
                <w:b/>
                <w:i/>
                <w:color w:val="auto"/>
              </w:rPr>
              <w:t>informacinėmis sistemomis</w:t>
            </w:r>
            <w:r w:rsidRPr="00565F80">
              <w:rPr>
                <w:color w:val="auto"/>
              </w:rPr>
              <w:t xml:space="preserve"> (VIS) </w:t>
            </w:r>
            <w:r w:rsidRPr="00565F80">
              <w:rPr>
                <w:b/>
                <w:i/>
                <w:color w:val="auto"/>
              </w:rPr>
              <w:t>ir apsvarstyti poreikį peržiūrėti teisinę sistemą, susijusią su prieiga prie EURODAC teisėsaugos tikslais</w:t>
            </w:r>
            <w:r w:rsidRPr="00565F80">
              <w:rPr>
                <w:color w:val="auto"/>
              </w:rPr>
              <w:t>;</w:t>
            </w:r>
          </w:p>
        </w:tc>
        <w:tc>
          <w:tcPr>
            <w:tcW w:w="4876" w:type="dxa"/>
          </w:tcPr>
          <w:p w:rsidR="00BF668E" w:rsidRPr="00565F80" w:rsidRDefault="00BF668E" w:rsidP="00C555DE">
            <w:pPr>
              <w:pStyle w:val="Normal6"/>
              <w:rPr>
                <w:color w:val="auto"/>
              </w:rPr>
            </w:pPr>
            <w:r w:rsidRPr="00565F80">
              <w:rPr>
                <w:color w:val="auto"/>
              </w:rPr>
              <w:t>(14)</w:t>
            </w:r>
            <w:r w:rsidRPr="00565F80">
              <w:rPr>
                <w:color w:val="auto"/>
              </w:rPr>
              <w:tab/>
              <w:t>Komisijos komunikate „Patikimesnės ir pažangesnės sienų ir saugumo informacinės sistemos“</w:t>
            </w:r>
            <w:r w:rsidRPr="00565F80">
              <w:rPr>
                <w:rStyle w:val="Sup"/>
                <w:color w:val="auto"/>
              </w:rPr>
              <w:t>28</w:t>
            </w:r>
            <w:r w:rsidRPr="00565F80">
              <w:rPr>
                <w:color w:val="auto"/>
              </w:rPr>
              <w:t xml:space="preserve"> kaip ilgalaikis tikslas pabrėžiamas poreikis pagerinti informacinių sistemų sąveiką; tokį tikslą nustatė ir Europos Vadovų Taryba bei Taryba. Komunikate siūloma įsteigti informacinių sistemų ir sąveikumo ekspertų grupę, kuri įvertintų teisines ir technines galimybes pasiekti informacinių sistemų sąveiką</w:t>
            </w:r>
            <w:r w:rsidRPr="00565F80">
              <w:rPr>
                <w:i/>
                <w:color w:val="auto"/>
              </w:rPr>
              <w:t xml:space="preserve"> </w:t>
            </w:r>
            <w:r w:rsidRPr="00565F80">
              <w:rPr>
                <w:b/>
                <w:i/>
                <w:color w:val="auto"/>
              </w:rPr>
              <w:t xml:space="preserve">ir išnagrinėtų, ar būtina peržiūrėti teisinę sistemą, susijusią su prieiga prie EURODAC teisėsaugos tikslais. </w:t>
            </w:r>
            <w:r w:rsidRPr="00565F80">
              <w:rPr>
                <w:color w:val="auto"/>
              </w:rPr>
              <w:t xml:space="preserve">Turėtų </w:t>
            </w:r>
            <w:r w:rsidRPr="00565F80">
              <w:rPr>
                <w:b/>
                <w:i/>
                <w:color w:val="auto"/>
              </w:rPr>
              <w:t xml:space="preserve">būti plėtojami technologiniai sprendimai siekiant užtikrinti EURODAC sąveiką </w:t>
            </w:r>
            <w:r w:rsidRPr="00565F80">
              <w:rPr>
                <w:color w:val="auto"/>
              </w:rPr>
              <w:t>su Šengeno</w:t>
            </w:r>
            <w:r w:rsidRPr="00565F80">
              <w:rPr>
                <w:b/>
                <w:i/>
                <w:color w:val="auto"/>
              </w:rPr>
              <w:t xml:space="preserve"> informacine sistema </w:t>
            </w:r>
            <w:r w:rsidRPr="00565F80">
              <w:rPr>
                <w:color w:val="auto"/>
              </w:rPr>
              <w:t>(SIS)</w:t>
            </w:r>
            <w:r w:rsidRPr="00565F80">
              <w:rPr>
                <w:b/>
                <w:i/>
                <w:color w:val="auto"/>
              </w:rPr>
              <w:t xml:space="preserve">, </w:t>
            </w:r>
            <w:r w:rsidRPr="00565F80">
              <w:rPr>
                <w:color w:val="auto"/>
              </w:rPr>
              <w:t xml:space="preserve">vizų </w:t>
            </w:r>
            <w:r w:rsidRPr="00565F80">
              <w:rPr>
                <w:b/>
                <w:i/>
                <w:color w:val="auto"/>
              </w:rPr>
              <w:t xml:space="preserve">informacine sistema </w:t>
            </w:r>
            <w:r w:rsidRPr="00565F80">
              <w:rPr>
                <w:color w:val="auto"/>
              </w:rPr>
              <w:t>(VIS)</w:t>
            </w:r>
            <w:r w:rsidRPr="00565F80">
              <w:rPr>
                <w:b/>
                <w:i/>
                <w:color w:val="auto"/>
              </w:rPr>
              <w:t xml:space="preserve">, Europolu ir atvykimo ir išvykimo sistema (EES), siekiant stiprinti veiksmingą bendradarbiavimą tarp valstybių narių išorės sienų valdymo ir kovos su sunkiais </w:t>
            </w:r>
            <w:r w:rsidRPr="00565F80">
              <w:rPr>
                <w:b/>
                <w:i/>
                <w:color w:val="auto"/>
              </w:rPr>
              <w:lastRenderedPageBreak/>
              <w:t>nusikaltimais srityse. Jei papildomi duomenys apie nepilnamečius būtų įtraukiami į būsimą EURODAC versiją, valstybės narės taip pat turėtų registruoti šeiminius ryšius, siekiant palengvinti šeimų susijungimą ir atsekti dingusius vaikus</w:t>
            </w:r>
            <w:r w:rsidRPr="00565F80">
              <w:rPr>
                <w:color w:val="auto"/>
              </w:rPr>
              <w:t>;</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28</w:t>
            </w:r>
            <w:r w:rsidRPr="00565F80">
              <w:rPr>
                <w:color w:val="auto"/>
              </w:rPr>
              <w:t xml:space="preserve"> COM(2016) 205 </w:t>
            </w:r>
            <w:r w:rsidRPr="00565F80">
              <w:rPr>
                <w:i/>
                <w:color w:val="auto"/>
              </w:rPr>
              <w:t>final</w:t>
            </w:r>
            <w:r w:rsidRPr="00565F80">
              <w:rPr>
                <w:color w:val="auto"/>
              </w:rPr>
              <w:t>.</w:t>
            </w:r>
          </w:p>
        </w:tc>
        <w:tc>
          <w:tcPr>
            <w:tcW w:w="4876" w:type="dxa"/>
          </w:tcPr>
          <w:p w:rsidR="00BF668E" w:rsidRPr="00565F80" w:rsidRDefault="00BF668E" w:rsidP="00C555DE">
            <w:pPr>
              <w:pStyle w:val="Normal6"/>
              <w:rPr>
                <w:color w:val="auto"/>
              </w:rPr>
            </w:pPr>
            <w:r w:rsidRPr="00565F80">
              <w:rPr>
                <w:rStyle w:val="Sup"/>
                <w:color w:val="auto"/>
              </w:rPr>
              <w:t>28</w:t>
            </w:r>
            <w:r w:rsidRPr="00565F80">
              <w:rPr>
                <w:color w:val="auto"/>
              </w:rPr>
              <w:t xml:space="preserve"> COM(2016) 205 </w:t>
            </w:r>
            <w:r w:rsidRPr="00565F80">
              <w:rPr>
                <w:i/>
                <w:color w:val="auto"/>
              </w:rPr>
              <w:t>final</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90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Monika Hohlmeier, Heinz K. Becker, Jeroen Lenaers, Rachida Dati, Brice Hortefeux, Mariya Gabriel</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13 a konstatuojamoji dalis (nauja)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(13a)</w:t>
            </w:r>
            <w:r w:rsidRPr="00565F80">
              <w:rPr>
                <w:color w:val="auto"/>
              </w:rPr>
              <w:tab/>
            </w:r>
            <w:r w:rsidRPr="00565F80">
              <w:rPr>
                <w:b/>
                <w:i/>
                <w:color w:val="auto"/>
              </w:rPr>
              <w:t>kaip numatyta Europos Parlamento ir Tarybos reglamente (ES) Nr. 2016/1624</w:t>
            </w:r>
            <w:r w:rsidRPr="00565F80">
              <w:rPr>
                <w:rStyle w:val="SupBoldItalic"/>
                <w:color w:val="auto"/>
              </w:rPr>
              <w:t>1a</w:t>
            </w:r>
            <w:r w:rsidRPr="00565F80">
              <w:rPr>
                <w:b/>
                <w:i/>
                <w:color w:val="auto"/>
              </w:rPr>
              <w:t>, Europos sienų ir pakrančių apsaugos agentūra atlieka svarbų vaidmenį Sąjungai stengiantis užtikrinti geresnį išorės sienų valdymą, užkirsti kelią neteisėtai migracijai ir antriniam judėjimui. Todėl Europos sienos ir pakrančių apsaugos agentūrai turėtų būti suteikta prieiga prie EURODAC duomenų tam, kad būtų galima atlikti rizikos analizę pagal aukščiausius galimus standartus ir padėti valstybėms narėms vykdyti su grąžinimu susijusias užduotis. Tie duomenys turi būti tvarkomi laikantis Reglamente (ES) 2016/1624 nustatytų duomenų apsaugos priemonių;</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rStyle w:val="SupBoldItalic"/>
                <w:color w:val="auto"/>
              </w:rPr>
              <w:t>1a</w:t>
            </w:r>
            <w:r w:rsidRPr="00565F80">
              <w:rPr>
                <w:color w:val="auto"/>
              </w:rPr>
              <w:t xml:space="preserve"> </w:t>
            </w:r>
            <w:r w:rsidRPr="00565F80">
              <w:rPr>
                <w:b/>
                <w:i/>
                <w:color w:val="auto"/>
              </w:rPr>
              <w:t xml:space="preserve">2016 m. rugsėjo 14 d. Europos Parlamento ir Tarybos reglamentas (ES) 2016/1624 dėl Europos sienų ir pakrančių apsaugos pajėgų, kuriuo iš dalies </w:t>
            </w:r>
            <w:r w:rsidRPr="00565F80">
              <w:rPr>
                <w:b/>
                <w:i/>
                <w:color w:val="auto"/>
              </w:rPr>
              <w:lastRenderedPageBreak/>
              <w:t xml:space="preserve">keičiamas Europos Parlamento ir Tarybos reglamentas (ES) 2016/399 ir panaikinami Europos Parlamento </w:t>
            </w:r>
            <w:r w:rsidR="00252155" w:rsidRPr="00565F80">
              <w:rPr>
                <w:b/>
                <w:i/>
                <w:color w:val="auto"/>
              </w:rPr>
              <w:t>ir Tarybos reglamentas (EB) Nr. </w:t>
            </w:r>
            <w:r w:rsidRPr="00565F80">
              <w:rPr>
                <w:b/>
                <w:i/>
                <w:color w:val="auto"/>
              </w:rPr>
              <w:t>863/200</w:t>
            </w:r>
            <w:r w:rsidR="00252155" w:rsidRPr="00565F80">
              <w:rPr>
                <w:b/>
                <w:i/>
                <w:color w:val="auto"/>
              </w:rPr>
              <w:t>7, Tarybos reglamentas (EB) Nr. </w:t>
            </w:r>
            <w:r w:rsidRPr="00565F80">
              <w:rPr>
                <w:b/>
                <w:i/>
                <w:color w:val="auto"/>
              </w:rPr>
              <w:t>2007/2004 ir Tar</w:t>
            </w:r>
            <w:r w:rsidR="00252155" w:rsidRPr="00565F80">
              <w:rPr>
                <w:b/>
                <w:i/>
                <w:color w:val="auto"/>
              </w:rPr>
              <w:t>ybos sprendimas 2005/267/EB (OL L 251, 2016 9 16, p. </w:t>
            </w:r>
            <w:r w:rsidRPr="00565F80">
              <w:rPr>
                <w:b/>
                <w:i/>
                <w:color w:val="auto"/>
              </w:rPr>
              <w:t>1).</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w:t>
      </w:r>
      <w:r w:rsidR="00F63CF2" w:rsidRPr="00565F80">
        <w:rPr>
          <w:color w:val="auto"/>
          <w:lang w:val="lt-LT"/>
        </w:rPr>
        <w:t>keitimas atitinka naują EURODAC</w:t>
      </w:r>
      <w:r w:rsidRPr="00565F80">
        <w:rPr>
          <w:color w:val="auto"/>
          <w:lang w:val="lt-LT"/>
        </w:rPr>
        <w:t xml:space="preserve"> perimamą vaidmenį, kaip numatyta pagal naują 1 straipsnio b dalį. Nuo šiol EURODAC padės vykdyti neteisėtos migracijos ir antrinio judėjimo kontrolę. Pagal naujus įgaliojimus naujai sukurta Europos sienos ir pakrančių apsaugos agentūra taip pat turės šią užduotį. Prieigos Europos sienų ir pakrančių apsaugos pajėgoms suteikimas užtikrins, kad būtų visapusiškai išnaudojamos naujos EURODAC funkcijos.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91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Monika Hohlmeier, Heinz K. Becker, Rachida Dati, Brice Hortefeux, Mariya Gabriel</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13 b konstatuojamoji dalis (nauja)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(13b)</w:t>
            </w:r>
            <w:r w:rsidRPr="00565F80">
              <w:rPr>
                <w:color w:val="auto"/>
              </w:rPr>
              <w:tab/>
            </w:r>
            <w:r w:rsidRPr="00565F80">
              <w:rPr>
                <w:b/>
                <w:i/>
                <w:color w:val="auto"/>
              </w:rPr>
              <w:t>vienas iš pagrindinių Europos sienos ir pakrančių apsaugos agentūros ir būsimos Europos Sąjungos prieglobsčio agentūros uždavinių, nustatytų šiame reglamente, yra biometrinių duomenų ėmimas ir jų perdavimas. Europos sienų ir pakrančių apsaugos agentūrai ir Europos Sąjungos prieglobsčio agentūrai turėtų būti suteikiama atskira sąsaja, kad jos būtų nepriklausomos nuo nacionalinių infrastruktūrų. Ilguoju laikotarpiu šios sąsajos galėtų būti naudojamos kaip bendra paieškos sąsaja, kaip nurodyta 2016 m. balandžio 6 d. Komisijos komunikate „Patikimesnės ir pažangesnės sienų ir saugumo informacinės sistemos“</w:t>
            </w:r>
            <w:r w:rsidRPr="00565F80">
              <w:rPr>
                <w:rStyle w:val="SupBoldItalic"/>
                <w:color w:val="auto"/>
              </w:rPr>
              <w:t>1a</w:t>
            </w:r>
            <w:r w:rsidRPr="00565F80">
              <w:rPr>
                <w:b/>
                <w:i/>
                <w:color w:val="auto"/>
              </w:rPr>
              <w:t>;</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rStyle w:val="SupBoldItalic"/>
                <w:color w:val="auto"/>
              </w:rPr>
              <w:t>1a</w:t>
            </w:r>
            <w:r w:rsidRPr="00565F80">
              <w:rPr>
                <w:color w:val="auto"/>
              </w:rPr>
              <w:t xml:space="preserve"> </w:t>
            </w:r>
            <w:r w:rsidRPr="00565F80">
              <w:rPr>
                <w:b/>
                <w:i/>
                <w:color w:val="auto"/>
              </w:rPr>
              <w:t xml:space="preserve">COM(2016) 205 final. </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Šiuo pakeitimu mažinama Agentūros priklausomybė nuo nacionalinės infrastruktūros, kuri gali būti tikra našta kasdieniam agentūrų darbui, nes ne kiekviena nacionalinė infrastruktūra yra grindžiama aukščiausiais standartais.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92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14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(14)</w:t>
            </w:r>
            <w:r w:rsidRPr="00565F80">
              <w:rPr>
                <w:color w:val="auto"/>
              </w:rPr>
              <w:tab/>
              <w:t xml:space="preserve">Komisijos </w:t>
            </w:r>
            <w:r w:rsidRPr="00565F80">
              <w:rPr>
                <w:b/>
                <w:i/>
                <w:color w:val="auto"/>
              </w:rPr>
              <w:t>komunikate</w:t>
            </w:r>
            <w:r w:rsidRPr="00565F80">
              <w:rPr>
                <w:color w:val="auto"/>
              </w:rPr>
              <w:t xml:space="preserve"> „Patikimesnės ir pažangesnės sienų ir saugumo informacinės sistemos“</w:t>
            </w:r>
            <w:r w:rsidRPr="00565F80">
              <w:rPr>
                <w:rStyle w:val="Sup"/>
                <w:color w:val="auto"/>
              </w:rPr>
              <w:t>28</w:t>
            </w:r>
            <w:r w:rsidRPr="00565F80">
              <w:rPr>
                <w:color w:val="auto"/>
              </w:rPr>
              <w:t xml:space="preserve"> kaip ilgalaikis tikslas pabrėžiamas poreikis pagerinti informacinių sistemų sąveiką; tokį tikslą nustatė ir Europos Vadovų Taryba bei Taryba</w:t>
            </w:r>
            <w:r w:rsidRPr="00565F80">
              <w:rPr>
                <w:b/>
                <w:i/>
                <w:color w:val="auto"/>
              </w:rPr>
              <w:t>. Komunikate siūloma</w:t>
            </w:r>
            <w:r w:rsidRPr="00565F80">
              <w:rPr>
                <w:color w:val="auto"/>
              </w:rPr>
              <w:t xml:space="preserve"> </w:t>
            </w:r>
            <w:r w:rsidRPr="00565F80">
              <w:rPr>
                <w:b/>
                <w:i/>
                <w:color w:val="auto"/>
              </w:rPr>
              <w:t>įsteigti</w:t>
            </w:r>
            <w:r w:rsidRPr="00565F80">
              <w:rPr>
                <w:color w:val="auto"/>
              </w:rPr>
              <w:t xml:space="preserve"> informacinių sistemų ir sąveikumo ekspertų grupę, kuri įvertintų teisines ir technines galimybes pasiekti sienoms ir saugumui skirtų informacinių sistemų sąveiką</w:t>
            </w:r>
            <w:r w:rsidRPr="00565F80">
              <w:rPr>
                <w:b/>
                <w:i/>
                <w:color w:val="auto"/>
              </w:rPr>
              <w:t>.</w:t>
            </w:r>
            <w:r w:rsidRPr="00565F80">
              <w:rPr>
                <w:color w:val="auto"/>
              </w:rPr>
              <w:t xml:space="preserve"> Ši grupė turėtų įvertinti poreikį ir proporcingumą sukurti sąveiką </w:t>
            </w:r>
            <w:r w:rsidRPr="00565F80">
              <w:rPr>
                <w:b/>
                <w:i/>
                <w:color w:val="auto"/>
              </w:rPr>
              <w:t>su</w:t>
            </w:r>
            <w:r w:rsidRPr="00565F80">
              <w:rPr>
                <w:color w:val="auto"/>
              </w:rPr>
              <w:t xml:space="preserve"> Šengeno </w:t>
            </w:r>
            <w:r w:rsidRPr="00565F80">
              <w:rPr>
                <w:b/>
                <w:i/>
                <w:color w:val="auto"/>
              </w:rPr>
              <w:t>informacinėmis</w:t>
            </w:r>
            <w:r w:rsidRPr="00565F80">
              <w:rPr>
                <w:color w:val="auto"/>
              </w:rPr>
              <w:t xml:space="preserve"> </w:t>
            </w:r>
            <w:r w:rsidRPr="00565F80">
              <w:rPr>
                <w:b/>
                <w:i/>
                <w:color w:val="auto"/>
              </w:rPr>
              <w:t>sistemomis</w:t>
            </w:r>
            <w:r w:rsidRPr="00565F80">
              <w:rPr>
                <w:color w:val="auto"/>
              </w:rPr>
              <w:t xml:space="preserve"> (SIS) </w:t>
            </w:r>
            <w:r w:rsidRPr="00565F80">
              <w:rPr>
                <w:b/>
                <w:i/>
                <w:color w:val="auto"/>
              </w:rPr>
              <w:t>ir</w:t>
            </w:r>
            <w:r w:rsidRPr="00565F80">
              <w:rPr>
                <w:color w:val="auto"/>
              </w:rPr>
              <w:t xml:space="preserve"> vizų </w:t>
            </w:r>
            <w:r w:rsidRPr="00565F80">
              <w:rPr>
                <w:b/>
                <w:i/>
                <w:color w:val="auto"/>
              </w:rPr>
              <w:t>informacinėmis</w:t>
            </w:r>
            <w:r w:rsidRPr="00565F80">
              <w:rPr>
                <w:color w:val="auto"/>
              </w:rPr>
              <w:t xml:space="preserve"> </w:t>
            </w:r>
            <w:r w:rsidRPr="00565F80">
              <w:rPr>
                <w:b/>
                <w:i/>
                <w:color w:val="auto"/>
              </w:rPr>
              <w:t>sistemomis</w:t>
            </w:r>
            <w:r w:rsidRPr="00565F80">
              <w:rPr>
                <w:color w:val="auto"/>
              </w:rPr>
              <w:t xml:space="preserve"> (VIS) </w:t>
            </w:r>
            <w:r w:rsidRPr="00565F80">
              <w:rPr>
                <w:b/>
                <w:i/>
                <w:color w:val="auto"/>
              </w:rPr>
              <w:t xml:space="preserve">ir apsvarstyti poreikį peržiūrėti teisinę sistemą, susijusią su prieiga prie </w:t>
            </w:r>
            <w:r w:rsidRPr="00565F80">
              <w:rPr>
                <w:color w:val="auto"/>
              </w:rPr>
              <w:t xml:space="preserve">EURODAC </w:t>
            </w:r>
            <w:r w:rsidRPr="00565F80">
              <w:rPr>
                <w:b/>
                <w:i/>
                <w:color w:val="auto"/>
              </w:rPr>
              <w:t>teisėsaugos tikslais</w:t>
            </w:r>
            <w:r w:rsidRPr="00565F80">
              <w:rPr>
                <w:color w:val="auto"/>
              </w:rPr>
              <w:t>;</w:t>
            </w:r>
          </w:p>
        </w:tc>
        <w:tc>
          <w:tcPr>
            <w:tcW w:w="4876" w:type="dxa"/>
          </w:tcPr>
          <w:p w:rsidR="00BF668E" w:rsidRPr="00565F80" w:rsidRDefault="00BF668E" w:rsidP="00C555DE">
            <w:pPr>
              <w:pStyle w:val="Normal6"/>
              <w:rPr>
                <w:color w:val="auto"/>
              </w:rPr>
            </w:pPr>
            <w:r w:rsidRPr="00565F80">
              <w:rPr>
                <w:color w:val="auto"/>
              </w:rPr>
              <w:t>(14)</w:t>
            </w:r>
            <w:r w:rsidRPr="00565F80">
              <w:rPr>
                <w:color w:val="auto"/>
              </w:rPr>
              <w:tab/>
            </w:r>
            <w:r w:rsidR="006E1298" w:rsidRPr="00565F80">
              <w:rPr>
                <w:b/>
                <w:i/>
                <w:color w:val="auto"/>
              </w:rPr>
              <w:t>r</w:t>
            </w:r>
            <w:r w:rsidRPr="00565F80">
              <w:rPr>
                <w:b/>
                <w:i/>
                <w:color w:val="auto"/>
              </w:rPr>
              <w:t>emiantis</w:t>
            </w:r>
            <w:r w:rsidRPr="00565F80">
              <w:rPr>
                <w:color w:val="auto"/>
              </w:rPr>
              <w:t xml:space="preserve"> Komisijos </w:t>
            </w:r>
            <w:r w:rsidRPr="00565F80">
              <w:rPr>
                <w:b/>
                <w:i/>
                <w:color w:val="auto"/>
              </w:rPr>
              <w:t>komunikatu</w:t>
            </w:r>
            <w:r w:rsidRPr="00565F80">
              <w:rPr>
                <w:color w:val="auto"/>
              </w:rPr>
              <w:t xml:space="preserve"> „Patikimesnės ir pažangesnės sienų ir saugumo informacinės sistemos“</w:t>
            </w:r>
            <w:r w:rsidRPr="00565F80">
              <w:rPr>
                <w:rStyle w:val="Sup"/>
                <w:color w:val="auto"/>
              </w:rPr>
              <w:t>28</w:t>
            </w:r>
            <w:r w:rsidRPr="00565F80">
              <w:rPr>
                <w:b/>
                <w:i/>
                <w:color w:val="auto"/>
              </w:rPr>
              <w:t>, kuriame</w:t>
            </w:r>
            <w:r w:rsidRPr="00565F80">
              <w:rPr>
                <w:color w:val="auto"/>
              </w:rPr>
              <w:t xml:space="preserve"> kaip ilgalaikis tikslas pabrėžiamas poreikis pagerinti informacinių sistemų sąveiką; tokį tikslą nustatė ir Europos Vadovų Taryba bei Taryba</w:t>
            </w:r>
            <w:r w:rsidRPr="00565F80">
              <w:rPr>
                <w:b/>
                <w:i/>
                <w:color w:val="auto"/>
              </w:rPr>
              <w:t>, Komisija</w:t>
            </w:r>
            <w:r w:rsidRPr="00565F80">
              <w:rPr>
                <w:color w:val="auto"/>
              </w:rPr>
              <w:t xml:space="preserve"> </w:t>
            </w:r>
            <w:r w:rsidRPr="00565F80">
              <w:rPr>
                <w:b/>
                <w:i/>
                <w:color w:val="auto"/>
              </w:rPr>
              <w:t>įsteigė</w:t>
            </w:r>
            <w:r w:rsidRPr="00565F80">
              <w:rPr>
                <w:color w:val="auto"/>
              </w:rPr>
              <w:t xml:space="preserve"> informacinių sistemų ir sąveikumo ekspertų grupę, kuri įvertintų teisines ir technines galimybes pasiekti sienoms ir saugumui skirtų informacinių sistemų sąveiką </w:t>
            </w:r>
            <w:r w:rsidRPr="00565F80">
              <w:rPr>
                <w:b/>
                <w:i/>
                <w:color w:val="auto"/>
              </w:rPr>
              <w:t xml:space="preserve">ir kurios pagrindinis tikslas būtų pagerinti paslaugų, kurios teikiamos iš Sąjungos duomenų bazių vartotojams, kokybę, pavyzdžiui, suteikiant geresnę, paprastesnę ir greitesnę prieigą prie visos svarbios jose esančios informacijos ir garantuojant aukštos kokybės duomenis. Todėl </w:t>
            </w:r>
            <w:r w:rsidRPr="00565F80">
              <w:rPr>
                <w:color w:val="auto"/>
              </w:rPr>
              <w:t xml:space="preserve">ši grupė turėtų įvertinti poreikį ir proporcingumą sukurti sąveiką </w:t>
            </w:r>
            <w:r w:rsidRPr="00565F80">
              <w:rPr>
                <w:b/>
                <w:i/>
                <w:color w:val="auto"/>
              </w:rPr>
              <w:t>tarp Sąjungos informacinių sistemų, pvz.,</w:t>
            </w:r>
            <w:r w:rsidRPr="00565F80">
              <w:rPr>
                <w:color w:val="auto"/>
              </w:rPr>
              <w:t xml:space="preserve"> Šengeno </w:t>
            </w:r>
            <w:r w:rsidRPr="00565F80">
              <w:rPr>
                <w:b/>
                <w:i/>
                <w:color w:val="auto"/>
              </w:rPr>
              <w:t>informacinės</w:t>
            </w:r>
            <w:r w:rsidRPr="00565F80">
              <w:rPr>
                <w:color w:val="auto"/>
              </w:rPr>
              <w:t xml:space="preserve"> </w:t>
            </w:r>
            <w:r w:rsidRPr="00565F80">
              <w:rPr>
                <w:b/>
                <w:i/>
                <w:color w:val="auto"/>
              </w:rPr>
              <w:t xml:space="preserve">sistemos </w:t>
            </w:r>
            <w:r w:rsidRPr="00565F80">
              <w:rPr>
                <w:color w:val="auto"/>
              </w:rPr>
              <w:t>(SIS)</w:t>
            </w:r>
            <w:r w:rsidRPr="00565F80">
              <w:rPr>
                <w:b/>
                <w:i/>
                <w:color w:val="auto"/>
              </w:rPr>
              <w:t>,</w:t>
            </w:r>
            <w:r w:rsidRPr="00565F80">
              <w:rPr>
                <w:i/>
                <w:color w:val="auto"/>
              </w:rPr>
              <w:t xml:space="preserve"> </w:t>
            </w:r>
            <w:r w:rsidRPr="00565F80">
              <w:rPr>
                <w:color w:val="auto"/>
              </w:rPr>
              <w:t xml:space="preserve">vizų </w:t>
            </w:r>
            <w:r w:rsidRPr="00565F80">
              <w:rPr>
                <w:b/>
                <w:i/>
                <w:color w:val="auto"/>
              </w:rPr>
              <w:t>informacinės</w:t>
            </w:r>
            <w:r w:rsidRPr="00565F80">
              <w:rPr>
                <w:color w:val="auto"/>
              </w:rPr>
              <w:t xml:space="preserve"> </w:t>
            </w:r>
            <w:r w:rsidRPr="00565F80">
              <w:rPr>
                <w:b/>
                <w:i/>
                <w:color w:val="auto"/>
              </w:rPr>
              <w:t xml:space="preserve">sistemos </w:t>
            </w:r>
            <w:r w:rsidRPr="00565F80">
              <w:rPr>
                <w:color w:val="auto"/>
              </w:rPr>
              <w:t xml:space="preserve">(VIS) </w:t>
            </w:r>
            <w:r w:rsidRPr="00565F80">
              <w:rPr>
                <w:b/>
                <w:i/>
                <w:color w:val="auto"/>
              </w:rPr>
              <w:t xml:space="preserve">, </w:t>
            </w:r>
            <w:r w:rsidRPr="00565F80">
              <w:rPr>
                <w:color w:val="auto"/>
              </w:rPr>
              <w:t xml:space="preserve">EURODAC </w:t>
            </w:r>
            <w:r w:rsidRPr="00565F80">
              <w:rPr>
                <w:b/>
                <w:i/>
                <w:color w:val="auto"/>
              </w:rPr>
              <w:t>ir naujų atitinkamų informacinių sistemų, kurios šiuo metu yra kuriamos</w:t>
            </w:r>
            <w:r w:rsidRPr="00565F80">
              <w:rPr>
                <w:color w:val="auto"/>
              </w:rPr>
              <w:t>;</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28</w:t>
            </w:r>
            <w:r w:rsidRPr="00565F80">
              <w:rPr>
                <w:color w:val="auto"/>
              </w:rPr>
              <w:t xml:space="preserve"> COM(2016) 205 </w:t>
            </w:r>
            <w:r w:rsidRPr="00565F80">
              <w:rPr>
                <w:i/>
                <w:color w:val="auto"/>
              </w:rPr>
              <w:t>final</w:t>
            </w:r>
            <w:r w:rsidRPr="00565F80">
              <w:rPr>
                <w:color w:val="auto"/>
              </w:rPr>
              <w:t>.</w:t>
            </w:r>
          </w:p>
        </w:tc>
        <w:tc>
          <w:tcPr>
            <w:tcW w:w="4876" w:type="dxa"/>
          </w:tcPr>
          <w:p w:rsidR="00BF668E" w:rsidRPr="00565F80" w:rsidRDefault="00BF668E" w:rsidP="00C555DE">
            <w:pPr>
              <w:pStyle w:val="Normal6"/>
              <w:rPr>
                <w:color w:val="auto"/>
              </w:rPr>
            </w:pPr>
            <w:r w:rsidRPr="00565F80">
              <w:rPr>
                <w:rStyle w:val="Sup"/>
                <w:color w:val="auto"/>
              </w:rPr>
              <w:t>28</w:t>
            </w:r>
            <w:r w:rsidRPr="00565F80">
              <w:rPr>
                <w:color w:val="auto"/>
              </w:rPr>
              <w:t xml:space="preserve"> COM(2016) 205 </w:t>
            </w:r>
            <w:r w:rsidRPr="00565F80">
              <w:rPr>
                <w:i/>
                <w:color w:val="auto"/>
              </w:rPr>
              <w:t>final</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93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Kinga Gál</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14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(14)</w:t>
            </w:r>
            <w:r w:rsidRPr="00565F80">
              <w:rPr>
                <w:color w:val="auto"/>
              </w:rPr>
              <w:tab/>
              <w:t>Komisijos komunikate „Patikimesnės ir pažangesnės sienų ir saugumo informacinės sistemos“</w:t>
            </w:r>
            <w:r w:rsidRPr="00565F80">
              <w:rPr>
                <w:rStyle w:val="Sup"/>
                <w:color w:val="auto"/>
              </w:rPr>
              <w:t>28</w:t>
            </w:r>
            <w:r w:rsidRPr="00565F80">
              <w:rPr>
                <w:color w:val="auto"/>
              </w:rPr>
              <w:t xml:space="preserve"> kaip ilgalaikis tikslas pabrėžiamas poreikis pagerinti informacinių sistemų sąveiką; tokį tikslą nustatė ir Europos Vadovų Taryba bei Taryba. Komunikate siūloma įsteigti informacinių sistemų ir sąveikumo ekspertų grupę, kuri įvertintų teisines ir technines galimybes pasiekti </w:t>
            </w:r>
            <w:r w:rsidRPr="00565F80">
              <w:rPr>
                <w:b/>
                <w:i/>
                <w:color w:val="auto"/>
              </w:rPr>
              <w:t>sienoms ir saugumui</w:t>
            </w:r>
            <w:r w:rsidRPr="00565F80">
              <w:rPr>
                <w:color w:val="auto"/>
              </w:rPr>
              <w:t xml:space="preserve"> </w:t>
            </w:r>
            <w:r w:rsidRPr="00565F80">
              <w:rPr>
                <w:b/>
                <w:i/>
                <w:color w:val="auto"/>
              </w:rPr>
              <w:t>skirtų</w:t>
            </w:r>
            <w:r w:rsidRPr="00565F80">
              <w:rPr>
                <w:color w:val="auto"/>
              </w:rPr>
              <w:t xml:space="preserve"> informacinių sistemų sąveiką</w:t>
            </w:r>
            <w:r w:rsidRPr="00565F80">
              <w:rPr>
                <w:b/>
                <w:i/>
                <w:color w:val="auto"/>
              </w:rPr>
              <w:t xml:space="preserve">. Ši grupė </w:t>
            </w:r>
            <w:r w:rsidRPr="00565F80">
              <w:rPr>
                <w:color w:val="auto"/>
              </w:rPr>
              <w:t xml:space="preserve">turėtų </w:t>
            </w:r>
            <w:r w:rsidRPr="00565F80">
              <w:rPr>
                <w:b/>
                <w:i/>
                <w:color w:val="auto"/>
              </w:rPr>
              <w:t xml:space="preserve">įvertinti poreikį ir proporcingumą sukurti sąveiką </w:t>
            </w:r>
            <w:r w:rsidRPr="00565F80">
              <w:rPr>
                <w:color w:val="auto"/>
              </w:rPr>
              <w:t>su Šengeno</w:t>
            </w:r>
            <w:r w:rsidRPr="00565F80">
              <w:rPr>
                <w:b/>
                <w:i/>
                <w:color w:val="auto"/>
              </w:rPr>
              <w:t xml:space="preserve"> informacinėmis sistemomis </w:t>
            </w:r>
            <w:r w:rsidRPr="00565F80">
              <w:rPr>
                <w:color w:val="auto"/>
              </w:rPr>
              <w:t>(SIS)</w:t>
            </w:r>
            <w:r w:rsidRPr="00565F80">
              <w:rPr>
                <w:b/>
                <w:i/>
                <w:color w:val="auto"/>
              </w:rPr>
              <w:t xml:space="preserve"> ir</w:t>
            </w:r>
            <w:r w:rsidRPr="00565F80">
              <w:rPr>
                <w:color w:val="auto"/>
              </w:rPr>
              <w:t xml:space="preserve"> vizų </w:t>
            </w:r>
            <w:r w:rsidRPr="00565F80">
              <w:rPr>
                <w:b/>
                <w:i/>
                <w:color w:val="auto"/>
              </w:rPr>
              <w:t>informacinėmis sistemomis</w:t>
            </w:r>
            <w:r w:rsidRPr="00565F80">
              <w:rPr>
                <w:color w:val="auto"/>
              </w:rPr>
              <w:t xml:space="preserve"> (VIS) </w:t>
            </w:r>
            <w:r w:rsidRPr="00565F80">
              <w:rPr>
                <w:b/>
                <w:i/>
                <w:color w:val="auto"/>
              </w:rPr>
              <w:t>ir apsvarstyti poreikį peržiūrėti teisinę sistemą, susijusią su prieiga prie EURODAC teisėsaugos tikslais</w:t>
            </w:r>
            <w:r w:rsidRPr="00565F80">
              <w:rPr>
                <w:color w:val="auto"/>
              </w:rPr>
              <w:t>;</w:t>
            </w:r>
          </w:p>
        </w:tc>
        <w:tc>
          <w:tcPr>
            <w:tcW w:w="4876" w:type="dxa"/>
          </w:tcPr>
          <w:p w:rsidR="00BF668E" w:rsidRPr="00565F80" w:rsidRDefault="00BF668E" w:rsidP="00C555DE">
            <w:pPr>
              <w:pStyle w:val="Normal6"/>
              <w:rPr>
                <w:color w:val="auto"/>
              </w:rPr>
            </w:pPr>
            <w:r w:rsidRPr="00565F80">
              <w:rPr>
                <w:color w:val="auto"/>
              </w:rPr>
              <w:t>(14)</w:t>
            </w:r>
            <w:r w:rsidRPr="00565F80">
              <w:rPr>
                <w:color w:val="auto"/>
              </w:rPr>
              <w:tab/>
              <w:t>Komisijos komunikate „Patikimesnės ir pažangesnės sienų ir saugumo informacinės sistemos“</w:t>
            </w:r>
            <w:r w:rsidRPr="00565F80">
              <w:rPr>
                <w:rStyle w:val="Sup"/>
                <w:color w:val="auto"/>
              </w:rPr>
              <w:t>28</w:t>
            </w:r>
            <w:r w:rsidRPr="00565F80">
              <w:rPr>
                <w:color w:val="auto"/>
              </w:rPr>
              <w:t xml:space="preserve"> kaip ilgalaikis tikslas pabrėžiamas poreikis pagerinti informacinių sistemų sąveiką; tokį tikslą nustatė ir Europos Vadovų Taryba bei Taryba. Komunikate siūloma įsteigti informacinių sistemų ir sąveikumo ekspertų grupę, kuri įvertintų teisines ir technines galimybes pasiekti informacinių sistemų sąveiką</w:t>
            </w:r>
            <w:r w:rsidRPr="00565F80">
              <w:rPr>
                <w:i/>
                <w:color w:val="auto"/>
              </w:rPr>
              <w:t xml:space="preserve"> </w:t>
            </w:r>
            <w:r w:rsidRPr="00565F80">
              <w:rPr>
                <w:b/>
                <w:i/>
                <w:color w:val="auto"/>
              </w:rPr>
              <w:t xml:space="preserve">ir išnagrinėtų, ar būtina peržiūrėti teisinę sistemą, susijusią su prieiga prie EURODAC teisėsaugos tikslais. </w:t>
            </w:r>
            <w:r w:rsidRPr="00565F80">
              <w:rPr>
                <w:color w:val="auto"/>
              </w:rPr>
              <w:t xml:space="preserve">Turėtų </w:t>
            </w:r>
            <w:r w:rsidRPr="00565F80">
              <w:rPr>
                <w:b/>
                <w:i/>
                <w:color w:val="auto"/>
              </w:rPr>
              <w:t xml:space="preserve">būti plėtojami technologiniai sprendimai siekiant užtikrinti EURODAC sąveiką </w:t>
            </w:r>
            <w:r w:rsidRPr="00565F80">
              <w:rPr>
                <w:color w:val="auto"/>
              </w:rPr>
              <w:t>su Šengeno</w:t>
            </w:r>
            <w:r w:rsidRPr="00565F80">
              <w:rPr>
                <w:b/>
                <w:i/>
                <w:color w:val="auto"/>
              </w:rPr>
              <w:t xml:space="preserve"> informacine sistema </w:t>
            </w:r>
            <w:r w:rsidRPr="00565F80">
              <w:rPr>
                <w:color w:val="auto"/>
              </w:rPr>
              <w:t>(SIS)</w:t>
            </w:r>
            <w:r w:rsidRPr="00565F80">
              <w:rPr>
                <w:b/>
                <w:i/>
                <w:color w:val="auto"/>
              </w:rPr>
              <w:t xml:space="preserve">, </w:t>
            </w:r>
            <w:r w:rsidRPr="00565F80">
              <w:rPr>
                <w:color w:val="auto"/>
              </w:rPr>
              <w:t xml:space="preserve">vizų </w:t>
            </w:r>
            <w:r w:rsidRPr="00565F80">
              <w:rPr>
                <w:b/>
                <w:i/>
                <w:color w:val="auto"/>
              </w:rPr>
              <w:t xml:space="preserve">informacine sistema </w:t>
            </w:r>
            <w:r w:rsidRPr="00565F80">
              <w:rPr>
                <w:color w:val="auto"/>
              </w:rPr>
              <w:t>(VIS)</w:t>
            </w:r>
            <w:r w:rsidRPr="00565F80">
              <w:rPr>
                <w:b/>
                <w:i/>
                <w:color w:val="auto"/>
              </w:rPr>
              <w:t>, Europolu ir atvykimo ir išvykimo sistema (EES), siekiant stiprinti veiksmingą bendradarbiavimą tarp valstybių narių išorės sienų valdymo ir kovos su sunkiais nusikaltimais srityse</w:t>
            </w:r>
            <w:r w:rsidRPr="00565F80">
              <w:rPr>
                <w:color w:val="auto"/>
              </w:rPr>
              <w:t>;</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28</w:t>
            </w:r>
            <w:r w:rsidRPr="00565F80">
              <w:rPr>
                <w:color w:val="auto"/>
              </w:rPr>
              <w:t xml:space="preserve"> COM(2016) 205 </w:t>
            </w:r>
            <w:r w:rsidRPr="00565F80">
              <w:rPr>
                <w:i/>
                <w:color w:val="auto"/>
              </w:rPr>
              <w:t>final</w:t>
            </w:r>
            <w:r w:rsidRPr="00565F80">
              <w:rPr>
                <w:color w:val="auto"/>
              </w:rPr>
              <w:t>.</w:t>
            </w:r>
          </w:p>
        </w:tc>
        <w:tc>
          <w:tcPr>
            <w:tcW w:w="4876" w:type="dxa"/>
          </w:tcPr>
          <w:p w:rsidR="00BF668E" w:rsidRPr="00565F80" w:rsidRDefault="00BF668E" w:rsidP="00C555DE">
            <w:pPr>
              <w:pStyle w:val="Normal6"/>
              <w:rPr>
                <w:color w:val="auto"/>
              </w:rPr>
            </w:pPr>
            <w:r w:rsidRPr="00565F80">
              <w:rPr>
                <w:rStyle w:val="Sup"/>
                <w:color w:val="auto"/>
              </w:rPr>
              <w:t>28</w:t>
            </w:r>
            <w:r w:rsidRPr="00565F80">
              <w:rPr>
                <w:color w:val="auto"/>
              </w:rPr>
              <w:t xml:space="preserve"> COM(2016) 205 </w:t>
            </w:r>
            <w:r w:rsidRPr="00565F80">
              <w:rPr>
                <w:i/>
                <w:color w:val="auto"/>
              </w:rPr>
              <w:t>final</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94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lastRenderedPageBreak/>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14 konstatuojamoji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(14)</w:t>
            </w:r>
            <w:r w:rsidRPr="00565F80">
              <w:rPr>
                <w:color w:val="auto"/>
              </w:rPr>
              <w:tab/>
              <w:t>Komisijos komunikate „Patikimesnės ir pažangesnės sienų ir saugumo informacinės sistemos“</w:t>
            </w:r>
            <w:r w:rsidRPr="00565F80">
              <w:rPr>
                <w:rStyle w:val="Sup"/>
                <w:color w:val="auto"/>
              </w:rPr>
              <w:t>28</w:t>
            </w:r>
            <w:r w:rsidRPr="00565F80">
              <w:rPr>
                <w:color w:val="auto"/>
              </w:rPr>
              <w:t xml:space="preserve"> kaip ilgalaikis tikslas pabrėžiamas poreikis pagerinti informacinių sistemų sąveiką; tokį tikslą nustatė ir Europos Vadovų Taryba bei Taryba. Komunikate siūloma įsteigti informacinių sistemų ir sąveikumo ekspertų grupę, kuri įvertintų teisines ir technines galimybes pasiekti sienoms ir saugumui skirtų informacinių sistemų sąveiką. Ši grupė turėtų įvertinti poreikį ir proporcingumą sukurti sąveiką su Šengeno informacinėmis sistemomis (SIS) ir vizų informacinėmis sistemomis (VIS) ir apsvarstyti poreikį peržiūrėti teisinę sistemą, susijusią su prieiga prie EURODAC teisėsaugos tikslais;</w:t>
            </w:r>
          </w:p>
        </w:tc>
        <w:tc>
          <w:tcPr>
            <w:tcW w:w="4876" w:type="dxa"/>
          </w:tcPr>
          <w:p w:rsidR="00BF668E" w:rsidRPr="00565F80" w:rsidRDefault="00BF668E" w:rsidP="00C555DE">
            <w:pPr>
              <w:pStyle w:val="Normal6"/>
              <w:rPr>
                <w:color w:val="auto"/>
              </w:rPr>
            </w:pPr>
            <w:r w:rsidRPr="00565F80">
              <w:rPr>
                <w:color w:val="auto"/>
              </w:rPr>
              <w:t>(14)</w:t>
            </w:r>
            <w:r w:rsidRPr="00565F80">
              <w:rPr>
                <w:color w:val="auto"/>
              </w:rPr>
              <w:tab/>
              <w:t>Komisijos komunikate „Patikimesnės ir pažangesnės sienų ir saugumo informacinės sistemos“</w:t>
            </w:r>
            <w:r w:rsidRPr="00565F80">
              <w:rPr>
                <w:rStyle w:val="Sup"/>
                <w:color w:val="auto"/>
              </w:rPr>
              <w:t>28</w:t>
            </w:r>
            <w:r w:rsidRPr="00565F80">
              <w:rPr>
                <w:color w:val="auto"/>
              </w:rPr>
              <w:t xml:space="preserve"> kaip ilgalaikis tikslas pabrėžiamas poreikis pagerinti informacinių sistemų sąveiką; tokį tikslą nustatė ir Europos Vadovų Taryba bei Taryba. Komunikate siūloma įsteigti informacinių sistemų ir sąveikumo ekspertų grupę, kuri įvertintų teisines ir technines galimybes pasiekti sienoms ir saugumui skirtų informacinių sistemų sąveiką. Ši grupė turėtų įvertinti poreikį ir proporcingumą sukurti sąveiką su Šengeno informacinėmis sistemomis (SIS)</w:t>
            </w:r>
            <w:r w:rsidRPr="00565F80">
              <w:rPr>
                <w:b/>
                <w:i/>
                <w:color w:val="auto"/>
              </w:rPr>
              <w:t>, atvykimo ir išvykimo sistema</w:t>
            </w:r>
            <w:r w:rsidRPr="00565F80">
              <w:rPr>
                <w:color w:val="auto"/>
              </w:rPr>
              <w:t xml:space="preserve"> ir vizų informacinėmis sistemomis (VIS) ir apsvarstyti poreikį peržiūrėti teisinę sistemą, susijusią su prieiga prie EURODAC teisėsaugos tikslais;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28</w:t>
            </w:r>
            <w:r w:rsidRPr="00565F80">
              <w:rPr>
                <w:color w:val="auto"/>
              </w:rPr>
              <w:t xml:space="preserve"> COM(2016) 205 </w:t>
            </w:r>
            <w:r w:rsidRPr="00565F80">
              <w:rPr>
                <w:i/>
                <w:color w:val="auto"/>
              </w:rPr>
              <w:t>final</w:t>
            </w:r>
            <w:r w:rsidRPr="00565F80">
              <w:rPr>
                <w:color w:val="auto"/>
              </w:rPr>
              <w:t>.</w:t>
            </w:r>
          </w:p>
        </w:tc>
        <w:tc>
          <w:tcPr>
            <w:tcW w:w="4876" w:type="dxa"/>
          </w:tcPr>
          <w:p w:rsidR="00BF668E" w:rsidRPr="00565F80" w:rsidRDefault="00BF668E" w:rsidP="00C555DE">
            <w:pPr>
              <w:pStyle w:val="Normal6"/>
              <w:rPr>
                <w:color w:val="auto"/>
              </w:rPr>
            </w:pPr>
            <w:r w:rsidRPr="00565F80">
              <w:rPr>
                <w:rStyle w:val="Sup"/>
                <w:color w:val="auto"/>
              </w:rPr>
              <w:t>28</w:t>
            </w:r>
            <w:r w:rsidRPr="00565F80">
              <w:rPr>
                <w:color w:val="auto"/>
              </w:rPr>
              <w:t xml:space="preserve"> COM(2016) 205 </w:t>
            </w:r>
            <w:r w:rsidRPr="00565F80">
              <w:rPr>
                <w:i/>
                <w:color w:val="auto"/>
              </w:rPr>
              <w:t>final</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95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14 a konstatuojamoji dalis (nauja)</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(14a)</w:t>
            </w:r>
            <w:r w:rsidRPr="00565F80">
              <w:rPr>
                <w:color w:val="auto"/>
              </w:rPr>
              <w:tab/>
            </w:r>
            <w:r w:rsidRPr="00565F80">
              <w:rPr>
                <w:b/>
                <w:i/>
                <w:color w:val="auto"/>
              </w:rPr>
              <w:t xml:space="preserve">„eu-LISA“ sukuria saugų AIS centrinės sistemos ir EURODAC centrinės sistemos ryšių kanalą, kad būtų užtikrinta abiejų sistemų sąveika. Abiejų sistemų ryšys būtinas, kad AIS užregistruotus trečiųjų šalių piliečių </w:t>
            </w:r>
            <w:r w:rsidRPr="00565F80">
              <w:rPr>
                <w:b/>
                <w:i/>
                <w:color w:val="auto"/>
              </w:rPr>
              <w:lastRenderedPageBreak/>
              <w:t>biometrinius duomenis būtų galima automatiškai perduoti EURODAC, jeigu šių duomenų registracija numatyta šiame reglamente;</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AIS sistemos tikslas bus užregistruoti trečiųjų šalių piliečių, atvykstančių į Šengeno erdvę trumpalaikiam buvimui, atvykimo ir išvykimo datą ir nurodyti bet kokį leidžiamo buvimo laikotarpio viršijimą. Taigi užsibuvęs trečiosios šalies pilietis šalyje yra neteisėtai, todėl turėtų būti užregistruotas EURODAC pagal 14 straipsnį. Dėl šių dviejų sistemų sąveikumo valstybėms narėms bus galima išvengti situacijų, kai jų teritorijoje reikia ieškoti asmenų</w:t>
      </w:r>
      <w:r w:rsidR="006E1298" w:rsidRPr="00565F80">
        <w:rPr>
          <w:color w:val="auto"/>
          <w:lang w:val="lt-LT"/>
        </w:rPr>
        <w:t>,</w:t>
      </w:r>
      <w:r w:rsidRPr="00565F80">
        <w:rPr>
          <w:color w:val="auto"/>
          <w:lang w:val="lt-LT"/>
        </w:rPr>
        <w:t xml:space="preserve"> ir išvengti nereikalingo dubliavimo.</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96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Carlos Coelho, 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14 a konstatuojamoji dalis (nauja)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(14a)</w:t>
            </w:r>
            <w:r w:rsidRPr="00565F80">
              <w:rPr>
                <w:color w:val="auto"/>
              </w:rPr>
              <w:tab/>
            </w:r>
            <w:r w:rsidRPr="00565F80">
              <w:rPr>
                <w:b/>
                <w:i/>
                <w:color w:val="auto"/>
              </w:rPr>
              <w:t>Komisijas pasiūlymu</w:t>
            </w:r>
            <w:r w:rsidRPr="00565F80">
              <w:rPr>
                <w:rStyle w:val="SupBoldItalic"/>
                <w:color w:val="auto"/>
              </w:rPr>
              <w:t>1a</w:t>
            </w:r>
            <w:r w:rsidRPr="00565F80">
              <w:rPr>
                <w:b/>
                <w:i/>
                <w:color w:val="auto"/>
              </w:rPr>
              <w:t>, kuriuo iš dalies keičiama Šengeno informacinė sistema (SIS) patikrinimų kertant sieną srityje, suteikiama galimybė naudoti pirštų atspaudų paiešką SIS ir nedelsiant surasti informaciją apie trečiosios šalies piliečių tapatybę ir statusą priimant su gr</w:t>
            </w:r>
            <w:r w:rsidR="00F63CF2" w:rsidRPr="00565F80">
              <w:rPr>
                <w:b/>
                <w:i/>
                <w:color w:val="auto"/>
              </w:rPr>
              <w:t xml:space="preserve">ąžinimu susijusius sprendimus. </w:t>
            </w:r>
            <w:r w:rsidRPr="00565F80">
              <w:rPr>
                <w:b/>
                <w:i/>
                <w:color w:val="auto"/>
              </w:rPr>
              <w:t>Valstybės narės turėtų kuo glaudžiau įsteigti informacijos centrus, kuriuos</w:t>
            </w:r>
            <w:r w:rsidR="00706BC8" w:rsidRPr="00565F80">
              <w:rPr>
                <w:b/>
                <w:i/>
                <w:color w:val="auto"/>
              </w:rPr>
              <w:t>e</w:t>
            </w:r>
            <w:r w:rsidRPr="00565F80">
              <w:rPr>
                <w:b/>
                <w:i/>
                <w:color w:val="auto"/>
              </w:rPr>
              <w:t xml:space="preserve"> atliekami EURODAC palyginimai, ir nacionalinius informacijos centrus, kuriuose tvarkoma papildoma informacija, susijusi su SIS;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rStyle w:val="SupBoldItalic"/>
                <w:color w:val="auto"/>
              </w:rPr>
              <w:t>1a</w:t>
            </w:r>
            <w:r w:rsidRPr="00565F80">
              <w:rPr>
                <w:color w:val="auto"/>
              </w:rPr>
              <w:t xml:space="preserve"> </w:t>
            </w:r>
            <w:r w:rsidR="00706BC8" w:rsidRPr="00565F80">
              <w:rPr>
                <w:b/>
                <w:i/>
                <w:color w:val="auto"/>
              </w:rPr>
              <w:t>COM(</w:t>
            </w:r>
            <w:r w:rsidRPr="00565F80">
              <w:rPr>
                <w:b/>
                <w:i/>
                <w:color w:val="auto"/>
              </w:rPr>
              <w:t>2016</w:t>
            </w:r>
            <w:r w:rsidR="00706BC8" w:rsidRPr="00565F80">
              <w:rPr>
                <w:b/>
                <w:i/>
                <w:color w:val="auto"/>
              </w:rPr>
              <w:t>) 882</w:t>
            </w:r>
            <w:r w:rsidRPr="00565F80">
              <w:rPr>
                <w:b/>
                <w:i/>
                <w:color w:val="auto"/>
              </w:rPr>
              <w:t xml:space="preserve"> final.</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lastRenderedPageBreak/>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Šios nuostatos grindžiamos 14 konstatuojamąja dal</w:t>
      </w:r>
      <w:r w:rsidR="007E47A2" w:rsidRPr="00565F80">
        <w:rPr>
          <w:color w:val="auto"/>
          <w:lang w:val="lt-LT"/>
        </w:rPr>
        <w:t>imi</w:t>
      </w:r>
      <w:r w:rsidRPr="00565F80">
        <w:rPr>
          <w:color w:val="auto"/>
          <w:lang w:val="lt-LT"/>
        </w:rPr>
        <w:t xml:space="preserve"> ir daroma nuoroda į pasiūlymą, pateiktą po šios naujos redakcijos.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97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Monika Hohlmeier, Heinz K. Becker, Rachida Dati, Brice Hortefeux, Mariya Gabriel</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14 a konstatuojamoji dalis (nauja)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(14a)</w:t>
            </w:r>
            <w:r w:rsidRPr="00565F80">
              <w:rPr>
                <w:color w:val="auto"/>
              </w:rPr>
              <w:tab/>
            </w:r>
            <w:r w:rsidRPr="00565F80">
              <w:rPr>
                <w:b/>
                <w:i/>
                <w:color w:val="auto"/>
              </w:rPr>
              <w:t>tikimasi, kad Informacinių sistemų ir sąveikumo aukšto lygio ekspertų grupė pateiks savo rezultatus 2017 m. pavasarį. Šie rezultatai gali būti svarbūs EURODAC plėtrai. Kai tinkama, geriausios galimos teisinės ir techninės sąlygos turėtų būti sudarytos galimai EURODAC sąveikai su kitomis sienų ir saugumo informacinėmis sistemomis;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pakeitimas atitinka naujos redakcijos dokumento naują 14 konstatuojamąją dalį ir išreiškia autoriaus valią sudaryti būtinas teisines ir technines sąlygas galimai EURODAC sąveikai su kitomis duomenų bazėmis.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98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Monika Hohlmeier, Heinz K. Becker, Jeroen Lenaers, Rachida Dati, Brice Hortefeux, Mariya Gabriel, Artis Pabriks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15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(15)</w:t>
            </w:r>
            <w:r w:rsidRPr="00565F80">
              <w:rPr>
                <w:color w:val="auto"/>
              </w:rPr>
              <w:tab/>
              <w:t xml:space="preserve">kovojant su teroristinėmis veikomis ir kitomis sunkiomis nusikalstamomis veikomis, būtina užtikrinti, kad, vykdydamos savo užduotis, teisėsaugos </w:t>
            </w:r>
            <w:r w:rsidRPr="00565F80">
              <w:rPr>
                <w:color w:val="auto"/>
              </w:rPr>
              <w:lastRenderedPageBreak/>
              <w:t>institucijos turėtų išsamiausią ir naujausią informaciją. Sistemoje EURODAC kaupiama informacija reikalinga teroristinių veikų, kaip nurodyta Tarybos pamatiniame sprendime 2002/475/TVR</w:t>
            </w:r>
            <w:r w:rsidRPr="00565F80">
              <w:rPr>
                <w:rStyle w:val="SupBoldItalic"/>
                <w:color w:val="auto"/>
              </w:rPr>
              <w:t>29</w:t>
            </w:r>
            <w:r w:rsidRPr="00565F80">
              <w:rPr>
                <w:color w:val="auto"/>
              </w:rPr>
              <w:t>, ar kitų sunkių nusikalstamų veikų, kaip nurodyta Tarybos pagrindų sprendime 2002/584/TVR</w:t>
            </w:r>
            <w:r w:rsidRPr="00565F80">
              <w:rPr>
                <w:rStyle w:val="SupBoldItalic"/>
                <w:color w:val="auto"/>
              </w:rPr>
              <w:t>30</w:t>
            </w:r>
            <w:r w:rsidRPr="00565F80">
              <w:rPr>
                <w:color w:val="auto"/>
              </w:rPr>
              <w:t xml:space="preserve">, prevencijai, atskleidimui </w:t>
            </w:r>
            <w:r w:rsidRPr="00565F80">
              <w:rPr>
                <w:b/>
                <w:i/>
                <w:color w:val="auto"/>
              </w:rPr>
              <w:t xml:space="preserve">ar </w:t>
            </w:r>
            <w:r w:rsidRPr="00565F80">
              <w:rPr>
                <w:color w:val="auto"/>
              </w:rPr>
              <w:t>tyrimui. Todėl paskirtos valstybių narių institucijos ir Europos policijos biuras (toliau – Europolas) turėtų turėti prieigą prie EURODAC duomenų šiame reglamente nustatytomis sąlygomis;</w:t>
            </w:r>
          </w:p>
        </w:tc>
        <w:tc>
          <w:tcPr>
            <w:tcW w:w="4876" w:type="dxa"/>
          </w:tcPr>
          <w:p w:rsidR="00BF668E" w:rsidRPr="00565F80" w:rsidRDefault="00BF668E" w:rsidP="00C555DE">
            <w:pPr>
              <w:pStyle w:val="Normal6"/>
              <w:rPr>
                <w:color w:val="auto"/>
              </w:rPr>
            </w:pPr>
            <w:r w:rsidRPr="00565F80">
              <w:rPr>
                <w:color w:val="auto"/>
              </w:rPr>
              <w:lastRenderedPageBreak/>
              <w:t>(15)</w:t>
            </w:r>
            <w:r w:rsidRPr="00565F80">
              <w:rPr>
                <w:color w:val="auto"/>
              </w:rPr>
              <w:tab/>
              <w:t xml:space="preserve">kovojant su teroristinėmis veikomis ir kitomis sunkiomis nusikalstamomis veikomis, būtina užtikrinti, kad, vykdydamos savo užduotis, teisėsaugos </w:t>
            </w:r>
            <w:r w:rsidRPr="00565F80">
              <w:rPr>
                <w:color w:val="auto"/>
              </w:rPr>
              <w:lastRenderedPageBreak/>
              <w:t xml:space="preserve">institucijos turėtų išsamiausią ir naujausią informaciją. Sistemoje EURODAC kaupiama informacija reikalinga teroristinių veikų, kaip nurodyta </w:t>
            </w:r>
            <w:r w:rsidRPr="00565F80">
              <w:rPr>
                <w:b/>
                <w:i/>
                <w:color w:val="auto"/>
              </w:rPr>
              <w:t xml:space="preserve">Europos Parlamento ir Tarybos direktyvoje (ES) 2017/... [dėl kovos su terorizmu ir pakeičiančioje </w:t>
            </w:r>
            <w:r w:rsidRPr="00565F80">
              <w:rPr>
                <w:color w:val="auto"/>
              </w:rPr>
              <w:t xml:space="preserve">Tarybos </w:t>
            </w:r>
            <w:r w:rsidRPr="00565F80">
              <w:rPr>
                <w:b/>
                <w:i/>
                <w:color w:val="auto"/>
              </w:rPr>
              <w:t>pamatinį sprendimą</w:t>
            </w:r>
            <w:r w:rsidRPr="00565F80">
              <w:rPr>
                <w:color w:val="auto"/>
              </w:rPr>
              <w:t xml:space="preserve"> 2002/475/TVR </w:t>
            </w:r>
            <w:r w:rsidRPr="00565F80">
              <w:rPr>
                <w:b/>
                <w:i/>
                <w:color w:val="auto"/>
              </w:rPr>
              <w:t>ir iš dalies pakeičiančioje Tarybos sprendimą 2005/671/TVR]</w:t>
            </w:r>
            <w:r w:rsidRPr="00565F80">
              <w:rPr>
                <w:color w:val="auto"/>
              </w:rPr>
              <w:t>, ar kitų sunkių nusikalstamų veikų, kaip nurodyta Tarybos pagrindų sprendime 2002/584/TVR, prevencijai, atskleidimui</w:t>
            </w:r>
            <w:r w:rsidRPr="00565F80">
              <w:rPr>
                <w:b/>
                <w:i/>
                <w:color w:val="auto"/>
              </w:rPr>
              <w:t xml:space="preserve">, </w:t>
            </w:r>
            <w:r w:rsidRPr="00565F80">
              <w:rPr>
                <w:color w:val="auto"/>
              </w:rPr>
              <w:t xml:space="preserve">tyrimui </w:t>
            </w:r>
            <w:r w:rsidRPr="00565F80">
              <w:rPr>
                <w:b/>
                <w:i/>
                <w:color w:val="auto"/>
              </w:rPr>
              <w:t>ar persekiojimui</w:t>
            </w:r>
            <w:r w:rsidRPr="00565F80">
              <w:rPr>
                <w:color w:val="auto"/>
              </w:rPr>
              <w:t>. Todėl paskirtos valstybių narių institucijos ir Europos policijos biuras (toliau – Europolas) turėtų turėti prieigą prie EURODAC duomenų šiame reglamente nustatytomis sąlygomis;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_________________</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BoldItalic"/>
                <w:color w:val="auto"/>
              </w:rPr>
              <w:t>29</w:t>
            </w:r>
            <w:r w:rsidRPr="00565F80">
              <w:rPr>
                <w:color w:val="auto"/>
              </w:rPr>
              <w:t xml:space="preserve"> </w:t>
            </w:r>
            <w:r w:rsidRPr="00565F80">
              <w:rPr>
                <w:b/>
                <w:i/>
                <w:color w:val="auto"/>
              </w:rPr>
              <w:t>2002 m. birželio 13 d. Tarybos pamatinis sprendimas 2002/475/TVR dėl kovos su terorizmu (OL L 164, 2002 6 22, p. 3).</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BoldItalic"/>
                <w:color w:val="auto"/>
              </w:rPr>
              <w:t>30</w:t>
            </w:r>
            <w:r w:rsidRPr="00565F80">
              <w:rPr>
                <w:color w:val="auto"/>
              </w:rPr>
              <w:t xml:space="preserve"> 2002 m. birželio 13 d. Tarybos pagrindų sprendimas 2002/584/TVR dėl Europos arešto orderio ir perdavimo tarp valstybių narių tvarkos (OL L 190, 2002 7 18, p. 1).</w:t>
            </w:r>
          </w:p>
        </w:tc>
        <w:tc>
          <w:tcPr>
            <w:tcW w:w="4876" w:type="dxa"/>
          </w:tcPr>
          <w:p w:rsidR="00BF668E" w:rsidRPr="00565F80" w:rsidRDefault="00BF668E" w:rsidP="00C555DE">
            <w:pPr>
              <w:pStyle w:val="Normal6"/>
              <w:rPr>
                <w:color w:val="auto"/>
              </w:rPr>
            </w:pP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Pamatinio sprendimo 2002/475 TVR nuostatos buvo integruotos į naująją direktyvą dėl kovos su terorizmu, dėl kurios balsuota Europos Parlamente 2017 m. vasario 16 d.</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99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Sophia in 't Veld</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19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(19)</w:t>
            </w:r>
            <w:r w:rsidRPr="00565F80">
              <w:rPr>
                <w:color w:val="auto"/>
              </w:rPr>
              <w:tab/>
              <w:t xml:space="preserve">Europolo prašymai palyginti </w:t>
            </w:r>
            <w:r w:rsidRPr="00565F80">
              <w:rPr>
                <w:color w:val="auto"/>
              </w:rPr>
              <w:lastRenderedPageBreak/>
              <w:t>sistemos EURODAC duomenis turėtų būti tenkinami tik ypatingais atvejais, ypatingomis aplinkybėmis ir laikantis griežtų sąlygų;</w:t>
            </w:r>
          </w:p>
        </w:tc>
        <w:tc>
          <w:tcPr>
            <w:tcW w:w="4876" w:type="dxa"/>
          </w:tcPr>
          <w:p w:rsidR="00BF668E" w:rsidRPr="00565F80" w:rsidRDefault="00BF668E" w:rsidP="00C555DE">
            <w:pPr>
              <w:pStyle w:val="Normal6"/>
              <w:rPr>
                <w:color w:val="auto"/>
              </w:rPr>
            </w:pPr>
            <w:r w:rsidRPr="00565F80">
              <w:rPr>
                <w:color w:val="auto"/>
              </w:rPr>
              <w:lastRenderedPageBreak/>
              <w:t>(19)</w:t>
            </w:r>
            <w:r w:rsidRPr="00565F80">
              <w:rPr>
                <w:color w:val="auto"/>
              </w:rPr>
              <w:tab/>
              <w:t xml:space="preserve">Europolo prašymai palyginti </w:t>
            </w:r>
            <w:r w:rsidRPr="00565F80">
              <w:rPr>
                <w:color w:val="auto"/>
              </w:rPr>
              <w:lastRenderedPageBreak/>
              <w:t>sistemos EURODAC duomenis turėtų būti tenkinami tik ypatingais atvejais, ypatingomis aplinkybėmis ir laikantis griežtų sąlygų</w:t>
            </w:r>
            <w:r w:rsidRPr="00565F80">
              <w:rPr>
                <w:b/>
                <w:i/>
                <w:color w:val="auto"/>
              </w:rPr>
              <w:t>, būtinumo ir proporcingumo principų, įtvirtintų Europos Sąjungos pagrindinių teisių chartijos 52 straipsnio 1 dalyje ir kaip išaiškinta Europos Sąjungos Teisingumo Teismo praktikoje</w:t>
            </w:r>
            <w:r w:rsidRPr="00565F80">
              <w:rPr>
                <w:rStyle w:val="SupBoldItalic"/>
                <w:color w:val="auto"/>
              </w:rPr>
              <w:t>1a</w:t>
            </w:r>
            <w:r w:rsidRPr="00565F80">
              <w:rPr>
                <w:color w:val="auto"/>
              </w:rPr>
              <w:t>;</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rStyle w:val="SupBoldItalic"/>
                <w:color w:val="auto"/>
              </w:rPr>
              <w:t>1a</w:t>
            </w:r>
            <w:r w:rsidRPr="00565F80">
              <w:rPr>
                <w:color w:val="auto"/>
              </w:rPr>
              <w:t xml:space="preserve"> </w:t>
            </w:r>
            <w:r w:rsidRPr="00565F80">
              <w:rPr>
                <w:b/>
                <w:i/>
                <w:color w:val="auto"/>
              </w:rPr>
              <w:t>ESTT, 2014 m. balandžio 8 d. Teisingumo Teismo (didžioji kolegija) sprendimas sujungtose bylose C-293/12 ir C-594/12, Digital Rights Ireland Ltd ir Seitlinger ir kt. ESTT, 2016 m. gruodžio 21 d. Teisingumo Teismo (didžioji kolegija) sprendimas sujungtose bylose C-203/15 ir C-698/15, Tele2 Sverige AB prieš Post-och telestyrelsen ir Secretary of State for the Home Department prieš Tom Watson ir kt.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 xml:space="preserve">Pagal Darbo </w:t>
      </w:r>
      <w:r w:rsidR="00797FCB" w:rsidRPr="00565F80">
        <w:rPr>
          <w:color w:val="auto"/>
          <w:lang w:val="lt-LT"/>
        </w:rPr>
        <w:t>tvarkos taisyklių 104 straipsnį</w:t>
      </w:r>
      <w:r w:rsidRPr="00565F80">
        <w:rPr>
          <w:color w:val="auto"/>
          <w:lang w:val="lt-LT"/>
        </w:rPr>
        <w:t xml:space="preserve"> šis pakeitimas yra būtinas, nes jis yra neatskiriamai susijęs su kitais priimtinais pakeitimais, susijusiais su EURODAC tikslais (1 straipsnis), įvedant nuorodas į būtinumo ir proporcingumo principų laikymąsi pagal Chartijos 52 straipsnio 1 dalį ir atitinkamą ESTT praktiką.</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100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20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(20)</w:t>
            </w:r>
            <w:r w:rsidRPr="00565F80">
              <w:rPr>
                <w:color w:val="auto"/>
              </w:rPr>
              <w:tab/>
              <w:t xml:space="preserve">kadangi sistema EURODAC pirmiausia buvo įsteigta siekiant palengvinti Dublino konvencijos taikymą, prieigos prie sistemos EURODAC teroristinių ar kitų sunkių nusikalstamų </w:t>
            </w:r>
            <w:r w:rsidRPr="00565F80">
              <w:rPr>
                <w:color w:val="auto"/>
              </w:rPr>
              <w:lastRenderedPageBreak/>
              <w:t xml:space="preserve">veikų prevencijos, atskleidimo arba tyrimo tikslais suteikimas reiškia, kad keičiamas pirminis sistemos EURODAC tikslas, ir tai riboja pagrindinę asmenų, kurių asmens duomenys tvarkomi sistemoje EURODAC, teisę į privataus gyvenimo gerbimą. Vadovaujantis Europos Sąjungos pagrindinių teisių chartijos 52 straipsnio 1 dalyje nustatytais reikalavimais, bet koks tokio pobūdžio apribojimas turi atitikti teisės nuostatas, kurios turi būti suformuluotos pakankamai tiksliai, kad fiziniai asmenys į jas galėtų orientuoti savo elgesį, ir turi saugoti fizinius asmenis nuo savivalės ir pakankamai aiškiai apibrėžti kompetentingoms institucijoms suteiktos diskrecijos apimtį ir jos įgyvendinimo būdus. Bet koks apribojimas turi būti reikalingas </w:t>
            </w:r>
            <w:r w:rsidRPr="00565F80">
              <w:rPr>
                <w:b/>
                <w:i/>
                <w:color w:val="auto"/>
              </w:rPr>
              <w:t>, kad būtų iš tiesų pasiektas bendro intereso</w:t>
            </w:r>
            <w:r w:rsidRPr="00565F80">
              <w:rPr>
                <w:color w:val="auto"/>
              </w:rPr>
              <w:t xml:space="preserve"> </w:t>
            </w:r>
            <w:r w:rsidRPr="00565F80">
              <w:rPr>
                <w:b/>
                <w:i/>
                <w:color w:val="auto"/>
              </w:rPr>
              <w:t>tikslas</w:t>
            </w:r>
            <w:r w:rsidRPr="00565F80">
              <w:rPr>
                <w:color w:val="auto"/>
              </w:rPr>
              <w:t>, ir turi būti proporcingas teisėtam siekiamam tikslui;</w:t>
            </w:r>
          </w:p>
        </w:tc>
        <w:tc>
          <w:tcPr>
            <w:tcW w:w="4876" w:type="dxa"/>
          </w:tcPr>
          <w:p w:rsidR="00BF668E" w:rsidRPr="00565F80" w:rsidRDefault="00BF668E" w:rsidP="00C555DE">
            <w:pPr>
              <w:pStyle w:val="Normal6"/>
              <w:rPr>
                <w:color w:val="auto"/>
              </w:rPr>
            </w:pPr>
            <w:r w:rsidRPr="00565F80">
              <w:rPr>
                <w:color w:val="auto"/>
              </w:rPr>
              <w:lastRenderedPageBreak/>
              <w:t>(20)</w:t>
            </w:r>
            <w:r w:rsidRPr="00565F80">
              <w:rPr>
                <w:color w:val="auto"/>
              </w:rPr>
              <w:tab/>
              <w:t xml:space="preserve">kadangi sistema EURODAC pirmiausia buvo įsteigta siekiant palengvinti Dublino konvencijos taikymą, prieigos prie sistemos EURODAC teroristinių ar kitų sunkių nusikalstamų </w:t>
            </w:r>
            <w:r w:rsidRPr="00565F80">
              <w:rPr>
                <w:color w:val="auto"/>
              </w:rPr>
              <w:lastRenderedPageBreak/>
              <w:t xml:space="preserve">veikų prevencijos, atskleidimo arba tyrimo tikslais suteikimas reiškia, kad keičiamas pirminis sistemos EURODAC tikslas, ir tai riboja pagrindinę asmenų, kurių asmens duomenys tvarkomi sistemoje EURODAC, teisę į privataus gyvenimo gerbimą. Vadovaujantis Europos Sąjungos pagrindinių teisių chartijos 52 straipsnio 1 dalyje nustatytais reikalavimais, bet koks tokio pobūdžio apribojimas turi atitikti teisės nuostatas, kurios turi būti suformuluotos pakankamai tiksliai, kad fiziniai asmenys į jas galėtų orientuoti savo elgesį, ir turi saugoti fizinius asmenis nuo savivalės ir pakankamai aiškiai apibrėžti kompetentingoms institucijoms suteiktos diskrecijos apimtį ir jos įgyvendinimo būdus. Bet koks apribojimas turi būti reikalingas </w:t>
            </w:r>
            <w:r w:rsidRPr="00565F80">
              <w:rPr>
                <w:b/>
                <w:i/>
                <w:color w:val="auto"/>
              </w:rPr>
              <w:t>demokratinėje visuomenėje</w:t>
            </w:r>
            <w:r w:rsidRPr="00565F80">
              <w:rPr>
                <w:color w:val="auto"/>
              </w:rPr>
              <w:t xml:space="preserve">, kad būtų </w:t>
            </w:r>
            <w:r w:rsidRPr="00565F80">
              <w:rPr>
                <w:b/>
                <w:i/>
                <w:color w:val="auto"/>
              </w:rPr>
              <w:t>apsaugotas teisėtas ir proporcingas interesas</w:t>
            </w:r>
            <w:r w:rsidRPr="00565F80">
              <w:rPr>
                <w:color w:val="auto"/>
              </w:rPr>
              <w:t>, ir turi būti proporcingas teisėtam siekiamam tikslui;</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Komisija išbraukė standartinę formuluotę iš EŽTK 8 straipsnio savo pasiūlyme. Šiame pakeitime išlaikoma ta formuluotė, kaip įtvirtinta EŽTK ir aiškinama ESTT teismo praktikoje.</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101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Monika Hohlmeier, Heinz K. Becker, Jeroen Lenaers, Rachida Dati, Brice Hortefeux, Mariya Gabriel, Artis Pabriks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20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(20)</w:t>
            </w:r>
            <w:r w:rsidRPr="00565F80">
              <w:rPr>
                <w:color w:val="auto"/>
              </w:rPr>
              <w:tab/>
              <w:t xml:space="preserve">kadangi sistema EURODAC pirmiausia buvo įsteigta siekiant palengvinti Dublino konvencijos taikymą, prieigos prie sistemos EURODAC teroristinių ar kitų sunkių nusikalstamų veikų prevencijos, atskleidimo </w:t>
            </w:r>
            <w:r w:rsidRPr="00565F80">
              <w:rPr>
                <w:b/>
                <w:i/>
                <w:color w:val="auto"/>
              </w:rPr>
              <w:t xml:space="preserve">arba </w:t>
            </w:r>
            <w:r w:rsidRPr="00565F80">
              <w:rPr>
                <w:color w:val="auto"/>
              </w:rPr>
              <w:t xml:space="preserve">tyrimo tikslais suteikimas reiškia, kad </w:t>
            </w:r>
            <w:r w:rsidRPr="00565F80">
              <w:rPr>
                <w:b/>
                <w:i/>
                <w:color w:val="auto"/>
              </w:rPr>
              <w:t>keičiamas</w:t>
            </w:r>
            <w:r w:rsidRPr="00565F80">
              <w:rPr>
                <w:color w:val="auto"/>
              </w:rPr>
              <w:t xml:space="preserve"> </w:t>
            </w:r>
            <w:r w:rsidRPr="00565F80">
              <w:rPr>
                <w:color w:val="auto"/>
              </w:rPr>
              <w:lastRenderedPageBreak/>
              <w:t>pirminis sistemos EURODAC tikslas</w:t>
            </w:r>
            <w:r w:rsidRPr="00565F80">
              <w:rPr>
                <w:b/>
                <w:i/>
                <w:color w:val="auto"/>
              </w:rPr>
              <w:t>, ir tai riboja pagrindinę asmenų, kurių asmens duomenys tvarkomi sistemoje EURODAC, teisę į privataus gyvenimo gerbimą</w:t>
            </w:r>
            <w:r w:rsidRPr="00565F80">
              <w:rPr>
                <w:color w:val="auto"/>
              </w:rPr>
              <w:t>.</w:t>
            </w:r>
            <w:r w:rsidRPr="00565F80">
              <w:rPr>
                <w:b/>
                <w:i/>
                <w:color w:val="auto"/>
              </w:rPr>
              <w:t xml:space="preserve"> </w:t>
            </w:r>
            <w:r w:rsidRPr="00565F80">
              <w:rPr>
                <w:color w:val="auto"/>
              </w:rPr>
              <w:t>Vadovaujantis Europos Sąjungos pagrindinių teisių chartijos 52 straipsnio 1 dalyje nustatytais reikalavimais, bet koks</w:t>
            </w:r>
            <w:r w:rsidRPr="00565F80">
              <w:rPr>
                <w:b/>
                <w:i/>
                <w:color w:val="auto"/>
              </w:rPr>
              <w:t xml:space="preserve"> tokio pobūdžio </w:t>
            </w:r>
            <w:r w:rsidRPr="00565F80">
              <w:rPr>
                <w:color w:val="auto"/>
              </w:rPr>
              <w:t>apribojimas turi atitikti teisės nuostatas, kurios turi būti suformuluotos pakankamai tiksliai, kad fiziniai asmenys į jas galėtų orientuoti savo elgesį, ir turi saugoti fizinius asmenis nuo savivalės ir pakankamai aiškiai apibrėžti kompetentingoms institucijoms suteiktos diskrecijos apimtį ir jos įgyvendinimo būdus. Bet koks apribojimas turi būti reikalingas , kad būtų iš tiesų pasiektas bendro intereso tikslas, ir turi būti proporcingas teisėtam siekiamam tikslui;</w:t>
            </w:r>
          </w:p>
        </w:tc>
        <w:tc>
          <w:tcPr>
            <w:tcW w:w="4876" w:type="dxa"/>
          </w:tcPr>
          <w:p w:rsidR="00BF668E" w:rsidRPr="00565F80" w:rsidRDefault="00BF668E" w:rsidP="00C555DE">
            <w:pPr>
              <w:pStyle w:val="Normal6"/>
              <w:rPr>
                <w:color w:val="auto"/>
              </w:rPr>
            </w:pPr>
            <w:r w:rsidRPr="00565F80">
              <w:rPr>
                <w:color w:val="auto"/>
              </w:rPr>
              <w:lastRenderedPageBreak/>
              <w:t>(20)</w:t>
            </w:r>
            <w:r w:rsidRPr="00565F80">
              <w:rPr>
                <w:color w:val="auto"/>
              </w:rPr>
              <w:tab/>
              <w:t>kadangi sistema EURODAC pirmiausia buvo įsteigta siekiant palengvinti Dublino konvencijos taikymą, prieigos prie sistemos EURODAC teroristinių ar kitų sunkių nusikalstamų veikų prevencijos, atskleidimo</w:t>
            </w:r>
            <w:r w:rsidRPr="00565F80">
              <w:rPr>
                <w:b/>
                <w:i/>
                <w:color w:val="auto"/>
              </w:rPr>
              <w:t xml:space="preserve">, </w:t>
            </w:r>
            <w:r w:rsidRPr="00565F80">
              <w:rPr>
                <w:color w:val="auto"/>
              </w:rPr>
              <w:t xml:space="preserve">tyrimo </w:t>
            </w:r>
            <w:r w:rsidRPr="00565F80">
              <w:rPr>
                <w:b/>
                <w:i/>
                <w:color w:val="auto"/>
              </w:rPr>
              <w:t xml:space="preserve">ar persekiojimo </w:t>
            </w:r>
            <w:r w:rsidRPr="00565F80">
              <w:rPr>
                <w:color w:val="auto"/>
              </w:rPr>
              <w:t xml:space="preserve">tikslais suteikimas reiškia, </w:t>
            </w:r>
            <w:r w:rsidRPr="00565F80">
              <w:rPr>
                <w:color w:val="auto"/>
              </w:rPr>
              <w:lastRenderedPageBreak/>
              <w:t xml:space="preserve">kad </w:t>
            </w:r>
            <w:r w:rsidRPr="00565F80">
              <w:rPr>
                <w:b/>
                <w:i/>
                <w:color w:val="auto"/>
              </w:rPr>
              <w:t>toliau plėtojamas</w:t>
            </w:r>
            <w:r w:rsidRPr="00565F80">
              <w:rPr>
                <w:color w:val="auto"/>
              </w:rPr>
              <w:t xml:space="preserve"> pirminis sistemos EURODAC tikslas</w:t>
            </w:r>
            <w:r w:rsidRPr="00565F80">
              <w:rPr>
                <w:b/>
                <w:i/>
                <w:color w:val="auto"/>
              </w:rPr>
              <w:t xml:space="preserve">. </w:t>
            </w:r>
            <w:r w:rsidRPr="00565F80">
              <w:rPr>
                <w:color w:val="auto"/>
              </w:rPr>
              <w:t xml:space="preserve">Vadovaujantis Europos Sąjungos pagrindinių teisių chartijos 52 straipsnio 1 dalyje nustatytais reikalavimais, bet koks </w:t>
            </w:r>
            <w:r w:rsidRPr="00565F80">
              <w:rPr>
                <w:b/>
                <w:i/>
                <w:color w:val="auto"/>
              </w:rPr>
              <w:t>pagrindinės asmenų, kurių asmens duomenys tvarkomi sistemoje EURODAC, teisės į privataus gyvenimo gerbimą apribojimas</w:t>
            </w:r>
            <w:r w:rsidRPr="00565F80">
              <w:rPr>
                <w:color w:val="auto"/>
              </w:rPr>
              <w:t xml:space="preserve"> turi atitikti teisės nuostatas, kurios turi būti suformuluotos pakankamai tiksliai, kad fiziniai asmenys į jas galėtų orientuoti savo elgesį, ir turi saugoti fizinius asmenis nuo savivalės ir pakankamai aiškiai apibrėžti kompetentingoms institucijoms suteiktos diskrecijos apimtį ir jos įgyvendinimo būdus. Bet koks apribojimas turi būti reikalingas, kad būtų iš tiesų pasiektas bendro intereso tikslas, ir turi būti proporcingas teisėtam siekiamam tikslui;</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pakeitimas susijęs su 1 straipsnio 1 dalies c punkto pakeitimu.</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102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22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(22)</w:t>
            </w:r>
            <w:r w:rsidRPr="00565F80">
              <w:rPr>
                <w:color w:val="auto"/>
              </w:rPr>
              <w:tab/>
              <w:t xml:space="preserve">šiame reglamente taip pat nustatytos sąlygos, kuriomis teroristinių ar kitų sunkių nusikalstamų veikų prevencijos, atskleidimo ar tyrimo tikslais galima teikti prašymus pirštų atspaudų duomenims su sistemos EURODAC duomenimis palyginti, ir būtinos garantijos, kuriomis užtikrinama asmenų, kurių duomenys apdorojami sistemoje EURODAC, pagrindinės teisės į privataus gyvenimo gerbimą apsauga. Tų sąlygų griežtumas atspindi tai, kad sistemos </w:t>
            </w:r>
            <w:r w:rsidRPr="00565F80">
              <w:rPr>
                <w:color w:val="auto"/>
              </w:rPr>
              <w:lastRenderedPageBreak/>
              <w:t>EURODAC duomenų bazėje registruojami asmenų, kurie nelaikomi įvykdžiusiais teroristinę veiką ar kitą sunkią nusikalstamą veiką, pirštų atspaudai;</w:t>
            </w:r>
          </w:p>
        </w:tc>
        <w:tc>
          <w:tcPr>
            <w:tcW w:w="4876" w:type="dxa"/>
          </w:tcPr>
          <w:p w:rsidR="00BF668E" w:rsidRPr="00565F80" w:rsidRDefault="00BF668E" w:rsidP="00C555DE">
            <w:pPr>
              <w:pStyle w:val="Normal6"/>
              <w:rPr>
                <w:color w:val="auto"/>
              </w:rPr>
            </w:pPr>
            <w:r w:rsidRPr="00565F80">
              <w:rPr>
                <w:color w:val="auto"/>
              </w:rPr>
              <w:lastRenderedPageBreak/>
              <w:t>(22)</w:t>
            </w:r>
            <w:r w:rsidRPr="00565F80">
              <w:rPr>
                <w:color w:val="auto"/>
              </w:rPr>
              <w:tab/>
              <w:t>šiame reglamente taip pat nustatytos sąlygos, kuriomis teroristinių ar kitų sunkių nusikalstamų veikų prevencijos, atskleidimo ar tyrimo tikslais galima teikti prašymus pirštų atspaudų</w:t>
            </w:r>
            <w:r w:rsidRPr="00565F80">
              <w:rPr>
                <w:b/>
                <w:i/>
                <w:color w:val="auto"/>
              </w:rPr>
              <w:t>, veido atvaizdo ir</w:t>
            </w:r>
            <w:r w:rsidRPr="00565F80">
              <w:rPr>
                <w:color w:val="auto"/>
              </w:rPr>
              <w:t xml:space="preserve"> </w:t>
            </w:r>
            <w:r w:rsidRPr="00565F80">
              <w:rPr>
                <w:b/>
                <w:i/>
                <w:color w:val="auto"/>
              </w:rPr>
              <w:t>raidiniams skaitmeniniams</w:t>
            </w:r>
            <w:r w:rsidRPr="00565F80">
              <w:rPr>
                <w:color w:val="auto"/>
              </w:rPr>
              <w:t xml:space="preserve"> duomenims su sistemos EURODAC duomenimis palyginti, ir būtinos garantijos, kuriomis užtikrinama asmenų, kurių duomenys apdorojami sistemoje EURODAC, pagrindinės teisės į privataus gyvenimo gerbimą apsauga. Tų </w:t>
            </w:r>
            <w:r w:rsidRPr="00565F80">
              <w:rPr>
                <w:color w:val="auto"/>
              </w:rPr>
              <w:lastRenderedPageBreak/>
              <w:t>sąlygų griežtumas atspindi tai, kad sistemos EURODAC duomenų bazėje registruojami asmenų, kurie nelaikomi įvykdžiusiais teroristinę veiką ar kitą sunkią nusikalstamą veiką, pirštų atspaudai</w:t>
            </w:r>
            <w:r w:rsidRPr="00565F80">
              <w:rPr>
                <w:b/>
                <w:i/>
                <w:color w:val="auto"/>
              </w:rPr>
              <w:t>, veido atvaizdas ir</w:t>
            </w:r>
            <w:r w:rsidRPr="00565F80">
              <w:rPr>
                <w:i/>
                <w:color w:val="auto"/>
              </w:rPr>
              <w:t xml:space="preserve"> </w:t>
            </w:r>
            <w:r w:rsidRPr="00565F80">
              <w:rPr>
                <w:b/>
                <w:i/>
                <w:color w:val="auto"/>
              </w:rPr>
              <w:t>raidiniai skaitmeniniai duomenys.</w:t>
            </w:r>
            <w:r w:rsidRPr="00565F80">
              <w:rPr>
                <w:color w:val="auto"/>
              </w:rPr>
              <w:t xml:space="preserve"> </w:t>
            </w:r>
            <w:r w:rsidRPr="00565F80">
              <w:rPr>
                <w:b/>
                <w:i/>
                <w:color w:val="auto"/>
              </w:rPr>
              <w:t>Nors palyginimas, remiantis pirštų atspaudų ir veido atvaizdo duomenimis, leidžia gauti tikslesnius paieškos rezultatus, pripažįstama, kad teisėsaugos institucijos ir Europolas ne visada turi įtariamųjų ar nukentėjusiųjų, kurių bylas jie nagrinėja, pirštų atspaudų ir veido atvaizdo duomenis, o tai galėtų trukdyti jų gebėjimui palyginti pirštų atspaudus ir veido atvaizdus duomenų bazėse, pavyzdžiui, EURODAC sistemoje. Siekiant labiau padėti šių institucijų ir Europolo tyrimams, tokiais atvejais reikėtų leisti sistemoje EURODAC vykdyti paiešką pagal raidinius skaitmeninius duomenis, ypač kai šios institucijos ir Europolas turi įrodymų apie nusikaltimu įtariamo asmens arba aukos asmens duomenis arba tapatybės dokumentus;</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103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23 konstatuojamoji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lastRenderedPageBreak/>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(23)</w:t>
            </w:r>
            <w:r w:rsidRPr="00565F80">
              <w:rPr>
                <w:color w:val="auto"/>
              </w:rPr>
              <w:tab/>
              <w:t xml:space="preserve">siekiant visiems tarptautinės apsaugos prašytojams ir gavėjams užtikrinti vienodas sąlygas ir derėjimą su galiojančia Sąjungos prieglobsčio </w:t>
            </w:r>
            <w:r w:rsidRPr="00565F80">
              <w:rPr>
                <w:i/>
                <w:color w:val="auto"/>
              </w:rPr>
              <w:t>acquis</w:t>
            </w:r>
            <w:r w:rsidRPr="00565F80">
              <w:rPr>
                <w:color w:val="auto"/>
              </w:rPr>
              <w:t>, visų pirma su Europos Parlamento ir Tarybos direktyva 2011/95/ES</w:t>
            </w:r>
            <w:r w:rsidRPr="00565F80">
              <w:rPr>
                <w:rStyle w:val="Sup"/>
                <w:color w:val="auto"/>
              </w:rPr>
              <w:t>32</w:t>
            </w:r>
            <w:r w:rsidRPr="00565F80">
              <w:rPr>
                <w:color w:val="auto"/>
              </w:rPr>
              <w:t xml:space="preserve"> ir Reglamentu (ES) Nr. […/…], šio reglamento taikymo sritis apima papildomos apsaugos prašytojus ir papildomą apsaugą galinčius gauti asmenis;</w:t>
            </w:r>
          </w:p>
        </w:tc>
        <w:tc>
          <w:tcPr>
            <w:tcW w:w="4876" w:type="dxa"/>
          </w:tcPr>
          <w:p w:rsidR="00BF668E" w:rsidRPr="00565F80" w:rsidRDefault="00BF668E" w:rsidP="00C555DE">
            <w:pPr>
              <w:pStyle w:val="Normal6"/>
              <w:rPr>
                <w:color w:val="auto"/>
              </w:rPr>
            </w:pPr>
            <w:r w:rsidRPr="00565F80">
              <w:rPr>
                <w:color w:val="auto"/>
              </w:rPr>
              <w:t>(23)</w:t>
            </w:r>
            <w:r w:rsidRPr="00565F80">
              <w:rPr>
                <w:color w:val="auto"/>
              </w:rPr>
              <w:tab/>
              <w:t xml:space="preserve">siekiant visiems tarptautinės apsaugos prašytojams ir gavėjams užtikrinti vienodas sąlygas ir derėjimą su galiojančia Sąjungos prieglobsčio </w:t>
            </w:r>
            <w:r w:rsidRPr="00565F80">
              <w:rPr>
                <w:i/>
                <w:color w:val="auto"/>
              </w:rPr>
              <w:t>acquis</w:t>
            </w:r>
            <w:r w:rsidRPr="00565F80">
              <w:rPr>
                <w:color w:val="auto"/>
              </w:rPr>
              <w:t>, visų pirma su Europos Parlamento ir Tarybos direktyva 2011/95/ES</w:t>
            </w:r>
            <w:r w:rsidRPr="00565F80">
              <w:rPr>
                <w:rStyle w:val="Sup"/>
                <w:color w:val="auto"/>
              </w:rPr>
              <w:t>32</w:t>
            </w:r>
            <w:r w:rsidRPr="00565F80">
              <w:rPr>
                <w:b/>
                <w:i/>
                <w:color w:val="auto"/>
              </w:rPr>
              <w:t>, Reglamentu XXX/XXX, kuriuo nustatoma Sąjungos perkėlimo politika,</w:t>
            </w:r>
            <w:r w:rsidRPr="00565F80">
              <w:rPr>
                <w:color w:val="auto"/>
              </w:rPr>
              <w:t xml:space="preserve"> ir Reglamentu (ES) Nr. […/…], šio reglamento taikymo sritis apima papildomos apsaugos prašytojus ir papildomą apsaugą galinčius gauti asmenis</w:t>
            </w:r>
            <w:r w:rsidRPr="00565F80">
              <w:rPr>
                <w:b/>
                <w:i/>
                <w:color w:val="auto"/>
              </w:rPr>
              <w:t>, taip pat asmenis, kuriems taikoma tarptautinė apsauga perkėlimo klausimu pagal Reglamentą XXX/XXX</w:t>
            </w:r>
            <w:r w:rsidRPr="00565F80">
              <w:rPr>
                <w:color w:val="auto"/>
              </w:rPr>
              <w:t>;</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32</w:t>
            </w:r>
            <w:r w:rsidRPr="00565F80">
              <w:rPr>
                <w:color w:val="auto"/>
              </w:rPr>
              <w:t xml:space="preserve"> 2011 m. gruodžio 13 d. Europos Parlamento ir Tarybos direktyva 2011/95/ES dėl trečiųjų šalių piliečių ar asmenų be pilietybės priskyrimo prie tarptautinės apsaugos gavėjų, vienodo statuso pabėgėliams arba papildomą apsaugą galintiems gauti asmenims ir suteikiamos apsaugos pobūdžio reikalavimų (OL L 337, 2011 12 20, p. 9).</w:t>
            </w:r>
          </w:p>
        </w:tc>
        <w:tc>
          <w:tcPr>
            <w:tcW w:w="4876" w:type="dxa"/>
          </w:tcPr>
          <w:p w:rsidR="00BF668E" w:rsidRPr="00565F80" w:rsidRDefault="00BF668E" w:rsidP="00C555DE">
            <w:pPr>
              <w:pStyle w:val="Normal6"/>
              <w:rPr>
                <w:color w:val="auto"/>
              </w:rPr>
            </w:pPr>
            <w:r w:rsidRPr="00565F80">
              <w:rPr>
                <w:rStyle w:val="Sup"/>
                <w:color w:val="auto"/>
              </w:rPr>
              <w:t>32</w:t>
            </w:r>
            <w:r w:rsidRPr="00565F80">
              <w:rPr>
                <w:color w:val="auto"/>
              </w:rPr>
              <w:t xml:space="preserve"> 2011 m. gruodžio 13 d. Europos Parlamento ir Tarybos direktyva 2011/95/ES dėl trečiųjų šalių piliečių ar asmenų be pilietybės priskyrimo prie tarptautinės apsaugos gavėjų, vienodo statuso pabėgėliams arba papildomą apsaugą galintiems gauti asmenims ir suteikiamos apsaugos pobūdžio reikalavimų (OL L 337, 2011 12 20, p. 9).</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Išdėstymas nauja redakcija. Šiuo taisymu įtraukiama nuoroda į būsimą reglamentą, kuriuo bus nustatoma Sąjungos perkėlimo politika, nes į sistemos EURODAC taikymo sritį siūloma įtraukti asmenis, kuriems valstybės narės ketina taikyti perkėlimo procedūrą pagal minėtą reglamentą.</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104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24 konstatuojamoji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(24)</w:t>
            </w:r>
            <w:r w:rsidRPr="00565F80">
              <w:rPr>
                <w:color w:val="auto"/>
              </w:rPr>
              <w:tab/>
              <w:t xml:space="preserve">taip pat reikia reikalauti, kad valstybės narės nedelsdamos imtų kiekvieno tarptautinės apsaugos prašytojo ir kiekvieno trečiosios šalies piliečio arba asmens be pilietybės, sulaikyto dėl neteisėto valstybės narės išorinės sienos kirtimo arba neteisėtai esančio valstybėje narėje, jei jie yra bent 6 metų, </w:t>
            </w:r>
            <w:r w:rsidRPr="00565F80">
              <w:rPr>
                <w:b/>
                <w:i/>
                <w:color w:val="auto"/>
              </w:rPr>
              <w:t>pirštų atspaudus</w:t>
            </w:r>
            <w:r w:rsidRPr="00565F80">
              <w:rPr>
                <w:color w:val="auto"/>
              </w:rPr>
              <w:t xml:space="preserve"> ir perduotų jų duomenis;</w:t>
            </w:r>
          </w:p>
        </w:tc>
        <w:tc>
          <w:tcPr>
            <w:tcW w:w="4876" w:type="dxa"/>
          </w:tcPr>
          <w:p w:rsidR="00BF668E" w:rsidRPr="00565F80" w:rsidRDefault="00BF668E" w:rsidP="00C555DE">
            <w:pPr>
              <w:pStyle w:val="Normal6"/>
              <w:rPr>
                <w:color w:val="auto"/>
              </w:rPr>
            </w:pPr>
            <w:r w:rsidRPr="00565F80">
              <w:rPr>
                <w:color w:val="auto"/>
              </w:rPr>
              <w:t>(24)</w:t>
            </w:r>
            <w:r w:rsidRPr="00565F80">
              <w:rPr>
                <w:color w:val="auto"/>
              </w:rPr>
              <w:tab/>
              <w:t>taip pat reikia reikalauti, kad valstybės narės nedelsdamos imtų kiekvieno tarptautinės apsaugos prašytojo</w:t>
            </w:r>
            <w:r w:rsidRPr="00565F80">
              <w:rPr>
                <w:b/>
                <w:i/>
                <w:color w:val="auto"/>
              </w:rPr>
              <w:t>, kiekvieno trečiosios šalies piliečio arba asmens be pilietybės, kuriems valstybė narė ketina taikyti perkėlimo procedūrą pagal Reglamentą XXX/XXX,</w:t>
            </w:r>
            <w:r w:rsidRPr="00565F80">
              <w:rPr>
                <w:color w:val="auto"/>
              </w:rPr>
              <w:t xml:space="preserve"> ir kiekvieno trečiosios šalies piliečio arba asmens be pilietybės, sulaikyto dėl neteisėto valstybės narės išorinės sienos kirtimo arba neteisėtai esančio valstybėje narėje, jei jie yra bent 6 metų, </w:t>
            </w:r>
            <w:r w:rsidRPr="00565F80">
              <w:rPr>
                <w:b/>
                <w:i/>
                <w:color w:val="auto"/>
              </w:rPr>
              <w:t>biometrinius duomenis</w:t>
            </w:r>
            <w:r w:rsidRPr="00565F80">
              <w:rPr>
                <w:color w:val="auto"/>
              </w:rPr>
              <w:t xml:space="preserve"> ir perduotų jų duomenis;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Išdėstymas nauja redakcija. Šiuo taisymu įtraukiami asmenys, kuriems valstybės narės ketina taikyti perkėlimo procedūrą, nes siūloma įtraukti šiuos asmenis į minėto reglamento taikymo sritį.</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105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24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(24)</w:t>
            </w:r>
            <w:r w:rsidRPr="00565F80">
              <w:rPr>
                <w:color w:val="auto"/>
              </w:rPr>
              <w:tab/>
              <w:t xml:space="preserve">taip pat reikia reikalauti, kad valstybės narės nedelsdamos imtų kiekvieno tarptautinės apsaugos prašytojo ir kiekvieno trečiosios šalies piliečio arba asmens be pilietybės, sulaikyto dėl neteisėto valstybės narės išorinės sienos kirtimo </w:t>
            </w:r>
            <w:r w:rsidRPr="00565F80">
              <w:rPr>
                <w:b/>
                <w:i/>
                <w:color w:val="auto"/>
              </w:rPr>
              <w:t>arba neteisėtai esančio valstybėje narėje</w:t>
            </w:r>
            <w:r w:rsidRPr="00565F80">
              <w:rPr>
                <w:color w:val="auto"/>
              </w:rPr>
              <w:t xml:space="preserve"> , jei jie yra bent 6 metų , pirštų atspaudus ir perduotų jų duomenis;</w:t>
            </w:r>
          </w:p>
        </w:tc>
        <w:tc>
          <w:tcPr>
            <w:tcW w:w="4876" w:type="dxa"/>
          </w:tcPr>
          <w:p w:rsidR="00BF668E" w:rsidRPr="00565F80" w:rsidRDefault="00BF668E" w:rsidP="00C555DE">
            <w:pPr>
              <w:pStyle w:val="Normal6"/>
              <w:rPr>
                <w:color w:val="auto"/>
              </w:rPr>
            </w:pPr>
            <w:r w:rsidRPr="00565F80">
              <w:rPr>
                <w:color w:val="auto"/>
              </w:rPr>
              <w:t>(24)</w:t>
            </w:r>
            <w:r w:rsidRPr="00565F80">
              <w:rPr>
                <w:color w:val="auto"/>
              </w:rPr>
              <w:tab/>
              <w:t>taip pat reikia reikalauti, kad valstybės narės nedelsdamos imtų kiekvieno tarptautinės apsaugos prašytojo ir kiekvieno trečiosios šalies piliečio arba asmens be pilietybės, sulaikyto dėl neteisėto valstybės narės išorinės sienos kirtimo, jei jie yra bent 6 metų, pirštų atspaudus ir perduotų jų duomenis;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106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lastRenderedPageBreak/>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24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(24)</w:t>
            </w:r>
            <w:r w:rsidRPr="00565F80">
              <w:rPr>
                <w:color w:val="auto"/>
              </w:rPr>
              <w:tab/>
              <w:t>taip pat reikia reikalauti, kad valstybės narės nedelsdamos imtų kiekvieno tarptautinės apsaugos prašytojo ir kiekvieno trečiosios šalies piliečio arba asmens be pilietybės, sulaikyto dėl neteisėto valstybės narės išorinės sienos kirtimo arba neteisėtai esančio valstybėje narėje , jei jie yra bent 6 metų , pirštų atspaudus ir perduotų jų duomenis;</w:t>
            </w:r>
          </w:p>
        </w:tc>
        <w:tc>
          <w:tcPr>
            <w:tcW w:w="4876" w:type="dxa"/>
          </w:tcPr>
          <w:p w:rsidR="00BF668E" w:rsidRPr="00565F80" w:rsidRDefault="00BF668E" w:rsidP="00C555DE">
            <w:pPr>
              <w:pStyle w:val="Normal6"/>
              <w:rPr>
                <w:color w:val="auto"/>
              </w:rPr>
            </w:pPr>
            <w:r w:rsidRPr="00565F80">
              <w:rPr>
                <w:color w:val="auto"/>
              </w:rPr>
              <w:t>(24)</w:t>
            </w:r>
            <w:r w:rsidRPr="00565F80">
              <w:rPr>
                <w:color w:val="auto"/>
              </w:rPr>
              <w:tab/>
              <w:t xml:space="preserve">taip pat reikia reikalauti, kad valstybės narės nedelsdamos imtų kiekvieno tarptautinės apsaugos prašytojo ir kiekvieno trečiosios šalies piliečio arba asmens be pilietybės, sulaikyto dėl neteisėto valstybės narės išorinės sienos kirtimo arba neteisėtai esančio valstybėje narėje, jei jie yra bent 6 metų, pirštų atspaudus </w:t>
            </w:r>
            <w:r w:rsidRPr="00565F80">
              <w:rPr>
                <w:b/>
                <w:i/>
                <w:color w:val="auto"/>
              </w:rPr>
              <w:t>ir veido atvaizdą</w:t>
            </w:r>
            <w:r w:rsidRPr="00565F80">
              <w:rPr>
                <w:color w:val="auto"/>
              </w:rPr>
              <w:t xml:space="preserve"> ir perduotų jų duomenis;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Komisijos pasiūlymas pataisomas, nes ne visose reikiamose vietose yra įterpiami „pirštų atspaudai“ ir „veido atvaizdas“, nors tai atitinka bendrą prievolę, kaip minima 2 straipsnyje, paimti pirštų atspaudus ir veido atvaizdus.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107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25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(25)</w:t>
            </w:r>
            <w:r w:rsidRPr="00565F80">
              <w:rPr>
                <w:color w:val="auto"/>
              </w:rPr>
              <w:tab/>
              <w:t xml:space="preserve">siekiant sustiprinti </w:t>
            </w:r>
            <w:r w:rsidRPr="00565F80">
              <w:rPr>
                <w:b/>
                <w:i/>
                <w:color w:val="auto"/>
              </w:rPr>
              <w:t>nelydimų nepilnamečių</w:t>
            </w:r>
            <w:r w:rsidRPr="00565F80">
              <w:rPr>
                <w:color w:val="auto"/>
              </w:rPr>
              <w:t xml:space="preserve">, kurie nepateikė tarptautinės apsaugos prašymo, ir vaikų, kurie gali būti atskirti nuo šeimos, apsaugą, taip pat būtina paimti pirštų atspaudus ir veido atvaizdą, kurie būtų saugomi centrinėje sistemoje, kad būtų galima nustatyti </w:t>
            </w:r>
            <w:r w:rsidRPr="00565F80">
              <w:rPr>
                <w:b/>
                <w:i/>
                <w:color w:val="auto"/>
              </w:rPr>
              <w:t xml:space="preserve">vaiko </w:t>
            </w:r>
            <w:r w:rsidRPr="00565F80">
              <w:rPr>
                <w:color w:val="auto"/>
              </w:rPr>
              <w:t xml:space="preserve">tapatybę ir padėti valstybei narei nustatyti jo šeimą arba ryšius su kita valstybe nare. Šeimos ryšių nustatymas – svarbiausias šeimos vientisumo atkūrimo elementas, </w:t>
            </w:r>
            <w:r w:rsidRPr="00565F80">
              <w:rPr>
                <w:color w:val="auto"/>
              </w:rPr>
              <w:lastRenderedPageBreak/>
              <w:t>kuris turi būti glaudžiai susietas su vaiko interesų nustatymu ir galiausiai su tvaraus sprendimo radimu;</w:t>
            </w:r>
          </w:p>
        </w:tc>
        <w:tc>
          <w:tcPr>
            <w:tcW w:w="4876" w:type="dxa"/>
          </w:tcPr>
          <w:p w:rsidR="00BF668E" w:rsidRPr="00565F80" w:rsidRDefault="00BF668E" w:rsidP="00C555DE">
            <w:pPr>
              <w:pStyle w:val="Normal6"/>
              <w:rPr>
                <w:color w:val="auto"/>
              </w:rPr>
            </w:pPr>
            <w:r w:rsidRPr="00565F80">
              <w:rPr>
                <w:color w:val="auto"/>
              </w:rPr>
              <w:lastRenderedPageBreak/>
              <w:t>(25)</w:t>
            </w:r>
            <w:r w:rsidRPr="00565F80">
              <w:rPr>
                <w:color w:val="auto"/>
              </w:rPr>
              <w:tab/>
              <w:t xml:space="preserve">siekiant sustiprinti </w:t>
            </w:r>
            <w:r w:rsidRPr="00565F80">
              <w:rPr>
                <w:b/>
                <w:i/>
                <w:color w:val="auto"/>
              </w:rPr>
              <w:t>visų migrantų ir pabėgėlių vaikų, įskaitant nelydimus nepilnamečius</w:t>
            </w:r>
            <w:r w:rsidRPr="00565F80">
              <w:rPr>
                <w:color w:val="auto"/>
              </w:rPr>
              <w:t xml:space="preserve">, kurie nepateikė tarptautinės apsaugos prašymo, ir vaikų, kurie gali būti atskirti nuo šeimos, apsaugą, taip pat būtina paimti pirštų atspaudus ir veido atvaizdą, kurie būtų saugomi centrinėje sistemoje </w:t>
            </w:r>
            <w:r w:rsidRPr="00565F80">
              <w:rPr>
                <w:b/>
                <w:i/>
                <w:color w:val="auto"/>
              </w:rPr>
              <w:t>iki jiems sukaks 18 metų</w:t>
            </w:r>
            <w:r w:rsidRPr="00565F80">
              <w:rPr>
                <w:color w:val="auto"/>
              </w:rPr>
              <w:t xml:space="preserve">, kad būtų galima </w:t>
            </w:r>
            <w:r w:rsidRPr="00565F80">
              <w:rPr>
                <w:b/>
                <w:i/>
                <w:color w:val="auto"/>
              </w:rPr>
              <w:t xml:space="preserve">padėti </w:t>
            </w:r>
            <w:r w:rsidRPr="00565F80">
              <w:rPr>
                <w:color w:val="auto"/>
              </w:rPr>
              <w:t xml:space="preserve">nustatyti </w:t>
            </w:r>
            <w:r w:rsidRPr="00565F80">
              <w:rPr>
                <w:b/>
                <w:i/>
                <w:color w:val="auto"/>
              </w:rPr>
              <w:t xml:space="preserve">jų </w:t>
            </w:r>
            <w:r w:rsidRPr="00565F80">
              <w:rPr>
                <w:color w:val="auto"/>
              </w:rPr>
              <w:t xml:space="preserve">tapatybę ir padėti valstybei narei nustatyti jo šeimą arba ryšius su kita valstybe nare. </w:t>
            </w:r>
            <w:r w:rsidRPr="00565F80">
              <w:rPr>
                <w:b/>
                <w:i/>
                <w:color w:val="auto"/>
              </w:rPr>
              <w:lastRenderedPageBreak/>
              <w:t>Šiuo konkrečiu tikslu turėtų būti renkami pirštų atspaudų ir veido atvaizdo duomenys, kurie turėtų būti atitinkamai tvarkomi ir naudojami.</w:t>
            </w:r>
            <w:r w:rsidRPr="00565F80">
              <w:rPr>
                <w:color w:val="auto"/>
              </w:rPr>
              <w:t xml:space="preserve"> Šeimos ryšių nustatymas – svarbiausias šeimos vientisumo atkūrimo elementas, kuris turi būti glaudžiai susietas su vaiko interesų nustatymu ir galiausiai su tvaraus sprendimo radimu</w:t>
            </w:r>
            <w:r w:rsidRPr="00565F80">
              <w:rPr>
                <w:b/>
                <w:i/>
                <w:color w:val="auto"/>
              </w:rPr>
              <w:t>.</w:t>
            </w:r>
            <w:r w:rsidRPr="00565F80">
              <w:rPr>
                <w:color w:val="auto"/>
              </w:rPr>
              <w:t xml:space="preserve"> </w:t>
            </w:r>
            <w:r w:rsidRPr="00565F80">
              <w:rPr>
                <w:b/>
                <w:i/>
                <w:color w:val="auto"/>
              </w:rPr>
              <w:t>Patobulintos dingusių vaikų tapatybės nustatymo procedūros padės valstybėms narėms garantuoti, kad būtų užtikrinta pakankama vaikų apsauga. Šiuo tikslu valstybės narės, nustačiusios dingusio vaiko ar vaiko, kuris yra nusikaltimo auka, tapatybę turėtų nedelsiant susisiekti su kompetentingomis nacionalinėmis vaikų apsaugos institucijomis ir atlikti jų poreikių vertinimą, siekiant rasti ilgalaikį sprendimą vaikui, atsižvelgiant į jo interesus;</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108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Fabio Massimo Castaldo, Laura Ferrara, Ignazio Corrao</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25 konstatuojamoji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(25)</w:t>
            </w:r>
            <w:r w:rsidRPr="00565F80">
              <w:rPr>
                <w:color w:val="auto"/>
              </w:rPr>
              <w:tab/>
              <w:t xml:space="preserve">siekiant sustiprinti nelydimų nepilnamečių, kurie nepateikė tarptautinės apsaugos prašymo, ir vaikų, kurie gali būti atskirti nuo šeimos, apsaugą, taip pat būtina paimti pirštų atspaudus ir veido atvaizdą, kurie būtų saugomi centrinėje sistemoje, kad būtų galima nustatyti vaiko tapatybę ir padėti valstybei narei nustatyti jo šeimą arba ryšius su kita valstybe nare. Šeimos ryšių nustatymas – svarbiausias šeimos vientisumo atkūrimo elementas, kuris turi būti glaudžiai susietas su vaiko </w:t>
            </w:r>
            <w:r w:rsidRPr="00565F80">
              <w:rPr>
                <w:color w:val="auto"/>
              </w:rPr>
              <w:lastRenderedPageBreak/>
              <w:t>interesų nustatymu ir galiausiai su tvaraus sprendimo radimu</w:t>
            </w:r>
            <w:r w:rsidRPr="00565F80">
              <w:rPr>
                <w:b/>
                <w:i/>
                <w:color w:val="auto"/>
              </w:rPr>
              <w:t>;</w:t>
            </w:r>
          </w:p>
        </w:tc>
        <w:tc>
          <w:tcPr>
            <w:tcW w:w="4876" w:type="dxa"/>
          </w:tcPr>
          <w:p w:rsidR="00BF668E" w:rsidRPr="00565F80" w:rsidRDefault="00BF668E" w:rsidP="00C555DE">
            <w:pPr>
              <w:pStyle w:val="Normal6"/>
              <w:rPr>
                <w:color w:val="auto"/>
              </w:rPr>
            </w:pPr>
            <w:r w:rsidRPr="00565F80">
              <w:rPr>
                <w:color w:val="auto"/>
              </w:rPr>
              <w:lastRenderedPageBreak/>
              <w:t>(25)</w:t>
            </w:r>
            <w:r w:rsidRPr="00565F80">
              <w:rPr>
                <w:color w:val="auto"/>
              </w:rPr>
              <w:tab/>
              <w:t xml:space="preserve">siekiant sustiprinti nelydimų nepilnamečių, kurie nepateikė tarptautinės apsaugos prašymo, ir vaikų, kurie gali būti atskirti nuo šeimos, apsaugą, taip pat būtina paimti pirštų atspaudus ir veido atvaizdą, kurie būtų saugomi centrinėje sistemoje, kad būtų galima nustatyti vaiko tapatybę ir padėti valstybei narei nustatyti jo šeimą arba ryšius su kita valstybe nare. Šeimos ryšių nustatymas – svarbiausias šeimos vientisumo atkūrimo elementas, kuris turi būti glaudžiai susietas su vaiko </w:t>
            </w:r>
            <w:r w:rsidRPr="00565F80">
              <w:rPr>
                <w:color w:val="auto"/>
              </w:rPr>
              <w:lastRenderedPageBreak/>
              <w:t>interesų nustatymu ir galiausiai su tvaraus sprendimo radimu</w:t>
            </w:r>
            <w:r w:rsidRPr="00565F80">
              <w:rPr>
                <w:b/>
                <w:i/>
                <w:color w:val="auto"/>
              </w:rPr>
              <w:t>.</w:t>
            </w:r>
            <w:r w:rsidRPr="00565F80">
              <w:rPr>
                <w:color w:val="auto"/>
              </w:rPr>
              <w:t xml:space="preserve"> </w:t>
            </w:r>
            <w:r w:rsidRPr="00565F80">
              <w:rPr>
                <w:b/>
                <w:i/>
                <w:color w:val="auto"/>
              </w:rPr>
              <w:t>Visas operacijas valstybės narės turi vykdyti laikydamosi 1989 m. JT Vaiko teisių konvencijoje nustatytų principų.</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{IT}</w:t>
      </w:r>
      <w:r w:rsidRPr="00565F80">
        <w:rPr>
          <w:color w:val="auto"/>
          <w:lang w:val="lt-LT"/>
        </w:rPr>
        <w:t>it</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109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Hilde Vautmans,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25 konstatuojamoji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(25)</w:t>
            </w:r>
            <w:r w:rsidRPr="00565F80">
              <w:rPr>
                <w:color w:val="auto"/>
              </w:rPr>
              <w:tab/>
              <w:t>siekiant sustiprinti nelydimų nepilnamečių, kurie nepateikė tarptautinės apsaugos prašymo, ir vaikų, kurie gali būti atskirti nuo šeimos, apsaugą, taip pat būtina paimti pirštų atspaudus ir veido atvaizdą, kurie būtų saugomi centrinėje sistemoje, kad būtų galima nustatyti vaiko tapatybę ir padėti valstybei narei nustatyti jo šeimą arba ryšius su kita valstybe nare. Šeimos ryšių nustatymas – svarbiausias šeimos vientisumo atkūrimo elementas, kuris turi būti glaudžiai susietas su vaiko interesų nustatymu ir galiausiai su tvaraus sprendimo radimu;</w:t>
            </w:r>
          </w:p>
        </w:tc>
        <w:tc>
          <w:tcPr>
            <w:tcW w:w="4876" w:type="dxa"/>
          </w:tcPr>
          <w:p w:rsidR="00BF668E" w:rsidRPr="00565F80" w:rsidRDefault="00BF668E" w:rsidP="00C555DE">
            <w:pPr>
              <w:pStyle w:val="Normal6"/>
              <w:rPr>
                <w:color w:val="auto"/>
              </w:rPr>
            </w:pPr>
            <w:r w:rsidRPr="00565F80">
              <w:rPr>
                <w:color w:val="auto"/>
              </w:rPr>
              <w:t>(25)</w:t>
            </w:r>
            <w:r w:rsidRPr="00565F80">
              <w:rPr>
                <w:color w:val="auto"/>
              </w:rPr>
              <w:tab/>
            </w:r>
            <w:r w:rsidRPr="00565F80">
              <w:rPr>
                <w:b/>
                <w:i/>
                <w:color w:val="auto"/>
              </w:rPr>
              <w:t>siekiant atpažinti ir apsaugoti vaikus, nukentėjusius nuo prekybos žmonėmis, dingusius arba pagrobtus,</w:t>
            </w:r>
            <w:r w:rsidRPr="00565F80">
              <w:rPr>
                <w:color w:val="auto"/>
              </w:rPr>
              <w:t xml:space="preserve"> siekiant sustiprinti nelydimų nepilnamečių, kurie nepateikė tarptautinės apsaugos prašymo, ir vaikų, kurie gali būti atskirti nuo šeimos, apsaugą, taip pat būtina paimti pirštų atspaudus ir veido atvaizdą, kurie būtų saugomi centrinėje sistemoje, kad būtų galima nustatyti vaiko tapatybę ir padėti valstybei narei nustatyti jo šeimą arba ryšius su kita valstybe nare. Šeimos ryšių nustatymas – svarbiausias šeimos vientisumo atkūrimo elementas, kuris turi būti glaudžiai susietas su vaiko interesų nustatymu ir galiausiai su tvaraus sprendimo radimu;</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110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26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lastRenderedPageBreak/>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(26)</w:t>
            </w:r>
            <w:r w:rsidRPr="00565F80">
              <w:rPr>
                <w:color w:val="auto"/>
              </w:rPr>
              <w:tab/>
              <w:t xml:space="preserve">taikydamos šį reglamentą valstybės narės pirmiausia turėtų atsižvelgti į </w:t>
            </w:r>
            <w:r w:rsidRPr="00565F80">
              <w:rPr>
                <w:b/>
                <w:i/>
                <w:color w:val="auto"/>
              </w:rPr>
              <w:t>nepilnamečio</w:t>
            </w:r>
            <w:r w:rsidRPr="00565F80">
              <w:rPr>
                <w:color w:val="auto"/>
              </w:rPr>
              <w:t xml:space="preserve"> interesus. Kai prašančioji valstybė narė nustato, kad EURODAC saugomi vaiko duomenys, šiuos duomenis ji gali naudoti tik </w:t>
            </w:r>
            <w:r w:rsidRPr="00565F80">
              <w:rPr>
                <w:b/>
                <w:i/>
                <w:color w:val="auto"/>
              </w:rPr>
              <w:t>teisėsaugos</w:t>
            </w:r>
            <w:r w:rsidRPr="00565F80">
              <w:rPr>
                <w:color w:val="auto"/>
              </w:rPr>
              <w:t xml:space="preserve"> tikslais </w:t>
            </w:r>
            <w:r w:rsidRPr="00565F80">
              <w:rPr>
                <w:b/>
                <w:i/>
                <w:color w:val="auto"/>
              </w:rPr>
              <w:t>laikydamasi nepilnamečiams taikomų tos valstybės teisės aktų ir pareigos pirmiausia atsižvelgti į vaiko interesus</w:t>
            </w:r>
            <w:r w:rsidRPr="00565F80">
              <w:rPr>
                <w:color w:val="auto"/>
              </w:rPr>
              <w:t>;</w:t>
            </w:r>
          </w:p>
        </w:tc>
        <w:tc>
          <w:tcPr>
            <w:tcW w:w="4876" w:type="dxa"/>
          </w:tcPr>
          <w:p w:rsidR="00BF668E" w:rsidRPr="00565F80" w:rsidRDefault="00BF668E" w:rsidP="00C555DE">
            <w:pPr>
              <w:pStyle w:val="Normal6"/>
              <w:rPr>
                <w:color w:val="auto"/>
              </w:rPr>
            </w:pPr>
            <w:r w:rsidRPr="00565F80">
              <w:rPr>
                <w:color w:val="auto"/>
              </w:rPr>
              <w:t>(26)</w:t>
            </w:r>
            <w:r w:rsidRPr="00565F80">
              <w:rPr>
                <w:color w:val="auto"/>
              </w:rPr>
              <w:tab/>
              <w:t xml:space="preserve">taikydamos šį reglamentą valstybės narės pirmiausia turėtų atsižvelgti į </w:t>
            </w:r>
            <w:r w:rsidRPr="00565F80">
              <w:rPr>
                <w:b/>
                <w:i/>
                <w:color w:val="auto"/>
              </w:rPr>
              <w:t>vaiko</w:t>
            </w:r>
            <w:r w:rsidRPr="00565F80">
              <w:rPr>
                <w:color w:val="auto"/>
              </w:rPr>
              <w:t xml:space="preserve"> interesus. Kai prašančioji valstybė narė nustato, kad EURODAC saugomi vaiko duomenys, šiuos duomenis ji gali naudoti tik tikslais</w:t>
            </w:r>
            <w:r w:rsidRPr="00565F80">
              <w:rPr>
                <w:b/>
                <w:i/>
                <w:color w:val="auto"/>
              </w:rPr>
              <w:t>, susijusiais su prekybos vaikais prevencija, nustatymu ir tyrimu bei dingusių vaikų apsauga</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Turi būti naudojamas tinkamas terminas, nustatytas JT vaiko teisių konvencijos 3 straipsnio 1 dalyje: JT vaiko teisių konvencijos 3 straipsnio 1 dalyje nustatyta: „Imantis bet kokių vaiką liečiančių veiksmų, nesvarbu, ar tai darytų valstybinės ar privačios įstaigos, užsiimančios socialiniu aprūpinimu, teismai, administracijos ar įstatymų leidimo organai, svarbiausia – vaiko interesai“.</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111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Kati Piri, Maria Grapini, Juan Fernando López Aguilar, Caterina Chinnici</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26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(26)</w:t>
            </w:r>
            <w:r w:rsidRPr="00565F80">
              <w:rPr>
                <w:color w:val="auto"/>
              </w:rPr>
              <w:tab/>
              <w:t xml:space="preserve">taikydamos šį reglamentą valstybės narės pirmiausia turėtų atsižvelgti į nepilnamečio interesus. Kai prašančioji valstybė narė nustato, kad EURODAC saugomi vaiko duomenys, šiuos duomenis ji gali naudoti tik teisėsaugos tikslais </w:t>
            </w:r>
            <w:r w:rsidRPr="00565F80">
              <w:rPr>
                <w:b/>
                <w:i/>
                <w:color w:val="auto"/>
              </w:rPr>
              <w:t>laikydamasi nepilnamečiams taikomų tos valstybės teisės aktų ir pareigos pirmiausia atsižvelgti į vaiko interesus</w:t>
            </w:r>
            <w:r w:rsidRPr="00565F80">
              <w:rPr>
                <w:color w:val="auto"/>
              </w:rPr>
              <w:t>;</w:t>
            </w:r>
          </w:p>
        </w:tc>
        <w:tc>
          <w:tcPr>
            <w:tcW w:w="4876" w:type="dxa"/>
          </w:tcPr>
          <w:p w:rsidR="00BF668E" w:rsidRPr="00565F80" w:rsidRDefault="00BF668E" w:rsidP="00C555DE">
            <w:pPr>
              <w:pStyle w:val="Normal6"/>
              <w:rPr>
                <w:color w:val="auto"/>
              </w:rPr>
            </w:pPr>
            <w:r w:rsidRPr="00565F80">
              <w:rPr>
                <w:color w:val="auto"/>
              </w:rPr>
              <w:t>(26)</w:t>
            </w:r>
            <w:r w:rsidRPr="00565F80">
              <w:rPr>
                <w:color w:val="auto"/>
              </w:rPr>
              <w:tab/>
              <w:t>taikydamos šį reglamentą valstybės narės pirmiausia turėtų atsižvelgti į nepilnamečio interesus. Kai prašančioji valstybė narė nustato, kad EURODAC saugomi vaiko duomenys, šiuos duomenis ji gali naudoti tik teisėsaugos tikslais</w:t>
            </w:r>
            <w:r w:rsidRPr="00565F80">
              <w:rPr>
                <w:b/>
                <w:i/>
                <w:color w:val="auto"/>
              </w:rPr>
              <w:t>, susijusiais su prekybos vaikais prevencija, nustatymu ir tyrimu bei dingusių vaikų apsauga, taip pat imdamasi priemonių dėl šeimos paieškos ir susijungimo</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lastRenderedPageBreak/>
        <w:t>&lt;Amend&gt;</w:t>
      </w:r>
      <w:r w:rsidRPr="00565F80">
        <w:rPr>
          <w:color w:val="auto"/>
        </w:rPr>
        <w:t xml:space="preserve">Pakeitimas </w:t>
      </w:r>
      <w:r w:rsidRPr="00565F80">
        <w:rPr>
          <w:rStyle w:val="HideTWBExt"/>
          <w:color w:val="auto"/>
        </w:rPr>
        <w:t>&lt;NumAm&gt;</w:t>
      </w:r>
      <w:r w:rsidRPr="00565F80">
        <w:rPr>
          <w:color w:val="auto"/>
        </w:rPr>
        <w:t>112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Anna Maria Corazza Bildt, Damiano Zoffoli, Barbara Matera, Petras Auštrevičius, Carlos Coelho, Hilde Vautmans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26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(26)</w:t>
            </w:r>
            <w:r w:rsidRPr="00565F80">
              <w:rPr>
                <w:color w:val="auto"/>
              </w:rPr>
              <w:tab/>
              <w:t>taikydamos šį reglamentą valstybės narės pirmiausia turėtų atsižvelgti į nepilnamečio interesus. Kai prašančioji valstybė narė nustato, kad EURODAC saugomi vaiko duomenys, šiuos duomenis ji gali naudoti tik teisėsaugos tikslais laikydamasi nepilnamečiams taikomų tos valstybės teisės aktų ir pareigos pirmiausia atsižvelgti į vaiko interesus;</w:t>
            </w:r>
          </w:p>
        </w:tc>
        <w:tc>
          <w:tcPr>
            <w:tcW w:w="4876" w:type="dxa"/>
          </w:tcPr>
          <w:p w:rsidR="00BF668E" w:rsidRPr="00565F80" w:rsidRDefault="00BF668E" w:rsidP="00AC407E">
            <w:pPr>
              <w:pStyle w:val="Normal6"/>
              <w:rPr>
                <w:color w:val="auto"/>
              </w:rPr>
            </w:pPr>
            <w:r w:rsidRPr="00565F80">
              <w:rPr>
                <w:color w:val="auto"/>
              </w:rPr>
              <w:t>(26)</w:t>
            </w:r>
            <w:r w:rsidRPr="00565F80">
              <w:rPr>
                <w:color w:val="auto"/>
              </w:rPr>
              <w:tab/>
              <w:t>taikydamos šį reglamentą valstybės narės pirmiausia turėtų atsižvelgti į nepilnamečio interesus. Kai prašančioji valstybė narė nustato, kad EURODAC saugomi vaiko duomenys, šiuos duomenis ji gali naudoti tik teisėsaugos tikslais</w:t>
            </w:r>
            <w:r w:rsidRPr="00565F80">
              <w:rPr>
                <w:b/>
                <w:i/>
                <w:color w:val="auto"/>
              </w:rPr>
              <w:t>, siekdama užtikrinti prieigą prie apsaugos sistem</w:t>
            </w:r>
            <w:r w:rsidR="00AC407E" w:rsidRPr="00565F80">
              <w:rPr>
                <w:b/>
                <w:i/>
                <w:color w:val="auto"/>
              </w:rPr>
              <w:t>ų</w:t>
            </w:r>
            <w:r w:rsidRPr="00565F80">
              <w:rPr>
                <w:b/>
                <w:i/>
                <w:color w:val="auto"/>
              </w:rPr>
              <w:t xml:space="preserve"> ir surasti dingusius vaikus,</w:t>
            </w:r>
            <w:r w:rsidRPr="00565F80">
              <w:rPr>
                <w:color w:val="auto"/>
              </w:rPr>
              <w:t xml:space="preserve"> laikydamasi nepilnamečiams taikomų tos valstybės teisės aktų ir pareigos pirmiausia atsižvelgti į vaiko interesus;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113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27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(27)</w:t>
            </w:r>
            <w:r w:rsidRPr="00565F80">
              <w:rPr>
                <w:color w:val="auto"/>
              </w:rPr>
              <w:tab/>
              <w:t xml:space="preserve">reikia nustatyti tikslias tokių pirštų atspaudų </w:t>
            </w:r>
            <w:r w:rsidRPr="00565F80">
              <w:rPr>
                <w:b/>
                <w:i/>
                <w:color w:val="auto"/>
              </w:rPr>
              <w:t>ir</w:t>
            </w:r>
            <w:r w:rsidRPr="00565F80">
              <w:rPr>
                <w:color w:val="auto"/>
              </w:rPr>
              <w:t xml:space="preserve"> veido atvaizdo duomenų perdavimo į centrinę sistemą, tokių pirštų atspaudų ir veido atvaizdo duomenų ir kitų svarbių asmens duomenų įrašymo į centrinę sistemą, jų saugojimo, lyginimo su kitais pirštų atspaudų </w:t>
            </w:r>
            <w:r w:rsidRPr="00565F80">
              <w:rPr>
                <w:b/>
                <w:i/>
                <w:color w:val="auto"/>
              </w:rPr>
              <w:t>ir</w:t>
            </w:r>
            <w:r w:rsidRPr="00565F80">
              <w:rPr>
                <w:color w:val="auto"/>
              </w:rPr>
              <w:t xml:space="preserve"> veido atvaizdo duomenimis, tokio lyginimo rezultatų perdavimo ir įrašytų duomenų žymėjimo ir panaikinimo taisykles. Tokios taisyklės gali būti skirtingos įvairių kategorijų trečiųjų šalių piliečiams ar asmenims be pilietybės ir turėtų būti konkrečiai </w:t>
            </w:r>
            <w:r w:rsidRPr="00565F80">
              <w:rPr>
                <w:color w:val="auto"/>
              </w:rPr>
              <w:lastRenderedPageBreak/>
              <w:t>pritaikytos atsižvelgiant į jų padėtį;</w:t>
            </w:r>
          </w:p>
        </w:tc>
        <w:tc>
          <w:tcPr>
            <w:tcW w:w="4876" w:type="dxa"/>
          </w:tcPr>
          <w:p w:rsidR="00BF668E" w:rsidRPr="00565F80" w:rsidRDefault="00BF668E" w:rsidP="00C555DE">
            <w:pPr>
              <w:pStyle w:val="Normal6"/>
              <w:rPr>
                <w:color w:val="auto"/>
              </w:rPr>
            </w:pPr>
            <w:r w:rsidRPr="00565F80">
              <w:rPr>
                <w:color w:val="auto"/>
              </w:rPr>
              <w:lastRenderedPageBreak/>
              <w:t>(27)</w:t>
            </w:r>
            <w:r w:rsidRPr="00565F80">
              <w:rPr>
                <w:color w:val="auto"/>
              </w:rPr>
              <w:tab/>
              <w:t xml:space="preserve">reikia nustatyti tikslias tokių pirštų atspaudų </w:t>
            </w:r>
            <w:r w:rsidRPr="00565F80">
              <w:rPr>
                <w:b/>
                <w:i/>
                <w:color w:val="auto"/>
              </w:rPr>
              <w:t>duomenų,</w:t>
            </w:r>
            <w:r w:rsidRPr="00565F80">
              <w:rPr>
                <w:color w:val="auto"/>
              </w:rPr>
              <w:t xml:space="preserve"> veido atvaizdo duomenų </w:t>
            </w:r>
            <w:r w:rsidRPr="00565F80">
              <w:rPr>
                <w:b/>
                <w:i/>
                <w:color w:val="auto"/>
              </w:rPr>
              <w:t xml:space="preserve">arba abiejų rūšių duomenų </w:t>
            </w:r>
            <w:r w:rsidRPr="00565F80">
              <w:rPr>
                <w:color w:val="auto"/>
              </w:rPr>
              <w:t xml:space="preserve">perdavimo į centrinę sistemą, tokių pirštų atspaudų ir veido atvaizdo duomenų ir kitų svarbių asmens duomenų įrašymo į centrinę sistemą, jų saugojimo, lyginimo su kitais pirštų atspaudų </w:t>
            </w:r>
            <w:r w:rsidRPr="00565F80">
              <w:rPr>
                <w:b/>
                <w:i/>
                <w:color w:val="auto"/>
              </w:rPr>
              <w:t>duomenimis,</w:t>
            </w:r>
            <w:r w:rsidRPr="00565F80">
              <w:rPr>
                <w:color w:val="auto"/>
              </w:rPr>
              <w:t xml:space="preserve"> veido atvaizdo duomenimis </w:t>
            </w:r>
            <w:r w:rsidRPr="00565F80">
              <w:rPr>
                <w:b/>
                <w:i/>
                <w:color w:val="auto"/>
              </w:rPr>
              <w:t>arba abiejų rūšių duomenimis</w:t>
            </w:r>
            <w:r w:rsidRPr="00565F80">
              <w:rPr>
                <w:color w:val="auto"/>
              </w:rPr>
              <w:t xml:space="preserve">, tokio lyginimo rezultatų perdavimo ir įrašytų duomenų žymėjimo ir panaikinimo taisykles. Tokios taisyklės gali būti skirtingos įvairių kategorijų trečiųjų šalių piliečiams ar asmenims be </w:t>
            </w:r>
            <w:r w:rsidRPr="00565F80">
              <w:rPr>
                <w:color w:val="auto"/>
              </w:rPr>
              <w:lastRenderedPageBreak/>
              <w:t>pilietybės ir turėtų būti konkrečiai pritaikytos atsižvelgiant į jų padėtį;</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114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28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(28)</w:t>
            </w:r>
            <w:r w:rsidRPr="00565F80">
              <w:rPr>
                <w:color w:val="auto"/>
              </w:rPr>
              <w:tab/>
              <w:t xml:space="preserve">valstybės narės turėtų užtikrinti tinkamos kokybės pirštų atspaudų </w:t>
            </w:r>
            <w:r w:rsidRPr="00565F80">
              <w:rPr>
                <w:b/>
                <w:i/>
                <w:color w:val="auto"/>
              </w:rPr>
              <w:t>ir</w:t>
            </w:r>
            <w:r w:rsidRPr="00565F80">
              <w:rPr>
                <w:color w:val="auto"/>
              </w:rPr>
              <w:t xml:space="preserve"> veido atvaizdo duomenų perdavimą, kad juos būtų galima palyginti naudojantis kompiuterizuota pirštų atspaudų ir veido atvaizdo atpažinimo sistema. Visos institucijos, turinčios teisę naudotis sistema EURODAC, turėtų investuoti į tinkamus mokymus ir į reikiamą technologinę įrangą. Institucijos, turinčios teisę naudotis sistema EURODAC, turėtų informuoti Europos didelės apimties IT sistemų laisvės, saugumo ir teisingumo erdvėje operacijų valdymo agentūrą, įsteigtą Europos Parlamento ir Tarybos reglamentu (ES) Nr. 1077/2011</w:t>
            </w:r>
            <w:r w:rsidRPr="00565F80">
              <w:rPr>
                <w:rStyle w:val="Sup"/>
                <w:color w:val="auto"/>
              </w:rPr>
              <w:t>33</w:t>
            </w:r>
            <w:r w:rsidRPr="00565F80">
              <w:rPr>
                <w:color w:val="auto"/>
              </w:rPr>
              <w:t xml:space="preserve"> (toliau – „eu-LISA“ ), apie konkrečius su duomenų kokybe susijusius sunkumus, kad būtų galima juos pašalinti;</w:t>
            </w:r>
          </w:p>
        </w:tc>
        <w:tc>
          <w:tcPr>
            <w:tcW w:w="4876" w:type="dxa"/>
          </w:tcPr>
          <w:p w:rsidR="00BF668E" w:rsidRPr="00565F80" w:rsidRDefault="00BF668E" w:rsidP="00C555DE">
            <w:pPr>
              <w:pStyle w:val="Normal6"/>
              <w:rPr>
                <w:color w:val="auto"/>
              </w:rPr>
            </w:pPr>
            <w:r w:rsidRPr="00565F80">
              <w:rPr>
                <w:color w:val="auto"/>
              </w:rPr>
              <w:t>(28)</w:t>
            </w:r>
            <w:r w:rsidRPr="00565F80">
              <w:rPr>
                <w:color w:val="auto"/>
              </w:rPr>
              <w:tab/>
              <w:t xml:space="preserve">valstybės narės turėtų užtikrinti tinkamos kokybės pirštų atspaudų </w:t>
            </w:r>
            <w:r w:rsidRPr="00565F80">
              <w:rPr>
                <w:b/>
                <w:i/>
                <w:color w:val="auto"/>
              </w:rPr>
              <w:t xml:space="preserve">duomenų, </w:t>
            </w:r>
            <w:r w:rsidRPr="00565F80">
              <w:rPr>
                <w:color w:val="auto"/>
              </w:rPr>
              <w:t xml:space="preserve">veido atvaizdo duomenų </w:t>
            </w:r>
            <w:r w:rsidRPr="00565F80">
              <w:rPr>
                <w:b/>
                <w:i/>
                <w:color w:val="auto"/>
              </w:rPr>
              <w:t xml:space="preserve">arba abiejų rūšių duomenų </w:t>
            </w:r>
            <w:r w:rsidRPr="00565F80">
              <w:rPr>
                <w:color w:val="auto"/>
              </w:rPr>
              <w:t>perdavimą, kad juos būtų galima palyginti naudojantis kompiuterizuota pirštų atspaudų ir veido atvaizdo atpažinimo sistema. Visos institucijos, turinčios teisę naudotis sistema EURODAC, turėtų investuoti į tinkamus mokymus ir į reikiamą technologinę įrangą. Institucijos, turinčios teisę naudotis sistema EURODAC, turėtų informuoti Europos didelės apimties IT sistemų laisvės, saugumo ir teisingumo erdvėje operacijų valdymo agentūrą, įsteigtą Europos Parlamento ir Tarybos reglamentu (ES) Nr. 1077/2011</w:t>
            </w:r>
            <w:r w:rsidRPr="00565F80">
              <w:rPr>
                <w:rStyle w:val="Sup"/>
                <w:color w:val="auto"/>
              </w:rPr>
              <w:t>33</w:t>
            </w:r>
            <w:r w:rsidRPr="00565F80">
              <w:rPr>
                <w:color w:val="auto"/>
              </w:rPr>
              <w:t xml:space="preserve"> (toliau – „eu-LISA“ ), apie konkrečius su duomenų kokybe susijusius sunkumus, kad būtų galima juos pašalinti;</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33</w:t>
            </w:r>
            <w:r w:rsidRPr="00565F80">
              <w:rPr>
                <w:color w:val="auto"/>
              </w:rPr>
              <w:t xml:space="preserve"> Europos Parlamento ir Tarybos reglamentas (ES) Nr. 1077/2011, kuriuo įsteigiama Europos didelės apimties IT sistemų laisvės, saugumo ir teisingumo erdvėje</w:t>
            </w:r>
            <w:r w:rsidR="00B4436E" w:rsidRPr="00565F80">
              <w:rPr>
                <w:color w:val="auto"/>
              </w:rPr>
              <w:t xml:space="preserve"> operacijų valdymo agentūra (OL L 286, 2011 11 1, p. </w:t>
            </w:r>
            <w:r w:rsidRPr="00565F80">
              <w:rPr>
                <w:color w:val="auto"/>
              </w:rPr>
              <w:t>1).</w:t>
            </w:r>
          </w:p>
        </w:tc>
        <w:tc>
          <w:tcPr>
            <w:tcW w:w="4876" w:type="dxa"/>
          </w:tcPr>
          <w:p w:rsidR="00BF668E" w:rsidRPr="00565F80" w:rsidRDefault="00BF668E" w:rsidP="00C555DE">
            <w:pPr>
              <w:pStyle w:val="Normal6"/>
              <w:rPr>
                <w:color w:val="auto"/>
              </w:rPr>
            </w:pPr>
            <w:r w:rsidRPr="00565F80">
              <w:rPr>
                <w:rStyle w:val="Sup"/>
                <w:color w:val="auto"/>
              </w:rPr>
              <w:t>33</w:t>
            </w:r>
            <w:r w:rsidRPr="00565F80">
              <w:rPr>
                <w:color w:val="auto"/>
              </w:rPr>
              <w:t xml:space="preserve"> Europos Parlamento ir Tarybos reglamentas (ES) Nr. 1077/2011, kuriuo įsteigiama Europos didelės apimties IT sistemų laisvės, saugumo ir teisingumo erdvėje</w:t>
            </w:r>
            <w:r w:rsidR="00B4436E" w:rsidRPr="00565F80">
              <w:rPr>
                <w:color w:val="auto"/>
              </w:rPr>
              <w:t xml:space="preserve"> operacijų valdymo agentūra (OL L 286, 2011 11 1, p. </w:t>
            </w:r>
            <w:r w:rsidRPr="00565F80">
              <w:rPr>
                <w:color w:val="auto"/>
              </w:rPr>
              <w:t>1).</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lastRenderedPageBreak/>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115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Nadine Morano</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28 konstatuojamoji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(28)</w:t>
            </w:r>
            <w:r w:rsidRPr="00565F80">
              <w:rPr>
                <w:color w:val="auto"/>
              </w:rPr>
              <w:tab/>
              <w:t>valstybės narės turėtų užtikrinti tinkamos kokybės pirštų atspaudų ir veido atvaizdo duomenų perdavimą, kad juos būtų galima palyginti naudojantis kompiuterizuota pirštų atspaudų ir veido atvaizdo atpažinimo sistema. Visos institucijos, turinčios teisę naudotis sistema EURODAC, turėtų investuoti į tinkamus mokymus ir į reikiamą technologinę įrangą. Institucijos, turinčios teisę naudotis sistema EURODAC, turėtų informuoti Europos didelės apimties IT sistemų laisvės, saugumo ir teisingumo erdvėje operacijų valdymo agentūrą, įsteigtą Europos Parlamento ir Tarybos reglamentu (ES) Nr. 1077/2011</w:t>
            </w:r>
            <w:r w:rsidRPr="00565F80">
              <w:rPr>
                <w:rStyle w:val="Sup"/>
                <w:color w:val="auto"/>
              </w:rPr>
              <w:t>33</w:t>
            </w:r>
            <w:r w:rsidRPr="00565F80">
              <w:rPr>
                <w:color w:val="auto"/>
              </w:rPr>
              <w:t xml:space="preserve"> (toliau – „eu-LISA“ ), apie konkrečius su duomenų kokybe susijusius sunkumus, kad būtų galima juos pašalinti;</w:t>
            </w:r>
          </w:p>
        </w:tc>
        <w:tc>
          <w:tcPr>
            <w:tcW w:w="4876" w:type="dxa"/>
          </w:tcPr>
          <w:p w:rsidR="00BF668E" w:rsidRPr="00565F80" w:rsidRDefault="00BF668E" w:rsidP="00C555DE">
            <w:pPr>
              <w:pStyle w:val="Normal6"/>
              <w:rPr>
                <w:color w:val="auto"/>
              </w:rPr>
            </w:pPr>
            <w:r w:rsidRPr="00565F80">
              <w:rPr>
                <w:color w:val="auto"/>
              </w:rPr>
              <w:t>(28)</w:t>
            </w:r>
            <w:r w:rsidRPr="00565F80">
              <w:rPr>
                <w:color w:val="auto"/>
              </w:rPr>
              <w:tab/>
              <w:t>valstybės narės turėtų užtikrinti tinkamos kokybės pirštų atspaudų ir veido atvaizdo duomenų perdavimą, kad juos būtų galima palyginti naudojantis kompiuterizuota pirštų atspaudų ir veido atvaizdo atpažinimo sistema. Visos institucijos, turinčios teisę naudotis sistema EURODAC, turėtų investuoti į tinkamus mokymus ir į reikiamą technologinę įrangą. Institucijos, turinčios teisę naudotis sistema EURODAC, turėtų informuoti Europos didelės apimties IT sistemų laisvės, saugumo ir teisingumo erdvėje operacijų valdymo agentūrą, įsteigtą Europos Parlamento ir Tarybos reglamentu (ES) Nr. 1077/2011</w:t>
            </w:r>
            <w:r w:rsidRPr="00565F80">
              <w:rPr>
                <w:rStyle w:val="Sup"/>
                <w:color w:val="auto"/>
              </w:rPr>
              <w:t>33</w:t>
            </w:r>
            <w:r w:rsidRPr="00565F80">
              <w:rPr>
                <w:color w:val="auto"/>
              </w:rPr>
              <w:t xml:space="preserve"> (toliau – „eu-LISA“ ), apie konkrečius su duomenų kokybe susijusius sunkumus, kad būtų galima juos pašalinti </w:t>
            </w:r>
            <w:r w:rsidRPr="00565F80">
              <w:rPr>
                <w:b/>
                <w:i/>
                <w:color w:val="auto"/>
              </w:rPr>
              <w:t>ir skatinti laikytis bendrų standartų</w:t>
            </w:r>
            <w:r w:rsidRPr="00565F80">
              <w:rPr>
                <w:color w:val="auto"/>
              </w:rPr>
              <w:t>;</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33</w:t>
            </w:r>
            <w:r w:rsidRPr="00565F80">
              <w:rPr>
                <w:color w:val="auto"/>
              </w:rPr>
              <w:t xml:space="preserve"> Europos Parlamento ir Tarybos reglamentas (ES) Nr. 1077/2011, kuriuo įsteigiama Europos didelės apimties IT sistemų laisvės, saugumo ir teisingumo erdvėje</w:t>
            </w:r>
            <w:r w:rsidR="003C169E" w:rsidRPr="00565F80">
              <w:rPr>
                <w:color w:val="auto"/>
              </w:rPr>
              <w:t xml:space="preserve"> operacijų valdymo agentūra (OL L </w:t>
            </w:r>
            <w:r w:rsidRPr="00565F80">
              <w:rPr>
                <w:color w:val="auto"/>
              </w:rPr>
              <w:t>286, 2011 11 1, p. 1).</w:t>
            </w:r>
          </w:p>
        </w:tc>
        <w:tc>
          <w:tcPr>
            <w:tcW w:w="4876" w:type="dxa"/>
          </w:tcPr>
          <w:p w:rsidR="00BF668E" w:rsidRPr="00565F80" w:rsidRDefault="00BF668E" w:rsidP="00C555DE">
            <w:pPr>
              <w:pStyle w:val="Normal6"/>
              <w:rPr>
                <w:color w:val="auto"/>
              </w:rPr>
            </w:pPr>
            <w:r w:rsidRPr="00565F80">
              <w:rPr>
                <w:rStyle w:val="Sup"/>
                <w:color w:val="auto"/>
              </w:rPr>
              <w:t>33</w:t>
            </w:r>
            <w:r w:rsidRPr="00565F80">
              <w:rPr>
                <w:color w:val="auto"/>
              </w:rPr>
              <w:t xml:space="preserve"> Europos Parlamento ir Tarybos reglamentas (ES) Nr. 1077/2011, kuriuo įsteigiama Europos didelės apimties IT sistemų laisvės, saugumo ir teisingumo erdvėje</w:t>
            </w:r>
            <w:r w:rsidR="003C169E" w:rsidRPr="00565F80">
              <w:rPr>
                <w:color w:val="auto"/>
              </w:rPr>
              <w:t xml:space="preserve"> operacijų valdymo agentūra (OL L </w:t>
            </w:r>
            <w:r w:rsidRPr="00565F80">
              <w:rPr>
                <w:color w:val="auto"/>
              </w:rPr>
              <w:t>286, 2011 11 1, p. 1).</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Siekiant, kad duomenys būtų naudojami veiksmingai, valstybės narės turi suderinti jų rinkimo ir perdavimo sistemas. Todėl keitimasis patirtimi yra naudingas „eu-LISA“ ir kuriant bendrus standartus bei skatinant jų laikytis.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116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lastRenderedPageBreak/>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29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(29)</w:t>
            </w:r>
            <w:r w:rsidRPr="00565F80">
              <w:rPr>
                <w:color w:val="auto"/>
              </w:rPr>
              <w:tab/>
              <w:t xml:space="preserve">tai, kad pirštų atspaudų </w:t>
            </w:r>
            <w:r w:rsidRPr="00565F80">
              <w:rPr>
                <w:b/>
                <w:i/>
                <w:color w:val="auto"/>
              </w:rPr>
              <w:t>ir</w:t>
            </w:r>
            <w:r w:rsidRPr="00565F80">
              <w:rPr>
                <w:color w:val="auto"/>
              </w:rPr>
              <w:t xml:space="preserve"> veido atvaizdo duomenų laikinai ar nuolat neįmanoma paimti ir (arba) perduoti dėl tokių priežasčių kaip nepakankama duomenų kokybė tinkamam palyginimui atlikti, techninės problemos, priežasčių, susijusių su sveikata ar su tuo, kad duomenų subjektai nepajėgia ar negali užtikrinti savo pirštų atspaudų ir veido atvaizdo paėmimo dėl aplinkybių, kurių jie nekontroliuoja, neturėtų neigiamai paveikti to asmens pateikto tarptautinės apsaugos prašymo nagrinėjimo ar su juo susijusio sprendimo priėmimo;</w:t>
            </w:r>
          </w:p>
        </w:tc>
        <w:tc>
          <w:tcPr>
            <w:tcW w:w="4876" w:type="dxa"/>
          </w:tcPr>
          <w:p w:rsidR="00BF668E" w:rsidRPr="00565F80" w:rsidRDefault="00BF668E" w:rsidP="00C555DE">
            <w:pPr>
              <w:pStyle w:val="Normal6"/>
              <w:rPr>
                <w:color w:val="auto"/>
              </w:rPr>
            </w:pPr>
            <w:r w:rsidRPr="00565F80">
              <w:rPr>
                <w:color w:val="auto"/>
              </w:rPr>
              <w:t>(29)</w:t>
            </w:r>
            <w:r w:rsidRPr="00565F80">
              <w:rPr>
                <w:color w:val="auto"/>
              </w:rPr>
              <w:tab/>
              <w:t>tai, kad pirštų atspaudų</w:t>
            </w:r>
            <w:r w:rsidRPr="00565F80">
              <w:rPr>
                <w:b/>
                <w:i/>
                <w:color w:val="auto"/>
              </w:rPr>
              <w:t xml:space="preserve"> duomenų,</w:t>
            </w:r>
            <w:r w:rsidRPr="00565F80">
              <w:rPr>
                <w:color w:val="auto"/>
              </w:rPr>
              <w:t xml:space="preserve"> veido atvaizdo duomenų </w:t>
            </w:r>
            <w:r w:rsidRPr="00565F80">
              <w:rPr>
                <w:b/>
                <w:i/>
                <w:color w:val="auto"/>
              </w:rPr>
              <w:t xml:space="preserve">arba abiejų rūšių duomenų </w:t>
            </w:r>
            <w:r w:rsidRPr="00565F80">
              <w:rPr>
                <w:color w:val="auto"/>
              </w:rPr>
              <w:t>laikinai ar nuolat neįmanoma paimti ir (arba) perduoti dėl tokių priežasčių kaip nepakankama duomenų kokybė tinkamam palyginimui atlikti, techninės problemos, priežasčių, susijusių su sveikata ar su tuo, kad duomenų subjektai nepajėgia ar negali užtikrinti savo pirštų atspaudų ir veido atvaizdo paėmimo dėl aplinkybių, kurių jie nekontroliuoja, neturėtų neigiamai paveikti to asmens pateikto tarptautinės apsaugos prašymo nagrinėjimo ar su juo susijusio sprendimo priėmimo;</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117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Sophia in 't Veld</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30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(30)</w:t>
            </w:r>
            <w:r w:rsidRPr="00565F80">
              <w:rPr>
                <w:color w:val="auto"/>
              </w:rPr>
              <w:tab/>
              <w:t>valstybės narės turėtų</w:t>
            </w:r>
            <w:r w:rsidRPr="00565F80">
              <w:rPr>
                <w:b/>
                <w:i/>
                <w:color w:val="auto"/>
              </w:rPr>
              <w:t xml:space="preserve"> remtis Komisijos tarnybų darbiniu dokumentu dėl Eurodac reglamento nuostatų, susijusių su įpareigojimu paimti pirštų atspaudus, įgyvendinimo, Tarybos priimtu 2015 m. liepos 20 d.</w:t>
            </w:r>
            <w:r w:rsidRPr="00565F80">
              <w:rPr>
                <w:rStyle w:val="SupBoldItalic"/>
                <w:color w:val="auto"/>
              </w:rPr>
              <w:t>34</w:t>
            </w:r>
            <w:r w:rsidRPr="00565F80">
              <w:rPr>
                <w:b/>
                <w:i/>
                <w:color w:val="auto"/>
              </w:rPr>
              <w:t>, kuriame nustatytas geriausia patirtimi grindžiamas požiūris į neteisėtai esančių trečiųjų šalių piliečių pirštų atspaudų ėmimą</w:t>
            </w:r>
            <w:r w:rsidRPr="00565F80">
              <w:rPr>
                <w:color w:val="auto"/>
              </w:rPr>
              <w:t xml:space="preserve">. Kai valstybės narės nacionalinės teisės aktais leidžiama, jei nėra kitos išeities, pirštų atspaudus imti </w:t>
            </w:r>
            <w:r w:rsidRPr="00565F80">
              <w:rPr>
                <w:b/>
                <w:i/>
                <w:color w:val="auto"/>
              </w:rPr>
              <w:t>jėga ar</w:t>
            </w:r>
            <w:r w:rsidRPr="00565F80">
              <w:rPr>
                <w:color w:val="auto"/>
              </w:rPr>
              <w:t xml:space="preserve"> prievarta, taikomos priemonės turi </w:t>
            </w:r>
            <w:r w:rsidRPr="00565F80">
              <w:rPr>
                <w:color w:val="auto"/>
              </w:rPr>
              <w:lastRenderedPageBreak/>
              <w:t>visapusiškai derėti su ES pagrindinių teisių chartija. Trečiųjų šalių piliečiai, kurie laikomi pažeidžiamais asmenimis, ir nepilnamečiai neturėtų būti prievarta verčiami duoti pirštų atspaudus ar veido atvaizdą</w:t>
            </w:r>
            <w:r w:rsidRPr="00565F80">
              <w:rPr>
                <w:b/>
                <w:i/>
                <w:color w:val="auto"/>
              </w:rPr>
              <w:t>, išskyrus tinkamai pagrįstas aplinkybes, kurios yra leidžiamos pagal nacionalinę teisę</w:t>
            </w:r>
            <w:r w:rsidRPr="00565F80">
              <w:rPr>
                <w:color w:val="auto"/>
              </w:rPr>
              <w:t>;</w:t>
            </w:r>
          </w:p>
        </w:tc>
        <w:tc>
          <w:tcPr>
            <w:tcW w:w="4876" w:type="dxa"/>
          </w:tcPr>
          <w:p w:rsidR="00BF668E" w:rsidRPr="00565F80" w:rsidRDefault="00BF668E" w:rsidP="00C555DE">
            <w:pPr>
              <w:pStyle w:val="Normal6"/>
              <w:rPr>
                <w:color w:val="auto"/>
              </w:rPr>
            </w:pPr>
            <w:r w:rsidRPr="00565F80">
              <w:rPr>
                <w:color w:val="auto"/>
              </w:rPr>
              <w:lastRenderedPageBreak/>
              <w:t>(30)</w:t>
            </w:r>
            <w:r w:rsidRPr="00565F80">
              <w:rPr>
                <w:color w:val="auto"/>
              </w:rPr>
              <w:tab/>
              <w:t xml:space="preserve">valstybės narės turėtų </w:t>
            </w:r>
            <w:r w:rsidRPr="00565F80">
              <w:rPr>
                <w:b/>
                <w:i/>
                <w:color w:val="auto"/>
              </w:rPr>
              <w:t>taikyti gaires, kurias turi bendrai parengti ir stebėti Europos Sąjungos prieglobsčio agentūra ir Europos Sąjungos pagrindinių teisių agentūra (FRA) ir kuriose turi būti nustatyta bendra neteisėtai esančių trečiųjų šalių piliečių pirštų atspaudų ir veido atvaizdų ėmimo praktika, laikantis Europos Sąjungos pagrindinių teisių chartijos ir atsižvelgiant į FRA 2015 m. kontrolinį sąrašą</w:t>
            </w:r>
            <w:r w:rsidRPr="00565F80">
              <w:rPr>
                <w:rStyle w:val="SupBoldItalic"/>
                <w:color w:val="auto"/>
              </w:rPr>
              <w:t>1a</w:t>
            </w:r>
            <w:r w:rsidRPr="00565F80">
              <w:rPr>
                <w:color w:val="auto"/>
              </w:rPr>
              <w:t xml:space="preserve">. Kai valstybės narės nacionalinės teisės aktais leidžiama, jei </w:t>
            </w:r>
            <w:r w:rsidRPr="00565F80">
              <w:rPr>
                <w:color w:val="auto"/>
              </w:rPr>
              <w:lastRenderedPageBreak/>
              <w:t>nėra kitos išeities, pirštų atspaudus imti prievarta, taikomos priemonės turi visapusiškai derėti su ES pagrindinių teisių chartija. Trečiųjų šalių piliečiai, kurie laikomi pažeidžiamais asmenimis, ir nepilnamečiai neturėtų būti prievarta verčiami duoti pirštų atspaudus ar veido atvaizdą;</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rStyle w:val="SupBoldItalic"/>
                <w:color w:val="auto"/>
              </w:rPr>
              <w:t>1a</w:t>
            </w:r>
            <w:r w:rsidRPr="00565F80">
              <w:rPr>
                <w:b/>
                <w:i/>
                <w:color w:val="auto"/>
              </w:rPr>
              <w:t xml:space="preserve"> FRA kontrolinis sąrašas, taikomas laikantis pagrindinių teisių imant pirštų atspaudus EURODAC, 2015 m. http://fra.europa.eu/en/publication/2015/fundamental-rights-implications-obligation-provide-fingerprints-eurodac#checklist</w:t>
            </w:r>
            <w:r w:rsidR="0042479E" w:rsidRPr="00565F80">
              <w:rPr>
                <w:b/>
                <w:i/>
                <w:color w:val="auto"/>
              </w:rPr>
              <w:t>.</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BoldItalic"/>
                <w:color w:val="auto"/>
              </w:rPr>
              <w:t>34</w:t>
            </w:r>
            <w:r w:rsidRPr="00565F80">
              <w:rPr>
                <w:color w:val="auto"/>
              </w:rPr>
              <w:t xml:space="preserve"> </w:t>
            </w:r>
            <w:r w:rsidRPr="00565F80">
              <w:rPr>
                <w:b/>
                <w:i/>
                <w:color w:val="auto"/>
              </w:rPr>
              <w:t>COM(2015) 150 final, 2015</w:t>
            </w:r>
            <w:r w:rsidRPr="00565F80">
              <w:rPr>
                <w:color w:val="auto"/>
              </w:rPr>
              <w:t> </w:t>
            </w:r>
            <w:r w:rsidRPr="00565F80">
              <w:rPr>
                <w:b/>
                <w:i/>
                <w:color w:val="auto"/>
              </w:rPr>
              <w:t>5 27.</w:t>
            </w:r>
          </w:p>
        </w:tc>
        <w:tc>
          <w:tcPr>
            <w:tcW w:w="4876" w:type="dxa"/>
          </w:tcPr>
          <w:p w:rsidR="00BF668E" w:rsidRPr="00565F80" w:rsidRDefault="00BF668E" w:rsidP="00C555DE">
            <w:pPr>
              <w:pStyle w:val="Normal6"/>
              <w:rPr>
                <w:color w:val="auto"/>
              </w:rPr>
            </w:pP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118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30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(30)</w:t>
            </w:r>
            <w:r w:rsidRPr="00565F80">
              <w:rPr>
                <w:color w:val="auto"/>
              </w:rPr>
              <w:tab/>
              <w:t>valstybės narės turėtų remtis Komisijos tarnybų darbiniu dokumentu dėl Eurodac reglamento nuostatų, susijusių su įpareigojimu paimti pirštų atspaudus, įgyvendinimo, Tarybos priimtu 2015 m. liepos 20 d.</w:t>
            </w:r>
            <w:r w:rsidRPr="00565F80">
              <w:rPr>
                <w:rStyle w:val="Sup"/>
                <w:color w:val="auto"/>
              </w:rPr>
              <w:t>34</w:t>
            </w:r>
            <w:r w:rsidRPr="00565F80">
              <w:rPr>
                <w:color w:val="auto"/>
              </w:rPr>
              <w:t>, kuriame nustatytas geriausia patirtimi grindžiamas požiūris į neteisėtai esančių trečiųjų šalių piliečių pirštų atspaudų ėmimą. Kai valstybės narės nacionalinės teisės aktais leidžiama, jei nėra kitos išeities, pirštų atspaudus imti jėga ar prievarta, taikomos priemonės turi visapusiškai derėti su ES pagrindinių teisių chartija. Trečiųjų šalių piliečiai</w:t>
            </w:r>
            <w:r w:rsidRPr="00565F80">
              <w:rPr>
                <w:b/>
                <w:i/>
                <w:color w:val="auto"/>
              </w:rPr>
              <w:t>, kurie laikomi pažeidžiamais asmenimis,</w:t>
            </w:r>
            <w:r w:rsidRPr="00565F80">
              <w:rPr>
                <w:color w:val="auto"/>
              </w:rPr>
              <w:t xml:space="preserve"> ir </w:t>
            </w:r>
            <w:r w:rsidRPr="00565F80">
              <w:rPr>
                <w:color w:val="auto"/>
              </w:rPr>
              <w:lastRenderedPageBreak/>
              <w:t>nepilnamečiai neturėtų būti prievarta verčiami duoti pirštų atspaudus ar veido atvaizdą</w:t>
            </w:r>
            <w:r w:rsidRPr="00565F80">
              <w:rPr>
                <w:b/>
                <w:i/>
                <w:color w:val="auto"/>
              </w:rPr>
              <w:t>, išskyrus tinkamai pagrįstas aplinkybes, kurios yra leidžiamos pagal nacionalinę teisę</w:t>
            </w:r>
            <w:r w:rsidRPr="00565F80">
              <w:rPr>
                <w:color w:val="auto"/>
              </w:rPr>
              <w:t>;</w:t>
            </w:r>
          </w:p>
        </w:tc>
        <w:tc>
          <w:tcPr>
            <w:tcW w:w="4876" w:type="dxa"/>
          </w:tcPr>
          <w:p w:rsidR="00BF668E" w:rsidRPr="00565F80" w:rsidRDefault="00BF668E" w:rsidP="00C555DE">
            <w:pPr>
              <w:pStyle w:val="Normal6"/>
              <w:rPr>
                <w:color w:val="auto"/>
              </w:rPr>
            </w:pPr>
            <w:r w:rsidRPr="00565F80">
              <w:rPr>
                <w:color w:val="auto"/>
              </w:rPr>
              <w:lastRenderedPageBreak/>
              <w:t>(30)</w:t>
            </w:r>
            <w:r w:rsidRPr="00565F80">
              <w:rPr>
                <w:color w:val="auto"/>
              </w:rPr>
              <w:tab/>
              <w:t>valstybės narės turėtų remtis Komisijos tarnybų darbiniu dokumentu dėl Eurodac reglamento nuostatų, susijusių su įpareigojimu paimti pirštų atspaudus, įgyvendinimo, Tarybos priimtu 2015 m. liepos 20 d.</w:t>
            </w:r>
            <w:r w:rsidRPr="00565F80">
              <w:rPr>
                <w:rStyle w:val="Sup"/>
                <w:color w:val="auto"/>
              </w:rPr>
              <w:t>34</w:t>
            </w:r>
            <w:r w:rsidRPr="00565F80">
              <w:rPr>
                <w:color w:val="auto"/>
              </w:rPr>
              <w:t xml:space="preserve">, kuriame nustatytas geriausia patirtimi grindžiamas požiūris į neteisėtai esančių trečiųjų šalių piliečių pirštų atspaudų ėmimą. </w:t>
            </w:r>
            <w:r w:rsidRPr="00565F80">
              <w:rPr>
                <w:b/>
                <w:i/>
                <w:color w:val="auto"/>
              </w:rPr>
              <w:t>Be to, valstybės narės turėtų remtis Europos Sąjungos pagrindinių teisių agentūros gairėmis, nustatytomis 2015 m. gegužės mėn. prioritetiniame dokumente „Prievolės teikti pirštų atspaudus EURODAC padariniai pagrindinėms teisėms“.</w:t>
            </w:r>
            <w:r w:rsidRPr="00565F80">
              <w:rPr>
                <w:rStyle w:val="SupBoldItalic"/>
                <w:color w:val="auto"/>
              </w:rPr>
              <w:t>34a</w:t>
            </w:r>
            <w:r w:rsidRPr="00565F80">
              <w:rPr>
                <w:color w:val="auto"/>
              </w:rPr>
              <w:t xml:space="preserve"> Kai </w:t>
            </w:r>
            <w:r w:rsidRPr="00565F80">
              <w:rPr>
                <w:color w:val="auto"/>
              </w:rPr>
              <w:lastRenderedPageBreak/>
              <w:t>valstybės narės nacionalinės teisės aktais leidžiama, jei nėra kitos išeities, pirštų atspaudus imti jėga ar prievarta, taikomos priemonės turi visapusiškai derėti su ES pagrindinių teisių chartija. Trečiųjų šalių piliečiai ir nepilnamečiai neturėtų būti prievarta verčiami duoti pirštų atspaudus ar veido atvaizdą;</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34</w:t>
            </w:r>
            <w:r w:rsidRPr="00565F80">
              <w:rPr>
                <w:color w:val="auto"/>
              </w:rPr>
              <w:t xml:space="preserve"> COM(2015) 150 </w:t>
            </w:r>
            <w:r w:rsidRPr="00565F80">
              <w:rPr>
                <w:i/>
                <w:color w:val="auto"/>
              </w:rPr>
              <w:t>final</w:t>
            </w:r>
            <w:r w:rsidRPr="00565F80">
              <w:rPr>
                <w:color w:val="auto"/>
              </w:rPr>
              <w:t>, 2015 5 27.</w:t>
            </w:r>
          </w:p>
        </w:tc>
        <w:tc>
          <w:tcPr>
            <w:tcW w:w="4876" w:type="dxa"/>
          </w:tcPr>
          <w:p w:rsidR="00BF668E" w:rsidRPr="00565F80" w:rsidRDefault="00BF668E" w:rsidP="00C555DE">
            <w:pPr>
              <w:pStyle w:val="Normal6"/>
              <w:rPr>
                <w:color w:val="auto"/>
              </w:rPr>
            </w:pPr>
            <w:r w:rsidRPr="00565F80">
              <w:rPr>
                <w:rStyle w:val="Sup"/>
                <w:color w:val="auto"/>
              </w:rPr>
              <w:t>34</w:t>
            </w:r>
            <w:r w:rsidRPr="00565F80">
              <w:rPr>
                <w:color w:val="auto"/>
              </w:rPr>
              <w:t xml:space="preserve"> COM(2015) 150 </w:t>
            </w:r>
            <w:r w:rsidRPr="00565F80">
              <w:rPr>
                <w:i/>
                <w:color w:val="auto"/>
              </w:rPr>
              <w:t>final</w:t>
            </w:r>
            <w:r w:rsidRPr="00565F80">
              <w:rPr>
                <w:color w:val="auto"/>
              </w:rPr>
              <w:t>, 2015 5 27.</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rStyle w:val="SupBoldItalic"/>
                <w:color w:val="auto"/>
              </w:rPr>
              <w:t>34a</w:t>
            </w:r>
            <w:r w:rsidRPr="00565F80">
              <w:rPr>
                <w:color w:val="auto"/>
              </w:rPr>
              <w:t xml:space="preserve"> </w:t>
            </w:r>
            <w:r w:rsidRPr="00565F80">
              <w:rPr>
                <w:b/>
                <w:i/>
                <w:color w:val="auto"/>
              </w:rPr>
              <w:t>http://fra.europa.eu/sites/default/files/fra_uploads/fra-2015-fingerprinting-focus-paper_en.pdf</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119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Kati Piri, Maria Grapini, Juan Fernando López Aguilar, Caterina Chinnici</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30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(30)</w:t>
            </w:r>
            <w:r w:rsidRPr="00565F80">
              <w:rPr>
                <w:color w:val="auto"/>
              </w:rPr>
              <w:tab/>
              <w:t>valstybės narės turėtų remtis Komisijos tarnybų darbiniu dokumentu dėl Eurodac reglamento nuostatų, susijusių su įpareigojimu paimti pirštų atspaudus, įgyvendinimo, Tarybos priimtu 2015 m. liepos 20 d.</w:t>
            </w:r>
            <w:r w:rsidRPr="00565F80">
              <w:rPr>
                <w:rStyle w:val="Sup"/>
                <w:color w:val="auto"/>
              </w:rPr>
              <w:t>34</w:t>
            </w:r>
            <w:r w:rsidRPr="00565F80">
              <w:rPr>
                <w:color w:val="auto"/>
              </w:rPr>
              <w:t xml:space="preserve">, kuriame nustatytas geriausia patirtimi grindžiamas požiūris į neteisėtai esančių trečiųjų šalių piliečių pirštų atspaudų ėmimą. Kai valstybės narės nacionalinės teisės aktais leidžiama, jei nėra kitos išeities, pirštų atspaudus imti jėga ar prievarta, taikomos priemonės turi visapusiškai derėti su ES pagrindinių teisių chartija. Trečiųjų šalių piliečiai, kurie laikomi pažeidžiamais asmenimis, ir nepilnamečiai neturėtų būti prievarta verčiami duoti pirštų atspaudus ar veido </w:t>
            </w:r>
            <w:r w:rsidRPr="00565F80">
              <w:rPr>
                <w:color w:val="auto"/>
              </w:rPr>
              <w:lastRenderedPageBreak/>
              <w:t>atvaizdą</w:t>
            </w:r>
            <w:r w:rsidRPr="00565F80">
              <w:rPr>
                <w:b/>
                <w:i/>
                <w:color w:val="auto"/>
              </w:rPr>
              <w:t>, išskyrus tinkamai pagrįstas aplinkybes, kurios yra leidžiamos pagal nacionalinę teisę</w:t>
            </w:r>
            <w:r w:rsidRPr="00565F80">
              <w:rPr>
                <w:color w:val="auto"/>
              </w:rPr>
              <w:t>;</w:t>
            </w:r>
          </w:p>
        </w:tc>
        <w:tc>
          <w:tcPr>
            <w:tcW w:w="4876" w:type="dxa"/>
          </w:tcPr>
          <w:p w:rsidR="00BF668E" w:rsidRPr="00565F80" w:rsidRDefault="00BF668E" w:rsidP="00C555DE">
            <w:pPr>
              <w:pStyle w:val="Normal6"/>
              <w:rPr>
                <w:color w:val="auto"/>
              </w:rPr>
            </w:pPr>
            <w:r w:rsidRPr="00565F80">
              <w:rPr>
                <w:color w:val="auto"/>
              </w:rPr>
              <w:lastRenderedPageBreak/>
              <w:t>(30)</w:t>
            </w:r>
            <w:r w:rsidRPr="00565F80">
              <w:rPr>
                <w:color w:val="auto"/>
              </w:rPr>
              <w:tab/>
              <w:t>valstybės narės turėtų remtis Komisijos tarnybų darbiniu dokumentu dėl Eurodac reglamento nuostatų, susijusių su įpareigojimu paimti pirštų atspaudus, įgyvendinimo, Tarybos priimtu 2015 m. liepos 20 d.</w:t>
            </w:r>
            <w:r w:rsidRPr="00565F80">
              <w:rPr>
                <w:rStyle w:val="Sup"/>
                <w:color w:val="auto"/>
              </w:rPr>
              <w:t>34</w:t>
            </w:r>
            <w:r w:rsidRPr="00565F80">
              <w:rPr>
                <w:color w:val="auto"/>
              </w:rPr>
              <w:t>, kuriame nustatytas geriausia patirtimi grindžiamas požiūris į neteisėtai esančių trečiųjų šalių piliečių pirštų atspaudų ėmimą</w:t>
            </w:r>
            <w:r w:rsidRPr="00565F80">
              <w:rPr>
                <w:b/>
                <w:i/>
                <w:color w:val="auto"/>
              </w:rPr>
              <w:t>, taip pat Europos Sąjungos pagrindinių teisių agentūros (FRA) kontroliniu sąrašu, taikomu laikantis pagrindinių teisių imant pirštų atspaudus EURODAC</w:t>
            </w:r>
            <w:r w:rsidRPr="00565F80">
              <w:rPr>
                <w:color w:val="auto"/>
              </w:rPr>
              <w:t>.</w:t>
            </w:r>
            <w:r w:rsidRPr="00565F80">
              <w:rPr>
                <w:rStyle w:val="SupBoldItalic"/>
                <w:color w:val="auto"/>
              </w:rPr>
              <w:t>34a</w:t>
            </w:r>
            <w:r w:rsidRPr="00565F80">
              <w:rPr>
                <w:color w:val="auto"/>
              </w:rPr>
              <w:t xml:space="preserve"> Kai valstybės narės nacionalinės teisės aktais leidžiama, jei nėra kitos išeities, pirštų atspaudus imti jėga ar prievarta, taikomos priemonės turi visapusiškai derėti su ES pagrindinių teisių </w:t>
            </w:r>
            <w:r w:rsidRPr="00565F80">
              <w:rPr>
                <w:color w:val="auto"/>
              </w:rPr>
              <w:lastRenderedPageBreak/>
              <w:t xml:space="preserve">chartija. Trečiųjų šalių piliečiai </w:t>
            </w:r>
            <w:r w:rsidRPr="00565F80">
              <w:rPr>
                <w:b/>
                <w:i/>
                <w:color w:val="auto"/>
              </w:rPr>
              <w:t>ir asmenys be pilietybės</w:t>
            </w:r>
            <w:r w:rsidRPr="00565F80">
              <w:rPr>
                <w:color w:val="auto"/>
              </w:rPr>
              <w:t>, kurie laikomi pažeidžiamais asmenimis, ir nepilnamečiai neturėtų būti prievarta verčiami duoti pirštų atspaudus ar veido atvaizdą;</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34</w:t>
            </w:r>
            <w:r w:rsidRPr="00565F80">
              <w:rPr>
                <w:color w:val="auto"/>
              </w:rPr>
              <w:t xml:space="preserve"> COM(2015) 150 </w:t>
            </w:r>
            <w:r w:rsidRPr="00565F80">
              <w:rPr>
                <w:i/>
                <w:color w:val="auto"/>
              </w:rPr>
              <w:t>final</w:t>
            </w:r>
            <w:r w:rsidRPr="00565F80">
              <w:rPr>
                <w:color w:val="auto"/>
              </w:rPr>
              <w:t>, 2015 5 27.</w:t>
            </w:r>
          </w:p>
        </w:tc>
        <w:tc>
          <w:tcPr>
            <w:tcW w:w="4876" w:type="dxa"/>
          </w:tcPr>
          <w:p w:rsidR="00BF668E" w:rsidRPr="00565F80" w:rsidRDefault="00BF668E" w:rsidP="00C555DE">
            <w:pPr>
              <w:pStyle w:val="Normal6"/>
              <w:rPr>
                <w:color w:val="auto"/>
              </w:rPr>
            </w:pPr>
            <w:r w:rsidRPr="00565F80">
              <w:rPr>
                <w:rStyle w:val="Sup"/>
                <w:color w:val="auto"/>
              </w:rPr>
              <w:t>34</w:t>
            </w:r>
            <w:r w:rsidRPr="00565F80">
              <w:rPr>
                <w:color w:val="auto"/>
              </w:rPr>
              <w:t xml:space="preserve"> COM(2015) 150 </w:t>
            </w:r>
            <w:r w:rsidRPr="00565F80">
              <w:rPr>
                <w:i/>
                <w:color w:val="auto"/>
              </w:rPr>
              <w:t>final</w:t>
            </w:r>
            <w:r w:rsidRPr="00565F80">
              <w:rPr>
                <w:color w:val="auto"/>
              </w:rPr>
              <w:t>, 2015 5 27.</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rStyle w:val="SupBoldItalic"/>
                <w:color w:val="auto"/>
              </w:rPr>
              <w:t>34a</w:t>
            </w:r>
            <w:r w:rsidRPr="00565F80">
              <w:rPr>
                <w:color w:val="auto"/>
              </w:rPr>
              <w:t xml:space="preserve"> </w:t>
            </w:r>
            <w:r w:rsidRPr="00565F80">
              <w:rPr>
                <w:b/>
                <w:i/>
                <w:color w:val="auto"/>
              </w:rPr>
              <w:t>FRA</w:t>
            </w:r>
            <w:r w:rsidR="005D6A70" w:rsidRPr="00565F80">
              <w:rPr>
                <w:b/>
                <w:i/>
                <w:color w:val="auto"/>
              </w:rPr>
              <w:t xml:space="preserve"> </w:t>
            </w:r>
            <w:r w:rsidRPr="00565F80">
              <w:rPr>
                <w:b/>
                <w:i/>
                <w:color w:val="auto"/>
              </w:rPr>
              <w:t>(2015 m.) „Prievolės teikti pirštų atspaudus EURODAC padariniai pagrindinėms teisėms“, 2015 10 22.</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120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30 konstatuojamoji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(30)</w:t>
            </w:r>
            <w:r w:rsidRPr="00565F80">
              <w:rPr>
                <w:color w:val="auto"/>
              </w:rPr>
              <w:tab/>
              <w:t xml:space="preserve">valstybės narės turėtų </w:t>
            </w:r>
            <w:r w:rsidRPr="00565F80">
              <w:rPr>
                <w:b/>
                <w:i/>
                <w:color w:val="auto"/>
              </w:rPr>
              <w:t>remtis</w:t>
            </w:r>
            <w:r w:rsidRPr="00565F80">
              <w:rPr>
                <w:color w:val="auto"/>
              </w:rPr>
              <w:t xml:space="preserve"> Komisijos tarnybų </w:t>
            </w:r>
            <w:r w:rsidRPr="00565F80">
              <w:rPr>
                <w:b/>
                <w:i/>
                <w:color w:val="auto"/>
              </w:rPr>
              <w:t>darbiniu dokumentu</w:t>
            </w:r>
            <w:r w:rsidRPr="00565F80">
              <w:rPr>
                <w:color w:val="auto"/>
              </w:rPr>
              <w:t xml:space="preserve"> dėl Eurodac reglamento nuostatų, susijusių su įpareigojimu paimti pirštų atspaudus, įgyvendinimo, Tarybos priimtu 2015 m. liepos 20 d.</w:t>
            </w:r>
            <w:r w:rsidRPr="00565F80">
              <w:rPr>
                <w:rStyle w:val="Sup"/>
                <w:color w:val="auto"/>
              </w:rPr>
              <w:t>34</w:t>
            </w:r>
            <w:r w:rsidRPr="00565F80">
              <w:rPr>
                <w:color w:val="auto"/>
              </w:rPr>
              <w:t>, kuriame nustatytas geriausia patirtimi grindžiamas požiūris į neteisėtai esančių trečiųjų šalių piliečių pirštų atspaudų ėmimą. Kai valstybės narės nacionalinės teisės aktais leidžiama, jei nėra kitos išeities, pirštų atspaudus imti jėga ar prievarta, taikomos priemonės turi visapusiškai derėti su ES pagrindinių teisių chartija. Trečiųjų šalių piliečiai, kurie laikomi pažeidžiamais asmenimis, ir nepilnamečiai neturėtų būti prievarta verčiami duoti pirštų atspaudus ar veido atvaizdą, išskyrus tinkamai pagrįstas aplinkybes, kurios yra leidžiamos pagal nacionalinę teisę;</w:t>
            </w:r>
          </w:p>
        </w:tc>
        <w:tc>
          <w:tcPr>
            <w:tcW w:w="4876" w:type="dxa"/>
          </w:tcPr>
          <w:p w:rsidR="00BF668E" w:rsidRPr="00565F80" w:rsidRDefault="00BF668E" w:rsidP="00C555DE">
            <w:pPr>
              <w:pStyle w:val="Normal6"/>
              <w:rPr>
                <w:color w:val="auto"/>
              </w:rPr>
            </w:pPr>
            <w:r w:rsidRPr="00565F80">
              <w:rPr>
                <w:color w:val="auto"/>
              </w:rPr>
              <w:t>(30)</w:t>
            </w:r>
            <w:r w:rsidRPr="00565F80">
              <w:rPr>
                <w:color w:val="auto"/>
              </w:rPr>
              <w:tab/>
              <w:t xml:space="preserve">valstybės narės turėtų </w:t>
            </w:r>
            <w:r w:rsidRPr="00565F80">
              <w:rPr>
                <w:b/>
                <w:i/>
                <w:color w:val="auto"/>
              </w:rPr>
              <w:t>laikytis</w:t>
            </w:r>
            <w:r w:rsidRPr="00565F80">
              <w:rPr>
                <w:color w:val="auto"/>
              </w:rPr>
              <w:t xml:space="preserve"> Komisijos tarnybų </w:t>
            </w:r>
            <w:r w:rsidRPr="00565F80">
              <w:rPr>
                <w:b/>
                <w:i/>
                <w:color w:val="auto"/>
              </w:rPr>
              <w:t>darbinio dokumento</w:t>
            </w:r>
            <w:r w:rsidRPr="00565F80">
              <w:rPr>
                <w:color w:val="auto"/>
              </w:rPr>
              <w:t xml:space="preserve"> dėl Eurodac reglamento nuostatų, susijusių su įpareigojimu paimti pirštų atspaudus, įgyvendinimo, Tarybos priimto 2015 m. liepos 20 d.</w:t>
            </w:r>
            <w:r w:rsidRPr="00565F80">
              <w:rPr>
                <w:rStyle w:val="Sup"/>
                <w:color w:val="auto"/>
              </w:rPr>
              <w:t>34</w:t>
            </w:r>
            <w:r w:rsidRPr="00565F80">
              <w:rPr>
                <w:color w:val="auto"/>
              </w:rPr>
              <w:t xml:space="preserve">, </w:t>
            </w:r>
            <w:r w:rsidRPr="00565F80">
              <w:rPr>
                <w:b/>
                <w:i/>
                <w:color w:val="auto"/>
              </w:rPr>
              <w:t>kuris pridėtas prie šio reglamento kaip priedas ir</w:t>
            </w:r>
            <w:r w:rsidRPr="00565F80">
              <w:rPr>
                <w:color w:val="auto"/>
              </w:rPr>
              <w:t xml:space="preserve"> kuriame nustatytas geriausia patirtimi grindžiamas požiūris į neteisėtai esančių trečiųjų šalių piliečių pirštų atspaudų ėmimą. Kai valstybės narės nacionalinės teisės aktais leidžiama, jei nėra kitos išeities, pirštų atspaudus imti jėga ar prievarta, taikomos priemonės turi visapusiškai derėti su ES pagrindinių teisių chartija. Trečiųjų šalių piliečiai, kurie laikomi pažeidžiamais asmenimis, ir nepilnamečiai neturėtų būti prievarta verčiami duoti pirštų atspaudus ar veido atvaizdą, išskyrus tinkamai pagrįstas aplinkybes, kurios yra leidžiamos pagal nacionalinę teisę;</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lastRenderedPageBreak/>
              <w:t>34</w:t>
            </w:r>
            <w:r w:rsidRPr="00565F80">
              <w:rPr>
                <w:color w:val="auto"/>
              </w:rPr>
              <w:t xml:space="preserve"> COM(2015) 150 </w:t>
            </w:r>
            <w:r w:rsidRPr="00565F80">
              <w:rPr>
                <w:i/>
                <w:color w:val="auto"/>
              </w:rPr>
              <w:t>final</w:t>
            </w:r>
            <w:r w:rsidRPr="00565F80">
              <w:rPr>
                <w:color w:val="auto"/>
              </w:rPr>
              <w:t>, 2015 5 27.</w:t>
            </w:r>
          </w:p>
        </w:tc>
        <w:tc>
          <w:tcPr>
            <w:tcW w:w="4876" w:type="dxa"/>
          </w:tcPr>
          <w:p w:rsidR="00BF668E" w:rsidRPr="00565F80" w:rsidRDefault="00BF668E" w:rsidP="00C555DE">
            <w:pPr>
              <w:pStyle w:val="Normal6"/>
              <w:rPr>
                <w:color w:val="auto"/>
              </w:rPr>
            </w:pPr>
            <w:r w:rsidRPr="00565F80">
              <w:rPr>
                <w:rStyle w:val="Sup"/>
                <w:color w:val="auto"/>
              </w:rPr>
              <w:t>34</w:t>
            </w:r>
            <w:r w:rsidRPr="00565F80">
              <w:rPr>
                <w:color w:val="auto"/>
              </w:rPr>
              <w:t xml:space="preserve"> COM(2015) 150 </w:t>
            </w:r>
            <w:r w:rsidRPr="00565F80">
              <w:rPr>
                <w:i/>
                <w:color w:val="auto"/>
              </w:rPr>
              <w:t>final</w:t>
            </w:r>
            <w:r w:rsidRPr="00565F80">
              <w:rPr>
                <w:color w:val="auto"/>
              </w:rPr>
              <w:t>, 2015 5 27.</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 xml:space="preserve">Išdėstymas nauja redakcija. Tyrimo rezultatai rodo, kad kai kuriose valstybėse narėse leidžiama sulaikyti asmenis siekiant užtikrinti, kad būtų paimti migrantų pirštų atspaudai, kai kuriose valstybėse narėse leidžiama naudoti tam tikro lygio prievartą, o kitose valstybėse narėse </w:t>
      </w:r>
      <w:r w:rsidR="005D6A70" w:rsidRPr="00565F80">
        <w:rPr>
          <w:color w:val="auto"/>
          <w:lang w:val="lt-LT"/>
        </w:rPr>
        <w:t>netaikomas</w:t>
      </w:r>
      <w:r w:rsidRPr="00565F80">
        <w:rPr>
          <w:color w:val="auto"/>
          <w:lang w:val="lt-LT"/>
        </w:rPr>
        <w:t xml:space="preserve"> nei sulaikymas, nei prievarta. Todėl reikia suderinti taikomus veiksmus siekiant užtikrinti, kad būtų laikomasi įsipareigojimų pagal Eurodac reglamentą visur vienodomis sąlygomis. Bendras Komisijos požiūris, išdėstytas Komisijos tarnybų darbo dokumente SWD(2015) 150 final.</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121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30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(30)</w:t>
            </w:r>
            <w:r w:rsidRPr="00565F80">
              <w:rPr>
                <w:color w:val="auto"/>
              </w:rPr>
              <w:tab/>
              <w:t>valstybės narės turėtų remtis Komisijos tarnybų darbiniu dokumentu dėl Eurodac reglamento nuostatų, susijusių su įpareigojimu paimti pirštų atspaudus, įgyvendinimo, Tarybos priimtu 2015 m. liepos 20 d.</w:t>
            </w:r>
            <w:r w:rsidRPr="00565F80">
              <w:rPr>
                <w:rStyle w:val="Sup"/>
                <w:color w:val="auto"/>
              </w:rPr>
              <w:t>34</w:t>
            </w:r>
            <w:r w:rsidRPr="00565F80">
              <w:rPr>
                <w:color w:val="auto"/>
              </w:rPr>
              <w:t>, kuriame nustatytas geriausia patirtimi grindžiamas požiūris į neteisėtai esančių trečiųjų šalių piliečių pirštų atspaudų ėmimą. Kai valstybės narės nacionalinės teisės aktais leidžiama, jei nėra kitos išeities, pirštų atspaudus imti jėga ar prievarta, taikomos priemonės turi visapusiškai derėti su ES pagrindinių teisių chartija. Trečiųjų šalių piliečiai, kurie laikomi pažeidžiamais asmenimis, ir nepilnamečiai neturėtų būti prievarta verčiami duoti pirštų atspaudus ar veido atvaizdą, išskyrus tinkamai pagrįstas aplinkybes, kurios yra leidžiamos pagal nacionalinę teisę;</w:t>
            </w:r>
          </w:p>
        </w:tc>
        <w:tc>
          <w:tcPr>
            <w:tcW w:w="4876" w:type="dxa"/>
          </w:tcPr>
          <w:p w:rsidR="00BF668E" w:rsidRPr="00565F80" w:rsidRDefault="00BF668E" w:rsidP="00C555DE">
            <w:pPr>
              <w:pStyle w:val="Normal6"/>
              <w:rPr>
                <w:color w:val="auto"/>
              </w:rPr>
            </w:pPr>
            <w:r w:rsidRPr="00565F80">
              <w:rPr>
                <w:color w:val="auto"/>
              </w:rPr>
              <w:t>(30)</w:t>
            </w:r>
            <w:r w:rsidRPr="00565F80">
              <w:rPr>
                <w:color w:val="auto"/>
              </w:rPr>
              <w:tab/>
            </w:r>
            <w:r w:rsidRPr="00565F80">
              <w:rPr>
                <w:b/>
                <w:i/>
                <w:color w:val="auto"/>
              </w:rPr>
              <w:t xml:space="preserve">gerai veikiančioje bendroje Europos prieglobsčio sistemoje labai svarbu pasiekti 100 % registracijos normą, susijusią su tarptautinės apsaugos prašymais, kuriuos vienoje iš valstybių narių teikia trečiosios šalies pilietis arba asmuo be pilietybės, trečiųjų šalių piliečiai, sulaikyti dėl neteisėto Sąjungos išorės sienų kirtimo, ir trečiųjų šalių piliečiai arba asmenys be pilietybės, kurie buvo aptikti neteisėtai esantys jos teritorijoje. Kad pasiektų šią registracijos normą, </w:t>
            </w:r>
            <w:r w:rsidRPr="00565F80">
              <w:rPr>
                <w:color w:val="auto"/>
              </w:rPr>
              <w:t>valstybės narės turėtų remtis Komisijos tarnybų darbiniu dokumentu dėl Eurodac reglamento nuostatų, susijusių su įpareigojimu paimti pirštų atspaudus, įgyvendinimo, Tarybos priimtu 2015 m. liepos 20 d.</w:t>
            </w:r>
            <w:r w:rsidRPr="00565F80">
              <w:rPr>
                <w:rStyle w:val="Sup"/>
                <w:color w:val="auto"/>
              </w:rPr>
              <w:t>34</w:t>
            </w:r>
            <w:r w:rsidRPr="00565F80">
              <w:rPr>
                <w:color w:val="auto"/>
              </w:rPr>
              <w:t xml:space="preserve">, kuriame nustatytas geriausia patirtimi grindžiamas požiūris į neteisėtai esančių trečiųjų šalių piliečių </w:t>
            </w:r>
            <w:r w:rsidRPr="00565F80">
              <w:rPr>
                <w:b/>
                <w:i/>
                <w:color w:val="auto"/>
              </w:rPr>
              <w:t xml:space="preserve">arba asmenų be pilietybės </w:t>
            </w:r>
            <w:r w:rsidRPr="00565F80">
              <w:rPr>
                <w:color w:val="auto"/>
              </w:rPr>
              <w:t xml:space="preserve">pirštų atspaudų ėmimą. Kai valstybės narės nacionalinės teisės aktais leidžiama, jei nėra kitos išeities, pirštų atspaudus imti jėga ar prievarta, taikomos </w:t>
            </w:r>
            <w:r w:rsidRPr="00565F80">
              <w:rPr>
                <w:color w:val="auto"/>
              </w:rPr>
              <w:lastRenderedPageBreak/>
              <w:t xml:space="preserve">priemonės turi visapusiškai derėti su ES pagrindinių teisių chartija. Trečiųjų šalių piliečiai </w:t>
            </w:r>
            <w:r w:rsidRPr="00565F80">
              <w:rPr>
                <w:b/>
                <w:i/>
                <w:color w:val="auto"/>
              </w:rPr>
              <w:t>arba asmenys be pilietybės</w:t>
            </w:r>
            <w:r w:rsidRPr="00565F80">
              <w:rPr>
                <w:color w:val="auto"/>
              </w:rPr>
              <w:t>, kurie laikomi pažeidžiamais asmenimis, ir nepilnamečiai neturėtų būti prievarta verčiami duoti pirštų atspaudus ar veido atvaizdą, išskyrus tinkamai pagrįstas aplinkybes, kurios yra leidžiamos pagal nacionalinę teisę;</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34</w:t>
            </w:r>
            <w:r w:rsidRPr="00565F80">
              <w:rPr>
                <w:color w:val="auto"/>
              </w:rPr>
              <w:t xml:space="preserve"> COM(2015) 150 </w:t>
            </w:r>
            <w:r w:rsidRPr="00565F80">
              <w:rPr>
                <w:i/>
                <w:color w:val="auto"/>
              </w:rPr>
              <w:t>final</w:t>
            </w:r>
            <w:r w:rsidRPr="00565F80">
              <w:rPr>
                <w:color w:val="auto"/>
              </w:rPr>
              <w:t>, 2015 5 27.</w:t>
            </w:r>
          </w:p>
        </w:tc>
        <w:tc>
          <w:tcPr>
            <w:tcW w:w="4876" w:type="dxa"/>
          </w:tcPr>
          <w:p w:rsidR="00BF668E" w:rsidRPr="00565F80" w:rsidRDefault="00BF668E" w:rsidP="00C555DE">
            <w:pPr>
              <w:pStyle w:val="Normal6"/>
              <w:rPr>
                <w:color w:val="auto"/>
              </w:rPr>
            </w:pPr>
            <w:r w:rsidRPr="00565F80">
              <w:rPr>
                <w:rStyle w:val="Sup"/>
                <w:color w:val="auto"/>
              </w:rPr>
              <w:t>34</w:t>
            </w:r>
            <w:r w:rsidRPr="00565F80">
              <w:rPr>
                <w:color w:val="auto"/>
              </w:rPr>
              <w:t xml:space="preserve"> COM(2015) 150 </w:t>
            </w:r>
            <w:r w:rsidRPr="00565F80">
              <w:rPr>
                <w:i/>
                <w:color w:val="auto"/>
              </w:rPr>
              <w:t>final</w:t>
            </w:r>
            <w:r w:rsidRPr="00565F80">
              <w:rPr>
                <w:color w:val="auto"/>
              </w:rPr>
              <w:t>, 2015 5 27.</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122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Sophia in 't Veld</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31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(31)</w:t>
            </w:r>
            <w:r w:rsidRPr="00565F80">
              <w:rPr>
                <w:color w:val="auto"/>
              </w:rPr>
              <w:tab/>
              <w:t>sistemoje EURODAC gautas atitiktis turėtų tikrinti kvalifikuoti daktiloskopijos ekspertai, kad pagal Reglamentą (ES) Nr. [.../...] būtų galima tiksliai nustatyti kompetenciją ir tiksliai identifikuoti trečiosios šalies pilietį arba asmenį be pilietybės bei nusikaltimu įtariamą asmenį ar nusikaltimo auką, kurių duomenys galėtų būti saugomi sistemoje EURODAC</w:t>
            </w:r>
            <w:r w:rsidRPr="00565F80">
              <w:rPr>
                <w:b/>
                <w:i/>
                <w:color w:val="auto"/>
              </w:rPr>
              <w:t>.</w:t>
            </w:r>
            <w:r w:rsidRPr="00565F80">
              <w:rPr>
                <w:color w:val="auto"/>
              </w:rPr>
              <w:t xml:space="preserve"> </w:t>
            </w:r>
            <w:r w:rsidRPr="00565F80">
              <w:rPr>
                <w:b/>
                <w:i/>
                <w:color w:val="auto"/>
              </w:rPr>
              <w:t>Sistemoje EURODAC gautas veido atvaizdo atitiktis taip pat reikėtų tikrinti, jei kyla abejonių, kad rezultatai yra susiję su tuo pačiu asmeniu;</w:t>
            </w:r>
          </w:p>
        </w:tc>
        <w:tc>
          <w:tcPr>
            <w:tcW w:w="4876" w:type="dxa"/>
          </w:tcPr>
          <w:p w:rsidR="00BF668E" w:rsidRPr="00565F80" w:rsidRDefault="00BF668E" w:rsidP="00C555DE">
            <w:pPr>
              <w:pStyle w:val="Normal6"/>
              <w:rPr>
                <w:color w:val="auto"/>
              </w:rPr>
            </w:pPr>
            <w:r w:rsidRPr="00565F80">
              <w:rPr>
                <w:color w:val="auto"/>
              </w:rPr>
              <w:t>(31)</w:t>
            </w:r>
            <w:r w:rsidRPr="00565F80">
              <w:rPr>
                <w:color w:val="auto"/>
              </w:rPr>
              <w:tab/>
              <w:t xml:space="preserve">sistemoje EURODAC gautas atitiktis turėtų tikrinti kvalifikuoti daktiloskopijos </w:t>
            </w:r>
            <w:r w:rsidRPr="00565F80">
              <w:rPr>
                <w:b/>
                <w:i/>
                <w:color w:val="auto"/>
              </w:rPr>
              <w:t xml:space="preserve">ir tapatybės nustatymo pagal veido atvaizdą </w:t>
            </w:r>
            <w:r w:rsidRPr="00565F80">
              <w:rPr>
                <w:color w:val="auto"/>
              </w:rPr>
              <w:t>ekspertai, kad pagal Reglamentą (ES) Nr. [.../...] būtų galima tiksliai nustatyti kompetenciją ir tiksliai identifikuoti trečiosios šalies pilietį arba asmenį be pilietybės bei nusikaltimu įtariamą asmenį ar nusikaltimo auką, kurių duomenys galėtų būti saugomi sistemoje EURODAC</w:t>
            </w:r>
            <w:r w:rsidRPr="00565F80">
              <w:rPr>
                <w:b/>
                <w:i/>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Pagal Darbo tvarkos taisyk</w:t>
      </w:r>
      <w:r w:rsidR="00412D9A" w:rsidRPr="00565F80">
        <w:rPr>
          <w:color w:val="auto"/>
          <w:lang w:val="lt-LT"/>
        </w:rPr>
        <w:t>lių 104 straipsnį</w:t>
      </w:r>
      <w:r w:rsidRPr="00565F80">
        <w:rPr>
          <w:color w:val="auto"/>
          <w:lang w:val="lt-LT"/>
        </w:rPr>
        <w:t xml:space="preserve"> šis pakeitimas yra būtinas, nes jis yra neatskiriamai susijęs su kitais priimtinais pakeitimais, susijusiais su EURODAC tikslais (1 straipsnis), įvedant su tapatybės nustatymu susijusias apsaugos priemones.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lastRenderedPageBreak/>
        <w:t>&lt;Amend&gt;</w:t>
      </w:r>
      <w:r w:rsidRPr="00565F80">
        <w:rPr>
          <w:color w:val="auto"/>
        </w:rPr>
        <w:t xml:space="preserve">Pakeitimas </w:t>
      </w:r>
      <w:r w:rsidRPr="00565F80">
        <w:rPr>
          <w:rStyle w:val="HideTWBExt"/>
          <w:color w:val="auto"/>
        </w:rPr>
        <w:t>&lt;NumAm&gt;</w:t>
      </w:r>
      <w:r w:rsidRPr="00565F80">
        <w:rPr>
          <w:color w:val="auto"/>
        </w:rPr>
        <w:t>123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32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(32)</w:t>
            </w:r>
            <w:r w:rsidRPr="00565F80">
              <w:rPr>
                <w:color w:val="auto"/>
              </w:rPr>
              <w:tab/>
            </w:r>
            <w:r w:rsidRPr="00565F80">
              <w:rPr>
                <w:b/>
                <w:i/>
                <w:color w:val="auto"/>
              </w:rPr>
              <w:t>trečiųjų šalių piliečiai arba asmenys be pilietybės, pateikę prašymus suteikti tarptautinę apsaugą vienoje valstybėje narėje, gali bandyti daugelį metų kreiptis dėl tarptautinės apsaugos kitoje valstybėje narėje. Dėl to</w:t>
            </w:r>
            <w:r w:rsidRPr="00565F80">
              <w:rPr>
                <w:color w:val="auto"/>
              </w:rPr>
              <w:t xml:space="preserve"> maksimalus laikotarpis, per kurį pirštų atspaudai ir veido atvaizdo duomenys turėtų būti saugomi centrinėje sistemoje, turėtų būti gana ilgas. Atsižvelgiant į tai, kad dauguma trečiųjų šalių piliečių arba asmenų be pilietybės, keletą metų buvusių Sąjungoje, per tą laiką bus įgiję valstybės narės nuolatinio gyventojo arba netgi piliečio statusą, dešimties metų laikotarpis turėtų būti laikomas protingu laikotarpiu pirštų atspaudų ir veido atvaizdo duomenims saugoti;</w:t>
            </w:r>
          </w:p>
        </w:tc>
        <w:tc>
          <w:tcPr>
            <w:tcW w:w="4876" w:type="dxa"/>
          </w:tcPr>
          <w:p w:rsidR="00BF668E" w:rsidRPr="00565F80" w:rsidRDefault="00BF668E" w:rsidP="00C555DE">
            <w:pPr>
              <w:pStyle w:val="Normal6"/>
              <w:rPr>
                <w:color w:val="auto"/>
              </w:rPr>
            </w:pPr>
            <w:r w:rsidRPr="00565F80">
              <w:rPr>
                <w:color w:val="auto"/>
              </w:rPr>
              <w:t>(32)</w:t>
            </w:r>
            <w:r w:rsidRPr="00565F80">
              <w:rPr>
                <w:color w:val="auto"/>
              </w:rPr>
              <w:tab/>
            </w:r>
            <w:r w:rsidRPr="00565F80">
              <w:rPr>
                <w:b/>
                <w:i/>
                <w:color w:val="auto"/>
              </w:rPr>
              <w:t>siekiant veiksmingai padėti vykdyti neteisėtos imigracijos kontrolę ir nustatyti neteisėtai esančių trečiųjų šalių piliečių arba asmenų be pilietybės tapatybę,</w:t>
            </w:r>
            <w:r w:rsidRPr="00565F80">
              <w:rPr>
                <w:color w:val="auto"/>
              </w:rPr>
              <w:t xml:space="preserve"> maksimalus laikotarpis, per kurį pirštų atspaudai ir veido atvaizdo duomenys turėtų būti saugomi centrinėje sistemoje, turėtų būti gana ilgas</w:t>
            </w:r>
            <w:r w:rsidRPr="00565F80">
              <w:rPr>
                <w:b/>
                <w:i/>
                <w:color w:val="auto"/>
              </w:rPr>
              <w:t>, siekiant atgrasyti trečiųjų šalių piliečius arba asmenis be pilietybės, pateikusius prašymus suteikti tarptautinę apsaugą vienoje valstybėje narėje, nuo bandymo kreiptis dėl tarptautinės apsaugos kitoje valstybėje narėje</w:t>
            </w:r>
            <w:r w:rsidRPr="00565F80">
              <w:rPr>
                <w:color w:val="auto"/>
              </w:rPr>
              <w:t>. Atsižvelgiant į tai, kad dauguma trečiųjų šalių piliečių arba asmenų be pilietybės, keletą metų buvusių Sąjungoje, per tą laiką bus įgiję valstybės narės nuolatinio gyventojo arba netgi piliečio statusą, dešimties metų laikotarpis turėtų būti laikomas protingu laikotarpiu pirštų atspaudų ir veido atvaizdo duomenims saugoti;</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Siekiant aiškumo, šiuo pakeitimu šiek tiek patikslinamas paaiškinimas, kodėl duomenys turėtų būti saugomi dešimt metų.</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124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Sophia in 't Veld</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32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(32)</w:t>
            </w:r>
            <w:r w:rsidRPr="00565F80">
              <w:rPr>
                <w:color w:val="auto"/>
              </w:rPr>
              <w:tab/>
              <w:t xml:space="preserve">trečiųjų šalių </w:t>
            </w:r>
            <w:r w:rsidRPr="00565F80">
              <w:rPr>
                <w:b/>
                <w:i/>
                <w:color w:val="auto"/>
              </w:rPr>
              <w:t>piliečiai</w:t>
            </w:r>
            <w:r w:rsidRPr="00565F80">
              <w:rPr>
                <w:color w:val="auto"/>
              </w:rPr>
              <w:t xml:space="preserve"> arba </w:t>
            </w:r>
            <w:r w:rsidRPr="00565F80">
              <w:rPr>
                <w:b/>
                <w:i/>
                <w:color w:val="auto"/>
              </w:rPr>
              <w:t>asmenys</w:t>
            </w:r>
            <w:r w:rsidRPr="00565F80">
              <w:rPr>
                <w:color w:val="auto"/>
              </w:rPr>
              <w:t xml:space="preserve"> be pilietybės, </w:t>
            </w:r>
            <w:r w:rsidRPr="00565F80">
              <w:rPr>
                <w:b/>
                <w:i/>
                <w:color w:val="auto"/>
              </w:rPr>
              <w:t>pateikę</w:t>
            </w:r>
            <w:r w:rsidRPr="00565F80">
              <w:rPr>
                <w:color w:val="auto"/>
              </w:rPr>
              <w:t xml:space="preserve"> prašymus suteikti tarptautinę apsaugą </w:t>
            </w:r>
            <w:r w:rsidRPr="00565F80">
              <w:rPr>
                <w:b/>
                <w:i/>
                <w:color w:val="auto"/>
              </w:rPr>
              <w:t>vienoje valstybėje narėje</w:t>
            </w:r>
            <w:r w:rsidRPr="00565F80">
              <w:rPr>
                <w:color w:val="auto"/>
              </w:rPr>
              <w:t>,</w:t>
            </w:r>
            <w:r w:rsidRPr="00565F80">
              <w:rPr>
                <w:b/>
                <w:i/>
                <w:color w:val="auto"/>
              </w:rPr>
              <w:t xml:space="preserve"> gali bandyti daugelį metų kreiptis dėl tarptautinės apsaugos kitoje valstybėje narėje. Dėl to maksimalus laikotarpis, per kurį pirštų atspaudai ir veido atvaizdo duomenys </w:t>
            </w:r>
            <w:r w:rsidRPr="00565F80">
              <w:rPr>
                <w:color w:val="auto"/>
              </w:rPr>
              <w:t xml:space="preserve">turėtų būti saugomi centrinėje sistemoje, turėtų </w:t>
            </w:r>
            <w:r w:rsidRPr="00565F80">
              <w:rPr>
                <w:b/>
                <w:i/>
                <w:color w:val="auto"/>
              </w:rPr>
              <w:t>būti gana ilgas</w:t>
            </w:r>
            <w:r w:rsidRPr="00565F80">
              <w:rPr>
                <w:color w:val="auto"/>
              </w:rPr>
              <w:t xml:space="preserve">. Atsižvelgiant į tai, kad dauguma trečiųjų šalių piliečių arba asmenų be pilietybės, keletą metų buvusių Sąjungoje, per tą laiką bus įgiję valstybės narės nuolatinio gyventojo arba netgi piliečio statusą, </w:t>
            </w:r>
            <w:r w:rsidRPr="00565F80">
              <w:rPr>
                <w:b/>
                <w:i/>
                <w:color w:val="auto"/>
              </w:rPr>
              <w:t>dešimties</w:t>
            </w:r>
            <w:r w:rsidRPr="00565F80">
              <w:rPr>
                <w:color w:val="auto"/>
              </w:rPr>
              <w:t xml:space="preserve"> metų laikotarpis turėtų būti laikomas protingu laikotarpiu pirštų atspaudų ir veido atvaizdo duomenims saugoti;</w:t>
            </w:r>
          </w:p>
        </w:tc>
        <w:tc>
          <w:tcPr>
            <w:tcW w:w="4876" w:type="dxa"/>
          </w:tcPr>
          <w:p w:rsidR="00BF668E" w:rsidRPr="00565F80" w:rsidRDefault="00BF668E" w:rsidP="00C555DE">
            <w:pPr>
              <w:pStyle w:val="Normal6"/>
              <w:rPr>
                <w:color w:val="auto"/>
              </w:rPr>
            </w:pPr>
            <w:r w:rsidRPr="00565F80">
              <w:rPr>
                <w:color w:val="auto"/>
              </w:rPr>
              <w:t>(32)</w:t>
            </w:r>
            <w:r w:rsidRPr="00565F80">
              <w:rPr>
                <w:color w:val="auto"/>
              </w:rPr>
              <w:tab/>
            </w:r>
            <w:r w:rsidRPr="00565F80">
              <w:rPr>
                <w:b/>
                <w:i/>
                <w:color w:val="auto"/>
              </w:rPr>
              <w:t>maksimalus laikotarpis, per kurį</w:t>
            </w:r>
            <w:r w:rsidRPr="00565F80">
              <w:rPr>
                <w:i/>
                <w:color w:val="auto"/>
              </w:rPr>
              <w:t xml:space="preserve"> </w:t>
            </w:r>
            <w:r w:rsidRPr="00565F80">
              <w:rPr>
                <w:color w:val="auto"/>
              </w:rPr>
              <w:t xml:space="preserve">trečiųjų šalių </w:t>
            </w:r>
            <w:r w:rsidRPr="00565F80">
              <w:rPr>
                <w:b/>
                <w:i/>
                <w:color w:val="auto"/>
              </w:rPr>
              <w:t>piliečių</w:t>
            </w:r>
            <w:r w:rsidRPr="00565F80">
              <w:rPr>
                <w:color w:val="auto"/>
              </w:rPr>
              <w:t xml:space="preserve"> arba </w:t>
            </w:r>
            <w:r w:rsidRPr="00565F80">
              <w:rPr>
                <w:b/>
                <w:i/>
                <w:color w:val="auto"/>
              </w:rPr>
              <w:t>asmenų</w:t>
            </w:r>
            <w:r w:rsidRPr="00565F80">
              <w:rPr>
                <w:color w:val="auto"/>
              </w:rPr>
              <w:t xml:space="preserve"> be pilietybės, </w:t>
            </w:r>
            <w:r w:rsidRPr="00565F80">
              <w:rPr>
                <w:b/>
                <w:i/>
                <w:color w:val="auto"/>
              </w:rPr>
              <w:t>pateikusių</w:t>
            </w:r>
            <w:r w:rsidRPr="00565F80">
              <w:rPr>
                <w:color w:val="auto"/>
              </w:rPr>
              <w:t xml:space="preserve"> prašymus suteikti tarptautinę apsaugą, turėtų būti saugomi centrinėje sistemoje, turėtų </w:t>
            </w:r>
            <w:r w:rsidRPr="00565F80">
              <w:rPr>
                <w:b/>
                <w:i/>
                <w:color w:val="auto"/>
              </w:rPr>
              <w:t>griežtai apsiriboti tuo, kas yra būtina ir proporcinga, laikantis proporcingumo principo, kuris įtvirtintas Chartijos 52 straipsnio 1 dalyje ir kaip išaiškinta pagal ESTT praktiką</w:t>
            </w:r>
            <w:r w:rsidRPr="00565F80">
              <w:rPr>
                <w:color w:val="auto"/>
              </w:rPr>
              <w:t xml:space="preserve">. Atsižvelgiant į tai, kad dauguma trečiųjų šalių piliečių arba asmenų be pilietybės, keletą metų buvusių Sąjungoje, per tą laiką bus įgiję valstybės narės nuolatinio gyventojo arba netgi piliečio statusą, </w:t>
            </w:r>
            <w:r w:rsidRPr="00565F80">
              <w:rPr>
                <w:b/>
                <w:i/>
                <w:color w:val="auto"/>
              </w:rPr>
              <w:t>penkerių</w:t>
            </w:r>
            <w:r w:rsidRPr="00565F80">
              <w:rPr>
                <w:color w:val="auto"/>
              </w:rPr>
              <w:t xml:space="preserve"> metų laikotarpis turėtų būti laikomas protingu laikotarpiu pirštų atspaudų ir veido atvaizdo duomenims saugoti;</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 xml:space="preserve">Pagal Darbo </w:t>
      </w:r>
      <w:r w:rsidR="003C6DCD" w:rsidRPr="00565F80">
        <w:rPr>
          <w:color w:val="auto"/>
          <w:lang w:val="lt-LT"/>
        </w:rPr>
        <w:t>tvarkos taisyklių 104 straipsnį</w:t>
      </w:r>
      <w:r w:rsidRPr="00565F80">
        <w:rPr>
          <w:color w:val="auto"/>
          <w:lang w:val="lt-LT"/>
        </w:rPr>
        <w:t xml:space="preserve"> šis pakeitimas yra būtinas, nes jis yra neatskiriamai susijęs su kitais priimtinais pakeitimais, susijusiais su EURODAC tikslais (1 straipsnis), įvedant nuorodas į būtinumo ir proporcingumo principų laikymąsi pagal Chartijos 52 straipsnio 1 dalį ir atitinkamą ESTT praktiką.</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125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Monika Hohlmeier, Heinz K. Becker, Rachida Dati, Brice Hortefeux, Mariya Gabriel, Artis Pabriks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32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(32)</w:t>
            </w:r>
            <w:r w:rsidRPr="00565F80">
              <w:rPr>
                <w:color w:val="auto"/>
              </w:rPr>
              <w:tab/>
              <w:t xml:space="preserve">trečiųjų šalių piliečiai arba asmenys be pilietybės, pateikę prašymus suteikti tarptautinę apsaugą vienoje valstybėje narėje, gali bandyti daugelį metų kreiptis dėl tarptautinės apsaugos kitoje valstybėje narėje. Dėl to maksimalus laikotarpis, per kurį </w:t>
            </w:r>
            <w:r w:rsidRPr="00565F80">
              <w:rPr>
                <w:b/>
                <w:i/>
                <w:color w:val="auto"/>
              </w:rPr>
              <w:t xml:space="preserve">pirštų atspaudai </w:t>
            </w:r>
            <w:r w:rsidRPr="00565F80">
              <w:rPr>
                <w:color w:val="auto"/>
              </w:rPr>
              <w:t xml:space="preserve">ir </w:t>
            </w:r>
            <w:r w:rsidRPr="00565F80">
              <w:rPr>
                <w:b/>
                <w:i/>
                <w:color w:val="auto"/>
              </w:rPr>
              <w:t>veido atvaizdo</w:t>
            </w:r>
            <w:r w:rsidRPr="00565F80">
              <w:rPr>
                <w:color w:val="auto"/>
              </w:rPr>
              <w:t xml:space="preserve"> duomenys turėtų būti saugomi centrinėje sistemoje, turėtų būti gana ilgas. </w:t>
            </w:r>
            <w:r w:rsidRPr="00565F80">
              <w:rPr>
                <w:color w:val="auto"/>
              </w:rPr>
              <w:lastRenderedPageBreak/>
              <w:t xml:space="preserve">Atsižvelgiant į tai, kad dauguma trečiųjų šalių piliečių arba asmenų be pilietybės, keletą metų buvusių Sąjungoje, per tą laiką bus įgiję valstybės narės nuolatinio gyventojo arba netgi piliečio statusą, dešimties metų laikotarpis turėtų būti laikomas protingu laikotarpiu </w:t>
            </w:r>
            <w:r w:rsidRPr="00565F80">
              <w:rPr>
                <w:b/>
                <w:i/>
                <w:color w:val="auto"/>
              </w:rPr>
              <w:t xml:space="preserve">pirštų atspaudų </w:t>
            </w:r>
            <w:r w:rsidRPr="00565F80">
              <w:rPr>
                <w:color w:val="auto"/>
              </w:rPr>
              <w:t xml:space="preserve">ir </w:t>
            </w:r>
            <w:r w:rsidRPr="00565F80">
              <w:rPr>
                <w:b/>
                <w:i/>
                <w:color w:val="auto"/>
              </w:rPr>
              <w:t>veido atvaizdo</w:t>
            </w:r>
            <w:r w:rsidRPr="00565F80">
              <w:rPr>
                <w:color w:val="auto"/>
              </w:rPr>
              <w:t xml:space="preserve"> duomenims saugoti;</w:t>
            </w:r>
          </w:p>
        </w:tc>
        <w:tc>
          <w:tcPr>
            <w:tcW w:w="4876" w:type="dxa"/>
          </w:tcPr>
          <w:p w:rsidR="00BF668E" w:rsidRPr="00565F80" w:rsidRDefault="00BF668E" w:rsidP="00C555DE">
            <w:pPr>
              <w:pStyle w:val="Normal6"/>
              <w:rPr>
                <w:color w:val="auto"/>
              </w:rPr>
            </w:pPr>
            <w:r w:rsidRPr="00565F80">
              <w:rPr>
                <w:color w:val="auto"/>
              </w:rPr>
              <w:lastRenderedPageBreak/>
              <w:t>(32)</w:t>
            </w:r>
            <w:r w:rsidRPr="00565F80">
              <w:rPr>
                <w:color w:val="auto"/>
              </w:rPr>
              <w:tab/>
              <w:t xml:space="preserve">trečiųjų šalių piliečiai arba asmenys be pilietybės, pateikę prašymus suteikti tarptautinę apsaugą vienoje valstybėje narėje, gali bandyti daugelį metų kreiptis dėl tarptautinės apsaugos kitoje valstybėje narėje. Dėl to maksimalus laikotarpis, per kurį </w:t>
            </w:r>
            <w:r w:rsidRPr="00565F80">
              <w:rPr>
                <w:b/>
                <w:i/>
                <w:color w:val="auto"/>
              </w:rPr>
              <w:t xml:space="preserve">biometriniai </w:t>
            </w:r>
            <w:r w:rsidRPr="00565F80">
              <w:rPr>
                <w:color w:val="auto"/>
              </w:rPr>
              <w:t xml:space="preserve">ir </w:t>
            </w:r>
            <w:r w:rsidRPr="00565F80">
              <w:rPr>
                <w:b/>
                <w:i/>
                <w:color w:val="auto"/>
              </w:rPr>
              <w:t>raidiniai skaitmeniniai</w:t>
            </w:r>
            <w:r w:rsidRPr="00565F80">
              <w:rPr>
                <w:color w:val="auto"/>
              </w:rPr>
              <w:t xml:space="preserve"> duomenys turėtų būti saugomi centrinėje sistemoje, turėtų būti gana ilgas. </w:t>
            </w:r>
            <w:r w:rsidRPr="00565F80">
              <w:rPr>
                <w:color w:val="auto"/>
              </w:rPr>
              <w:lastRenderedPageBreak/>
              <w:t xml:space="preserve">Atsižvelgiant į tai, kad dauguma trečiųjų šalių piliečių arba asmenų be pilietybės, keletą metų buvusių Sąjungoje, per tą laiką bus įgiję valstybės narės nuolatinio gyventojo arba netgi piliečio statusą, dešimties metų laikotarpis turėtų būti laikomas protingu laikotarpiu </w:t>
            </w:r>
            <w:r w:rsidRPr="00565F80">
              <w:rPr>
                <w:b/>
                <w:i/>
                <w:color w:val="auto"/>
              </w:rPr>
              <w:t>biometriniams</w:t>
            </w:r>
            <w:r w:rsidRPr="00565F80">
              <w:rPr>
                <w:color w:val="auto"/>
              </w:rPr>
              <w:t xml:space="preserve"> ir </w:t>
            </w:r>
            <w:r w:rsidRPr="00565F80">
              <w:rPr>
                <w:b/>
                <w:i/>
                <w:color w:val="auto"/>
              </w:rPr>
              <w:t>raidiniams skaitmeniniams</w:t>
            </w:r>
            <w:r w:rsidRPr="00565F80">
              <w:rPr>
                <w:color w:val="auto"/>
              </w:rPr>
              <w:t xml:space="preserve"> duomenims saugoti;</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Nacionalinės teisėsaugos institucijos ir Europolas negali prašyti palyginimo su konkrečiais raidiniais skaitmeniniais duomenimis; kai kuriais atvejais nacionalinės teisėsaugos institucijos neturi pirštų atspaudų, bet turi raidinius skaitmeninius duomenis.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126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32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(32)</w:t>
            </w:r>
            <w:r w:rsidRPr="00565F80">
              <w:rPr>
                <w:color w:val="auto"/>
              </w:rPr>
              <w:tab/>
              <w:t xml:space="preserve">trečiųjų šalių piliečiai arba asmenys be pilietybės, pateikę prašymus suteikti tarptautinę apsaugą vienoje valstybėje narėje, gali </w:t>
            </w:r>
            <w:r w:rsidRPr="00565F80">
              <w:rPr>
                <w:b/>
                <w:i/>
                <w:color w:val="auto"/>
              </w:rPr>
              <w:t>bandyti</w:t>
            </w:r>
            <w:r w:rsidRPr="00565F80">
              <w:rPr>
                <w:color w:val="auto"/>
              </w:rPr>
              <w:t xml:space="preserve"> daugelį metų kreiptis dėl tarptautinės apsaugos kitoje valstybėje narėje. Dėl to maksimalus laikotarpis, per kurį pirštų atspaudai ir veido atvaizdo duomenys turėtų būti saugomi centrinėje sistemoje, turėtų būti gana ilgas. Atsižvelgiant į tai, kad dauguma trečiųjų šalių piliečių arba asmenų be pilietybės, keletą metų buvusių Sąjungoje, per tą laiką bus įgiję valstybės narės nuolatinio gyventojo arba netgi piliečio statusą, dešimties metų laikotarpis turėtų būti laikomas protingu laikotarpiu pirštų atspaudų </w:t>
            </w:r>
            <w:r w:rsidRPr="00565F80">
              <w:rPr>
                <w:b/>
                <w:i/>
                <w:color w:val="auto"/>
              </w:rPr>
              <w:t>ir</w:t>
            </w:r>
            <w:r w:rsidRPr="00565F80">
              <w:rPr>
                <w:color w:val="auto"/>
              </w:rPr>
              <w:t xml:space="preserve"> veido atvaizdo duomenims saugoti;</w:t>
            </w:r>
          </w:p>
        </w:tc>
        <w:tc>
          <w:tcPr>
            <w:tcW w:w="4876" w:type="dxa"/>
          </w:tcPr>
          <w:p w:rsidR="00BF668E" w:rsidRPr="00565F80" w:rsidRDefault="00BF668E" w:rsidP="00C555DE">
            <w:pPr>
              <w:pStyle w:val="Normal6"/>
              <w:rPr>
                <w:color w:val="auto"/>
              </w:rPr>
            </w:pPr>
            <w:r w:rsidRPr="00565F80">
              <w:rPr>
                <w:color w:val="auto"/>
              </w:rPr>
              <w:t>(32)</w:t>
            </w:r>
            <w:r w:rsidRPr="00565F80">
              <w:rPr>
                <w:color w:val="auto"/>
              </w:rPr>
              <w:tab/>
              <w:t xml:space="preserve">trečiųjų šalių piliečiai arba asmenys be pilietybės, pateikę prašymus suteikti tarptautinę apsaugą vienoje valstybėje narėje, gali daugelį metų kreiptis dėl tarptautinės apsaugos kitoje valstybėje narėje. Dėl to maksimalus laikotarpis, per kurį pirštų atspaudai ir veido atvaizdo duomenys turėtų būti saugomi centrinėje sistemoje, turėtų būti gana ilgas. Atsižvelgiant į tai, kad dauguma trečiųjų šalių piliečių arba asmenų be pilietybės, keletą metų buvusių Sąjungoje, per tą laiką bus įgiję valstybės narės nuolatinio gyventojo arba netgi piliečio statusą, dešimties metų laikotarpis turėtų būti laikomas protingu laikotarpiu pirštų atspaudų </w:t>
            </w:r>
            <w:r w:rsidRPr="00565F80">
              <w:rPr>
                <w:b/>
                <w:i/>
                <w:color w:val="auto"/>
              </w:rPr>
              <w:t>duomenims,</w:t>
            </w:r>
            <w:r w:rsidRPr="00565F80">
              <w:rPr>
                <w:color w:val="auto"/>
              </w:rPr>
              <w:t xml:space="preserve"> veido atvaizdo duomenims </w:t>
            </w:r>
            <w:r w:rsidRPr="00565F80">
              <w:rPr>
                <w:b/>
                <w:i/>
                <w:color w:val="auto"/>
              </w:rPr>
              <w:t xml:space="preserve">arba abiejų rūšių duomenims </w:t>
            </w:r>
            <w:r w:rsidRPr="00565F80">
              <w:rPr>
                <w:color w:val="auto"/>
              </w:rPr>
              <w:lastRenderedPageBreak/>
              <w:t>saugoti;</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127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32 a konstatuojamoji dalis (nauja)</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(32a)</w:t>
            </w:r>
            <w:r w:rsidRPr="00565F80">
              <w:rPr>
                <w:color w:val="auto"/>
              </w:rPr>
              <w:tab/>
            </w:r>
            <w:r w:rsidRPr="00565F80">
              <w:rPr>
                <w:b/>
                <w:i/>
                <w:color w:val="auto"/>
              </w:rPr>
              <w:t>pagal Reglamentą XXX/XXX perkeltų į kitą valstybę narę trečiųjų šalių piliečių ar asmenų be pilietybės duomenis reikėtų saugoti 10 metų. Tiek laiko jau yra saugomi tarptautinės apsaugos prašytojų ir gavėjų duomenys.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Išdėstymas nauja redakcija. Šia konstatuojamąja dalimi siekiama patikslinti, kiek laiko pagal Reglamentą XXX/XXX reikėtų saugoti perkeltų į kitą valstybę narę asmenų duomenis. Siūlomas 10 metų terminas, nes siekiama suvienodinti perkeltų asmenų duomenų saugojimo terminą su kitų tarptautinės apsaugos prašytojų duomenų saugojimo terminu.</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128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32 a konstatuojamoji dalis (nauja)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(32a)</w:t>
            </w:r>
            <w:r w:rsidRPr="00565F80">
              <w:rPr>
                <w:color w:val="auto"/>
              </w:rPr>
              <w:tab/>
            </w:r>
            <w:r w:rsidRPr="00565F80">
              <w:rPr>
                <w:b/>
                <w:i/>
                <w:color w:val="auto"/>
              </w:rPr>
              <w:t xml:space="preserve">Taryba savo 2015 m. gruodžio 4 d. išvadose dėl pilietybės neturėjimo ir valstybių narių vyriausybių atstovai priminė 2012 m. rugsėjo mėn. Sąjungos įsipareigojimą, kad visos valstybės narės prisijungs prie 1954 m. konvencijos dėl asmenų be pilietybės statuso ir apsvarstys galimybę prisijungti prie 1961 m. </w:t>
            </w:r>
            <w:r w:rsidRPr="00565F80">
              <w:rPr>
                <w:b/>
                <w:i/>
                <w:color w:val="auto"/>
              </w:rPr>
              <w:lastRenderedPageBreak/>
              <w:t>konvencijos. 2016 m. spalio 25 d. rezoliucijoje dėl žmogaus teisių ir migracijos trečiosiose šalyse Europos Parlamentas priminė, kad svarbu nustatyti asmenų be pilietybės tapatybę, kad jie galėtų naudotis apsauga pagal tarptautinę teisę;</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pakeitimas susijęs su 12 straipsnio 1 dalies d punkto pakeitimais.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129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33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(33)</w:t>
            </w:r>
            <w:r w:rsidRPr="00565F80">
              <w:rPr>
                <w:color w:val="auto"/>
              </w:rPr>
              <w:tab/>
            </w:r>
            <w:r w:rsidRPr="00565F80">
              <w:rPr>
                <w:b/>
                <w:i/>
                <w:color w:val="auto"/>
              </w:rPr>
              <w:t>siekiant sėkmingai užkirsti kelią neleistinam trečiųjų šalių piliečių arba asmenų be pilietybės, neturinčių teisės būti Sąjungoje, judėjimui ir jį stebėti, taip pat imtis reikiamų priemonių, kad būtų sėkmingai įgyvendinamas veiksmingas grąžinimas ir readmisija į trečiąsias šalis, kaip nustatyta Direktyvoje 2008/115/EB</w:t>
            </w:r>
            <w:r w:rsidRPr="00565F80">
              <w:rPr>
                <w:rStyle w:val="SupBoldItalic"/>
                <w:color w:val="auto"/>
              </w:rPr>
              <w:t>35</w:t>
            </w:r>
            <w:r w:rsidRPr="00565F80">
              <w:rPr>
                <w:b/>
                <w:i/>
                <w:color w:val="auto"/>
              </w:rPr>
              <w:t>, ir užtikrinama teisė į asmens duomenų apsaugą, būtinasis pirštų atspaudų ir veido atvaizdo duomenų saugojimo laikas turėtų būti penkeri metai;</w:t>
            </w:r>
          </w:p>
        </w:tc>
        <w:tc>
          <w:tcPr>
            <w:tcW w:w="4876" w:type="dxa"/>
          </w:tcPr>
          <w:p w:rsidR="00BF668E" w:rsidRPr="00565F80" w:rsidRDefault="00BF668E" w:rsidP="00C555DE">
            <w:pPr>
              <w:pStyle w:val="Normal6"/>
              <w:rPr>
                <w:color w:val="auto"/>
              </w:rPr>
            </w:pPr>
            <w:r w:rsidRPr="00565F80">
              <w:rPr>
                <w:b/>
                <w:i/>
                <w:color w:val="auto"/>
              </w:rPr>
              <w:t>Išbraukta.</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_________________</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BoldItalic"/>
                <w:color w:val="auto"/>
              </w:rPr>
              <w:t>35</w:t>
            </w:r>
            <w:r w:rsidRPr="00565F80">
              <w:rPr>
                <w:color w:val="auto"/>
              </w:rPr>
              <w:t xml:space="preserve"> </w:t>
            </w:r>
            <w:r w:rsidRPr="00565F80">
              <w:rPr>
                <w:b/>
                <w:i/>
                <w:color w:val="auto"/>
              </w:rPr>
              <w:t>OL L 348, 2008 12 24, p. 98.</w:t>
            </w:r>
          </w:p>
        </w:tc>
        <w:tc>
          <w:tcPr>
            <w:tcW w:w="4876" w:type="dxa"/>
          </w:tcPr>
          <w:p w:rsidR="00BF668E" w:rsidRPr="00565F80" w:rsidRDefault="00BF668E" w:rsidP="00C555DE">
            <w:pPr>
              <w:pStyle w:val="Normal6"/>
              <w:rPr>
                <w:color w:val="auto"/>
              </w:rPr>
            </w:pP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130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Monika Hohlmeier, Heinz K. Becker, Rachida Dati, Brice Hortefeux, Mariya Gabriel, Artis Pabriks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lastRenderedPageBreak/>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33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(33)</w:t>
            </w:r>
            <w:r w:rsidRPr="00565F80">
              <w:rPr>
                <w:color w:val="auto"/>
              </w:rPr>
              <w:tab/>
              <w:t>siekiant sėkmingai užkirsti kelią neleistinam trečiųjų šalių piliečių arba asmenų be pilietybės, neturinčių teisės būti Sąjungoje, judėjimui ir jį stebėti, taip pat imtis reikiamų priemonių, kad būtų sėkmingai įgyvendinamas veiksmingas grąžinimas ir readmisija į trečiąsias šalis, kaip nustatyta Direktyvoje 2008/115/EB</w:t>
            </w:r>
            <w:r w:rsidRPr="00565F80">
              <w:rPr>
                <w:rStyle w:val="Sup"/>
                <w:color w:val="auto"/>
              </w:rPr>
              <w:t>35</w:t>
            </w:r>
            <w:r w:rsidRPr="00565F80">
              <w:rPr>
                <w:color w:val="auto"/>
              </w:rPr>
              <w:t xml:space="preserve">, ir užtikrinama teisė į asmens duomenų apsaugą, būtinasis </w:t>
            </w:r>
            <w:r w:rsidRPr="00565F80">
              <w:rPr>
                <w:b/>
                <w:i/>
                <w:color w:val="auto"/>
              </w:rPr>
              <w:t>pirštų atspaudų</w:t>
            </w:r>
            <w:r w:rsidRPr="00565F80">
              <w:rPr>
                <w:color w:val="auto"/>
              </w:rPr>
              <w:t xml:space="preserve"> ir </w:t>
            </w:r>
            <w:r w:rsidRPr="00565F80">
              <w:rPr>
                <w:b/>
                <w:i/>
                <w:color w:val="auto"/>
              </w:rPr>
              <w:t>veido atvaizdo</w:t>
            </w:r>
            <w:r w:rsidRPr="00565F80">
              <w:rPr>
                <w:color w:val="auto"/>
              </w:rPr>
              <w:t xml:space="preserve"> duomenų saugojimo laikas turėtų būti </w:t>
            </w:r>
            <w:r w:rsidRPr="00565F80">
              <w:rPr>
                <w:b/>
                <w:i/>
                <w:color w:val="auto"/>
              </w:rPr>
              <w:t>penkeri</w:t>
            </w:r>
            <w:r w:rsidRPr="00565F80">
              <w:rPr>
                <w:color w:val="auto"/>
              </w:rPr>
              <w:t xml:space="preserve"> </w:t>
            </w:r>
            <w:r w:rsidRPr="00565F80">
              <w:rPr>
                <w:b/>
                <w:i/>
                <w:color w:val="auto"/>
              </w:rPr>
              <w:t>metai</w:t>
            </w:r>
            <w:r w:rsidRPr="00565F80">
              <w:rPr>
                <w:color w:val="auto"/>
              </w:rPr>
              <w:t>;</w:t>
            </w:r>
          </w:p>
        </w:tc>
        <w:tc>
          <w:tcPr>
            <w:tcW w:w="4876" w:type="dxa"/>
          </w:tcPr>
          <w:p w:rsidR="00BF668E" w:rsidRPr="00565F80" w:rsidRDefault="00BF668E" w:rsidP="00C555DE">
            <w:pPr>
              <w:pStyle w:val="Normal6"/>
              <w:rPr>
                <w:color w:val="auto"/>
              </w:rPr>
            </w:pPr>
            <w:r w:rsidRPr="00565F80">
              <w:rPr>
                <w:color w:val="auto"/>
              </w:rPr>
              <w:t>(33)</w:t>
            </w:r>
            <w:r w:rsidRPr="00565F80">
              <w:rPr>
                <w:color w:val="auto"/>
              </w:rPr>
              <w:tab/>
              <w:t>siekiant sėkmingai užkirsti kelią neleistinam trečiųjų šalių piliečių arba asmenų be pilietybės, neturinčių teisės būti Sąjungoje, judėjimui ir jį stebėti, taip pat imtis reikiamų priemonių, kad būtų sėkmingai įgyvendinamas veiksmingas grąžinimas ir readmisija į trečiąsias šalis, kaip nustatyta Direktyvoje 2008/115/EB</w:t>
            </w:r>
            <w:r w:rsidRPr="00565F80">
              <w:rPr>
                <w:rStyle w:val="Sup"/>
                <w:color w:val="auto"/>
              </w:rPr>
              <w:t>35</w:t>
            </w:r>
            <w:r w:rsidRPr="00565F80">
              <w:rPr>
                <w:color w:val="auto"/>
              </w:rPr>
              <w:t xml:space="preserve">, ir užtikrinama teisė į asmens duomenų apsaugą, būtinasis </w:t>
            </w:r>
            <w:r w:rsidRPr="00565F80">
              <w:rPr>
                <w:b/>
                <w:i/>
                <w:color w:val="auto"/>
              </w:rPr>
              <w:t>biometrinių</w:t>
            </w:r>
            <w:r w:rsidRPr="00565F80">
              <w:rPr>
                <w:color w:val="auto"/>
              </w:rPr>
              <w:t xml:space="preserve"> ir </w:t>
            </w:r>
            <w:r w:rsidRPr="00565F80">
              <w:rPr>
                <w:b/>
                <w:i/>
                <w:color w:val="auto"/>
              </w:rPr>
              <w:t>raidinių skaitmeninių</w:t>
            </w:r>
            <w:r w:rsidRPr="00565F80">
              <w:rPr>
                <w:color w:val="auto"/>
              </w:rPr>
              <w:t xml:space="preserve"> duomenų saugojimo laikas turėtų būti </w:t>
            </w:r>
            <w:r w:rsidRPr="00565F80">
              <w:rPr>
                <w:b/>
                <w:i/>
                <w:color w:val="auto"/>
              </w:rPr>
              <w:t>dešimt metų</w:t>
            </w:r>
            <w:r w:rsidRPr="00565F80">
              <w:rPr>
                <w:color w:val="auto"/>
              </w:rPr>
              <w:t>;</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35</w:t>
            </w:r>
            <w:r w:rsidRPr="00565F80">
              <w:rPr>
                <w:color w:val="auto"/>
              </w:rPr>
              <w:t xml:space="preserve"> OL L 348, 2008 12 24, p. 98.</w:t>
            </w:r>
          </w:p>
        </w:tc>
        <w:tc>
          <w:tcPr>
            <w:tcW w:w="4876" w:type="dxa"/>
          </w:tcPr>
          <w:p w:rsidR="00BF668E" w:rsidRPr="00565F80" w:rsidRDefault="00BF668E" w:rsidP="00C555DE">
            <w:pPr>
              <w:pStyle w:val="Normal6"/>
              <w:rPr>
                <w:color w:val="auto"/>
              </w:rPr>
            </w:pPr>
            <w:r w:rsidRPr="00565F80">
              <w:rPr>
                <w:rStyle w:val="Sup"/>
                <w:color w:val="auto"/>
              </w:rPr>
              <w:t>35</w:t>
            </w:r>
            <w:r w:rsidRPr="00565F80">
              <w:rPr>
                <w:color w:val="auto"/>
              </w:rPr>
              <w:t xml:space="preserve"> OL L 348, 2008 12 24, p. 98.</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131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33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(33)</w:t>
            </w:r>
            <w:r w:rsidRPr="00565F80">
              <w:rPr>
                <w:color w:val="auto"/>
              </w:rPr>
              <w:tab/>
              <w:t>siekiant sėkmingai užkirsti kelią neleistinam trečiųjų šalių piliečių arba asmenų be pilietybės, neturinčių teisės būti Sąjungoje, judėjimui ir jį stebėti, taip pat imtis reikiamų priemonių, kad būtų sėkmingai įgyvendinamas veiksmingas grąžinimas ir readmisija į trečiąsias šalis, kaip nustatyta Direktyvoje 2008/115/EB</w:t>
            </w:r>
            <w:r w:rsidRPr="00565F80">
              <w:rPr>
                <w:rStyle w:val="Sup"/>
                <w:color w:val="auto"/>
              </w:rPr>
              <w:t>35</w:t>
            </w:r>
            <w:r w:rsidRPr="00565F80">
              <w:rPr>
                <w:color w:val="auto"/>
              </w:rPr>
              <w:t xml:space="preserve">, ir užtikrinama teisė į asmens duomenų apsaugą, būtinasis pirštų atspaudų ir veido atvaizdo duomenų saugojimo laikas turėtų būti </w:t>
            </w:r>
            <w:r w:rsidRPr="00565F80">
              <w:rPr>
                <w:b/>
                <w:i/>
                <w:color w:val="auto"/>
              </w:rPr>
              <w:t>penkeri</w:t>
            </w:r>
            <w:r w:rsidRPr="00565F80">
              <w:rPr>
                <w:color w:val="auto"/>
              </w:rPr>
              <w:t xml:space="preserve"> </w:t>
            </w:r>
            <w:r w:rsidRPr="00565F80">
              <w:rPr>
                <w:b/>
                <w:i/>
                <w:color w:val="auto"/>
              </w:rPr>
              <w:t>metai</w:t>
            </w:r>
            <w:r w:rsidRPr="00565F80">
              <w:rPr>
                <w:color w:val="auto"/>
              </w:rPr>
              <w:t>;</w:t>
            </w:r>
          </w:p>
        </w:tc>
        <w:tc>
          <w:tcPr>
            <w:tcW w:w="4876" w:type="dxa"/>
          </w:tcPr>
          <w:p w:rsidR="00BF668E" w:rsidRPr="00565F80" w:rsidRDefault="00BF668E" w:rsidP="00C555DE">
            <w:pPr>
              <w:pStyle w:val="Normal6"/>
              <w:rPr>
                <w:color w:val="auto"/>
              </w:rPr>
            </w:pPr>
            <w:r w:rsidRPr="00565F80">
              <w:rPr>
                <w:color w:val="auto"/>
              </w:rPr>
              <w:t>(33)</w:t>
            </w:r>
            <w:r w:rsidRPr="00565F80">
              <w:rPr>
                <w:color w:val="auto"/>
              </w:rPr>
              <w:tab/>
              <w:t>siekiant sėkmingai užkirsti kelią neleistinam trečiųjų šalių piliečių arba asmenų be pilietybės, neturinčių teisės būti Sąjungoje, judėjimui ir jį stebėti, taip pat imtis reikiamų priemonių, kad būtų sėkmingai įgyvendinamas veiksmingas grąžinimas ir readmisija į trečiąsias šalis, kaip nustatyta Direktyvoje 2008/115/EB</w:t>
            </w:r>
            <w:r w:rsidRPr="00565F80">
              <w:rPr>
                <w:rStyle w:val="Sup"/>
                <w:color w:val="auto"/>
              </w:rPr>
              <w:t>35</w:t>
            </w:r>
            <w:r w:rsidRPr="00565F80">
              <w:rPr>
                <w:color w:val="auto"/>
              </w:rPr>
              <w:t xml:space="preserve">, ir užtikrinama teisė į asmens duomenų apsaugą, būtinasis pirštų atspaudų ir veido atvaizdo duomenų saugojimo laikas turėtų būti </w:t>
            </w:r>
            <w:r w:rsidRPr="00565F80">
              <w:rPr>
                <w:b/>
                <w:i/>
                <w:color w:val="auto"/>
              </w:rPr>
              <w:t>dešimt metų</w:t>
            </w:r>
            <w:r w:rsidRPr="00565F80">
              <w:rPr>
                <w:color w:val="auto"/>
              </w:rPr>
              <w:t>;</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lastRenderedPageBreak/>
              <w:t>35</w:t>
            </w:r>
            <w:r w:rsidRPr="00565F80">
              <w:rPr>
                <w:color w:val="auto"/>
              </w:rPr>
              <w:t xml:space="preserve"> OL L 348, 2008 12 24, p. 98.</w:t>
            </w:r>
          </w:p>
        </w:tc>
        <w:tc>
          <w:tcPr>
            <w:tcW w:w="4876" w:type="dxa"/>
          </w:tcPr>
          <w:p w:rsidR="00BF668E" w:rsidRPr="00565F80" w:rsidRDefault="00BF668E" w:rsidP="00C555DE">
            <w:pPr>
              <w:pStyle w:val="Normal6"/>
              <w:rPr>
                <w:color w:val="auto"/>
              </w:rPr>
            </w:pPr>
            <w:r w:rsidRPr="00565F80">
              <w:rPr>
                <w:rStyle w:val="Sup"/>
                <w:color w:val="auto"/>
              </w:rPr>
              <w:t>35</w:t>
            </w:r>
            <w:r w:rsidRPr="00565F80">
              <w:rPr>
                <w:color w:val="auto"/>
              </w:rPr>
              <w:t xml:space="preserve"> OL L 348, 2008 12 24, p. 98.</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132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34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(34)</w:t>
            </w:r>
            <w:r w:rsidRPr="00565F80">
              <w:rPr>
                <w:color w:val="auto"/>
              </w:rPr>
              <w:tab/>
              <w:t xml:space="preserve">saugojimo laikotarpis turėtų būti trumpesnis esant tam tikroms specialioms situacijoms, kai nėra būtinybės taip ilgai laikyti pirštų atspaudų </w:t>
            </w:r>
            <w:r w:rsidRPr="00565F80">
              <w:rPr>
                <w:b/>
                <w:i/>
                <w:color w:val="auto"/>
              </w:rPr>
              <w:t>ir</w:t>
            </w:r>
            <w:r w:rsidRPr="00565F80">
              <w:rPr>
                <w:color w:val="auto"/>
              </w:rPr>
              <w:t xml:space="preserve"> veido atvaizdo duomenų bei visų kitų asmens duomenų . Trečiųjų šalių piliečiams arba asmenims be pilietybės gavus valstybės narės pilietybę, pirštų atspaudų </w:t>
            </w:r>
            <w:r w:rsidRPr="00565F80">
              <w:rPr>
                <w:b/>
                <w:i/>
                <w:color w:val="auto"/>
              </w:rPr>
              <w:t>ir</w:t>
            </w:r>
            <w:r w:rsidRPr="00565F80">
              <w:rPr>
                <w:color w:val="auto"/>
              </w:rPr>
              <w:t xml:space="preserve"> veido atvaizdo duomenys bei visi kiti trečiosios šalies piliečio asmens duomenys turėtų būti iš karto ištrinami;</w:t>
            </w:r>
          </w:p>
        </w:tc>
        <w:tc>
          <w:tcPr>
            <w:tcW w:w="4876" w:type="dxa"/>
          </w:tcPr>
          <w:p w:rsidR="00BF668E" w:rsidRPr="00565F80" w:rsidRDefault="00BF668E" w:rsidP="00C555DE">
            <w:pPr>
              <w:pStyle w:val="Normal6"/>
              <w:rPr>
                <w:color w:val="auto"/>
              </w:rPr>
            </w:pPr>
            <w:r w:rsidRPr="00565F80">
              <w:rPr>
                <w:color w:val="auto"/>
              </w:rPr>
              <w:t>(34)</w:t>
            </w:r>
            <w:r w:rsidRPr="00565F80">
              <w:rPr>
                <w:color w:val="auto"/>
              </w:rPr>
              <w:tab/>
              <w:t xml:space="preserve">saugojimo laikotarpis turėtų būti trumpesnis esant tam tikroms specialioms situacijoms, kai nėra būtinybės taip ilgai laikyti pirštų atspaudų </w:t>
            </w:r>
            <w:r w:rsidRPr="00565F80">
              <w:rPr>
                <w:b/>
                <w:i/>
                <w:color w:val="auto"/>
              </w:rPr>
              <w:t xml:space="preserve">duomenų, </w:t>
            </w:r>
            <w:r w:rsidRPr="00565F80">
              <w:rPr>
                <w:color w:val="auto"/>
              </w:rPr>
              <w:t xml:space="preserve">veido atvaizdo duomenų </w:t>
            </w:r>
            <w:r w:rsidRPr="00565F80">
              <w:rPr>
                <w:b/>
                <w:i/>
                <w:color w:val="auto"/>
              </w:rPr>
              <w:t xml:space="preserve">arba abiejų rūšių duomenų </w:t>
            </w:r>
            <w:r w:rsidRPr="00565F80">
              <w:rPr>
                <w:color w:val="auto"/>
              </w:rPr>
              <w:t xml:space="preserve">bei visų kitų asmens duomenų. Trečiųjų šalių piliečiams arba asmenims be pilietybės gavus valstybės narės pilietybę, pirštų atspaudų </w:t>
            </w:r>
            <w:r w:rsidRPr="00565F80">
              <w:rPr>
                <w:b/>
                <w:i/>
                <w:color w:val="auto"/>
              </w:rPr>
              <w:t>duomenys,</w:t>
            </w:r>
            <w:r w:rsidRPr="00565F80">
              <w:rPr>
                <w:color w:val="auto"/>
              </w:rPr>
              <w:t xml:space="preserve"> veido atvaizdo duomenys </w:t>
            </w:r>
            <w:r w:rsidRPr="00565F80">
              <w:rPr>
                <w:b/>
                <w:i/>
                <w:color w:val="auto"/>
              </w:rPr>
              <w:t xml:space="preserve">arba abiejų rūšių duomenys </w:t>
            </w:r>
            <w:r w:rsidRPr="00565F80">
              <w:rPr>
                <w:color w:val="auto"/>
              </w:rPr>
              <w:t xml:space="preserve">bei visi kiti trečiosios šalies piliečio asmens duomenys turėtų būti iš karto ištrinami </w:t>
            </w:r>
            <w:r w:rsidRPr="00565F80">
              <w:rPr>
                <w:b/>
                <w:i/>
                <w:color w:val="auto"/>
              </w:rPr>
              <w:t>arba, vaikų atveju, kai jiems sukaks 18 metų</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pakeitimas reikalingas siekiant išlaikyti teksto logiką, nes juo turėtų būti apsaugoti prekybos žmonėmis aukomis tapę vaikai ir remiamas nelydimų vaikų, kurie dingsta, prarandami arba pasislepia, tapatybės nustatymas ir apsauga, kaip Europos Komisija pabrėžė savo aiškinamajame memorandume, pridėtame prie siūlomos naujos EURODAC reglamento redakcijos. Siekiant laikytis Chartijos 7 straipsnio, 8 straipsnio ir 24 straipsnio, vaikų nuo šešerių metų biometrinių duomenų tvarkymas gali būti pateisinamas tik vaiko apsaugos tikslu.</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133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Sophia in 't Veld</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lastRenderedPageBreak/>
        <w:t>&lt;Article&gt;</w:t>
      </w:r>
      <w:r w:rsidRPr="00565F80">
        <w:rPr>
          <w:color w:val="auto"/>
        </w:rPr>
        <w:t>34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(34)</w:t>
            </w:r>
            <w:r w:rsidRPr="00565F80">
              <w:rPr>
                <w:color w:val="auto"/>
              </w:rPr>
              <w:tab/>
              <w:t>saugojimo laikotarpis turėtų būti trumpesnis esant tam tikroms specialioms situacijoms, kai nėra būtinybės taip ilgai laikyti pirštų atspaudų ir veido atvaizdo duomenų bei visų kitų asmens duomenų . Trečiųjų šalių piliečiams arba asmenims be pilietybės gavus valstybės narės pilietybę, pirštų atspaudų ir veido atvaizdo duomenys bei visi kiti trečiosios šalies piliečio asmens duomenys turėtų būti iš karto ištrinami;</w:t>
            </w:r>
          </w:p>
        </w:tc>
        <w:tc>
          <w:tcPr>
            <w:tcW w:w="4876" w:type="dxa"/>
          </w:tcPr>
          <w:p w:rsidR="00BF668E" w:rsidRPr="00565F80" w:rsidRDefault="00BF668E" w:rsidP="00C555DE">
            <w:pPr>
              <w:pStyle w:val="Normal6"/>
              <w:rPr>
                <w:color w:val="auto"/>
              </w:rPr>
            </w:pPr>
            <w:r w:rsidRPr="00565F80">
              <w:rPr>
                <w:color w:val="auto"/>
              </w:rPr>
              <w:t>(34)</w:t>
            </w:r>
            <w:r w:rsidRPr="00565F80">
              <w:rPr>
                <w:color w:val="auto"/>
              </w:rPr>
              <w:tab/>
              <w:t xml:space="preserve">saugojimo laikotarpis turėtų būti trumpesnis esant tam tikroms specialioms situacijoms, kai nėra būtinybės taip ilgai laikyti pirštų atspaudų ir veido atvaizdo duomenų bei visų kitų asmens duomenų . Trečiųjų šalių piliečiams arba asmenims be pilietybės gavus valstybės narės pilietybę, pirštų atspaudų ir veido atvaizdo duomenys bei visi kiti trečiosios šalies piliečio asmens duomenys turėtų būti iš karto </w:t>
            </w:r>
            <w:r w:rsidRPr="00565F80">
              <w:rPr>
                <w:b/>
                <w:i/>
                <w:color w:val="auto"/>
              </w:rPr>
              <w:t>ir visam laikui</w:t>
            </w:r>
            <w:r w:rsidRPr="00565F80">
              <w:rPr>
                <w:color w:val="auto"/>
              </w:rPr>
              <w:t xml:space="preserve"> ištrinami;</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 xml:space="preserve">Pagal Darbo </w:t>
      </w:r>
      <w:r w:rsidR="003C6DCD" w:rsidRPr="00565F80">
        <w:rPr>
          <w:color w:val="auto"/>
          <w:lang w:val="lt-LT"/>
        </w:rPr>
        <w:t>tvarkos taisyklių 104 straipsnį</w:t>
      </w:r>
      <w:r w:rsidRPr="00565F80">
        <w:rPr>
          <w:color w:val="auto"/>
          <w:lang w:val="lt-LT"/>
        </w:rPr>
        <w:t xml:space="preserve"> šis pakeitimas yra būtinas, nes jis yra neatskiriamai susijęs su kitais priimtinais pakeitimais, susijusiais su EURODAC tikslais (1 straipsnis), įvedant nuorodas į būtinumo ir proporcingumo principų laikymąsi pagal Chartijos 52 straipsnio 1 dalį ir atitinkamą ESTT praktiką.</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134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34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(34)</w:t>
            </w:r>
            <w:r w:rsidRPr="00565F80">
              <w:rPr>
                <w:color w:val="auto"/>
              </w:rPr>
              <w:tab/>
              <w:t>saugojimo laikotarpis turėtų būti trumpesnis esant tam tikroms specialioms situacijoms, kai nėra būtinybės taip ilgai laikyti pirštų atspaudų ir veido atvaizdo duomenų bei visų kitų asmens duomenų . Trečiųjų šalių piliečiams arba asmenims be pilietybės gavus valstybės narės pilietybę, pirštų atspaudų ir veido atvaizdo duomenys bei visi kiti trečiosios šalies piliečio asmens duomenys turėtų būti iš karto ištrinami;</w:t>
            </w:r>
          </w:p>
        </w:tc>
        <w:tc>
          <w:tcPr>
            <w:tcW w:w="4876" w:type="dxa"/>
          </w:tcPr>
          <w:p w:rsidR="00BF668E" w:rsidRPr="00565F80" w:rsidRDefault="00BF668E" w:rsidP="00C555DE">
            <w:pPr>
              <w:pStyle w:val="Normal6"/>
              <w:rPr>
                <w:color w:val="auto"/>
              </w:rPr>
            </w:pPr>
            <w:r w:rsidRPr="00565F80">
              <w:rPr>
                <w:color w:val="auto"/>
              </w:rPr>
              <w:t>(34)</w:t>
            </w:r>
            <w:r w:rsidRPr="00565F80">
              <w:rPr>
                <w:color w:val="auto"/>
              </w:rPr>
              <w:tab/>
              <w:t xml:space="preserve">saugojimo laikotarpis turėtų būti trumpesnis esant tam tikroms specialioms situacijoms, kai nėra būtinybės taip ilgai laikyti pirštų atspaudų ir veido atvaizdo duomenų bei visų kitų asmens duomenų . Trečiųjų šalių piliečiams arba asmenims be pilietybės gavus valstybės narės pilietybę, pirštų atspaudų ir veido atvaizdo duomenys bei visi kiti trečiosios šalies piliečio </w:t>
            </w:r>
            <w:r w:rsidRPr="00565F80">
              <w:rPr>
                <w:b/>
                <w:i/>
                <w:color w:val="auto"/>
              </w:rPr>
              <w:t xml:space="preserve">arba asmens be pilietybės </w:t>
            </w:r>
            <w:r w:rsidRPr="00565F80">
              <w:rPr>
                <w:color w:val="auto"/>
              </w:rPr>
              <w:t>asmens duomenys turėtų būti iš karto ištrinami;</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lastRenderedPageBreak/>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Komisijos pasiūlymas pataisomas, nes ne visose reikiamose vietose yra įterpiama formuluotė „asmenys be pilietybės“, nors tai atitinka EURODAC tikslą, minimą 1 straipsnio a dalyje.</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135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37 konstatuojamoji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(37)</w:t>
            </w:r>
            <w:r w:rsidRPr="00565F80">
              <w:rPr>
                <w:color w:val="auto"/>
              </w:rPr>
              <w:tab/>
              <w:t xml:space="preserve">reikia aiškiai nustatyti Komisijos ir „eu-LISA“ pareigas centrinės sistemos </w:t>
            </w:r>
            <w:r w:rsidRPr="00565F80">
              <w:rPr>
                <w:b/>
                <w:i/>
                <w:color w:val="auto"/>
              </w:rPr>
              <w:t>ir</w:t>
            </w:r>
            <w:r w:rsidRPr="00565F80">
              <w:rPr>
                <w:color w:val="auto"/>
              </w:rPr>
              <w:t xml:space="preserve"> ryšių infrastruktūros atžvilgiu ir valstybių narių pareigas, susijusias su duomenų tvarkymu, duomenų saugumu, įrašytų duomenų prieinamumu ir taisymu;</w:t>
            </w:r>
          </w:p>
        </w:tc>
        <w:tc>
          <w:tcPr>
            <w:tcW w:w="4876" w:type="dxa"/>
          </w:tcPr>
          <w:p w:rsidR="00BF668E" w:rsidRPr="00565F80" w:rsidRDefault="00BF668E" w:rsidP="00C555DE">
            <w:pPr>
              <w:pStyle w:val="Normal6"/>
              <w:rPr>
                <w:color w:val="auto"/>
              </w:rPr>
            </w:pPr>
            <w:r w:rsidRPr="00565F80">
              <w:rPr>
                <w:color w:val="auto"/>
              </w:rPr>
              <w:t>(37)</w:t>
            </w:r>
            <w:r w:rsidRPr="00565F80">
              <w:rPr>
                <w:color w:val="auto"/>
              </w:rPr>
              <w:tab/>
              <w:t>reikia aiškiai nustatyti Komisijos ir „eu-LISA“ pareigas centrinės sistemos</w:t>
            </w:r>
            <w:r w:rsidRPr="00565F80">
              <w:rPr>
                <w:b/>
                <w:i/>
                <w:color w:val="auto"/>
              </w:rPr>
              <w:t xml:space="preserve">, </w:t>
            </w:r>
            <w:r w:rsidRPr="00565F80">
              <w:rPr>
                <w:color w:val="auto"/>
              </w:rPr>
              <w:t xml:space="preserve">ryšių infrastruktūros </w:t>
            </w:r>
            <w:r w:rsidRPr="00565F80">
              <w:rPr>
                <w:b/>
                <w:i/>
                <w:color w:val="auto"/>
              </w:rPr>
              <w:t>ir sąveikumo su kitomis informacinėmis sistemomis</w:t>
            </w:r>
            <w:r w:rsidRPr="00565F80">
              <w:rPr>
                <w:color w:val="auto"/>
              </w:rPr>
              <w:t xml:space="preserve"> atžvilgiu ir valstybių narių pareigas, susijusias su duomenų tvarkymu, duomenų saugumu, įrašytų duomenų prieinamumu ir taisymu;</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Reikėtų aiškiai nustatyti, kokia yra „eu-LISA“ atsakomybė kuriant būsimą sistemą, būtent jos sąveikumo su kitomis informacinėmis sistemomis klausimu.</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136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41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(41)</w:t>
            </w:r>
            <w:r w:rsidRPr="00565F80">
              <w:rPr>
                <w:color w:val="auto"/>
              </w:rPr>
              <w:tab/>
            </w:r>
            <w:r w:rsidRPr="00565F80">
              <w:rPr>
                <w:b/>
                <w:i/>
                <w:color w:val="auto"/>
              </w:rPr>
              <w:t xml:space="preserve">asmens duomenų apsaugos tikslais ir siekiant išvengti sistemingo duomenų lyginimo, kuris turėtų būti draudžiamas, </w:t>
            </w:r>
            <w:r w:rsidRPr="00565F80">
              <w:rPr>
                <w:color w:val="auto"/>
              </w:rPr>
              <w:t>EURODAC duomenys turėtų būti apdorojami tik specifiniais atvejais</w:t>
            </w:r>
            <w:r w:rsidRPr="00565F80">
              <w:rPr>
                <w:b/>
                <w:i/>
                <w:color w:val="auto"/>
              </w:rPr>
              <w:t xml:space="preserve"> ir</w:t>
            </w:r>
            <w:r w:rsidRPr="00565F80">
              <w:rPr>
                <w:color w:val="auto"/>
              </w:rPr>
              <w:t xml:space="preserve"> kai tai būtina teroristinių ar kitų sunkių nusikalstamų veikų prevencijos, atskleidimo ar tyrimo tikslais. Specifinis </w:t>
            </w:r>
            <w:r w:rsidRPr="00565F80">
              <w:rPr>
                <w:color w:val="auto"/>
              </w:rPr>
              <w:lastRenderedPageBreak/>
              <w:t>atvejis būna visų pirma tuomet, kai prašymas palyginti duomenis yra susijęs su specifinėmis ir konkrečiomis aplinkybėmis arba su specifiniu ir konkrečiu teroristinės ar kitos sunkios nusikalstamos veikos keliamu pavojumi, arba su specifiniais asmenimis, dėl kurių kyla pagrįstų įtarimų, kad jie įvykdys arba įvykdė bet kokią iš tokių veikų. Specifinis atvejis būna ir tuomet, kai prašymas palyginti duomenis yra susijęs su asmeniu, nukentėjusiu nuo teroristinės veikos ar kitos sunkios nusikalstamos veikos. Todėl paskirtos institucijos ir Europolas prašymus palyginti duomenis su sistemos EURODAC duomenimis turėtų teikti tik tuomet, kai turi rimtą pagrindą manyti, kad palyginus duomenis gaus informacijos, kuri jiems iš esmės padės užkardyti, atskleisti ar tirti teroristinę veiką ar kitą sunkią nusikalstamą veiką;</w:t>
            </w:r>
          </w:p>
        </w:tc>
        <w:tc>
          <w:tcPr>
            <w:tcW w:w="4876" w:type="dxa"/>
          </w:tcPr>
          <w:p w:rsidR="00BF668E" w:rsidRPr="00565F80" w:rsidRDefault="00BF668E" w:rsidP="00C555DE">
            <w:pPr>
              <w:pStyle w:val="Normal6"/>
              <w:rPr>
                <w:color w:val="auto"/>
              </w:rPr>
            </w:pPr>
            <w:r w:rsidRPr="00565F80">
              <w:rPr>
                <w:color w:val="auto"/>
              </w:rPr>
              <w:lastRenderedPageBreak/>
              <w:t>(41)</w:t>
            </w:r>
            <w:r w:rsidRPr="00565F80">
              <w:rPr>
                <w:color w:val="auto"/>
              </w:rPr>
              <w:tab/>
              <w:t>EURODAC duomenys turėtų būti apdorojami tik specifiniais atvejais</w:t>
            </w:r>
            <w:r w:rsidRPr="00565F80">
              <w:rPr>
                <w:b/>
                <w:i/>
                <w:color w:val="auto"/>
              </w:rPr>
              <w:t>, laikantis Sąjungos teisės aktų dėl asmens duomenų apsaugos,</w:t>
            </w:r>
            <w:r w:rsidRPr="00565F80">
              <w:rPr>
                <w:color w:val="auto"/>
              </w:rPr>
              <w:t xml:space="preserve"> kai tai būtina teroristinių ar kitų sunkių nusikalstamų veikų prevencijos, atskleidimo ar tyrimo tikslais. Specifinis atvejis būna visų pirma tuomet, kai prašymas palyginti duomenis </w:t>
            </w:r>
            <w:r w:rsidRPr="00565F80">
              <w:rPr>
                <w:color w:val="auto"/>
              </w:rPr>
              <w:lastRenderedPageBreak/>
              <w:t>yra susijęs su specifinėmis ir konkrečiomis aplinkybėmis arba su specifiniu ir konkrečiu teroristinės ar kitos sunkios nusikalstamos veikos keliamu pavojumi, arba su specifiniais asmenimis, dėl kurių kyla pagrįstų įtarimų, kad jie įvykdys arba įvykdė bet kokią iš tokių veikų. Specifinis atvejis būna ir tuomet, kai prašymas palyginti duomenis yra susijęs su asmeniu, nukentėjusiu nuo teroristinės veikos ar kitos sunkios nusikalstamos veikos. Todėl paskirtos institucijos ir Europolas prašymus palyginti duomenis su sistemos EURODAC duomenimis turėtų teikti tik tuomet, kai turi rimtą pagrindą manyti, kad palyginus duomenis gaus informacijos, kuri jiems iš esmės padės užkardyti, atskleisti ar tirti teroristinę veiką ar kitą sunkią nusikalstamą veiką;</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EURODAC duomenys turėtų būti apdorojami tik specifiniais atvejais ir laikantis ES teisės aktų, kuriais reglamentuojamas asmens duomenų naudojimas.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137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42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(42)</w:t>
            </w:r>
            <w:r w:rsidRPr="00565F80">
              <w:rPr>
                <w:color w:val="auto"/>
              </w:rPr>
              <w:tab/>
              <w:t xml:space="preserve">be to, prieiga turėtų būti suteikiama tik su sąlyga, kad </w:t>
            </w:r>
            <w:r w:rsidRPr="00565F80">
              <w:rPr>
                <w:b/>
                <w:i/>
                <w:color w:val="auto"/>
              </w:rPr>
              <w:t>palyginus su</w:t>
            </w:r>
            <w:r w:rsidRPr="00565F80">
              <w:rPr>
                <w:color w:val="auto"/>
              </w:rPr>
              <w:t xml:space="preserve"> valstybės narės </w:t>
            </w:r>
            <w:r w:rsidRPr="00565F80">
              <w:rPr>
                <w:b/>
                <w:i/>
                <w:color w:val="auto"/>
              </w:rPr>
              <w:t>nacionalinių</w:t>
            </w:r>
            <w:r w:rsidRPr="00565F80">
              <w:rPr>
                <w:color w:val="auto"/>
              </w:rPr>
              <w:t xml:space="preserve"> pirštų atspaudų duomenų </w:t>
            </w:r>
            <w:r w:rsidRPr="00565F80">
              <w:rPr>
                <w:b/>
                <w:i/>
                <w:color w:val="auto"/>
              </w:rPr>
              <w:t>bazių</w:t>
            </w:r>
            <w:r w:rsidRPr="00565F80">
              <w:rPr>
                <w:color w:val="auto"/>
              </w:rPr>
              <w:t xml:space="preserve"> ir visų kitų valstybių narių </w:t>
            </w:r>
            <w:r w:rsidRPr="00565F80">
              <w:rPr>
                <w:b/>
                <w:i/>
                <w:color w:val="auto"/>
              </w:rPr>
              <w:t>automatinių</w:t>
            </w:r>
            <w:r w:rsidRPr="00565F80">
              <w:rPr>
                <w:color w:val="auto"/>
              </w:rPr>
              <w:t xml:space="preserve"> pirštų atspaudų identifikavimo </w:t>
            </w:r>
            <w:r w:rsidRPr="00565F80">
              <w:rPr>
                <w:b/>
                <w:i/>
                <w:color w:val="auto"/>
              </w:rPr>
              <w:t>sistemų informacija</w:t>
            </w:r>
            <w:r w:rsidRPr="00565F80">
              <w:rPr>
                <w:color w:val="auto"/>
              </w:rPr>
              <w:t xml:space="preserve"> pagal Tarybos sprendimą 2008/615/TVR</w:t>
            </w:r>
            <w:r w:rsidRPr="00565F80">
              <w:rPr>
                <w:rStyle w:val="Sup"/>
                <w:color w:val="auto"/>
              </w:rPr>
              <w:t>36</w:t>
            </w:r>
            <w:r w:rsidRPr="00565F80">
              <w:rPr>
                <w:color w:val="auto"/>
              </w:rPr>
              <w:t xml:space="preserve"> </w:t>
            </w:r>
            <w:r w:rsidRPr="00565F80">
              <w:rPr>
                <w:b/>
                <w:i/>
                <w:color w:val="auto"/>
              </w:rPr>
              <w:t>nepavyko nustatyti duomenų subjekto tapatybės</w:t>
            </w:r>
            <w:r w:rsidRPr="00565F80">
              <w:rPr>
                <w:color w:val="auto"/>
              </w:rPr>
              <w:t xml:space="preserve">. Remiantis ta sąlyga </w:t>
            </w:r>
            <w:r w:rsidRPr="00565F80">
              <w:rPr>
                <w:color w:val="auto"/>
              </w:rPr>
              <w:lastRenderedPageBreak/>
              <w:t>reikalaujama, kad prašančioji valstybė narė atliktų palyginimus su visų kitų valstybių narių automatinių pirštų atspaudų identifikavimo sistemų, kurios techniškai prieinamos, informacija pagal Sprendimą 2008/615/TVR, nebent ta valstybė narė gali pavirtinti, jog esama pagrįstų priežasčių tikėti, kad tai atlikus nepavyks nustatyti duomenų subjekto tapatybės. Tokių pagrįstų priežasčių pirmiausia esama tada, kai specifinis atvejis neturi jokios operatyvinės ar tiriamosios sąsajos su konkrečia valstybe nare. Remiantis ta sąlyga reikalaujama, kad prašančioji valstybė narė pagal Sprendimą 2008/615/TVR vykdytų pirmiausia teisišką ir technišką įgyvendinimą pirštų atspaudų duomenų srityje, kadangi neturėtų būti leidžiama atlikti patikrinimo sistemoje EURODAC teisėsaugos tikslais prieš tai neatlikus pirmiau minėtų veiksmų;</w:t>
            </w:r>
          </w:p>
        </w:tc>
        <w:tc>
          <w:tcPr>
            <w:tcW w:w="4876" w:type="dxa"/>
          </w:tcPr>
          <w:p w:rsidR="00BF668E" w:rsidRPr="00565F80" w:rsidRDefault="00BF668E" w:rsidP="00C555DE">
            <w:pPr>
              <w:pStyle w:val="Normal6"/>
              <w:rPr>
                <w:color w:val="auto"/>
              </w:rPr>
            </w:pPr>
            <w:r w:rsidRPr="00565F80">
              <w:rPr>
                <w:color w:val="auto"/>
              </w:rPr>
              <w:lastRenderedPageBreak/>
              <w:t>(42)</w:t>
            </w:r>
            <w:r w:rsidRPr="00565F80">
              <w:rPr>
                <w:color w:val="auto"/>
              </w:rPr>
              <w:tab/>
              <w:t xml:space="preserve">be to, prieiga turėtų būti suteikiama tik su sąlyga, kad </w:t>
            </w:r>
            <w:r w:rsidRPr="00565F80">
              <w:rPr>
                <w:b/>
                <w:i/>
                <w:color w:val="auto"/>
              </w:rPr>
              <w:t>buvo atlikta išankstinė paieška</w:t>
            </w:r>
            <w:r w:rsidRPr="00565F80">
              <w:rPr>
                <w:color w:val="auto"/>
              </w:rPr>
              <w:t xml:space="preserve"> valstybės narės </w:t>
            </w:r>
            <w:r w:rsidRPr="00565F80">
              <w:rPr>
                <w:b/>
                <w:i/>
                <w:color w:val="auto"/>
              </w:rPr>
              <w:t>nacionalinėse</w:t>
            </w:r>
            <w:r w:rsidRPr="00565F80">
              <w:rPr>
                <w:color w:val="auto"/>
              </w:rPr>
              <w:t xml:space="preserve"> pirštų atspaudų </w:t>
            </w:r>
            <w:r w:rsidRPr="00565F80">
              <w:rPr>
                <w:b/>
                <w:i/>
                <w:color w:val="auto"/>
              </w:rPr>
              <w:t xml:space="preserve">ir veido atvaizdų </w:t>
            </w:r>
            <w:r w:rsidRPr="00565F80">
              <w:rPr>
                <w:color w:val="auto"/>
              </w:rPr>
              <w:t xml:space="preserve">duomenų </w:t>
            </w:r>
            <w:r w:rsidRPr="00565F80">
              <w:rPr>
                <w:b/>
                <w:i/>
                <w:color w:val="auto"/>
              </w:rPr>
              <w:t>bazėse</w:t>
            </w:r>
            <w:r w:rsidRPr="00565F80">
              <w:rPr>
                <w:color w:val="auto"/>
              </w:rPr>
              <w:t xml:space="preserve"> ir visų kitų valstybių narių </w:t>
            </w:r>
            <w:r w:rsidRPr="00565F80">
              <w:rPr>
                <w:b/>
                <w:i/>
                <w:color w:val="auto"/>
              </w:rPr>
              <w:t>automatinėse</w:t>
            </w:r>
            <w:r w:rsidRPr="00565F80">
              <w:rPr>
                <w:color w:val="auto"/>
              </w:rPr>
              <w:t xml:space="preserve"> pirštų atspaudų identifikavimo </w:t>
            </w:r>
            <w:r w:rsidRPr="00565F80">
              <w:rPr>
                <w:b/>
                <w:i/>
                <w:color w:val="auto"/>
              </w:rPr>
              <w:t>sistemose</w:t>
            </w:r>
            <w:r w:rsidRPr="00565F80">
              <w:rPr>
                <w:color w:val="auto"/>
              </w:rPr>
              <w:t xml:space="preserve"> pagal Tarybos sprendimą 2008/615/TVR</w:t>
            </w:r>
            <w:r w:rsidRPr="00565F80">
              <w:rPr>
                <w:rStyle w:val="Sup"/>
                <w:color w:val="auto"/>
              </w:rPr>
              <w:t>36</w:t>
            </w:r>
            <w:r w:rsidRPr="00565F80">
              <w:rPr>
                <w:color w:val="auto"/>
              </w:rPr>
              <w:t xml:space="preserve">. Remiantis ta sąlyga reikalaujama, kad prašančioji </w:t>
            </w:r>
            <w:r w:rsidRPr="00565F80">
              <w:rPr>
                <w:color w:val="auto"/>
              </w:rPr>
              <w:lastRenderedPageBreak/>
              <w:t>valstybė narė atliktų palyginimus su visų kitų valstybių narių automatinių pirštų atspaudų identifikavimo sistemų, kurios techniškai prieinamos, informacija pagal Sprendimą 2008/615/TVR, nebent ta valstybė narė gali pavirtinti, jog esama pagrįstų priežasčių tikėti, kad tai atlikus nepavyks nustatyti duomenų subjekto tapatybės. Tokių pagrįstų priežasčių pirmiausia esama tada, kai specifinis atvejis neturi jokios operatyvinės ar tiriamosios sąsajos su konkrečia valstybe nare. Remiantis ta sąlyga reikalaujama, kad prašančioji valstybė narė pagal Sprendimą 2008/615/TVR vykdytų pirmiausia teisišką ir technišką įgyvendinimą pirštų atspaudų duomenų srityje, kadangi neturėtų būti leidžiama atlikti patikrinimo sistemoje EURODAC teisėsaugos tikslais prieš tai neatlikus pirmiau minėtų veiksmų;</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_________________</w:t>
            </w: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
                <w:color w:val="auto"/>
              </w:rPr>
              <w:t>36</w:t>
            </w:r>
            <w:r w:rsidRPr="00565F80">
              <w:rPr>
                <w:color w:val="auto"/>
              </w:rPr>
              <w:t xml:space="preserve"> 2008 m. birželio 23 d. Tarybos sprendimas 2008/615/TVR dėl tarpvalstybinio bendradarbiavimo gerinimo, visų pirma kovos su terorizmu ir tarpvalstyb</w:t>
            </w:r>
            <w:r w:rsidR="00075FEA" w:rsidRPr="00565F80">
              <w:rPr>
                <w:color w:val="auto"/>
              </w:rPr>
              <w:t>iniu nusikalstamumu srityje (OL L </w:t>
            </w:r>
            <w:r w:rsidRPr="00565F80">
              <w:rPr>
                <w:color w:val="auto"/>
              </w:rPr>
              <w:t>210, 2008 8 6, p. 1).</w:t>
            </w:r>
          </w:p>
        </w:tc>
        <w:tc>
          <w:tcPr>
            <w:tcW w:w="4876" w:type="dxa"/>
          </w:tcPr>
          <w:p w:rsidR="00BF668E" w:rsidRPr="00565F80" w:rsidRDefault="00BF668E" w:rsidP="00C555DE">
            <w:pPr>
              <w:pStyle w:val="Normal6"/>
              <w:rPr>
                <w:color w:val="auto"/>
              </w:rPr>
            </w:pPr>
            <w:r w:rsidRPr="00565F80">
              <w:rPr>
                <w:rStyle w:val="Sup"/>
                <w:color w:val="auto"/>
              </w:rPr>
              <w:t>36</w:t>
            </w:r>
            <w:r w:rsidRPr="00565F80">
              <w:rPr>
                <w:color w:val="auto"/>
              </w:rPr>
              <w:t xml:space="preserve"> 2008 m. birželio 23 d. Tarybos sprendimas 2008/615/TVR dėl tarpvalstybinio bendradarbiavimo gerinimo, visų pirma kovos su terorizmu ir tarpvalstyb</w:t>
            </w:r>
            <w:r w:rsidR="00075FEA" w:rsidRPr="00565F80">
              <w:rPr>
                <w:color w:val="auto"/>
              </w:rPr>
              <w:t>iniu nusikalstamumu srityje (OL L </w:t>
            </w:r>
            <w:r w:rsidRPr="00565F80">
              <w:rPr>
                <w:color w:val="auto"/>
              </w:rPr>
              <w:t>210, 2008 8 6, p. 1).</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Pakeitimas atitinka pasiūlymo (nekodifikuoto teksto) tikslo išplėtimą 1 straipsnio 1 dalies c punkte, kuriame nurodoma, kad</w:t>
      </w:r>
      <w:r w:rsidR="00675DFF" w:rsidRPr="00565F80">
        <w:rPr>
          <w:color w:val="auto"/>
          <w:lang w:val="lt-LT"/>
        </w:rPr>
        <w:t xml:space="preserve"> sistema</w:t>
      </w:r>
      <w:r w:rsidRPr="00565F80">
        <w:rPr>
          <w:color w:val="auto"/>
          <w:lang w:val="lt-LT"/>
        </w:rPr>
        <w:t xml:space="preserve"> EURODAC bus naudojama ne tik Dublino reglamentui įgyvendinti, bet ir teisėsaugos tikslais. Siekiant įgyvendinti valstybių narių paskirtųjų institucijų ir Europolo prievolę, prieigos prie</w:t>
      </w:r>
      <w:r w:rsidR="00675DFF" w:rsidRPr="00565F80">
        <w:rPr>
          <w:color w:val="auto"/>
          <w:lang w:val="lt-LT"/>
        </w:rPr>
        <w:t xml:space="preserve"> sistemos</w:t>
      </w:r>
      <w:r w:rsidRPr="00565F80">
        <w:rPr>
          <w:color w:val="auto"/>
          <w:lang w:val="lt-LT"/>
        </w:rPr>
        <w:t xml:space="preserve"> EURODAC procedūra turėtų būti greita ir veiksminga, bet vis tiek turėtų būti atsižvelgta į pagrindinį </w:t>
      </w:r>
      <w:r w:rsidR="00675DFF" w:rsidRPr="00565F80">
        <w:rPr>
          <w:color w:val="auto"/>
          <w:lang w:val="lt-LT"/>
        </w:rPr>
        <w:t xml:space="preserve">sistemos </w:t>
      </w:r>
      <w:r w:rsidRPr="00565F80">
        <w:rPr>
          <w:color w:val="auto"/>
          <w:lang w:val="lt-LT"/>
        </w:rPr>
        <w:t>EURODAC tikslą, kuris yra remti valstybes nares taikant Dublino reglamentą.</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138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43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(43)</w:t>
            </w:r>
            <w:r w:rsidRPr="00565F80">
              <w:rPr>
                <w:color w:val="auto"/>
              </w:rPr>
              <w:tab/>
            </w:r>
            <w:r w:rsidRPr="00565F80">
              <w:rPr>
                <w:b/>
                <w:i/>
                <w:color w:val="auto"/>
              </w:rPr>
              <w:t>prieš atlikdamos paiešką sistemoje EURODAC, paskirtos institucijos taip pat turėtų pasinaudoti Vizų informacine sistema pagal Tarybos sprendimą 2008/633/TVR, jei tenkinamos sąlygos palyginimui atlikti</w:t>
            </w:r>
            <w:r w:rsidRPr="00565F80">
              <w:rPr>
                <w:rStyle w:val="SupBoldItalic"/>
                <w:color w:val="auto"/>
              </w:rPr>
              <w:t>37</w:t>
            </w:r>
            <w:r w:rsidRPr="00565F80">
              <w:rPr>
                <w:b/>
                <w:i/>
                <w:color w:val="auto"/>
              </w:rPr>
              <w:t>.</w:t>
            </w:r>
          </w:p>
        </w:tc>
        <w:tc>
          <w:tcPr>
            <w:tcW w:w="4876" w:type="dxa"/>
          </w:tcPr>
          <w:p w:rsidR="00BF668E" w:rsidRPr="00565F80" w:rsidRDefault="00BF668E" w:rsidP="00C555DE">
            <w:pPr>
              <w:pStyle w:val="Normal6"/>
              <w:rPr>
                <w:color w:val="auto"/>
              </w:rPr>
            </w:pPr>
            <w:r w:rsidRPr="00565F80">
              <w:rPr>
                <w:b/>
                <w:i/>
                <w:color w:val="auto"/>
              </w:rPr>
              <w:t>Išbraukta.</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_________________</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rStyle w:val="SupBoldItalic"/>
                <w:color w:val="auto"/>
              </w:rPr>
              <w:t>37</w:t>
            </w:r>
            <w:r w:rsidRPr="00565F80">
              <w:rPr>
                <w:color w:val="auto"/>
              </w:rPr>
              <w:t xml:space="preserve"> </w:t>
            </w:r>
            <w:r w:rsidRPr="00565F80">
              <w:rPr>
                <w:b/>
                <w:i/>
                <w:color w:val="auto"/>
              </w:rPr>
              <w:t>2008 m. birželio 23 d. Tarybos sprendimas 2008/633/TVR dėl valstybių narių paskirtų institucijų ir Europolo prieigos prie Vizų informacinės sistemos (VIS) teroristinių ir kitų sunkių nusikaltimų prevencijos, atskleidimo ir tyrimo tikslais (OL L 218, 2008 8 13, p. 129).</w:t>
            </w:r>
          </w:p>
        </w:tc>
        <w:tc>
          <w:tcPr>
            <w:tcW w:w="4876" w:type="dxa"/>
          </w:tcPr>
          <w:p w:rsidR="00BF668E" w:rsidRPr="00565F80" w:rsidRDefault="00BF668E" w:rsidP="00C555DE">
            <w:pPr>
              <w:pStyle w:val="Normal6"/>
              <w:rPr>
                <w:color w:val="auto"/>
              </w:rPr>
            </w:pP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 xml:space="preserve">Pakeitimas atitinka pasiūlymo (nekodifikuoto teksto) tikslo išplėtimą 1 straipsnio 1 dalies c punkte, kuriame nurodoma, kad </w:t>
      </w:r>
      <w:r w:rsidR="00D94921" w:rsidRPr="00565F80">
        <w:rPr>
          <w:color w:val="auto"/>
          <w:lang w:val="lt-LT"/>
        </w:rPr>
        <w:t xml:space="preserve">sistema </w:t>
      </w:r>
      <w:r w:rsidRPr="00565F80">
        <w:rPr>
          <w:color w:val="auto"/>
          <w:lang w:val="lt-LT"/>
        </w:rPr>
        <w:t xml:space="preserve">EURODAC bus naudojama ne tik Dublino reglamentui įgyvendinti, bet ir teisėsaugos tikslais. Siekiant įgyvendinti valstybių narių paskirtųjų institucijų ir Europolo prievolę, taip pat teisėsaugos funkcijas pagal šį reglamentą, prieigos prie </w:t>
      </w:r>
      <w:r w:rsidR="00D94921" w:rsidRPr="00565F80">
        <w:rPr>
          <w:color w:val="auto"/>
          <w:lang w:val="lt-LT"/>
        </w:rPr>
        <w:t xml:space="preserve">sistemos </w:t>
      </w:r>
      <w:r w:rsidRPr="00565F80">
        <w:rPr>
          <w:color w:val="auto"/>
          <w:lang w:val="lt-LT"/>
        </w:rPr>
        <w:t xml:space="preserve">EURODAC procedūra turėtų būti greita ir veiksminga, bet vis tiek turėtų būti atsižvelgta į pagrindinį </w:t>
      </w:r>
      <w:r w:rsidR="00D94921" w:rsidRPr="00565F80">
        <w:rPr>
          <w:color w:val="auto"/>
          <w:lang w:val="lt-LT"/>
        </w:rPr>
        <w:t xml:space="preserve">sistemos </w:t>
      </w:r>
      <w:r w:rsidRPr="00565F80">
        <w:rPr>
          <w:color w:val="auto"/>
          <w:lang w:val="lt-LT"/>
        </w:rPr>
        <w:t>EURODAC tikslą, kuris yra remti valstybes nares taikant Dublino reglamentą.</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139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46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(46)</w:t>
            </w:r>
            <w:r w:rsidRPr="00565F80">
              <w:rPr>
                <w:color w:val="auto"/>
              </w:rPr>
              <w:tab/>
              <w:t xml:space="preserve">kadangi šio reglamento tikslo, t. y. sukurti pirštų atspaudų </w:t>
            </w:r>
            <w:r w:rsidRPr="00565F80">
              <w:rPr>
                <w:b/>
                <w:i/>
                <w:color w:val="auto"/>
              </w:rPr>
              <w:t>ir</w:t>
            </w:r>
            <w:r w:rsidRPr="00565F80">
              <w:rPr>
                <w:color w:val="auto"/>
              </w:rPr>
              <w:t xml:space="preserve"> veido atvaizdo palyginimo sistemą siekiant padėti įgyvendinti Sąjungos prieglobsčio ir migracijos politiką, valstybės narės negali </w:t>
            </w:r>
            <w:r w:rsidRPr="00565F80">
              <w:rPr>
                <w:color w:val="auto"/>
              </w:rPr>
              <w:lastRenderedPageBreak/>
              <w:t>deramai pasiekti vien dėl paties reglamento pobūdžio ir kadangi to tikslo būtų geriau siekti Sąjungos lygiu, laikydamasi Europos Sąjungos sutarties (toliau – ES sutartis) 5 straipsnyje nustatyto subsidiarumo principo Sąjunga gali patvirtinti priemones. Pagal tame straipsnyje nustatytą proporcingumo principą šiuo reglamentu neviršijama to, kas būtina nurodytam tikslui pasiekti;</w:t>
            </w:r>
          </w:p>
        </w:tc>
        <w:tc>
          <w:tcPr>
            <w:tcW w:w="4876" w:type="dxa"/>
          </w:tcPr>
          <w:p w:rsidR="00BF668E" w:rsidRPr="00565F80" w:rsidRDefault="00BF668E" w:rsidP="00C555DE">
            <w:pPr>
              <w:pStyle w:val="Normal6"/>
              <w:rPr>
                <w:color w:val="auto"/>
              </w:rPr>
            </w:pPr>
            <w:r w:rsidRPr="00565F80">
              <w:rPr>
                <w:color w:val="auto"/>
              </w:rPr>
              <w:lastRenderedPageBreak/>
              <w:t>(46)</w:t>
            </w:r>
            <w:r w:rsidRPr="00565F80">
              <w:rPr>
                <w:color w:val="auto"/>
              </w:rPr>
              <w:tab/>
              <w:t xml:space="preserve">kadangi šio reglamento tikslo, t. y. sukurti pirštų atspaudų </w:t>
            </w:r>
            <w:r w:rsidRPr="00565F80">
              <w:rPr>
                <w:b/>
                <w:i/>
                <w:color w:val="auto"/>
              </w:rPr>
              <w:t>duomenų,</w:t>
            </w:r>
            <w:r w:rsidRPr="00565F80">
              <w:rPr>
                <w:color w:val="auto"/>
              </w:rPr>
              <w:t xml:space="preserve"> veido atvaizdo </w:t>
            </w:r>
            <w:r w:rsidRPr="00565F80">
              <w:rPr>
                <w:b/>
                <w:i/>
                <w:color w:val="auto"/>
              </w:rPr>
              <w:t xml:space="preserve">duomenų arba abiejų rūšių duomenų </w:t>
            </w:r>
            <w:r w:rsidRPr="00565F80">
              <w:rPr>
                <w:color w:val="auto"/>
              </w:rPr>
              <w:t xml:space="preserve">palyginimo sistemą siekiant padėti įgyvendinti Sąjungos prieglobsčio ir </w:t>
            </w:r>
            <w:r w:rsidRPr="00565F80">
              <w:rPr>
                <w:color w:val="auto"/>
              </w:rPr>
              <w:lastRenderedPageBreak/>
              <w:t>migracijos politiką, valstybės narės negali deramai pasiekti vien dėl paties reglamento pobūdžio ir kadangi to tikslo būtų geriau siekti Sąjungos lygiu, laikydamasi Europos Sąjungos sutarties (toliau – ES sutartis) 5 straipsnyje nustatyto subsidiarumo principo Sąjunga gali patvirtinti priemones. Pagal tame straipsnyje nustatytą proporcingumo principą šiuo reglamentu neviršijama to, kas būtina nurodytam tikslui pasiekti;</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140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50 konstatuojamoji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(50)</w:t>
            </w:r>
            <w:r w:rsidRPr="00565F80">
              <w:rPr>
                <w:color w:val="auto"/>
              </w:rPr>
              <w:tab/>
              <w:t xml:space="preserve">kad būtų užtikrinta teisė į prieglobstį ir tarptautinės apsaugos prašytojai apsaugoti nuo jų duomenų atskleidimo trečiosioms šalims, turėtų būti draudžiama valstybės narės ar Europolo pagal šį reglamentą iš centrinės sistemos gautus asmens duomenis perduoti trečiajai šaliai ar tarptautinei organizacijai arba Sąjungoje ar už jos ribų įsisteigusiam privačiam subjektui. Tai reiškia, kad valstybės narės neturėtų perduoti iš centrinės sistemos gautos informacijos, susijusios su vardu (-ais) ir pavarde (-ėmis), gimimo data, pilietybe, kilmės valstybe (-ėmis) nare (-ėmis) ar paskyrimo valstybe nare, tapatybės ar kelionės dokumento duomenimis ; ; tarptautinės apsaugos prašymo pateikimo vieta ir data, kilmės valstybės narės naudojamu registracijos numeriu, pirštų atspaudų paėmimo data, taip pat valstybės (-ių) narės (-ių) atlikto duomenų perdavimo sistemai EURODAC data, operatoriaus naudotojo tapatybės kodu ir bet kokia informacija </w:t>
            </w:r>
            <w:r w:rsidRPr="00565F80">
              <w:rPr>
                <w:color w:val="auto"/>
              </w:rPr>
              <w:lastRenderedPageBreak/>
              <w:t>apie duomenų perdavimą remiantis [Reglamentu (ES) Nr. 604/2013]. Tas draudimas neturėtų daryti poveikio valstybių narių teisei tokius duomenis perduoti trečiosioms šalims, kurioms taikomas [Reglamentas (ES) Nr. 604/2013] [ , kaip nustatyta Reglamente (ES) Nr. […/2016], laikantis nacionalinių taisyklių, priimtų pagal Direktyvą [2016/…/ES] ], siekiant valstybėms narėms užtikrinti galimybę su tokiomis trečiosiomis šalimis bendradarbiauti šio reglamento tikslais;</w:t>
            </w:r>
          </w:p>
        </w:tc>
        <w:tc>
          <w:tcPr>
            <w:tcW w:w="4876" w:type="dxa"/>
          </w:tcPr>
          <w:p w:rsidR="00BF668E" w:rsidRPr="00565F80" w:rsidRDefault="00BF668E" w:rsidP="00C555DE">
            <w:pPr>
              <w:pStyle w:val="Normal6"/>
              <w:rPr>
                <w:color w:val="auto"/>
              </w:rPr>
            </w:pPr>
            <w:r w:rsidRPr="00565F80">
              <w:rPr>
                <w:color w:val="auto"/>
              </w:rPr>
              <w:lastRenderedPageBreak/>
              <w:t>(50)</w:t>
            </w:r>
            <w:r w:rsidRPr="00565F80">
              <w:rPr>
                <w:color w:val="auto"/>
              </w:rPr>
              <w:tab/>
              <w:t xml:space="preserve">kad būtų užtikrinta teisė į prieglobstį ir tarptautinės apsaugos prašytojai </w:t>
            </w:r>
            <w:r w:rsidRPr="00565F80">
              <w:rPr>
                <w:b/>
                <w:i/>
                <w:color w:val="auto"/>
              </w:rPr>
              <w:t>ir trečiųjų šalių piliečiai ar asmenys be pilietybės, kuriems valstybės narės pagal Reglamentą XXX/XXX ketina taikyti perkėlimo procedūrą, būtų</w:t>
            </w:r>
            <w:r w:rsidRPr="00565F80">
              <w:rPr>
                <w:color w:val="auto"/>
              </w:rPr>
              <w:t xml:space="preserve"> apsaugoti nuo jų duomenų atskleidimo trečiosioms šalims, turėtų būti draudžiama valstybės narės ar Europolo pagal šį reglamentą iš centrinės sistemos gautus asmens duomenis perduoti trečiajai šaliai ar tarptautinei organizacijai arba Sąjungoje ar už jos ribų įsisteigusiam privačiam subjektui. Tai reiškia, kad valstybės narės neturėtų perduoti iš centrinės sistemos gautos informacijos, susijusios su vardu (-ais) ir pavarde (-ėmis), gimimo data, pilietybe, kilmės valstybe (-ėmis) nare (-ėmis) ar paskyrimo valstybe nare </w:t>
            </w:r>
            <w:r w:rsidRPr="00565F80">
              <w:rPr>
                <w:b/>
                <w:i/>
                <w:color w:val="auto"/>
              </w:rPr>
              <w:t>ar perkėlimo valstybe nare</w:t>
            </w:r>
            <w:r w:rsidRPr="00565F80">
              <w:rPr>
                <w:color w:val="auto"/>
              </w:rPr>
              <w:t xml:space="preserve">, tapatybės ar kelionės dokumento duomenimis ; ; tarptautinės apsaugos prašymo pateikimo </w:t>
            </w:r>
            <w:r w:rsidRPr="00565F80">
              <w:rPr>
                <w:b/>
                <w:i/>
                <w:color w:val="auto"/>
              </w:rPr>
              <w:t>ar perkėlimo</w:t>
            </w:r>
            <w:r w:rsidRPr="00565F80">
              <w:rPr>
                <w:color w:val="auto"/>
              </w:rPr>
              <w:t xml:space="preserve"> vieta ir data, kilmės valstybės narės naudojamu registracijos numeriu, </w:t>
            </w:r>
            <w:r w:rsidRPr="00565F80">
              <w:rPr>
                <w:color w:val="auto"/>
              </w:rPr>
              <w:lastRenderedPageBreak/>
              <w:t xml:space="preserve">pirštų atspaudų paėmimo data, taip pat valstybės (-ių) narės (-ių) atlikto duomenų perdavimo sistemai EURODAC data, operatoriaus naudotojo tapatybės kodu ir bet kokia informacija apie duomenų perdavimą remiantis </w:t>
            </w:r>
            <w:r w:rsidR="001B762B" w:rsidRPr="00565F80">
              <w:rPr>
                <w:color w:val="auto"/>
              </w:rPr>
              <w:t>[Reglamentu (ES) Nr. </w:t>
            </w:r>
            <w:r w:rsidRPr="00565F80">
              <w:rPr>
                <w:color w:val="auto"/>
              </w:rPr>
              <w:t>604/2013]. Tas draudimas neturėtų daryti poveikio valstybių narių teisei tokius duomenis perduoti trečiosioms šalims, kurioms</w:t>
            </w:r>
            <w:r w:rsidR="001B762B" w:rsidRPr="00565F80">
              <w:rPr>
                <w:color w:val="auto"/>
              </w:rPr>
              <w:t xml:space="preserve"> taikomas [Reglamentas (ES) Nr. </w:t>
            </w:r>
            <w:r w:rsidRPr="00565F80">
              <w:rPr>
                <w:color w:val="auto"/>
              </w:rPr>
              <w:t>604/2013] [ , kaip nustatyta Reglamente (ES) Nr. […/2016], laikantis nacionalinių taisyklių, priimtų pagal Direktyvą [2016/…/ES] ], siekiant valstybėms narėms užtikrinti galimybę su tokiomis trečiosiomis šalimis bendradarbiauti šio reglamento tikslais;</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Išdėstymas nauja redakcija. Šiuo pakeitimu siekiama, kad trečiųjų šalių piliečių ar asmenų be pilietybės, kuriems valstybė narė ketina taikyti perkėlimo procedūrą pagal reglamentą, kuriuo nustatoma Sąjungos perkėlimo politika, asmens duomenys</w:t>
      </w:r>
      <w:r w:rsidR="00BA02F9" w:rsidRPr="00565F80">
        <w:rPr>
          <w:color w:val="auto"/>
          <w:lang w:val="lt-LT"/>
        </w:rPr>
        <w:t xml:space="preserve"> </w:t>
      </w:r>
      <w:r w:rsidRPr="00565F80">
        <w:rPr>
          <w:color w:val="auto"/>
          <w:lang w:val="lt-LT"/>
        </w:rPr>
        <w:t>būtų taip pat apsaugoti.</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141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50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(50)</w:t>
            </w:r>
            <w:r w:rsidRPr="00565F80">
              <w:rPr>
                <w:color w:val="auto"/>
              </w:rPr>
              <w:tab/>
              <w:t xml:space="preserve">kad būtų užtikrinta teisė į prieglobstį ir tarptautinės apsaugos prašytojai apsaugoti nuo jų duomenų atskleidimo trečiosioms šalims, turėtų būti draudžiama valstybės narės ar Europolo pagal šį reglamentą iš centrinės sistemos gautus asmens duomenis perduoti trečiajai šaliai ar tarptautinei organizacijai arba Sąjungoje ar už jos ribų įsisteigusiam privačiam subjektui. Tai reiškia, kad valstybės narės neturėtų perduoti iš centrinės sistemos gautos informacijos, </w:t>
            </w:r>
            <w:r w:rsidRPr="00565F80">
              <w:rPr>
                <w:color w:val="auto"/>
              </w:rPr>
              <w:lastRenderedPageBreak/>
              <w:t>susijusios su vardu (-ais) ir pavarde (-ėmis), gimimo data, pilietybe, kilmės valstybe (-ėmis) nare (-ėmis) ar paskyrimo valstybe nare, tapatybės ar kelionės dokumento duomenimis ; tarptautinės apsaugos prašymo pateikimo vieta ir data, kilmės valstybės narės naudojamu registracijos numeriu, pirštų atspaudų paėmimo data, taip pat valstybės (-ių) narės (-ių) atlikto duomenų perdavimo sistemai EURODAC data, operatoriaus naudotojo tapatybės kodu ir bet kokia informacija apie duomenų perdavimą remiantis [Reglamentu (ES) Nr. 604/2013]. Tas draudimas neturėtų daryti poveikio valstybių narių teisei tokius duomenis perduoti trečiosioms šalims, kurioms taikomas [Reglamentas (ES) Nr. 604/2013] [ , kaip nustatyta Reglamente (ES) Nr. […/2016], laikantis nacionalinių taisyklių, priimtų pagal Direktyvą [2016/…/ES] ], siekiant valstybėms narėms užtikrinti galimybę su tokiomis trečiosiomis šalimis bendradarbiauti šio reglamento tikslais;</w:t>
            </w:r>
          </w:p>
        </w:tc>
        <w:tc>
          <w:tcPr>
            <w:tcW w:w="4876" w:type="dxa"/>
          </w:tcPr>
          <w:p w:rsidR="00BF668E" w:rsidRPr="00565F80" w:rsidRDefault="00BF668E" w:rsidP="00C555DE">
            <w:pPr>
              <w:pStyle w:val="Normal6"/>
              <w:rPr>
                <w:color w:val="auto"/>
              </w:rPr>
            </w:pPr>
            <w:r w:rsidRPr="00565F80">
              <w:rPr>
                <w:color w:val="auto"/>
              </w:rPr>
              <w:lastRenderedPageBreak/>
              <w:t>(50)</w:t>
            </w:r>
            <w:r w:rsidRPr="00565F80">
              <w:rPr>
                <w:color w:val="auto"/>
              </w:rPr>
              <w:tab/>
              <w:t xml:space="preserve">kad būtų užtikrinta teisė į prieglobstį ir tarptautinės apsaugos prašytojai apsaugoti nuo jų duomenų atskleidimo trečiosioms šalims, turėtų būti draudžiama valstybės narės ar Europolo pagal šį reglamentą iš centrinės sistemos gautus asmens duomenis perduoti trečiajai šaliai ar tarptautinei organizacijai arba Sąjungoje ar už jos ribų įsisteigusiam privačiam subjektui. Tai reiškia, kad valstybės narės neturėtų perduoti iš centrinės sistemos gautos informacijos, </w:t>
            </w:r>
            <w:r w:rsidRPr="00565F80">
              <w:rPr>
                <w:color w:val="auto"/>
              </w:rPr>
              <w:lastRenderedPageBreak/>
              <w:t xml:space="preserve">susijusios su vardu (-ais) ir pavarde (-ėmis), gimimo data, pilietybe, kilmės valstybe (-ėmis) nare (-ėmis) ar paskyrimo valstybe nare, tapatybės ar kelionės dokumento duomenimis ; tarptautinės apsaugos prašymo pateikimo vieta ir data, kilmės valstybės narės naudojamu registracijos numeriu, pirštų atspaudų </w:t>
            </w:r>
            <w:r w:rsidRPr="00565F80">
              <w:rPr>
                <w:b/>
                <w:i/>
                <w:color w:val="auto"/>
              </w:rPr>
              <w:t xml:space="preserve">ir veido atvaizdo </w:t>
            </w:r>
            <w:r w:rsidRPr="00565F80">
              <w:rPr>
                <w:color w:val="auto"/>
              </w:rPr>
              <w:t>paėmimo data, taip pat valstybės (-ių) narės (-ių) atlikto duomenų perdavimo sistemai EURODAC data, operatoriaus naudotojo tapatybės kodu ir bet kokia informacija apie duomenų perdavimą</w:t>
            </w:r>
            <w:r w:rsidR="00EF0195" w:rsidRPr="00565F80">
              <w:rPr>
                <w:color w:val="auto"/>
              </w:rPr>
              <w:t xml:space="preserve"> remiantis [Reglamentu (ES) Nr. </w:t>
            </w:r>
            <w:r w:rsidRPr="00565F80">
              <w:rPr>
                <w:color w:val="auto"/>
              </w:rPr>
              <w:t xml:space="preserve">604/2013]. Tas draudimas neturėtų daryti poveikio valstybių narių teisei tokius duomenis perduoti trečiosioms šalims, kurioms taikomas [Reglamentas (ES) </w:t>
            </w:r>
            <w:r w:rsidR="00EF0195" w:rsidRPr="00565F80">
              <w:rPr>
                <w:color w:val="auto"/>
              </w:rPr>
              <w:t>Nr. </w:t>
            </w:r>
            <w:r w:rsidRPr="00565F80">
              <w:rPr>
                <w:color w:val="auto"/>
              </w:rPr>
              <w:t>604/2013] [ , kaip nustatyta Reglamente (ES) Nr. […/2016], laikantis nacionalinių taisyklių, priimtų pagal Direktyvą [2016/…/ES] ], siekiant valstybėms narėms užtikrinti galimybę su tokiomis trečiosiomis šalimis bendradarbiauti šio reglamento tikslais;</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Komisijos pasiūlymas pataisomas, nes ne visose reikiamose vietose yra įterpiami „pirštų atspaudai“ ir „veido atvaizdas“, nors tai atitinka prievolę, nurodytą 2 straipsnyje.</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142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51 konstatuojamoji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(51)</w:t>
            </w:r>
            <w:r w:rsidRPr="00565F80">
              <w:rPr>
                <w:color w:val="auto"/>
              </w:rPr>
              <w:tab/>
            </w:r>
            <w:r w:rsidRPr="00565F80">
              <w:rPr>
                <w:b/>
                <w:i/>
                <w:color w:val="auto"/>
              </w:rPr>
              <w:t>tam tikrais atvejais</w:t>
            </w:r>
            <w:r w:rsidRPr="00565F80">
              <w:rPr>
                <w:color w:val="auto"/>
              </w:rPr>
              <w:t xml:space="preserve"> iš centrinės sistemos gauta informacija galima dalytis su trečiosiomis šalimis, kad joms būtų lengviau nustatyti trečiosios šalies piliečio </w:t>
            </w:r>
            <w:r w:rsidRPr="00565F80">
              <w:rPr>
                <w:color w:val="auto"/>
              </w:rPr>
              <w:lastRenderedPageBreak/>
              <w:t xml:space="preserve">tapatybę, kiek tai susiję su jo grąžinimu. </w:t>
            </w:r>
            <w:r w:rsidRPr="00565F80">
              <w:rPr>
                <w:b/>
                <w:i/>
                <w:color w:val="auto"/>
              </w:rPr>
              <w:t>Dalijimasis bet kokiais asmens duomenimis vykdomas laikantis griežtų sąlygų. Kai dalijamasi tokia informacija, trečiajai šaliai negali būti atskleista jokia informacija, susijusi su faktu, kad trečiosios šalies pilietis pateikė tarptautinės apsaugos prašymą, jei šalis, į kurią perkeliamas asmuo, taip pat yra to asmens kilmės šalis arba kita trečioji šalis, į kurią vykdoma jo readmisija. Bet koks duomenų perdavimas trečiajai šaliai trečiosios šalies piliečio tapatybės nustatymo tikslais turi būti vykdomas laikantis Reglamento (ES) Nr. […2016] V skyriaus nuostatų;</w:t>
            </w:r>
          </w:p>
        </w:tc>
        <w:tc>
          <w:tcPr>
            <w:tcW w:w="4876" w:type="dxa"/>
          </w:tcPr>
          <w:p w:rsidR="00BF668E" w:rsidRPr="00565F80" w:rsidRDefault="00BF668E" w:rsidP="00C555DE">
            <w:pPr>
              <w:pStyle w:val="Normal6"/>
              <w:rPr>
                <w:color w:val="auto"/>
              </w:rPr>
            </w:pPr>
            <w:r w:rsidRPr="00565F80">
              <w:rPr>
                <w:color w:val="auto"/>
              </w:rPr>
              <w:lastRenderedPageBreak/>
              <w:t>(51)</w:t>
            </w:r>
            <w:r w:rsidRPr="00565F80">
              <w:rPr>
                <w:color w:val="auto"/>
              </w:rPr>
              <w:tab/>
              <w:t xml:space="preserve">iš centrinės sistemos gauta informacija </w:t>
            </w:r>
            <w:r w:rsidRPr="00565F80">
              <w:rPr>
                <w:b/>
                <w:i/>
                <w:color w:val="auto"/>
              </w:rPr>
              <w:t>neturėtų būti</w:t>
            </w:r>
            <w:r w:rsidRPr="00565F80">
              <w:rPr>
                <w:color w:val="auto"/>
              </w:rPr>
              <w:t xml:space="preserve"> galima dalytis su trečiosiomis šalimis, kad joms būtų lengviau nustatyti trečiosios šalies piliečio </w:t>
            </w:r>
            <w:r w:rsidRPr="00565F80">
              <w:rPr>
                <w:color w:val="auto"/>
              </w:rPr>
              <w:lastRenderedPageBreak/>
              <w:t>tapatybę, kiek tai susiję su jo grąžinimu.</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143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69 konstatuojamoji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(69)</w:t>
            </w:r>
            <w:r w:rsidRPr="00565F80">
              <w:rPr>
                <w:color w:val="auto"/>
              </w:rPr>
              <w:tab/>
              <w:t>reikia apriboti šio reglamento teritorinio taikymo sritį, kad ji atitiktų Reglamento (ES) Nr. […/…] teritorinio taikymo sritį;</w:t>
            </w:r>
          </w:p>
        </w:tc>
        <w:tc>
          <w:tcPr>
            <w:tcW w:w="4876" w:type="dxa"/>
          </w:tcPr>
          <w:p w:rsidR="00BF668E" w:rsidRPr="00565F80" w:rsidRDefault="00BF668E" w:rsidP="00C555DE">
            <w:pPr>
              <w:pStyle w:val="Normal6"/>
              <w:rPr>
                <w:color w:val="auto"/>
              </w:rPr>
            </w:pPr>
            <w:r w:rsidRPr="00565F80">
              <w:rPr>
                <w:color w:val="auto"/>
              </w:rPr>
              <w:t>(69)</w:t>
            </w:r>
            <w:r w:rsidRPr="00565F80">
              <w:rPr>
                <w:color w:val="auto"/>
              </w:rPr>
              <w:tab/>
              <w:t>reikia apriboti šio reglamento teritorinio taikymo sritį, kad ji atitiktų Reglamento (ES) Nr. […/…] teritorinio taikymo sritį,</w:t>
            </w:r>
            <w:r w:rsidRPr="00565F80">
              <w:rPr>
                <w:b/>
                <w:i/>
                <w:color w:val="auto"/>
              </w:rPr>
              <w:t xml:space="preserve"> nepažeidžiant nuostatų, susijusių su Reglamento XXX/XXX taikymu</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Išdėstymas nauja redakcija. Šioje konstatuojamojoje dalyje reikėtų nurodyti būsimą reglamentą, kuriuo bus nustatoma Sąjungos perkėlimo politika, kad šio reglamento taikymo sritis nepažeistų būsimo reglamento nuostatų.</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144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lastRenderedPageBreak/>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a a punktas (naujas)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aa)</w:t>
            </w:r>
            <w:r w:rsidRPr="00565F80">
              <w:rPr>
                <w:color w:val="auto"/>
              </w:rPr>
              <w:tab/>
            </w:r>
            <w:r w:rsidRPr="00565F80">
              <w:rPr>
                <w:b/>
                <w:i/>
                <w:color w:val="auto"/>
              </w:rPr>
              <w:t>sudaryti geresnes sąlygas taikyti Reglamentą XXX/XXX pagal minėto reglamento nuostatas.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Išdėstymas nauja redakcija. Šiuo pakeitimu siekiama šiam reglamentui pridėti dar vieną tikslą, nes siūloma į šio reglamento taikymo sritį įtraukti asmenų, kuriems valstybė narė ketina taikyti perkėlimo procedūrą pagal Reglamentą XXX/XXX, duomenis.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145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b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b)</w:t>
            </w:r>
            <w:r w:rsidRPr="00565F80">
              <w:rPr>
                <w:color w:val="auto"/>
              </w:rPr>
              <w:tab/>
            </w:r>
            <w:r w:rsidRPr="00565F80">
              <w:rPr>
                <w:b/>
                <w:i/>
                <w:color w:val="auto"/>
              </w:rPr>
              <w:t>padėti kontroliuoti neteisėtą migraciją į Sąjungą ir antrinį judėjimą joje, taip pat nustatyti neteisėtai šalyje esančių trečiųjų šalių piliečių tapatybę, kad būtų galima nuspręsti, kokių tinkamų priemonių turi imtis valstybės narės, įskaitant be leidimo gyvenančių asmenų išsiuntimą ir repatriaciją;</w:t>
            </w:r>
          </w:p>
        </w:tc>
        <w:tc>
          <w:tcPr>
            <w:tcW w:w="4876" w:type="dxa"/>
          </w:tcPr>
          <w:p w:rsidR="00BF668E" w:rsidRPr="00565F80" w:rsidRDefault="00BF668E" w:rsidP="00C555DE">
            <w:pPr>
              <w:pStyle w:val="Normal6"/>
              <w:rPr>
                <w:color w:val="auto"/>
              </w:rPr>
            </w:pPr>
            <w:r w:rsidRPr="00565F80">
              <w:rPr>
                <w:b/>
                <w:i/>
                <w:color w:val="auto"/>
              </w:rPr>
              <w:t>Išbraukta.</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Italic"/>
              <w:rPr>
                <w:color w:val="auto"/>
              </w:rPr>
            </w:pPr>
            <w:r w:rsidRPr="00565F80">
              <w:rPr>
                <w:color w:val="auto"/>
              </w:rPr>
              <w:t>(Šis pakeitimas taikomas visam tekstui. Jį priėmus reikės padaryti atitinkamus viso teksto pakeitimus.)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 xml:space="preserve">The enlargement of the scope and purpose of Eurodac to irregular migration and to enable the use of data for return purpose clearly runs contrary to the principle of purpose limitation, protected under Article 8 of the Charter of Fundamental Rights, the EU Data Protection </w:t>
      </w:r>
      <w:r w:rsidRPr="00565F80">
        <w:rPr>
          <w:color w:val="auto"/>
          <w:lang w:val="lt-LT"/>
        </w:rPr>
        <w:lastRenderedPageBreak/>
        <w:t>Directive, and the new Data Protection Regulation. There are also three other databases (Visa Information System (VIS), Schengen Information System (SIS) and Entry/Exit System (EES)) that already covers irregular entry and stay.</w:t>
      </w:r>
    </w:p>
    <w:p w:rsidR="00BF668E" w:rsidRPr="00565F80" w:rsidRDefault="00BF668E" w:rsidP="00BF668E">
      <w:pPr>
        <w:pStyle w:val="Normal12Italic"/>
        <w:rPr>
          <w:color w:val="auto"/>
          <w:lang w:val="lt-LT"/>
        </w:rPr>
      </w:pPr>
      <w:r w:rsidRPr="00565F80">
        <w:rPr>
          <w:color w:val="auto"/>
          <w:lang w:val="lt-LT"/>
        </w:rPr>
        <w:t>As long as necessity and proportionality have not been proven, the Regulation risks violating the Charter and could be challenged before the CJEU. As recommended by the EDPS, such an expansion should not be done before a careful assessment of the suitability of Eurodac to meet these objectives.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146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Christine Revault D'Allonnes Bonnefoy, Sylvie Guillaume</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b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b)</w:t>
            </w:r>
            <w:r w:rsidRPr="00565F80">
              <w:rPr>
                <w:color w:val="auto"/>
              </w:rPr>
              <w:tab/>
            </w:r>
            <w:r w:rsidRPr="00565F80">
              <w:rPr>
                <w:b/>
                <w:i/>
                <w:color w:val="auto"/>
              </w:rPr>
              <w:t>padėti kontroliuoti neteisėtą migraciją į Sąjungą ir antrinį judėjimą joje, taip pat nustatyti neteisėtai šalyje esančių trečiųjų šalių piliečių tapatybę, kad būtų galima nuspręsti, kokių tinkamų priemonių turi imtis valstybės narės, įskaitant be leidimo gyvenančių asmenų išsiuntimą ir repatriaciją;</w:t>
            </w:r>
          </w:p>
        </w:tc>
        <w:tc>
          <w:tcPr>
            <w:tcW w:w="4876" w:type="dxa"/>
          </w:tcPr>
          <w:p w:rsidR="00BF668E" w:rsidRPr="00565F80" w:rsidRDefault="00BF668E" w:rsidP="00C555DE">
            <w:pPr>
              <w:pStyle w:val="Normal6"/>
              <w:rPr>
                <w:color w:val="auto"/>
              </w:rPr>
            </w:pPr>
            <w:r w:rsidRPr="00565F80">
              <w:rPr>
                <w:b/>
                <w:i/>
                <w:color w:val="auto"/>
              </w:rPr>
              <w:t>Išbraukta.</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Italic"/>
              <w:rPr>
                <w:color w:val="auto"/>
              </w:rPr>
            </w:pPr>
            <w:r w:rsidRPr="00565F80">
              <w:rPr>
                <w:color w:val="auto"/>
              </w:rPr>
              <w:t>(Šis pakeitimas taikomas visam tekstui. Jį priėmus reikės padaryti atitinkamus viso teksto pakeitimus.)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Eurodac was primarily designed to serve the implementation of the Dublin Regulation. With this new proposal, the scope of Eurodac is radically modified for immigration purposes, including removal and repatriation of persons. I do not agree with this extension of the scope. It also raises many issues regarding data protection. The purpose limitation principle should be respected - cf articles 8(2) of the Charter of Fundamental Rights in the EU and 5(b) of the Convention of the Council of Europe for the Protection of Individuals with regard to Automatic Processing of Personal Data.Indeed, data shall be used in accordance with the original purpose for which they have been collected. Eurodac was designed as a database for implementing the Dublin Regulation.</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lastRenderedPageBreak/>
        <w:t>&lt;Amend&gt;</w:t>
      </w:r>
      <w:r w:rsidRPr="00565F80">
        <w:rPr>
          <w:color w:val="auto"/>
        </w:rPr>
        <w:t xml:space="preserve">Pakeitimas </w:t>
      </w:r>
      <w:r w:rsidRPr="00565F80">
        <w:rPr>
          <w:rStyle w:val="HideTWBExt"/>
          <w:color w:val="auto"/>
        </w:rPr>
        <w:t>&lt;NumAm&gt;</w:t>
      </w:r>
      <w:r w:rsidRPr="00565F80">
        <w:rPr>
          <w:color w:val="auto"/>
        </w:rPr>
        <w:t>147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b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b)</w:t>
            </w:r>
            <w:r w:rsidRPr="00565F80">
              <w:rPr>
                <w:color w:val="auto"/>
              </w:rPr>
              <w:tab/>
            </w:r>
            <w:r w:rsidRPr="00565F80">
              <w:rPr>
                <w:b/>
                <w:i/>
                <w:color w:val="auto"/>
              </w:rPr>
              <w:t>padėti kontroliuoti neteisėtą migraciją į Sąjungą ir antrinį judėjimą joje, taip pat nustatyti neteisėtai šalyje esančių trečiųjų šalių piliečių tapatybę, kad būtų galima nuspręsti, kokių tinkamų priemonių turi imtis valstybės narės, įskaitant be leidimo gyvenančių asmenų išsiuntimą ir repatriaciją;</w:t>
            </w:r>
          </w:p>
        </w:tc>
        <w:tc>
          <w:tcPr>
            <w:tcW w:w="4876" w:type="dxa"/>
          </w:tcPr>
          <w:p w:rsidR="00BF668E" w:rsidRPr="00565F80" w:rsidRDefault="00BF668E" w:rsidP="00C555DE">
            <w:pPr>
              <w:pStyle w:val="Normal6"/>
              <w:rPr>
                <w:color w:val="auto"/>
              </w:rPr>
            </w:pPr>
            <w:r w:rsidRPr="00565F80">
              <w:rPr>
                <w:b/>
                <w:i/>
                <w:color w:val="auto"/>
              </w:rPr>
              <w:t>Išbraukta.</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148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Carlos Coelho</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b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b)</w:t>
            </w:r>
            <w:r w:rsidRPr="00565F80">
              <w:rPr>
                <w:color w:val="auto"/>
              </w:rPr>
              <w:tab/>
              <w:t xml:space="preserve">padėti </w:t>
            </w:r>
            <w:r w:rsidRPr="00565F80">
              <w:rPr>
                <w:b/>
                <w:i/>
                <w:color w:val="auto"/>
              </w:rPr>
              <w:t>kontroliuoti neteisėtą migraciją į Sąjungą ir antrinį judėjimą joje, taip pat</w:t>
            </w:r>
            <w:r w:rsidRPr="00565F80">
              <w:rPr>
                <w:color w:val="auto"/>
              </w:rPr>
              <w:t xml:space="preserve"> nustatyti neteisėtai šalyje esančių trečiųjų šalių piliečių tapatybę, kad būtų galima nuspręsti, kokių tinkamų priemonių turi imtis valstybės narės, įskaitant be leidimo gyvenančių asmenų išsiuntimą ir repatriaciją;</w:t>
            </w:r>
          </w:p>
        </w:tc>
        <w:tc>
          <w:tcPr>
            <w:tcW w:w="4876" w:type="dxa"/>
          </w:tcPr>
          <w:p w:rsidR="00BF668E" w:rsidRPr="00565F80" w:rsidRDefault="00BF668E" w:rsidP="00C555DE">
            <w:pPr>
              <w:pStyle w:val="Normal6"/>
              <w:rPr>
                <w:color w:val="auto"/>
              </w:rPr>
            </w:pPr>
            <w:r w:rsidRPr="00565F80">
              <w:rPr>
                <w:color w:val="auto"/>
              </w:rPr>
              <w:t>b)</w:t>
            </w:r>
            <w:r w:rsidRPr="00565F80">
              <w:rPr>
                <w:color w:val="auto"/>
              </w:rPr>
              <w:tab/>
              <w:t>padėti nustatyti neteisėtai šalyje esančių trečiųjų šalių piliečių tapatybę, kad būtų galima nuspręsti, kokių tinkamų priemonių turi imtis valstybės narės, įskaitant be leidimo gyvenančių asmenų išsiuntimą ir repatriaciją;</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149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Lorenzo Fontana</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b punktas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b)</w:t>
            </w:r>
            <w:r w:rsidRPr="00565F80">
              <w:rPr>
                <w:color w:val="auto"/>
              </w:rPr>
              <w:tab/>
            </w:r>
            <w:r w:rsidRPr="00565F80">
              <w:rPr>
                <w:b/>
                <w:i/>
                <w:color w:val="auto"/>
              </w:rPr>
              <w:t>padėti kontroliuoti neteisėtą migraciją</w:t>
            </w:r>
            <w:r w:rsidRPr="00565F80">
              <w:rPr>
                <w:color w:val="auto"/>
              </w:rPr>
              <w:t xml:space="preserve"> į Sąjungą ir </w:t>
            </w:r>
            <w:r w:rsidRPr="00565F80">
              <w:rPr>
                <w:b/>
                <w:i/>
                <w:color w:val="auto"/>
              </w:rPr>
              <w:t>antrinį judėjimą</w:t>
            </w:r>
            <w:r w:rsidRPr="00565F80">
              <w:rPr>
                <w:color w:val="auto"/>
              </w:rPr>
              <w:t xml:space="preserve"> joje, taip pat nustatyti neteisėtai šalyje esančių trečiųjų šalių piliečių tapatybę, kad būtų galima nuspręsti, kokių tinkamų priemonių turi imtis valstybės narės, įskaitant be leidimo gyvenančių asmenų išsiuntimą ir repatriaciją;</w:t>
            </w:r>
          </w:p>
        </w:tc>
        <w:tc>
          <w:tcPr>
            <w:tcW w:w="4876" w:type="dxa"/>
          </w:tcPr>
          <w:p w:rsidR="00BF668E" w:rsidRPr="00565F80" w:rsidRDefault="00BF668E" w:rsidP="00C555DE">
            <w:pPr>
              <w:pStyle w:val="Normal6"/>
              <w:rPr>
                <w:color w:val="auto"/>
              </w:rPr>
            </w:pPr>
            <w:r w:rsidRPr="00565F80">
              <w:rPr>
                <w:color w:val="auto"/>
              </w:rPr>
              <w:t>b)</w:t>
            </w:r>
            <w:r w:rsidRPr="00565F80">
              <w:rPr>
                <w:color w:val="auto"/>
              </w:rPr>
              <w:tab/>
            </w:r>
            <w:r w:rsidRPr="00565F80">
              <w:rPr>
                <w:b/>
                <w:i/>
                <w:color w:val="auto"/>
              </w:rPr>
              <w:t>įgyvendinti priemonę, kuri padėtų kovoti su neteisėta migracija</w:t>
            </w:r>
            <w:r w:rsidRPr="00565F80">
              <w:rPr>
                <w:color w:val="auto"/>
              </w:rPr>
              <w:t xml:space="preserve"> į Sąjungą ir </w:t>
            </w:r>
            <w:r w:rsidRPr="00565F80">
              <w:rPr>
                <w:b/>
                <w:i/>
                <w:color w:val="auto"/>
              </w:rPr>
              <w:t>antriniu judėjimu</w:t>
            </w:r>
            <w:r w:rsidRPr="00565F80">
              <w:rPr>
                <w:color w:val="auto"/>
              </w:rPr>
              <w:t xml:space="preserve"> joje, taip pat nustatyti neteisėtai šalyje esančių trečiųjų šalių piliečių tapatybę, kad būtų galima nuspręsti, kokių tinkamų priemonių turi imtis valstybės narės, įskaitant be leidimo gyvenančių asmenų išsiuntimą ir repatriaciją;</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{IT}</w:t>
      </w:r>
      <w:r w:rsidRPr="00565F80">
        <w:rPr>
          <w:color w:val="auto"/>
          <w:lang w:val="lt-LT"/>
        </w:rPr>
        <w:t>it</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150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b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b)</w:t>
            </w:r>
            <w:r w:rsidRPr="00565F80">
              <w:rPr>
                <w:color w:val="auto"/>
              </w:rPr>
              <w:tab/>
              <w:t xml:space="preserve">padėti kontroliuoti neteisėtą migraciją į Sąjungą ir antrinį judėjimą joje, taip pat nustatyti neteisėtai šalyje esančių trečiųjų šalių piliečių tapatybę, kad būtų galima nuspręsti, </w:t>
            </w:r>
            <w:r w:rsidRPr="00565F80">
              <w:rPr>
                <w:b/>
                <w:i/>
                <w:color w:val="auto"/>
              </w:rPr>
              <w:t>kokių</w:t>
            </w:r>
            <w:r w:rsidRPr="00565F80">
              <w:rPr>
                <w:color w:val="auto"/>
              </w:rPr>
              <w:t xml:space="preserve"> tinkamų priemonių </w:t>
            </w:r>
            <w:r w:rsidRPr="00565F80">
              <w:rPr>
                <w:b/>
                <w:i/>
                <w:color w:val="auto"/>
              </w:rPr>
              <w:t>turi imtis</w:t>
            </w:r>
            <w:r w:rsidRPr="00565F80">
              <w:rPr>
                <w:color w:val="auto"/>
              </w:rPr>
              <w:t xml:space="preserve"> </w:t>
            </w:r>
            <w:r w:rsidRPr="00565F80">
              <w:rPr>
                <w:b/>
                <w:i/>
                <w:color w:val="auto"/>
              </w:rPr>
              <w:t>valstybės narės</w:t>
            </w:r>
            <w:r w:rsidRPr="00565F80">
              <w:rPr>
                <w:color w:val="auto"/>
              </w:rPr>
              <w:t xml:space="preserve">, įskaitant </w:t>
            </w:r>
            <w:r w:rsidRPr="00565F80">
              <w:rPr>
                <w:b/>
                <w:i/>
                <w:color w:val="auto"/>
              </w:rPr>
              <w:t xml:space="preserve">be leidimo gyvenančių </w:t>
            </w:r>
            <w:r w:rsidRPr="00565F80">
              <w:rPr>
                <w:color w:val="auto"/>
              </w:rPr>
              <w:t xml:space="preserve">asmenų išsiuntimą ir </w:t>
            </w:r>
            <w:r w:rsidRPr="00565F80">
              <w:rPr>
                <w:b/>
                <w:i/>
                <w:color w:val="auto"/>
              </w:rPr>
              <w:t>repatriaciją</w:t>
            </w:r>
            <w:r w:rsidRPr="00565F80">
              <w:rPr>
                <w:color w:val="auto"/>
              </w:rPr>
              <w:t>;</w:t>
            </w:r>
          </w:p>
        </w:tc>
        <w:tc>
          <w:tcPr>
            <w:tcW w:w="4876" w:type="dxa"/>
          </w:tcPr>
          <w:p w:rsidR="00BF668E" w:rsidRPr="00565F80" w:rsidRDefault="00BF668E" w:rsidP="006C2AFB">
            <w:pPr>
              <w:pStyle w:val="Normal6"/>
              <w:rPr>
                <w:color w:val="auto"/>
              </w:rPr>
            </w:pPr>
            <w:r w:rsidRPr="00565F80">
              <w:rPr>
                <w:color w:val="auto"/>
              </w:rPr>
              <w:t>b)</w:t>
            </w:r>
            <w:r w:rsidRPr="00565F80">
              <w:rPr>
                <w:color w:val="auto"/>
              </w:rPr>
              <w:tab/>
              <w:t xml:space="preserve">padėti kontroliuoti neteisėtą migraciją į Sąjungą ir antrinį judėjimą joje, taip pat nustatyti neteisėtai šalyje esančių trečiųjų šalių piliečių </w:t>
            </w:r>
            <w:r w:rsidRPr="00565F80">
              <w:rPr>
                <w:b/>
                <w:i/>
                <w:color w:val="auto"/>
              </w:rPr>
              <w:t xml:space="preserve">arba asmenų be pilietybės </w:t>
            </w:r>
            <w:r w:rsidRPr="00565F80">
              <w:rPr>
                <w:color w:val="auto"/>
              </w:rPr>
              <w:t xml:space="preserve">tapatybę, kad būtų galima nuspręsti, </w:t>
            </w:r>
            <w:r w:rsidRPr="00565F80">
              <w:rPr>
                <w:b/>
                <w:i/>
                <w:color w:val="auto"/>
              </w:rPr>
              <w:t>kuri</w:t>
            </w:r>
            <w:r w:rsidR="006C2AFB" w:rsidRPr="00565F80">
              <w:rPr>
                <w:b/>
                <w:i/>
                <w:color w:val="auto"/>
              </w:rPr>
              <w:t>ai</w:t>
            </w:r>
            <w:r w:rsidRPr="00565F80">
              <w:rPr>
                <w:b/>
                <w:i/>
                <w:color w:val="auto"/>
              </w:rPr>
              <w:t xml:space="preserve"> valstyb</w:t>
            </w:r>
            <w:r w:rsidR="006C2AFB" w:rsidRPr="00565F80">
              <w:rPr>
                <w:b/>
                <w:i/>
                <w:color w:val="auto"/>
              </w:rPr>
              <w:t>ei</w:t>
            </w:r>
            <w:r w:rsidRPr="00565F80">
              <w:rPr>
                <w:b/>
                <w:i/>
                <w:color w:val="auto"/>
              </w:rPr>
              <w:t xml:space="preserve"> nar</w:t>
            </w:r>
            <w:r w:rsidR="006C2AFB" w:rsidRPr="00565F80">
              <w:rPr>
                <w:b/>
                <w:i/>
                <w:color w:val="auto"/>
              </w:rPr>
              <w:t>ei</w:t>
            </w:r>
            <w:r w:rsidRPr="00565F80">
              <w:rPr>
                <w:b/>
                <w:i/>
                <w:color w:val="auto"/>
              </w:rPr>
              <w:t xml:space="preserve"> </w:t>
            </w:r>
            <w:r w:rsidR="006C2AFB" w:rsidRPr="00565F80">
              <w:rPr>
                <w:b/>
                <w:i/>
                <w:color w:val="auto"/>
              </w:rPr>
              <w:t>tenka atsakomybė imtis</w:t>
            </w:r>
            <w:r w:rsidRPr="00565F80">
              <w:rPr>
                <w:b/>
                <w:i/>
                <w:color w:val="auto"/>
              </w:rPr>
              <w:t xml:space="preserve"> </w:t>
            </w:r>
            <w:r w:rsidRPr="00565F80">
              <w:rPr>
                <w:color w:val="auto"/>
              </w:rPr>
              <w:t xml:space="preserve">tinkamų priemonių, įskaitant </w:t>
            </w:r>
            <w:r w:rsidRPr="00565F80">
              <w:rPr>
                <w:b/>
                <w:i/>
                <w:color w:val="auto"/>
              </w:rPr>
              <w:t xml:space="preserve">neteisėtai šalyje esančių trečiųjų šalių piliečių ir </w:t>
            </w:r>
            <w:r w:rsidRPr="00565F80">
              <w:rPr>
                <w:color w:val="auto"/>
              </w:rPr>
              <w:t xml:space="preserve">asmenų </w:t>
            </w:r>
            <w:r w:rsidRPr="00565F80">
              <w:rPr>
                <w:b/>
                <w:i/>
                <w:color w:val="auto"/>
              </w:rPr>
              <w:t>be pilietybės</w:t>
            </w:r>
            <w:r w:rsidRPr="00565F80">
              <w:rPr>
                <w:i/>
                <w:color w:val="auto"/>
              </w:rPr>
              <w:t xml:space="preserve"> </w:t>
            </w:r>
            <w:r w:rsidRPr="00565F80">
              <w:rPr>
                <w:color w:val="auto"/>
              </w:rPr>
              <w:t xml:space="preserve">išsiuntimą ir </w:t>
            </w:r>
            <w:r w:rsidRPr="00565F80">
              <w:rPr>
                <w:b/>
                <w:i/>
                <w:color w:val="auto"/>
              </w:rPr>
              <w:t>grąžinimą</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151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Sophia in 't Veld</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b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b)</w:t>
            </w:r>
            <w:r w:rsidRPr="00565F80">
              <w:rPr>
                <w:color w:val="auto"/>
              </w:rPr>
              <w:tab/>
              <w:t>padėti kontroliuoti neteisėtą migraciją į Sąjungą ir antrinį judėjimą joje, taip pat nustatyti neteisėtai šalyje esančių trečiųjų šalių piliečių tapatybę, kad būtų galima nuspręsti, kokių tinkamų priemonių turi imtis valstybės narės, įskaitant be leidimo gyvenančių asmenų išsiuntimą ir repatriaciją;</w:t>
            </w:r>
          </w:p>
        </w:tc>
        <w:tc>
          <w:tcPr>
            <w:tcW w:w="4876" w:type="dxa"/>
          </w:tcPr>
          <w:p w:rsidR="00BF668E" w:rsidRPr="00565F80" w:rsidRDefault="00BF668E" w:rsidP="00C555DE">
            <w:pPr>
              <w:pStyle w:val="Normal6"/>
              <w:rPr>
                <w:color w:val="auto"/>
              </w:rPr>
            </w:pPr>
            <w:r w:rsidRPr="00565F80">
              <w:rPr>
                <w:color w:val="auto"/>
              </w:rPr>
              <w:t>b)</w:t>
            </w:r>
            <w:r w:rsidRPr="00565F80">
              <w:rPr>
                <w:color w:val="auto"/>
              </w:rPr>
              <w:tab/>
              <w:t>padėti kontroliuoti neteisėtą migraciją į Sąjungą ir antrinį judėjimą joje, taip pat nustatyti neteisėtai šalyje esančių trečiųjų šalių piliečių tapatybę, kad būtų galima nuspręsti, kokių tinkamų priemonių turi imtis valstybės narės, įskaitant be leidimo gyvenančių asmenų išsiuntimą ir repatriaciją</w:t>
            </w:r>
            <w:r w:rsidRPr="00565F80">
              <w:rPr>
                <w:b/>
                <w:i/>
                <w:color w:val="auto"/>
              </w:rPr>
              <w:t>, laikantis būtinumo ir proporcingumo principų, įtvirtintų Chartijos 52 straipsnio 1 dalyje ir atitinkamoje ESTT praktikoje</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152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Fabio Massimo Castaldo, Laura Ferrara, Ignazio Corrao</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b punktas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b)</w:t>
            </w:r>
            <w:r w:rsidRPr="00565F80">
              <w:rPr>
                <w:color w:val="auto"/>
              </w:rPr>
              <w:tab/>
              <w:t>padėti kontroliuoti neteisėtą migraciją į Sąjungą ir antrinį judėjimą joje, taip pat nustatyti neteisėtai šalyje esančių trečiųjų šalių piliečių tapatybę, kad būtų galima nuspręsti, kokių tinkamų priemonių turi imtis valstybės narės, įskaitant be leidimo gyvenančių asmenų išsiuntimą ir repatriaciją;</w:t>
            </w:r>
          </w:p>
        </w:tc>
        <w:tc>
          <w:tcPr>
            <w:tcW w:w="4876" w:type="dxa"/>
          </w:tcPr>
          <w:p w:rsidR="00BF668E" w:rsidRPr="00565F80" w:rsidRDefault="00BF668E" w:rsidP="00C555DE">
            <w:pPr>
              <w:pStyle w:val="Normal6"/>
              <w:rPr>
                <w:color w:val="auto"/>
              </w:rPr>
            </w:pPr>
            <w:r w:rsidRPr="00565F80">
              <w:rPr>
                <w:color w:val="auto"/>
              </w:rPr>
              <w:t>b)</w:t>
            </w:r>
            <w:r w:rsidRPr="00565F80">
              <w:rPr>
                <w:color w:val="auto"/>
              </w:rPr>
              <w:tab/>
              <w:t>padėti kontroliuoti neteisėtą migraciją į Sąjungą ir antrinį judėjimą joje, taip pat nustatyti neteisėtai šalyje esančių trečiųjų šalių piliečių</w:t>
            </w:r>
            <w:r w:rsidRPr="00565F80">
              <w:rPr>
                <w:b/>
                <w:i/>
                <w:color w:val="auto"/>
              </w:rPr>
              <w:t>, kurių atžvilgiu prieš tai buvo išduotas išsiuntimo orderis,</w:t>
            </w:r>
            <w:r w:rsidRPr="00565F80">
              <w:rPr>
                <w:color w:val="auto"/>
              </w:rPr>
              <w:t xml:space="preserve"> tapatybę, kad būtų galima nuspręsti, kokių tinkamų priemonių turi imtis valstybės narės, įskaitant be leidimo gyvenančių asmenų išsiuntimą ir repatriaciją;</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{IT}</w:t>
      </w:r>
      <w:r w:rsidRPr="00565F80">
        <w:rPr>
          <w:color w:val="auto"/>
          <w:lang w:val="lt-LT"/>
        </w:rPr>
        <w:t>it</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153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Maria Grapini, Juan Fernando López Aguilar, Caterina Chinnici</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b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lastRenderedPageBreak/>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b)</w:t>
            </w:r>
            <w:r w:rsidRPr="00565F80">
              <w:rPr>
                <w:color w:val="auto"/>
              </w:rPr>
              <w:tab/>
              <w:t xml:space="preserve">padėti </w:t>
            </w:r>
            <w:r w:rsidRPr="00565F80">
              <w:rPr>
                <w:b/>
                <w:i/>
                <w:color w:val="auto"/>
              </w:rPr>
              <w:t xml:space="preserve">kontroliuoti neteisėtą migraciją į Sąjungą ir antrinį judėjimą joje, taip pat </w:t>
            </w:r>
            <w:r w:rsidRPr="00565F80">
              <w:rPr>
                <w:color w:val="auto"/>
              </w:rPr>
              <w:t>nustatyti neteisėtai šalyje esančių trečiųjų šalių piliečių tapatybę, kad būtų galima nuspręsti, kokių tinkamų priemonių turi imtis valstybės narės, įskaitant be leidimo gyvenančių asmenų išsiuntimą ir repatriaciją;</w:t>
            </w:r>
          </w:p>
        </w:tc>
        <w:tc>
          <w:tcPr>
            <w:tcW w:w="4876" w:type="dxa"/>
          </w:tcPr>
          <w:p w:rsidR="00BF668E" w:rsidRPr="00565F80" w:rsidRDefault="00BF668E" w:rsidP="00C555DE">
            <w:pPr>
              <w:pStyle w:val="Normal6"/>
              <w:rPr>
                <w:color w:val="auto"/>
              </w:rPr>
            </w:pPr>
            <w:r w:rsidRPr="00565F80">
              <w:rPr>
                <w:color w:val="auto"/>
              </w:rPr>
              <w:t>b)</w:t>
            </w:r>
            <w:r w:rsidRPr="00565F80">
              <w:rPr>
                <w:color w:val="auto"/>
              </w:rPr>
              <w:tab/>
              <w:t>padėti nustatyti neteisėtai šalyje esančių trečiųjų šalių piliečių</w:t>
            </w:r>
            <w:r w:rsidRPr="00565F80">
              <w:rPr>
                <w:b/>
                <w:i/>
                <w:color w:val="auto"/>
              </w:rPr>
              <w:t xml:space="preserve"> ir asmenų be pilietybės </w:t>
            </w:r>
            <w:r w:rsidRPr="00565F80">
              <w:rPr>
                <w:color w:val="auto"/>
              </w:rPr>
              <w:t xml:space="preserve">tapatybę, kad būtų galima nuspręsti, kokių tinkamų priemonių turi imtis valstybės narės, </w:t>
            </w:r>
            <w:r w:rsidR="00A11402" w:rsidRPr="00565F80">
              <w:rPr>
                <w:b/>
                <w:i/>
                <w:color w:val="auto"/>
              </w:rPr>
              <w:t>prireikus</w:t>
            </w:r>
            <w:r w:rsidRPr="00565F80">
              <w:rPr>
                <w:b/>
                <w:i/>
                <w:color w:val="auto"/>
              </w:rPr>
              <w:t xml:space="preserve"> </w:t>
            </w:r>
            <w:r w:rsidRPr="00565F80">
              <w:rPr>
                <w:color w:val="auto"/>
              </w:rPr>
              <w:t xml:space="preserve">įskaitant be leidimo gyvenančių asmenų išsiuntimą ir repatriaciją </w:t>
            </w:r>
            <w:r w:rsidRPr="00565F80">
              <w:rPr>
                <w:b/>
                <w:i/>
                <w:color w:val="auto"/>
              </w:rPr>
              <w:t>arba nuolatinio gyventojo statuso suteikimą</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154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Christine Revault D'Allonnes Bonnefoy, Sylvie Guillaume</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c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c)</w:t>
            </w:r>
            <w:r w:rsidRPr="00565F80">
              <w:rPr>
                <w:color w:val="auto"/>
              </w:rPr>
              <w:tab/>
              <w:t xml:space="preserve">nustatyti sąlygas, kuriomis valstybių narių paskirtos institucijos ir Europos policijos biuras (Europolas) gali teikti prašymus palyginti pirštų atspaudų ir veido atvaizdo duomenis su centrinėje sistemoje saugomais duomenimis teisėsaugos tikslais </w:t>
            </w:r>
            <w:r w:rsidRPr="00565F80">
              <w:rPr>
                <w:b/>
                <w:i/>
                <w:color w:val="auto"/>
              </w:rPr>
              <w:t>bei teroristinių ar kitų sunkių nusikalstamų veikų prevencijos, atskleidimo ar tyrimo tikslais</w:t>
            </w:r>
            <w:r w:rsidRPr="00565F80">
              <w:rPr>
                <w:color w:val="auto"/>
              </w:rPr>
              <w:t xml:space="preserve"> .</w:t>
            </w:r>
          </w:p>
        </w:tc>
        <w:tc>
          <w:tcPr>
            <w:tcW w:w="4876" w:type="dxa"/>
          </w:tcPr>
          <w:p w:rsidR="00BF668E" w:rsidRPr="00565F80" w:rsidRDefault="00BF668E" w:rsidP="00C555DE">
            <w:pPr>
              <w:pStyle w:val="Normal6"/>
              <w:rPr>
                <w:color w:val="auto"/>
              </w:rPr>
            </w:pPr>
            <w:r w:rsidRPr="00565F80">
              <w:rPr>
                <w:color w:val="auto"/>
              </w:rPr>
              <w:t>c)</w:t>
            </w:r>
            <w:r w:rsidRPr="00565F80">
              <w:rPr>
                <w:color w:val="auto"/>
              </w:rPr>
              <w:tab/>
              <w:t>nustatyti sąlygas, kuriomis valstybių narių paskirtos institucijos ir Europos policijos biuras (Europolas) gali teikti prašymus palyginti pirštų atspaudų ir veido atvaizdo duomenis su centrinėje sistemoje saugomais duomenimis teisėsaugos tikslais.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tekstas yra nereikalingas ir nustato pavojingą paralelę tarp migracijos ir teroristų bei nusikaltėlių.</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155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lastRenderedPageBreak/>
        <w:t>&lt;Article&gt;</w:t>
      </w:r>
      <w:r w:rsidRPr="00565F80">
        <w:rPr>
          <w:color w:val="auto"/>
        </w:rPr>
        <w:t>1 straipsnio 1 dalies c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c)</w:t>
            </w:r>
            <w:r w:rsidRPr="00565F80">
              <w:rPr>
                <w:color w:val="auto"/>
              </w:rPr>
              <w:tab/>
            </w:r>
            <w:r w:rsidRPr="00565F80">
              <w:rPr>
                <w:b/>
                <w:i/>
                <w:color w:val="auto"/>
              </w:rPr>
              <w:t>nustatyti sąlygas, kuriomis valstybių narių paskirtos institucijos ir Europos policijos biuras (Europolas) gali teikti prašymus palyginti pirštų atspaudų ir veido atvaizdo duomenis su centrinėje sistemoje saugomais duomenimis teisėsaugos tikslais bei teroristinių ar kitų sunkių nusikalstamų veikų prevencijos, atskleidimo ar tyrimo tikslais .</w:t>
            </w:r>
          </w:p>
        </w:tc>
        <w:tc>
          <w:tcPr>
            <w:tcW w:w="4876" w:type="dxa"/>
          </w:tcPr>
          <w:p w:rsidR="00BF668E" w:rsidRPr="00565F80" w:rsidRDefault="00BF668E" w:rsidP="00C555DE">
            <w:pPr>
              <w:pStyle w:val="Normal6"/>
              <w:rPr>
                <w:color w:val="auto"/>
              </w:rPr>
            </w:pPr>
            <w:r w:rsidRPr="00565F80">
              <w:rPr>
                <w:b/>
                <w:i/>
                <w:color w:val="auto"/>
              </w:rPr>
              <w:t>Išbraukta.</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Italic"/>
              <w:rPr>
                <w:color w:val="auto"/>
              </w:rPr>
            </w:pPr>
            <w:r w:rsidRPr="00565F80">
              <w:rPr>
                <w:color w:val="auto"/>
              </w:rPr>
              <w:t>(Šis pakeitimas taikomas visam tekstui. Jį priėmus reikės padaryti atitinkamus pakeitimus visame tekste.)</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156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Sophia in 't Veld</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lastRenderedPageBreak/>
        <w:t>&lt;Article&gt;</w:t>
      </w:r>
      <w:r w:rsidRPr="00565F80">
        <w:rPr>
          <w:color w:val="auto"/>
        </w:rPr>
        <w:t>1 straipsnio 1 dalies c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c)</w:t>
            </w:r>
            <w:r w:rsidRPr="00565F80">
              <w:rPr>
                <w:color w:val="auto"/>
              </w:rPr>
              <w:tab/>
              <w:t>nustatyti sąlygas, kuriomis valstybių narių paskirtos institucijos ir Europos policijos biuras (Europolas) gali teikti prašymus palyginti pirštų atspaudų ir veido atvaizdo duomenis su centrinėje sistemoje saugomais duomenimis teisėsaugos tikslais bei teroristinių ar kitų sunkių nusikalstamų veikų prevencijos, atskleidimo ar tyrimo tikslais .</w:t>
            </w:r>
          </w:p>
        </w:tc>
        <w:tc>
          <w:tcPr>
            <w:tcW w:w="4876" w:type="dxa"/>
          </w:tcPr>
          <w:p w:rsidR="00BF668E" w:rsidRPr="00565F80" w:rsidRDefault="00BF668E" w:rsidP="00C555DE">
            <w:pPr>
              <w:pStyle w:val="Normal6"/>
              <w:rPr>
                <w:color w:val="auto"/>
              </w:rPr>
            </w:pPr>
            <w:r w:rsidRPr="00565F80">
              <w:rPr>
                <w:color w:val="auto"/>
              </w:rPr>
              <w:t>c)</w:t>
            </w:r>
            <w:r w:rsidRPr="00565F80">
              <w:rPr>
                <w:color w:val="auto"/>
              </w:rPr>
              <w:tab/>
              <w:t>nustatyti sąlygas, kuriomis valstybių narių paskirtos institucijos ir Europos policijos biuras (Europolas) gali teikti prašymus palyginti pirštų atspaudų ir veido atvaizdo duomenis su centrinėje sistemoje saugomais duomenimis teisėsaugos tikslais bei teroristinių ar kitų sunkių nusikalstamų veikų prevencijos, atskleidimo ar tyrimo tikslais</w:t>
            </w:r>
            <w:r w:rsidRPr="00565F80">
              <w:rPr>
                <w:b/>
                <w:i/>
                <w:color w:val="auto"/>
              </w:rPr>
              <w:t>, laikantis būtinumo ir proporcingumo principų, įtvirtintų Chartijos 52 straipsnio 1 dalyje ir atitinkamoje ESTT praktikoje</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 xml:space="preserve">Pagal Darbo </w:t>
      </w:r>
      <w:r w:rsidR="008617D6" w:rsidRPr="00565F80">
        <w:rPr>
          <w:color w:val="auto"/>
          <w:lang w:val="lt-LT"/>
        </w:rPr>
        <w:t>tvarkos taisyklių 104 straipsnį</w:t>
      </w:r>
      <w:r w:rsidRPr="00565F80">
        <w:rPr>
          <w:color w:val="auto"/>
          <w:lang w:val="lt-LT"/>
        </w:rPr>
        <w:t xml:space="preserve"> šis pakeitimas yra būtinas, nes jis yra neatskiriamai susijęs su kitais priimtinais pakeitimais, susijusiais su EURODAC tikslais (1 straipsnis), įvedant nuorodas į būtinumo ir proporcingumo principų laikymąsi pagal Chartijos 52 straipsnio 1 dalį ir atitinkamą ESTT praktiką.</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157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c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c)</w:t>
            </w:r>
            <w:r w:rsidRPr="00565F80">
              <w:rPr>
                <w:color w:val="auto"/>
              </w:rPr>
              <w:tab/>
              <w:t>nustatyti sąlygas, kuriomis valstybių narių paskirtos institucijos ir Europos policijos biuras (Europolas) gali teikti prašymus palyginti pirštų atspaudų</w:t>
            </w:r>
            <w:r w:rsidRPr="00565F80">
              <w:rPr>
                <w:b/>
                <w:i/>
                <w:color w:val="auto"/>
              </w:rPr>
              <w:t xml:space="preserve"> ir</w:t>
            </w:r>
            <w:r w:rsidRPr="00565F80">
              <w:rPr>
                <w:color w:val="auto"/>
              </w:rPr>
              <w:t xml:space="preserve"> veido atvaizdo duomenis su centrinėje sistemoje saugomais duomenimis teisėsaugos tikslais bei teroristinių ar kitų sunkių nusikalstamų veikų prevencijos, atskleidimo ar tyrimo tikslais .</w:t>
            </w:r>
          </w:p>
        </w:tc>
        <w:tc>
          <w:tcPr>
            <w:tcW w:w="4876" w:type="dxa"/>
          </w:tcPr>
          <w:p w:rsidR="00BF668E" w:rsidRPr="00565F80" w:rsidRDefault="00BF668E" w:rsidP="00C555DE">
            <w:pPr>
              <w:pStyle w:val="Normal6"/>
              <w:rPr>
                <w:color w:val="auto"/>
              </w:rPr>
            </w:pPr>
            <w:r w:rsidRPr="00565F80">
              <w:rPr>
                <w:color w:val="auto"/>
              </w:rPr>
              <w:t>c)</w:t>
            </w:r>
            <w:r w:rsidRPr="00565F80">
              <w:rPr>
                <w:color w:val="auto"/>
              </w:rPr>
              <w:tab/>
              <w:t>nustatyti sąlygas, kuriomis valstybių narių paskirtos institucijos ir Europos policijos biuras (Europolas) gali teikti prašymus palyginti pirštų atspaudų</w:t>
            </w:r>
            <w:r w:rsidRPr="00565F80">
              <w:rPr>
                <w:b/>
                <w:i/>
                <w:color w:val="auto"/>
              </w:rPr>
              <w:t>,</w:t>
            </w:r>
            <w:r w:rsidRPr="00565F80">
              <w:rPr>
                <w:i/>
                <w:color w:val="auto"/>
              </w:rPr>
              <w:t xml:space="preserve"> </w:t>
            </w:r>
            <w:r w:rsidRPr="00565F80">
              <w:rPr>
                <w:color w:val="auto"/>
              </w:rPr>
              <w:t xml:space="preserve">veido atvaizdo </w:t>
            </w:r>
            <w:r w:rsidRPr="00565F80">
              <w:rPr>
                <w:b/>
                <w:i/>
                <w:color w:val="auto"/>
              </w:rPr>
              <w:t xml:space="preserve">ir raidinius skaitmeninius </w:t>
            </w:r>
            <w:r w:rsidRPr="00565F80">
              <w:rPr>
                <w:color w:val="auto"/>
              </w:rPr>
              <w:t>duomenis su centrinėje sistemoje saugomais duomenimis teisėsaugos tikslais bei teroristinių ar kitų sunkių nusikalstamų veikų prevencijos, atskleidimo ar tyrimo tikslais .</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lastRenderedPageBreak/>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158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Monika Hohlmeier, Heinz K. Becker, Jeroen Lenaers, Rachida Dati, Brice Hortefeux, Mariya Gabriel, Artis Pabriks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c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c)</w:t>
            </w:r>
            <w:r w:rsidRPr="00565F80">
              <w:rPr>
                <w:color w:val="auto"/>
              </w:rPr>
              <w:tab/>
              <w:t xml:space="preserve">nustatyti sąlygas, kuriomis valstybių narių paskirtos institucijos ir Europos policijos biuras (Europolas) gali teikti prašymus palyginti pirštų atspaudų ir veido atvaizdo duomenis su centrinėje sistemoje saugomais duomenimis teisėsaugos tikslais bei teroristinių ar kitų sunkių nusikalstamų veikų prevencijos, atskleidimo </w:t>
            </w:r>
            <w:r w:rsidRPr="00565F80">
              <w:rPr>
                <w:b/>
                <w:i/>
                <w:color w:val="auto"/>
              </w:rPr>
              <w:t>ar</w:t>
            </w:r>
            <w:r w:rsidRPr="00565F80">
              <w:rPr>
                <w:color w:val="auto"/>
              </w:rPr>
              <w:t xml:space="preserve"> tyrimo tikslais .</w:t>
            </w:r>
          </w:p>
        </w:tc>
        <w:tc>
          <w:tcPr>
            <w:tcW w:w="4876" w:type="dxa"/>
          </w:tcPr>
          <w:p w:rsidR="00BF668E" w:rsidRPr="00565F80" w:rsidRDefault="00BF668E" w:rsidP="00C555DE">
            <w:pPr>
              <w:pStyle w:val="Normal6"/>
              <w:rPr>
                <w:color w:val="auto"/>
              </w:rPr>
            </w:pPr>
            <w:r w:rsidRPr="00565F80">
              <w:rPr>
                <w:color w:val="auto"/>
              </w:rPr>
              <w:t>c)</w:t>
            </w:r>
            <w:r w:rsidRPr="00565F80">
              <w:rPr>
                <w:color w:val="auto"/>
              </w:rPr>
              <w:tab/>
              <w:t>nustatyti sąlygas, kuriomis valstybių narių paskirtos institucijos ir Europos policijos biuras (Europolas) gali teikti prašymus palyginti pirštų atspaudų ir veido atvaizdo duomenis su centrinėje sistemoje saugomais duomenimis teisėsaugos tikslais bei teroristinių ar kitų sunkių nusikalstamų veikų prevencijos, atskleidimo</w:t>
            </w:r>
            <w:r w:rsidRPr="00565F80">
              <w:rPr>
                <w:b/>
                <w:i/>
                <w:color w:val="auto"/>
              </w:rPr>
              <w:t>,</w:t>
            </w:r>
            <w:r w:rsidRPr="00565F80">
              <w:rPr>
                <w:color w:val="auto"/>
              </w:rPr>
              <w:t xml:space="preserve"> tyrimo </w:t>
            </w:r>
            <w:r w:rsidRPr="00565F80">
              <w:rPr>
                <w:b/>
                <w:i/>
                <w:color w:val="auto"/>
              </w:rPr>
              <w:t xml:space="preserve">ar persekiojimo </w:t>
            </w:r>
            <w:r w:rsidRPr="00565F80">
              <w:rPr>
                <w:color w:val="auto"/>
              </w:rPr>
              <w:t>tikslais.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Italic"/>
              <w:rPr>
                <w:color w:val="auto"/>
              </w:rPr>
            </w:pPr>
            <w:r w:rsidRPr="00565F80">
              <w:rPr>
                <w:color w:val="auto"/>
              </w:rPr>
              <w:t>(Šis pakeitimas taikomas visam tekstui. Jį priėmus reikės padaryti atitinkamus viso teksto pakeitimus.)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pakeitimas bus taikomas visam tekstui ir atitinka pridedamą naują 1 straipsnio c dalį.</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159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lastRenderedPageBreak/>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c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c)</w:t>
            </w:r>
            <w:r w:rsidRPr="00565F80">
              <w:rPr>
                <w:color w:val="auto"/>
              </w:rPr>
              <w:tab/>
              <w:t xml:space="preserve">nustatyti sąlygas, kuriomis valstybių narių paskirtos institucijos ir Europos policijos biuras (Europolas) gali teikti prašymus palyginti pirštų atspaudų </w:t>
            </w:r>
            <w:r w:rsidRPr="00565F80">
              <w:rPr>
                <w:b/>
                <w:i/>
                <w:color w:val="auto"/>
              </w:rPr>
              <w:t>ir</w:t>
            </w:r>
            <w:r w:rsidRPr="00565F80">
              <w:rPr>
                <w:color w:val="auto"/>
              </w:rPr>
              <w:t xml:space="preserve"> veido atvaizdo duomenis su centrinėje sistemoje saugomais duomenimis teisėsaugos tikslais bei teroristinių ar kitų sunkių nusikalstamų veikų prevencijos, atskleidimo ar tyrimo tikslais .</w:t>
            </w:r>
          </w:p>
        </w:tc>
        <w:tc>
          <w:tcPr>
            <w:tcW w:w="4876" w:type="dxa"/>
          </w:tcPr>
          <w:p w:rsidR="00BF668E" w:rsidRPr="00565F80" w:rsidRDefault="00BF668E" w:rsidP="00C555DE">
            <w:pPr>
              <w:pStyle w:val="Normal6"/>
              <w:rPr>
                <w:color w:val="auto"/>
              </w:rPr>
            </w:pPr>
            <w:r w:rsidRPr="00565F80">
              <w:rPr>
                <w:color w:val="auto"/>
              </w:rPr>
              <w:t>c)</w:t>
            </w:r>
            <w:r w:rsidRPr="00565F80">
              <w:rPr>
                <w:color w:val="auto"/>
              </w:rPr>
              <w:tab/>
              <w:t xml:space="preserve">nustatyti sąlygas, kuriomis valstybių narių paskirtos institucijos ir Europos policijos biuras (Europolas) gali teikti prašymus palyginti pirštų atspaudų </w:t>
            </w:r>
            <w:r w:rsidRPr="00565F80">
              <w:rPr>
                <w:b/>
                <w:i/>
                <w:color w:val="auto"/>
              </w:rPr>
              <w:t xml:space="preserve">duomenis, </w:t>
            </w:r>
            <w:r w:rsidRPr="00565F80">
              <w:rPr>
                <w:color w:val="auto"/>
              </w:rPr>
              <w:t xml:space="preserve">veido atvaizdo duomenis </w:t>
            </w:r>
            <w:r w:rsidRPr="00565F80">
              <w:rPr>
                <w:b/>
                <w:i/>
                <w:color w:val="auto"/>
              </w:rPr>
              <w:t xml:space="preserve">arba abiejų rūšių duomenis </w:t>
            </w:r>
            <w:r w:rsidRPr="00565F80">
              <w:rPr>
                <w:color w:val="auto"/>
              </w:rPr>
              <w:t>su centrinėje sistemoje saugomais duomenimis teisėsaugos tikslais bei teroristinių ar kitų sunkių nusikalstamų veikų prevencijos, atskleidimo ar tyrimo tikslais .</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160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c a punktas (naujas)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8617D6">
            <w:pPr>
              <w:pStyle w:val="Normal6"/>
              <w:rPr>
                <w:color w:val="auto"/>
              </w:rPr>
            </w:pPr>
            <w:r w:rsidRPr="00565F80">
              <w:rPr>
                <w:b/>
                <w:i/>
                <w:color w:val="auto"/>
              </w:rPr>
              <w:t>ca)</w:t>
            </w:r>
            <w:r w:rsidRPr="00565F80">
              <w:rPr>
                <w:color w:val="auto"/>
              </w:rPr>
              <w:tab/>
            </w:r>
            <w:r w:rsidR="008617D6" w:rsidRPr="00565F80">
              <w:rPr>
                <w:b/>
                <w:i/>
                <w:color w:val="auto"/>
              </w:rPr>
              <w:t>a</w:t>
            </w:r>
            <w:r w:rsidRPr="00565F80">
              <w:rPr>
                <w:b/>
                <w:i/>
                <w:color w:val="auto"/>
              </w:rPr>
              <w:t>psaugoti ir nustatyti vaikus, nukentėjusius nuo prekybos žmonėmis, piktnaudžiavimo, dingusius arba pagrobtus, ir nustatyti vaikų tapatybę, taip pat padėti valstybei narei rasti j</w:t>
            </w:r>
            <w:r w:rsidR="008617D6" w:rsidRPr="00565F80">
              <w:rPr>
                <w:b/>
                <w:i/>
                <w:color w:val="auto"/>
              </w:rPr>
              <w:t>ų</w:t>
            </w:r>
            <w:r w:rsidRPr="00565F80">
              <w:rPr>
                <w:b/>
                <w:i/>
                <w:color w:val="auto"/>
              </w:rPr>
              <w:t xml:space="preserve"> šeimą ar nustatyti galimus ryšius su kita valstybe nare, pirmiausia atsižvelgiant į vaik</w:t>
            </w:r>
            <w:r w:rsidR="008617D6" w:rsidRPr="00565F80">
              <w:rPr>
                <w:b/>
                <w:i/>
                <w:color w:val="auto"/>
              </w:rPr>
              <w:t>ų</w:t>
            </w:r>
            <w:r w:rsidRPr="00565F80">
              <w:rPr>
                <w:b/>
                <w:i/>
                <w:color w:val="auto"/>
              </w:rPr>
              <w:t xml:space="preserve"> interesus.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Vaikų, kurių pirštų atspaudai registruojami, amžius keičiamas iš 14 m. į 6 m., nes siekiama geriau juos apsaugoti nuo prekybos žmonėmis grėsmių ir pagrobimų. Todėl reikia patikslinti amžių.</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161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lastRenderedPageBreak/>
        <w:t>&lt;RepeatBlock-By&gt;&lt;Members&gt;</w:t>
      </w:r>
      <w:r w:rsidRPr="00565F80">
        <w:rPr>
          <w:color w:val="auto"/>
        </w:rPr>
        <w:t>Sophia in 't Veld</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c a punktas (naujas)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ca)</w:t>
            </w:r>
            <w:r w:rsidRPr="00565F80">
              <w:rPr>
                <w:color w:val="auto"/>
              </w:rPr>
              <w:tab/>
            </w:r>
            <w:r w:rsidRPr="00565F80">
              <w:rPr>
                <w:b/>
                <w:i/>
                <w:color w:val="auto"/>
              </w:rPr>
              <w:t>palengvinti šeimos susijungimą ir nustatyti bei apsaugoti prekybos žmonėmis aukomis tapusius vaikus. Iš nepilnamečių gautiems asmens duomenims neturi būti taikomi b ir c punktuose nustatyti tikslai. Ypatingas dėmesys turi būti skiriamas nelydimų nepilnamečių teisėms;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(Article 10, 13 and 14), the purpose of Eurodac should also be facilitating family reunification and identify and protect child victims of human trafficking. This purpose will positively contribute to the protection of the rights of the child, including the rights of unaccompanied minors.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162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Kati Piri, Maria Grapini, Juan Fernando López Aguilar, Caterina Chinnici</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c a punktas (naujas)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ca)</w:t>
            </w:r>
            <w:r w:rsidRPr="00565F80">
              <w:rPr>
                <w:color w:val="auto"/>
              </w:rPr>
              <w:tab/>
            </w:r>
            <w:r w:rsidRPr="00565F80">
              <w:rPr>
                <w:b/>
                <w:i/>
                <w:color w:val="auto"/>
              </w:rPr>
              <w:t>padėti valstybėms narėms apsaugoti ir nustatyti prekybos žmonėmis aukomis tapusius vaikus, taip pat apsaugoti ir nustatyti dingusius vaikus bei imtis priemonių dėl šeimos paieškos ir susijungimo;</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lastRenderedPageBreak/>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163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1 dalies c a punktas (naujas)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ca)</w:t>
            </w:r>
            <w:r w:rsidRPr="00565F80">
              <w:rPr>
                <w:color w:val="auto"/>
              </w:rPr>
              <w:tab/>
            </w:r>
            <w:r w:rsidRPr="00565F80">
              <w:rPr>
                <w:b/>
                <w:i/>
                <w:color w:val="auto"/>
              </w:rPr>
              <w:t>padėti valstybėms narėms apsaugoti ir nustatyti prekybos žmonėmis aukomis tapusius vaikus, taip pat apsaugoti ir nustatyti dingusius vaikus;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pakeitimas reikalingas siekiant išlaikyti teksto logiką, nes juo turėtų būti apsaugoti prekybos žmonėmis aukomis tapę vaikai ir remiamas nelydimų vaikų, kurie dingsta, prarandami arba pasislepia, tapatybės nustatymas ir apsauga, kaip Europos Komisija pabrėžė savo aiškinamajame memorandume, pridėtame prie siūlomos naujos EURODAC reglamento redakcijos. Siekiant laikytis Chartijos 7 straipsnio, 8 straipsnio ir 24 straipsnio, vaikų nuo šešerių metų biometrinių duomenų tvarkymas gali būti pateisinamas tik vaiko apsaugos tikslu.</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164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 straipsnio 2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Nedarant poveikio kilmės valstybės </w:t>
            </w:r>
            <w:r w:rsidRPr="00565F80">
              <w:rPr>
                <w:color w:val="auto"/>
              </w:rPr>
              <w:lastRenderedPageBreak/>
              <w:t xml:space="preserve">narės atliekamam sistemai EURODAC skirtų duomenų tvarkymui duomenų bazėse, sukurtose pagal jos nacionalinės teisės aktus, pirštų atspaudų duomenys ir kiti asmens duomenys sistemoje EURODAC gali būti tvarkomi tik šio reglamento ir [Reglamento (ES) </w:t>
            </w:r>
            <w:r w:rsidRPr="00565F80">
              <w:rPr>
                <w:b/>
                <w:i/>
                <w:color w:val="auto"/>
              </w:rPr>
              <w:t>Nr. 604/2013</w:t>
            </w:r>
            <w:r w:rsidRPr="00565F80">
              <w:rPr>
                <w:color w:val="auto"/>
              </w:rPr>
              <w:t xml:space="preserve"> 34 straipsnio 1 dalyje] nustatytais tikslais.</w:t>
            </w:r>
          </w:p>
        </w:tc>
        <w:tc>
          <w:tcPr>
            <w:tcW w:w="4876" w:type="dxa"/>
          </w:tcPr>
          <w:p w:rsidR="00BF668E" w:rsidRPr="00565F80" w:rsidRDefault="00BF668E" w:rsidP="00C555DE">
            <w:pPr>
              <w:pStyle w:val="Normal6"/>
              <w:rPr>
                <w:color w:val="auto"/>
              </w:rPr>
            </w:pPr>
            <w:r w:rsidRPr="00565F80">
              <w:rPr>
                <w:color w:val="auto"/>
              </w:rPr>
              <w:lastRenderedPageBreak/>
              <w:t>2.</w:t>
            </w:r>
            <w:r w:rsidRPr="00565F80">
              <w:rPr>
                <w:color w:val="auto"/>
              </w:rPr>
              <w:tab/>
              <w:t xml:space="preserve">Nedarant poveikio kilmės valstybės </w:t>
            </w:r>
            <w:r w:rsidRPr="00565F80">
              <w:rPr>
                <w:color w:val="auto"/>
              </w:rPr>
              <w:lastRenderedPageBreak/>
              <w:t xml:space="preserve">narės atliekamam sistemai EURODAC skirtų duomenų tvarkymui duomenų bazėse, sukurtose pagal jos nacionalinės teisės aktus, pirštų atspaudų </w:t>
            </w:r>
            <w:r w:rsidRPr="00565F80">
              <w:rPr>
                <w:b/>
                <w:i/>
                <w:color w:val="auto"/>
              </w:rPr>
              <w:t>ir veido atvaizdo</w:t>
            </w:r>
            <w:r w:rsidRPr="00565F80">
              <w:rPr>
                <w:color w:val="auto"/>
              </w:rPr>
              <w:t xml:space="preserve"> duomenys ir kiti asmens duomenys sistemoje EURODAC gali būti tvarkomi tik šio reglamento ir [Reglamento (ES) </w:t>
            </w:r>
            <w:r w:rsidRPr="00565F80">
              <w:rPr>
                <w:b/>
                <w:i/>
                <w:color w:val="auto"/>
              </w:rPr>
              <w:t>....</w:t>
            </w:r>
            <w:r w:rsidRPr="00565F80">
              <w:rPr>
                <w:color w:val="auto"/>
              </w:rPr>
              <w:t xml:space="preserve"> 34 straipsnio 1 dalyje] nustatytais tikslais.</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Komisijos pasiūlymas pataisomas, nes ne visose reikiamose vietose yra įterpiami „pirštų atspaudai“ ir „veido atvaizdas“, nors tai atitinka prievolę, nurodytą 2 straipsnyje.</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165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pavadinimas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Pareiga paimti pirštų atspaudus ir veido atvaizdą</w:t>
            </w:r>
          </w:p>
        </w:tc>
        <w:tc>
          <w:tcPr>
            <w:tcW w:w="4876" w:type="dxa"/>
          </w:tcPr>
          <w:p w:rsidR="00BF668E" w:rsidRPr="00565F80" w:rsidRDefault="00BF668E" w:rsidP="00C555DE">
            <w:pPr>
              <w:pStyle w:val="Normal6"/>
              <w:rPr>
                <w:color w:val="auto"/>
              </w:rPr>
            </w:pPr>
            <w:r w:rsidRPr="00565F80">
              <w:rPr>
                <w:b/>
                <w:i/>
                <w:color w:val="auto"/>
              </w:rPr>
              <w:t>Procedūrinės apsaugos priemonės, skirtos vaikams ir pažeidžiamiems asmenims apsaugoti</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166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pavadinimas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 xml:space="preserve">Pareiga paimti pirštų atspaudus </w:t>
            </w:r>
            <w:r w:rsidRPr="00565F80">
              <w:rPr>
                <w:b/>
                <w:i/>
                <w:color w:val="auto"/>
              </w:rPr>
              <w:t>ir veido atvaizdą</w:t>
            </w:r>
          </w:p>
        </w:tc>
        <w:tc>
          <w:tcPr>
            <w:tcW w:w="4876" w:type="dxa"/>
          </w:tcPr>
          <w:p w:rsidR="00BF668E" w:rsidRPr="00565F80" w:rsidRDefault="00BF668E" w:rsidP="00C555DE">
            <w:pPr>
              <w:pStyle w:val="Normal6"/>
              <w:rPr>
                <w:color w:val="auto"/>
              </w:rPr>
            </w:pPr>
            <w:r w:rsidRPr="00565F80">
              <w:rPr>
                <w:color w:val="auto"/>
              </w:rPr>
              <w:t>Pareiga paimti pirštų atspaudus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Italic"/>
              <w:rPr>
                <w:color w:val="auto"/>
              </w:rPr>
            </w:pPr>
            <w:r w:rsidRPr="00565F80">
              <w:rPr>
                <w:color w:val="auto"/>
              </w:rPr>
              <w:t>(Šis pakeitimas taikomas visam tekstui. Jį priėmus reikės padaryti atitinkamus viso teksto pakeitimus.)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167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1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1.</w:t>
            </w:r>
            <w:r w:rsidRPr="00565F80">
              <w:rPr>
                <w:color w:val="auto"/>
              </w:rPr>
              <w:tab/>
            </w:r>
            <w:r w:rsidRPr="00565F80">
              <w:rPr>
                <w:b/>
                <w:i/>
                <w:color w:val="auto"/>
              </w:rPr>
              <w:t>Valstybės narės privalo paimti šio reglamento 10 straipsnio 1 dalyje, 13 straipsnio 1 dalyje ir 14 straipsnio 1 dalyje nurodytų asmenų pirštų atspaudus ir veido atvaizdą 1 straipsnio 1 dalies a ir b punktuose nustatytais tikslais ir reikalauja, kad duomenų subjektas pateiktų savo pirštų atspaudus ir veido atvaizdą ir informuoja jį apie tai, kaip nurodyta šio reglamento 30 straipsnyje.</w:t>
            </w:r>
          </w:p>
        </w:tc>
        <w:tc>
          <w:tcPr>
            <w:tcW w:w="4876" w:type="dxa"/>
          </w:tcPr>
          <w:p w:rsidR="00BF668E" w:rsidRPr="00565F80" w:rsidRDefault="00BF668E" w:rsidP="00C555DE">
            <w:pPr>
              <w:pStyle w:val="Normal6"/>
              <w:rPr>
                <w:color w:val="auto"/>
              </w:rPr>
            </w:pPr>
            <w:r w:rsidRPr="00565F80">
              <w:rPr>
                <w:b/>
                <w:i/>
                <w:color w:val="auto"/>
              </w:rPr>
              <w:t>Išbraukta.</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168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1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w:t>
            </w:r>
            <w:r w:rsidRPr="00565F80">
              <w:rPr>
                <w:color w:val="auto"/>
              </w:rPr>
              <w:tab/>
              <w:t xml:space="preserve">Valstybės narės privalo paimti </w:t>
            </w:r>
            <w:r w:rsidRPr="00565F80">
              <w:rPr>
                <w:b/>
                <w:i/>
                <w:color w:val="auto"/>
              </w:rPr>
              <w:t>šio reglamento 10 straipsnio 1 dalyje, 13 straipsnio 1 dalyje ir 14 straipsnio 1 dalyje</w:t>
            </w:r>
            <w:r w:rsidRPr="00565F80">
              <w:rPr>
                <w:color w:val="auto"/>
              </w:rPr>
              <w:t xml:space="preserve"> </w:t>
            </w:r>
            <w:r w:rsidRPr="00565F80">
              <w:rPr>
                <w:b/>
                <w:i/>
                <w:color w:val="auto"/>
              </w:rPr>
              <w:t xml:space="preserve">nurodytų asmenų </w:t>
            </w:r>
            <w:r w:rsidRPr="00565F80">
              <w:rPr>
                <w:color w:val="auto"/>
              </w:rPr>
              <w:t xml:space="preserve">pirštų atspaudus ir veido atvaizdą 1 straipsnio 1 dalies a ir b punktuose nustatytais tikslais ir reikalauja, kad duomenų subjektas pateiktų savo pirštų atspaudus ir veido atvaizdą ir informuoja jį </w:t>
            </w:r>
            <w:r w:rsidRPr="00565F80">
              <w:rPr>
                <w:color w:val="auto"/>
              </w:rPr>
              <w:lastRenderedPageBreak/>
              <w:t>apie tai, kaip nurodyta šio reglamento 30 straipsnyje.</w:t>
            </w:r>
          </w:p>
        </w:tc>
        <w:tc>
          <w:tcPr>
            <w:tcW w:w="4876" w:type="dxa"/>
          </w:tcPr>
          <w:p w:rsidR="00BF668E" w:rsidRPr="00565F80" w:rsidRDefault="00BF668E" w:rsidP="00C555DE">
            <w:pPr>
              <w:pStyle w:val="Normal6"/>
              <w:rPr>
                <w:color w:val="auto"/>
              </w:rPr>
            </w:pPr>
            <w:r w:rsidRPr="00565F80">
              <w:rPr>
                <w:color w:val="auto"/>
              </w:rPr>
              <w:lastRenderedPageBreak/>
              <w:t>1.</w:t>
            </w:r>
            <w:r w:rsidRPr="00565F80">
              <w:rPr>
                <w:color w:val="auto"/>
              </w:rPr>
              <w:tab/>
            </w:r>
            <w:r w:rsidRPr="00565F80">
              <w:rPr>
                <w:b/>
                <w:i/>
                <w:color w:val="auto"/>
              </w:rPr>
              <w:t>Asmenys, nurodyti 10 straipsnio 1 dalyje, 13 straipsnio 1 dalyje ir 14 straipsnio 1 dalyje, turi būti registruojami. Todėl</w:t>
            </w:r>
            <w:r w:rsidRPr="00565F80">
              <w:rPr>
                <w:color w:val="auto"/>
              </w:rPr>
              <w:t xml:space="preserve"> valstybės narės privalo paimti </w:t>
            </w:r>
            <w:r w:rsidRPr="00565F80">
              <w:rPr>
                <w:b/>
                <w:i/>
                <w:color w:val="auto"/>
              </w:rPr>
              <w:t>jų</w:t>
            </w:r>
            <w:r w:rsidRPr="00565F80">
              <w:rPr>
                <w:color w:val="auto"/>
              </w:rPr>
              <w:t xml:space="preserve"> pirštų atspaudus ir veido atvaizdą 1 straipsnio 1 dalies a ir b punktuose nustatytais tikslais ir reikalauja, kad duomenų subjektas pateiktų savo pirštų </w:t>
            </w:r>
            <w:r w:rsidRPr="00565F80">
              <w:rPr>
                <w:color w:val="auto"/>
              </w:rPr>
              <w:lastRenderedPageBreak/>
              <w:t>atspaudus ir veido atvaizdą ir informuoja jį apie tai, kaip nurodyta šio reglamento 30 straipsnyje.</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Turėtų būti pabrėžta 100 % registracijos norma.</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169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Kati Piri, Maria Grapini, Juan Fernando López Aguilar, Caterina Chinnici</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1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w:t>
            </w:r>
            <w:r w:rsidRPr="00565F80">
              <w:rPr>
                <w:color w:val="auto"/>
              </w:rPr>
              <w:tab/>
              <w:t xml:space="preserve">Valstybės narės privalo paimti šio reglamento 10 straipsnio 1 dalyje, 13 straipsnio 1 dalyje ir 14 straipsnio 1 dalyje nurodytų asmenų pirštų atspaudus ir veido atvaizdą 1 straipsnio 1 dalies a </w:t>
            </w:r>
            <w:r w:rsidRPr="00565F80">
              <w:rPr>
                <w:b/>
                <w:i/>
                <w:color w:val="auto"/>
              </w:rPr>
              <w:t xml:space="preserve">ir </w:t>
            </w:r>
            <w:r w:rsidRPr="00565F80">
              <w:rPr>
                <w:color w:val="auto"/>
              </w:rPr>
              <w:t>b punktuose nustatytais tikslais ir reikalauja, kad duomenų subjektas pateiktų savo pirštų atspaudus ir veido atvaizdą ir informuoja jį apie tai, kaip nurodyta šio reglamento 30 straipsnyje.</w:t>
            </w:r>
          </w:p>
        </w:tc>
        <w:tc>
          <w:tcPr>
            <w:tcW w:w="4876" w:type="dxa"/>
          </w:tcPr>
          <w:p w:rsidR="00BF668E" w:rsidRPr="00565F80" w:rsidRDefault="00BF668E" w:rsidP="00C555DE">
            <w:pPr>
              <w:pStyle w:val="Normal6"/>
              <w:rPr>
                <w:color w:val="auto"/>
              </w:rPr>
            </w:pPr>
            <w:r w:rsidRPr="00565F80">
              <w:rPr>
                <w:color w:val="auto"/>
              </w:rPr>
              <w:t>1.</w:t>
            </w:r>
            <w:r w:rsidRPr="00565F80">
              <w:rPr>
                <w:color w:val="auto"/>
              </w:rPr>
              <w:tab/>
              <w:t>Valstybės narės privalo paimti šio reglamento 10 straipsnio 1 dalyje, 13 straipsnio 1 dalyje ir 14 straipsnio 1 dalyje nurodytų asmenų pirštų atspaudus ir veido atvaizdą 1 straipsnio 1 dalies a</w:t>
            </w:r>
            <w:r w:rsidRPr="00565F80">
              <w:rPr>
                <w:b/>
                <w:i/>
                <w:color w:val="auto"/>
              </w:rPr>
              <w:t>,</w:t>
            </w:r>
            <w:r w:rsidRPr="00565F80">
              <w:rPr>
                <w:color w:val="auto"/>
              </w:rPr>
              <w:t xml:space="preserve"> b </w:t>
            </w:r>
            <w:r w:rsidRPr="00565F80">
              <w:rPr>
                <w:b/>
                <w:i/>
                <w:color w:val="auto"/>
              </w:rPr>
              <w:t xml:space="preserve">ir ca </w:t>
            </w:r>
            <w:r w:rsidRPr="00565F80">
              <w:rPr>
                <w:color w:val="auto"/>
              </w:rPr>
              <w:t xml:space="preserve">punktuose nustatytais tikslais ir reikalauja, kad duomenų subjektas pateiktų savo pirštų atspaudus ir veido atvaizdą ir informuoja jį apie tai, kaip nurodyta šio reglamento 30 straipsnyje. </w:t>
            </w:r>
            <w:r w:rsidRPr="00565F80">
              <w:rPr>
                <w:b/>
                <w:i/>
                <w:color w:val="auto"/>
              </w:rPr>
              <w:t>Valstybės narės pirštų atspaudų ir veido atvaizdo ėmimo proceso metu visada privalo gerbti asmens orumą ir fizinę neliečiamybę.</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170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1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lastRenderedPageBreak/>
              <w:t>1.</w:t>
            </w:r>
            <w:r w:rsidRPr="00565F80">
              <w:rPr>
                <w:color w:val="auto"/>
              </w:rPr>
              <w:tab/>
              <w:t>Valstybės narės privalo paimti šio reglamento 10 straipsnio 1 dalyje, 13 straipsnio 1 dalyje ir 14 straipsnio 1 dalyje nurodytų asmenų pirštų atspaudus ir veido atvaizdą 1 straipsnio 1 dalies a ir b punktuose nustatytais tikslais ir reikalauja, kad duomenų subjektas pateiktų savo pirštų atspaudus ir veido atvaizdą ir informuoja jį apie tai, kaip nurodyta šio reglamento 30 straipsnyje.</w:t>
            </w:r>
          </w:p>
        </w:tc>
        <w:tc>
          <w:tcPr>
            <w:tcW w:w="4876" w:type="dxa"/>
          </w:tcPr>
          <w:p w:rsidR="00BF668E" w:rsidRPr="00565F80" w:rsidRDefault="00BF668E" w:rsidP="00C555DE">
            <w:pPr>
              <w:pStyle w:val="Normal6"/>
              <w:rPr>
                <w:color w:val="auto"/>
              </w:rPr>
            </w:pPr>
            <w:r w:rsidRPr="00565F80">
              <w:rPr>
                <w:color w:val="auto"/>
              </w:rPr>
              <w:t>1.</w:t>
            </w:r>
            <w:r w:rsidRPr="00565F80">
              <w:rPr>
                <w:color w:val="auto"/>
              </w:rPr>
              <w:tab/>
              <w:t xml:space="preserve">Valstybės narės privalo paimti šio reglamento 10 straipsnio 1 dalyje, </w:t>
            </w:r>
            <w:r w:rsidRPr="00565F80">
              <w:rPr>
                <w:b/>
                <w:i/>
                <w:color w:val="auto"/>
              </w:rPr>
              <w:t>12a straipsnyje,</w:t>
            </w:r>
            <w:r w:rsidRPr="00565F80">
              <w:rPr>
                <w:color w:val="auto"/>
              </w:rPr>
              <w:t xml:space="preserve"> 13 straipsnio 1 dalyje ir 14 straipsnio 1 dalyje nurodytų asmenų pirštų atspaudus ir veido atvaizdą 1 straipsnio 1 dalies a ir b punktuose nustatytais tikslais ir reikalauja, kad duomenų subjektas pateiktų savo pirštų atspaudus ir veido atvaizdą ir informuoja jį apie tai, kaip nurodyta šio reglamento 30 straipsnyje </w:t>
            </w:r>
            <w:r w:rsidRPr="00565F80">
              <w:rPr>
                <w:b/>
                <w:i/>
                <w:color w:val="auto"/>
              </w:rPr>
              <w:t>ir laikantis šio reglamento Ia priedo nuostatų ir garantijų</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171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1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w:t>
            </w:r>
            <w:r w:rsidRPr="00565F80">
              <w:rPr>
                <w:color w:val="auto"/>
              </w:rPr>
              <w:tab/>
              <w:t xml:space="preserve">Valstybės narės privalo paimti šio reglamento 10 straipsnio 1 dalyje, 13 straipsnio 1 dalyje ir 14 straipsnio 1 dalyje nurodytų asmenų pirštų atspaudus </w:t>
            </w:r>
            <w:r w:rsidRPr="00565F80">
              <w:rPr>
                <w:b/>
                <w:i/>
                <w:color w:val="auto"/>
              </w:rPr>
              <w:t>ir veido atvaizdą</w:t>
            </w:r>
            <w:r w:rsidRPr="00565F80">
              <w:rPr>
                <w:color w:val="auto"/>
              </w:rPr>
              <w:t xml:space="preserve"> 1 straipsnio 1 dalies a ir b punktuose nustatytais tikslais ir reikalauja, kad duomenų subjektas pateiktų savo pirštų atspaudus </w:t>
            </w:r>
            <w:r w:rsidRPr="00565F80">
              <w:rPr>
                <w:b/>
                <w:i/>
                <w:color w:val="auto"/>
              </w:rPr>
              <w:t>ir veido atvaizdą</w:t>
            </w:r>
            <w:r w:rsidRPr="00565F80">
              <w:rPr>
                <w:color w:val="auto"/>
              </w:rPr>
              <w:t xml:space="preserve"> ir informuoja jį apie tai, kaip nurodyta šio reglamento 30 straipsnyje.</w:t>
            </w:r>
          </w:p>
        </w:tc>
        <w:tc>
          <w:tcPr>
            <w:tcW w:w="4876" w:type="dxa"/>
          </w:tcPr>
          <w:p w:rsidR="00BF668E" w:rsidRPr="00565F80" w:rsidRDefault="00BF668E" w:rsidP="00C555DE">
            <w:pPr>
              <w:pStyle w:val="Normal6"/>
              <w:rPr>
                <w:color w:val="auto"/>
              </w:rPr>
            </w:pPr>
            <w:r w:rsidRPr="00565F80">
              <w:rPr>
                <w:color w:val="auto"/>
              </w:rPr>
              <w:t>1.</w:t>
            </w:r>
            <w:r w:rsidRPr="00565F80">
              <w:rPr>
                <w:color w:val="auto"/>
              </w:rPr>
              <w:tab/>
              <w:t>Valstybės narės privalo paimti šio reglamento 10 straipsnio 1 dalyje, 13 straipsnio 1 dalyje ir 14 straipsnio 1 dalyje nurodytų asmenų pirštų atspaudus 1 straipsnio 1 dalies a ir b punktuose nustatytais tikslais ir reikalauja, kad duomenų subjektas pateiktų savo pirštų atspaudus ir informuoja jį apie tai, kaip nurodyta šio reglamento 30 straipsnyje.</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172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1 a dalis (nauja)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lastRenderedPageBreak/>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347024">
            <w:pPr>
              <w:pStyle w:val="Normal6"/>
              <w:rPr>
                <w:color w:val="auto"/>
              </w:rPr>
            </w:pPr>
            <w:r w:rsidRPr="00565F80">
              <w:rPr>
                <w:b/>
                <w:i/>
                <w:color w:val="auto"/>
              </w:rPr>
              <w:t>1a.</w:t>
            </w:r>
            <w:r w:rsidRPr="00565F80">
              <w:rPr>
                <w:color w:val="auto"/>
              </w:rPr>
              <w:tab/>
            </w:r>
            <w:r w:rsidRPr="00565F80">
              <w:rPr>
                <w:b/>
                <w:i/>
                <w:color w:val="auto"/>
              </w:rPr>
              <w:t>Valstybės narės registruoja vaikus, kurie dingsta iš priėmimo centrų, kaip dingusius asmenis SIS. Dingę vaikai, kurių tapatybę valstybės narės valdžios institucijos nustato rem</w:t>
            </w:r>
            <w:r w:rsidR="00347024" w:rsidRPr="00565F80">
              <w:rPr>
                <w:b/>
                <w:i/>
                <w:color w:val="auto"/>
              </w:rPr>
              <w:t>damosi</w:t>
            </w:r>
            <w:r w:rsidRPr="00565F80">
              <w:rPr>
                <w:b/>
                <w:i/>
                <w:color w:val="auto"/>
              </w:rPr>
              <w:t xml:space="preserve"> teigiamu atitikties rezultatu pagal 26 straipsnį, turi būti nedelsiant perduodami kompetentingoms nacionalinėms vaikų apsaugos institucijoms, kurios atlieka poreikių vertinimą, siekiant rasti ilgalaikį sprendimą vaikui, atsižvelgiant į jo interesus.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pakeitimas reikalingas siekiant išlaikyti teksto logiką, nes juo turėtų būti apsaugoti prekybos žmonėmis aukomis tapę vaikai ir remiamas nelydimų vaikų, kurie dingsta, prarandami arba pasislepia, tapatybės nustatymas ir apsauga, kaip Europos Komisija pabrėžė savo aiškinamajame memorandume, pridėtame prie siūlomos naujos EURODAC reglamento redakcijos. Siekiant laikytis Chartijos 7 straipsnio, 8 straipsnio ir 24 straipsnio, vaikų nuo šešerių metų biometrinių duomenų tvarkymas gali būti pateisinamas tik vaiko apsaugos tikslu.</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173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Sophia in 't Veld</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1 a dalis (nauja)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D4A5F">
            <w:pPr>
              <w:pStyle w:val="Normal6"/>
              <w:rPr>
                <w:color w:val="auto"/>
              </w:rPr>
            </w:pPr>
            <w:r w:rsidRPr="00565F80">
              <w:rPr>
                <w:b/>
                <w:i/>
                <w:color w:val="auto"/>
              </w:rPr>
              <w:t>1a.</w:t>
            </w:r>
            <w:r w:rsidRPr="00565F80">
              <w:rPr>
                <w:color w:val="auto"/>
              </w:rPr>
              <w:tab/>
            </w:r>
            <w:r w:rsidRPr="00565F80">
              <w:rPr>
                <w:b/>
                <w:i/>
                <w:color w:val="auto"/>
              </w:rPr>
              <w:t xml:space="preserve">Moterų ir mergaičių pirštų atspaudų ir veido atvaizdų ėmimo procedūra turi būti atliekama lyties požiūriu tinkamu būdu, ir tai turi atlikti </w:t>
            </w:r>
            <w:r w:rsidR="00CD4A5F" w:rsidRPr="00565F80">
              <w:rPr>
                <w:b/>
                <w:i/>
                <w:color w:val="auto"/>
              </w:rPr>
              <w:t>specialiai parengti</w:t>
            </w:r>
            <w:r w:rsidRPr="00565F80">
              <w:rPr>
                <w:b/>
                <w:i/>
                <w:color w:val="auto"/>
              </w:rPr>
              <w:t xml:space="preserve"> pareigūnai.</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174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lastRenderedPageBreak/>
        <w:t>&lt;RepeatBlock-By&gt;&lt;Members&gt;</w:t>
      </w:r>
      <w:r w:rsidRPr="00565F80">
        <w:rPr>
          <w:color w:val="auto"/>
        </w:rPr>
        <w:t>Sophia in 't Veld</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2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Nepilnamečių, vyresnių nei 6 metų, pirštų atspaudai ir veido atvaizdas imami vaikui suprantamu būdu ir paisant jo interesų, o šį darbą atlieka pareigūnai, specialiai parengti imti nepilnamečių pirštų atspaudus ir veido atvaizdą. Nepilnametis informuojamas jo amžiui tinkamu būdu, naudojant lankstinukus ir </w:t>
            </w:r>
            <w:r w:rsidRPr="00565F80">
              <w:rPr>
                <w:b/>
                <w:i/>
                <w:color w:val="auto"/>
              </w:rPr>
              <w:t>(arba)</w:t>
            </w:r>
            <w:r w:rsidRPr="00565F80">
              <w:rPr>
                <w:color w:val="auto"/>
              </w:rPr>
              <w:t xml:space="preserve"> infografikus ir </w:t>
            </w:r>
            <w:r w:rsidRPr="00565F80">
              <w:rPr>
                <w:b/>
                <w:i/>
                <w:color w:val="auto"/>
              </w:rPr>
              <w:t>(arba)</w:t>
            </w:r>
            <w:r w:rsidRPr="00565F80">
              <w:rPr>
                <w:color w:val="auto"/>
              </w:rPr>
              <w:t xml:space="preserve"> demonstravimą, skirtus paaiškinti pirštų atspaudų ir veido atvaizdo ėmimo procedūrą nepilnamečiui, o vykstant pirštų atspaudų ir veido atvaizdo ėmimo procedūrai jį lydi </w:t>
            </w:r>
            <w:r w:rsidRPr="00565F80">
              <w:rPr>
                <w:b/>
                <w:i/>
                <w:color w:val="auto"/>
              </w:rPr>
              <w:t>atsakingas suaugęs asmuo,</w:t>
            </w:r>
            <w:r w:rsidRPr="00565F80">
              <w:rPr>
                <w:color w:val="auto"/>
              </w:rPr>
              <w:t xml:space="preserve"> globėjas </w:t>
            </w:r>
            <w:r w:rsidRPr="00565F80">
              <w:rPr>
                <w:b/>
                <w:i/>
                <w:color w:val="auto"/>
              </w:rPr>
              <w:t>ar atstovas</w:t>
            </w:r>
            <w:r w:rsidRPr="00565F80">
              <w:rPr>
                <w:color w:val="auto"/>
              </w:rPr>
              <w:t>. Valstybės narės viso pirštų atspaudų ir veido atvaizdo ėmimo proceso metu gerbia nepilnamečio orumą ir fizinę neliečiamybę.</w:t>
            </w:r>
          </w:p>
        </w:tc>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Nepilnamečių, vyresnių nei 6 metų, pirštų atspaudai ir veido atvaizdas imami vaikui suprantamu būdu ir paisant jo interesų, o šį darbą atlieka pareigūnai, specialiai parengti imti nepilnamečių pirštų atspaudus ir veido atvaizdą. Nepilnametis informuojamas jo amžiui tinkamu būdu, naudojant lankstinukus ir infografikus ir demonstravimą, skirtus paaiškinti pirštų atspaudų ir veido atvaizdo ėmimo procedūrą nepilnamečiui, o vykstant pirštų atspaudų ir veido atvaizdo ėmimo procedūrai jį lydi </w:t>
            </w:r>
            <w:r w:rsidRPr="00565F80">
              <w:rPr>
                <w:b/>
                <w:i/>
                <w:color w:val="auto"/>
              </w:rPr>
              <w:t>teisėtas</w:t>
            </w:r>
            <w:r w:rsidRPr="00565F80">
              <w:rPr>
                <w:color w:val="auto"/>
              </w:rPr>
              <w:t xml:space="preserve"> globėjas. Valstybės narės viso pirštų atspaudų ir veido atvaizdo ėmimo proceso metu gerbia nepilnamečio orumą ir fizinę neliečiamybę.</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175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Kati Piri, Maria Grapini, Juan Fernando López Aguilar</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2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Nepilnamečių, vyresnių nei 6 metų, pirštų atspaudai ir veido atvaizdas imami vaikui suprantamu būdu ir paisant jo interesų, o šį darbą atlieka pareigūnai, specialiai parengti imti nepilnamečių pirštų atspaudus ir veido atvaizdą. Nepilnametis informuojamas jo amžiui tinkamu būdu, naudojant lankstinukus ir (arba) infografikus ir (arba) demonstravimą, </w:t>
            </w:r>
            <w:r w:rsidRPr="00565F80">
              <w:rPr>
                <w:color w:val="auto"/>
              </w:rPr>
              <w:lastRenderedPageBreak/>
              <w:t>skirtus paaiškinti pirštų atspaudų ir veido atvaizdo ėmimo procedūrą nepilnamečiui, o vykstant pirštų atspaudų ir veido atvaizdo ėmimo procedūrai jį lydi atsakingas suaugęs asmuo, globėjas ar atstovas. Valstybės narės viso pirštų atspaudų ir veido atvaizdo ėmimo proceso metu gerbia nepilnamečio orumą ir fizinę neliečiamybę.</w:t>
            </w:r>
          </w:p>
        </w:tc>
        <w:tc>
          <w:tcPr>
            <w:tcW w:w="4876" w:type="dxa"/>
          </w:tcPr>
          <w:p w:rsidR="00BF668E" w:rsidRPr="00565F80" w:rsidRDefault="00BF668E" w:rsidP="00C555DE">
            <w:pPr>
              <w:pStyle w:val="Normal6"/>
              <w:rPr>
                <w:color w:val="auto"/>
              </w:rPr>
            </w:pPr>
            <w:r w:rsidRPr="00565F80">
              <w:rPr>
                <w:color w:val="auto"/>
              </w:rPr>
              <w:lastRenderedPageBreak/>
              <w:t>2.</w:t>
            </w:r>
            <w:r w:rsidRPr="00565F80">
              <w:rPr>
                <w:color w:val="auto"/>
              </w:rPr>
              <w:tab/>
              <w:t>Nepilnamečių, vyresnių nei 6 metų, pirštų atspaudai ir veido atvaizdas imami vaikui suprantamu būdu ir paisant jo interesų, o šį darbą atlieka pareigūnai, specialiai parengti imti nepilnamečių pirštų atspaudus ir veido atvaizdą</w:t>
            </w:r>
            <w:r w:rsidRPr="00565F80">
              <w:rPr>
                <w:b/>
                <w:i/>
                <w:color w:val="auto"/>
              </w:rPr>
              <w:t>, ypač 1 straipsnio 1 dalies ca punkte nurodytu tikslu</w:t>
            </w:r>
            <w:r w:rsidRPr="00565F80">
              <w:rPr>
                <w:color w:val="auto"/>
              </w:rPr>
              <w:t xml:space="preserve">. Nepilnametis </w:t>
            </w:r>
            <w:r w:rsidRPr="00565F80">
              <w:rPr>
                <w:b/>
                <w:i/>
                <w:color w:val="auto"/>
              </w:rPr>
              <w:t xml:space="preserve">raštu ir žodžiu </w:t>
            </w:r>
            <w:r w:rsidRPr="00565F80">
              <w:rPr>
                <w:color w:val="auto"/>
              </w:rPr>
              <w:t xml:space="preserve">informuojamas jo amžiui tinkamu būdu, </w:t>
            </w:r>
            <w:r w:rsidRPr="00565F80">
              <w:rPr>
                <w:color w:val="auto"/>
              </w:rPr>
              <w:lastRenderedPageBreak/>
              <w:t xml:space="preserve">naudojant lankstinukus ir (arba) infografikus ir (arba) demonstravimą, skirtus paaiškinti pirštų atspaudų ir veido atvaizdo ėmimo procedūrą nepilnamečiui </w:t>
            </w:r>
            <w:r w:rsidRPr="00565F80">
              <w:rPr>
                <w:b/>
                <w:i/>
                <w:color w:val="auto"/>
              </w:rPr>
              <w:t>jam suprantama kalba</w:t>
            </w:r>
            <w:r w:rsidRPr="00565F80">
              <w:rPr>
                <w:color w:val="auto"/>
              </w:rPr>
              <w:t xml:space="preserve">, o vykstant pirštų atspaudų ir veido atvaizdo ėmimo procedūrai jį lydi atsakingas suaugęs asmuo, globėjas ar atstovas. Valstybės narės viso pirštų atspaudų ir veido atvaizdo ėmimo proceso metu gerbia nepilnamečio orumą ir fizinę neliečiamybę. </w:t>
            </w:r>
            <w:r w:rsidRPr="00565F80">
              <w:rPr>
                <w:b/>
                <w:i/>
                <w:color w:val="auto"/>
              </w:rPr>
              <w:t>Draudžiama naudoti psichinę ar fizinę prievartą siekiant paimti nepilnamečių ar pažeidžiamų asmenų pirštų atspaudus arba veido atvaizdą.</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176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Fabio Massimo Castaldo, Laura Ferrara, Ignazio Corrao</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2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w:t>
            </w:r>
            <w:r w:rsidRPr="00565F80">
              <w:rPr>
                <w:color w:val="auto"/>
              </w:rPr>
              <w:tab/>
              <w:t>Nepilnamečių, vyresnių nei 6 metų, pirštų atspaudai ir veido atvaizdas imami vaikui suprantamu būdu ir paisant jo interesų, o šį darbą atlieka pareigūnai, specialiai parengti imti nepilnamečių pirštų atspaudus ir veido atvaizdą. Nepilnametis informuojamas jo amžiui tinkamu būdu, naudojant lankstinukus ir (arba) infografikus ir (arba) demonstravimą, skirtus paaiškinti pirštų atspaudų ir veido atvaizdo ėmimo procedūrą nepilnamečiui, o vykstant pirštų atspaudų ir veido atvaizdo ėmimo procedūrai jį lydi atsakingas suaugęs asmuo, globėjas ar atstovas. Valstybės narės viso pirštų atspaudų ir veido atvaizdo ėmimo proceso metu gerbia nepilnamečio orumą ir fizinę neliečiamybę.</w:t>
            </w:r>
          </w:p>
        </w:tc>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Nepilnamečių, vyresnių nei 6 metų, pirštų atspaudai ir veido atvaizdas imami </w:t>
            </w:r>
            <w:r w:rsidRPr="00565F80">
              <w:rPr>
                <w:b/>
                <w:i/>
                <w:color w:val="auto"/>
              </w:rPr>
              <w:t>tik užtikrinant geriausius vaiko interesus ir laikantis kitų 1989 m. JT Vaiko teisių konvencijoje nustatytų principų,</w:t>
            </w:r>
            <w:r w:rsidRPr="00565F80">
              <w:rPr>
                <w:color w:val="auto"/>
              </w:rPr>
              <w:t xml:space="preserve"> vaikui suprantamu būdu ir paisant jo interesų, o šį darbą atlieka pareigūnai, specialiai parengti imti nepilnamečių pirštų atspaudus ir veido atvaizdą. Nepilnametis informuojamas jo amžiui tinkamu būdu, naudojant lankstinukus ir (arba) infografikus ir (arba) demonstravimą, skirtus paaiškinti pirštų atspaudų ir veido atvaizdo ėmimo procedūrą nepilnamečiui, o vykstant pirštų atspaudų ir veido atvaizdo ėmimo procedūrai jį lydi atsakingas suaugęs asmuo, globėjas ar atstovas. Valstybės narės viso pirštų atspaudų ir veido atvaizdo </w:t>
            </w:r>
            <w:r w:rsidRPr="00565F80">
              <w:rPr>
                <w:color w:val="auto"/>
              </w:rPr>
              <w:lastRenderedPageBreak/>
              <w:t xml:space="preserve">ėmimo proceso metu gerbia nepilnamečio orumą ir fizinę </w:t>
            </w:r>
            <w:r w:rsidRPr="00565F80">
              <w:rPr>
                <w:b/>
                <w:i/>
                <w:color w:val="auto"/>
              </w:rPr>
              <w:t>bei psichologinę</w:t>
            </w:r>
            <w:r w:rsidRPr="00565F80">
              <w:rPr>
                <w:color w:val="auto"/>
              </w:rPr>
              <w:t xml:space="preserve"> neliečiamybę.</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{IT}</w:t>
      </w:r>
      <w:r w:rsidRPr="00565F80">
        <w:rPr>
          <w:color w:val="auto"/>
          <w:lang w:val="lt-LT"/>
        </w:rPr>
        <w:t>it</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177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2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w:t>
            </w:r>
            <w:r w:rsidRPr="00565F80">
              <w:rPr>
                <w:color w:val="auto"/>
              </w:rPr>
              <w:tab/>
              <w:t>Nepilnamečių, vyresnių nei 6 metų, pirštų atspaudai ir veido atvaizdas imami vaikui suprantamu būdu ir paisant jo interesų, o šį darbą atlieka pareigūnai, specialiai parengti imti nepilnamečių pirštų atspaudus ir veido atvaizdą. Nepilnametis informuojamas jo amžiui tinkamu būdu, naudojant lankstinukus ir (arba) infografikus ir (arba) demonstravimą, skirtus paaiškinti pirštų atspaudų ir veido atvaizdo ėmimo procedūrą nepilnamečiui, o vykstant pirštų atspaudų ir veido atvaizdo ėmimo procedūrai jį lydi atsakingas suaugęs asmuo, globėjas ar atstovas. Valstybės narės viso pirštų atspaudų ir veido atvaizdo ėmimo proceso metu gerbia nepilnamečio orumą ir fizinę neliečiamybę.</w:t>
            </w:r>
          </w:p>
        </w:tc>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Nepilnamečių, vyresnių nei 6 metų, pirštų atspaudai ir veido atvaizdas imami vaikui suprantamu būdu ir paisant jo interesų, o šį darbą atlieka pareigūnai, specialiai parengti imti nepilnamečių pirštų atspaudus ir veido atvaizdą </w:t>
            </w:r>
            <w:r w:rsidRPr="00565F80">
              <w:rPr>
                <w:b/>
                <w:i/>
                <w:color w:val="auto"/>
              </w:rPr>
              <w:t>ir tik 1 straipsnio 1 dalies a ir ca punktuose nurodytu tikslu</w:t>
            </w:r>
            <w:r w:rsidRPr="00565F80">
              <w:rPr>
                <w:color w:val="auto"/>
              </w:rPr>
              <w:t>. Nepilnametis informuojamas jo amžiui tinkamu būdu, naudojant lankstinukus ir (arba) infografikus ir (arba) demonstravimą, skirtus paaiškinti pirštų atspaudų ir veido atvaizdo ėmimo procedūrą nepilnamečiui, o vykstant pirštų atspaudų ir veido atvaizdo ėmimo procedūrai jį lydi atsakingas suaugęs asmuo, globėjas ar atstovas. Valstybės narės viso pirštų atspaudų ir veido atvaizdo ėmimo proceso metu gerbia nepilnamečio orumą ir fizinę neliečiamybę.</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178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Hilde Vautmans,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2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lastRenderedPageBreak/>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w:t>
            </w:r>
            <w:r w:rsidRPr="00565F80">
              <w:rPr>
                <w:color w:val="auto"/>
              </w:rPr>
              <w:tab/>
              <w:t>Nepilnamečių, vyresnių nei 6 metų, pirštų atspaudai ir veido atvaizdas imami vaikui suprantamu būdu ir paisant jo interesų, o šį darbą atlieka pareigūnai, specialiai parengti imti nepilnamečių pirštų atspaudus ir veido atvaizdą. Nepilnametis informuojamas jo amžiui tinkamu būdu, naudojant lankstinukus ir (arba) infografikus ir (arba) demonstravimą, skirtus paaiškinti pirštų atspaudų ir veido atvaizdo ėmimo procedūrą nepilnamečiui, o vykstant pirštų atspaudų ir veido atvaizdo ėmimo procedūrai jį lydi atsakingas suaugęs asmuo, globėjas ar atstovas. Valstybės narės viso pirštų atspaudų ir veido atvaizdo ėmimo proceso metu gerbia nepilnamečio orumą ir fizinę neliečiamybę.</w:t>
            </w:r>
          </w:p>
        </w:tc>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Nepilnamečių, vyresnių nei 6 metų, pirštų atspaudai ir veido atvaizdas imami vaikui suprantamu būdu ir paisant jo interesų </w:t>
            </w:r>
            <w:r w:rsidRPr="00565F80">
              <w:rPr>
                <w:b/>
                <w:i/>
                <w:color w:val="auto"/>
              </w:rPr>
              <w:t>ir jo būdo</w:t>
            </w:r>
            <w:r w:rsidRPr="00565F80">
              <w:rPr>
                <w:color w:val="auto"/>
              </w:rPr>
              <w:t xml:space="preserve">, o šį darbą atlieka pareigūnai, specialiai parengti imti nepilnamečių pirštų atspaudus ir veido atvaizdą. Nepilnametis informuojamas </w:t>
            </w:r>
            <w:r w:rsidRPr="00565F80">
              <w:rPr>
                <w:b/>
                <w:i/>
                <w:color w:val="auto"/>
              </w:rPr>
              <w:t>žodžiu, jam suprantama kalba,</w:t>
            </w:r>
            <w:r w:rsidRPr="00565F80">
              <w:rPr>
                <w:color w:val="auto"/>
              </w:rPr>
              <w:t xml:space="preserve"> jo amžiui tinkamu būdu, naudojant lankstinukus ir (arba) infografikus ir (arba) demonstravimą, skirtus paaiškinti pirštų atspaudų ir veido atvaizdo ėmimo procedūrą nepilnamečiui, o vykstant pirštų atspaudų ir veido atvaizdo ėmimo procedūrai jį lydi atsakingas suaugęs asmuo, globėjas ar atstovas. Valstybės narės viso pirštų atspaudų ir veido atvaizdo ėmimo proceso metu gerbia nepilnamečio orumą ir fizinę neliečiamybę.</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179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Anna Maria Corazza Bildt, Damiano Zoffoli, Barbara Matera, Petras Auštrevičius, Beatriz Becerra Basterrechea, Carlos Coelho, Hilde Vautmans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2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Nepilnamečių, vyresnių nei 6 metų, pirštų atspaudai ir veido atvaizdas imami vaikui suprantamu būdu ir paisant jo interesų, o šį darbą atlieka pareigūnai, specialiai parengti imti nepilnamečių pirštų atspaudus ir veido atvaizdą. Nepilnametis informuojamas jo amžiui tinkamu būdu, naudojant lankstinukus ir (arba) infografikus ir (arba) demonstravimą, skirtus paaiškinti pirštų atspaudų ir veido atvaizdo ėmimo procedūrą nepilnamečiui, o vykstant pirštų atspaudų ir veido atvaizdo </w:t>
            </w:r>
            <w:r w:rsidRPr="00565F80">
              <w:rPr>
                <w:color w:val="auto"/>
              </w:rPr>
              <w:lastRenderedPageBreak/>
              <w:t>ėmimo procedūrai jį lydi atsakingas suaugęs asmuo, globėjas ar atstovas. Valstybės narės viso pirštų atspaudų ir veido atvaizdo ėmimo proceso metu gerbia nepilnamečio orumą ir fizinę neliečiamybę.</w:t>
            </w:r>
          </w:p>
        </w:tc>
        <w:tc>
          <w:tcPr>
            <w:tcW w:w="4876" w:type="dxa"/>
          </w:tcPr>
          <w:p w:rsidR="00BF668E" w:rsidRPr="00565F80" w:rsidRDefault="00BF668E" w:rsidP="00C555DE">
            <w:pPr>
              <w:pStyle w:val="Normal6"/>
              <w:rPr>
                <w:color w:val="auto"/>
              </w:rPr>
            </w:pPr>
            <w:r w:rsidRPr="00565F80">
              <w:rPr>
                <w:color w:val="auto"/>
              </w:rPr>
              <w:lastRenderedPageBreak/>
              <w:t>2.</w:t>
            </w:r>
            <w:r w:rsidRPr="00565F80">
              <w:rPr>
                <w:color w:val="auto"/>
              </w:rPr>
              <w:tab/>
              <w:t xml:space="preserve">Nepilnamečių, vyresnių nei 6 metų, pirštų atspaudai ir veido atvaizdas imami vaikui suprantamu būdu ir paisant jo interesų, o šį darbą atlieka pareigūnai, specialiai parengti imti nepilnamečių pirštų atspaudus ir veido atvaizdą. Nepilnametis informuojamas jo amžiui tinkamu būdu, naudojant lankstinukus ir (arba) infografikus ir (arba) demonstravimą, skirtus paaiškinti pirštų atspaudų ir veido atvaizdo ėmimo procedūrą nepilnamečiui </w:t>
            </w:r>
            <w:r w:rsidRPr="00565F80">
              <w:rPr>
                <w:b/>
                <w:i/>
                <w:color w:val="auto"/>
              </w:rPr>
              <w:t>jam suprantama kalba</w:t>
            </w:r>
            <w:r w:rsidRPr="00565F80">
              <w:rPr>
                <w:color w:val="auto"/>
              </w:rPr>
              <w:t xml:space="preserve">, o vykstant pirštų </w:t>
            </w:r>
            <w:r w:rsidRPr="00565F80">
              <w:rPr>
                <w:color w:val="auto"/>
              </w:rPr>
              <w:lastRenderedPageBreak/>
              <w:t>atspaudų ir veido atvaizdo ėmimo procedūrai jį lydi atsakingas suaugęs asmuo, globėjas ar atstovas. Valstybės narės viso pirštų atspaudų ir veido atvaizdo ėmimo proceso metu gerbia nepilnamečio orumą ir fizinę neliečiamybę.</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180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Caterina Chinnici</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2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w:t>
            </w:r>
            <w:r w:rsidRPr="00565F80">
              <w:rPr>
                <w:color w:val="auto"/>
              </w:rPr>
              <w:tab/>
              <w:t>Nepilnamečių, vyresnių nei 6 metų, pirštų atspaudai ir veido atvaizdas imami vaikui suprantamu būdu ir paisant jo interesų, o šį darbą atlieka pareigūnai, specialiai parengti imti nepilnamečių pirštų atspaudus ir veido atvaizdą. Nepilnametis informuojamas jo amžiui tinkamu būdu, naudojant lankstinukus ir (arba) infografikus ir (arba) demonstravimą, skirtus paaiškinti pirštų atspaudų ir veido atvaizdo ėmimo procedūrą nepilnamečiui, o vykstant pirštų atspaudų ir veido atvaizdo ėmimo procedūrai jį lydi atsakingas suaugęs asmuo, globėjas ar atstovas. Valstybės narės viso pirštų atspaudų ir veido atvaizdo ėmimo proceso metu gerbia nepilnamečio orumą ir fizinę neliečiamybę.</w:t>
            </w:r>
          </w:p>
        </w:tc>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Nepilnamečių, vyresnių nei 6 metų, pirštų atspaudai ir veido atvaizdas imami vaikui suprantamu būdu ir paisant jo interesų, o šį darbą atlieka pareigūnai, specialiai parengti imti nepilnamečių pirštų atspaudus ir veido atvaizdą. Nepilnametis </w:t>
            </w:r>
            <w:r w:rsidRPr="00565F80">
              <w:rPr>
                <w:b/>
                <w:i/>
                <w:color w:val="auto"/>
              </w:rPr>
              <w:t xml:space="preserve">raštu, žodžiu arba abiem formomis </w:t>
            </w:r>
            <w:r w:rsidRPr="00565F80">
              <w:rPr>
                <w:color w:val="auto"/>
              </w:rPr>
              <w:t>informuojamas jo amžiui tinkamu būdu, naudojant lankstinukus ir (arba) infografikus ir (arba) demonstravimą, skirtus paaiškinti pirštų atspaudų ir veido atvaizdo ėmimo procedūrą nepilnamečiui, o vykstant pirštų atspaudų ir veido atvaizdo ėmimo procedūrai jį lydi atsakingas suaugęs asmuo, globėjas ar atstovas. Valstybės narės viso pirštų atspaudų ir veido atvaizdo ėmimo proceso metu gerbia nepilnamečio orumą ir fizinę neliečiamybę.</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181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Christine Revault D'Allonnes Bonnefoy, Sylvie Guillaume</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2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Nepilnamečių, vyresnių nei </w:t>
            </w:r>
            <w:r w:rsidRPr="00565F80">
              <w:rPr>
                <w:b/>
                <w:i/>
                <w:color w:val="auto"/>
              </w:rPr>
              <w:t>6</w:t>
            </w:r>
            <w:r w:rsidRPr="00565F80">
              <w:rPr>
                <w:color w:val="auto"/>
              </w:rPr>
              <w:t xml:space="preserve"> metų, pirštų atspaudai ir veido atvaizdas imami vaikui suprantamu būdu ir paisant jo interesų, o šį darbą atlieka pareigūnai, specialiai parengti imti nepilnamečių pirštų atspaudus ir veido atvaizdą. Nepilnametis informuojamas jo amžiui tinkamu būdu, naudojant lankstinukus ir (arba) infografikus ir (arba) demonstravimą, skirtus paaiškinti pirštų atspaudų ir veido atvaizdo ėmimo procedūrą nepilnamečiui, o vykstant pirštų atspaudų ir veido atvaizdo ėmimo procedūrai jį lydi atsakingas suaugęs asmuo, globėjas ar atstovas. Valstybės narės viso pirštų atspaudų ir veido atvaizdo ėmimo proceso metu gerbia nepilnamečio orumą ir fizinę neliečiamybę.</w:t>
            </w:r>
          </w:p>
        </w:tc>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Nepilnamečių, vyresnių nei </w:t>
            </w:r>
            <w:r w:rsidRPr="00565F80">
              <w:rPr>
                <w:b/>
                <w:i/>
                <w:color w:val="auto"/>
              </w:rPr>
              <w:t>14</w:t>
            </w:r>
            <w:r w:rsidRPr="00565F80">
              <w:rPr>
                <w:color w:val="auto"/>
              </w:rPr>
              <w:t xml:space="preserve"> metų, pirštų atspaudai ir veido atvaizdas imami vaikui suprantamu būdu ir paisant jo interesų, o šį darbą atlieka pareigūnai, specialiai parengti imti nepilnamečių pirštų atspaudus ir veido atvaizdą. Nepilnametis informuojamas jo amžiui tinkamu būdu, naudojant lankstinukus ir (arba) infografikus ir (arba) demonstravimą, skirtus paaiškinti pirštų atspaudų ir veido atvaizdo ėmimo procedūrą nepilnamečiui, o vykstant pirštų atspaudų ir veido atvaizdo ėmimo procedūrai jį lydi atsakingas suaugęs asmuo, globėjas ar atstovas. Valstybės narės viso pirštų atspaudų ir veido atvaizdo ėmimo proceso metu gerbia nepilnamečio orumą ir fizinę neliečiamybę.</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The lowering of age from 14 to 6 years is not justified and not proportionate. It is questionable to consider that a 6-years child is in a position to fully understand such a process as well as the consequences on his/her private life. If some member states already collect data from minors (younger than 14years old),it does not make it more acceptable in an EU regulation. The Commission considers it would help with the identification of unaccompanied minors and with the establishment of family links but it does not clearly explain why and how. Moreover,the guarantees to protect the interest of the child are insufficient.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182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3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w:t>
            </w:r>
            <w:r w:rsidRPr="00565F80">
              <w:rPr>
                <w:color w:val="auto"/>
              </w:rPr>
              <w:tab/>
            </w:r>
            <w:r w:rsidRPr="00565F80">
              <w:rPr>
                <w:b/>
                <w:i/>
                <w:color w:val="auto"/>
              </w:rPr>
              <w:t xml:space="preserve">Valstybės narės, vadovaudamosi nacionaline teise, gali nustatyti administracines sankcijas, </w:t>
            </w:r>
            <w:r w:rsidRPr="00565F80">
              <w:rPr>
                <w:color w:val="auto"/>
              </w:rPr>
              <w:t xml:space="preserve">jei nesilaikoma </w:t>
            </w:r>
            <w:r w:rsidRPr="00565F80">
              <w:rPr>
                <w:color w:val="auto"/>
              </w:rPr>
              <w:lastRenderedPageBreak/>
              <w:t xml:space="preserve">pirštų atspaudų </w:t>
            </w:r>
            <w:r w:rsidRPr="00565F80">
              <w:rPr>
                <w:b/>
                <w:i/>
                <w:color w:val="auto"/>
              </w:rPr>
              <w:t>ir veido atspaudo</w:t>
            </w:r>
            <w:r w:rsidRPr="00565F80">
              <w:rPr>
                <w:color w:val="auto"/>
              </w:rPr>
              <w:t xml:space="preserve"> ėmimo tvarkos, kaip nustatyta šio straipsnio 1 dalyje</w:t>
            </w:r>
            <w:r w:rsidRPr="00565F80">
              <w:rPr>
                <w:b/>
                <w:i/>
                <w:color w:val="auto"/>
              </w:rPr>
              <w:t>. Tos sankcijos turi būti veiksmingos, proporcingos ir atgrasomos. Tokiomis aplinkybėmis sulaikymas turėtų būti taikomas tik jei nėra kitos išeities ir būtina nustatyti ar patikrinti trečiosios šalies piliečio tapatybę</w:t>
            </w:r>
            <w:r w:rsidRPr="00565F80">
              <w:rPr>
                <w:color w:val="auto"/>
              </w:rPr>
              <w:t>.</w:t>
            </w:r>
          </w:p>
        </w:tc>
        <w:tc>
          <w:tcPr>
            <w:tcW w:w="4876" w:type="dxa"/>
          </w:tcPr>
          <w:p w:rsidR="00BF668E" w:rsidRPr="00565F80" w:rsidRDefault="00BF668E" w:rsidP="00C555DE">
            <w:pPr>
              <w:pStyle w:val="Normal6"/>
              <w:rPr>
                <w:color w:val="auto"/>
              </w:rPr>
            </w:pPr>
            <w:r w:rsidRPr="00565F80">
              <w:rPr>
                <w:color w:val="auto"/>
              </w:rPr>
              <w:lastRenderedPageBreak/>
              <w:t>3.</w:t>
            </w:r>
            <w:r w:rsidRPr="00565F80">
              <w:rPr>
                <w:color w:val="auto"/>
              </w:rPr>
              <w:tab/>
              <w:t>Jei nesilaikoma pirštų atspaudų ėmimo tvarkos, kaip nustatyta šio straipsnio 1 dalyje</w:t>
            </w:r>
            <w:r w:rsidRPr="00565F80">
              <w:rPr>
                <w:b/>
                <w:i/>
                <w:color w:val="auto"/>
              </w:rPr>
              <w:t xml:space="preserve">, valstybės narės </w:t>
            </w:r>
            <w:r w:rsidRPr="00565F80">
              <w:rPr>
                <w:b/>
                <w:i/>
                <w:color w:val="auto"/>
              </w:rPr>
              <w:lastRenderedPageBreak/>
              <w:t>suteikia papildomą psichologinę pagalbą ir informaciją apie pirštų atspaudų ėmimo procedūrą, susijusių asmenų teises ir galimus nesilaikymo padarinius</w:t>
            </w:r>
            <w:r w:rsidRPr="00565F80">
              <w:rPr>
                <w:color w:val="auto"/>
              </w:rPr>
              <w:t>.</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Deprivation of liberty and the use of physical or psychological force to obtain fingerprints for Eurodac should be avoided because it entails a high risk of violating fundamental rights enshrined in the Charter, namely the right to human dignity (Article 1) and the right to the integrity of the person (Article 3), the prohibition of torture and inhuman or degrading treatment or punishment (Article 4) and the right to liberty and security (Article 6).Asylum seekers must provide fingerprints for Eurodac. As FRA pointed out in its 2015 Focus paper on ‘Fundamental rights implications of the obligation to provide fingerprints for Eurodac’, compliance with this obligation should primarily be secured through effective information and counselling. This can either be provided individually and/or through outreach actions targeting migrant communities, such as focus group discussions, information sessions and similar initiatives.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183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3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w:t>
            </w:r>
            <w:r w:rsidRPr="00565F80">
              <w:rPr>
                <w:color w:val="auto"/>
              </w:rPr>
              <w:tab/>
              <w:t>Valstybės narės</w:t>
            </w:r>
            <w:r w:rsidRPr="00565F80">
              <w:rPr>
                <w:b/>
                <w:i/>
                <w:color w:val="auto"/>
              </w:rPr>
              <w:t>, vadovaudamosi nacionaline teise,</w:t>
            </w:r>
            <w:r w:rsidRPr="00565F80">
              <w:rPr>
                <w:color w:val="auto"/>
              </w:rPr>
              <w:t xml:space="preserve"> </w:t>
            </w:r>
            <w:r w:rsidRPr="00565F80">
              <w:rPr>
                <w:b/>
                <w:i/>
                <w:color w:val="auto"/>
              </w:rPr>
              <w:t>gali</w:t>
            </w:r>
            <w:r w:rsidRPr="00565F80">
              <w:rPr>
                <w:color w:val="auto"/>
              </w:rPr>
              <w:t xml:space="preserve"> nustatyti </w:t>
            </w:r>
            <w:r w:rsidRPr="00565F80">
              <w:rPr>
                <w:b/>
                <w:i/>
                <w:color w:val="auto"/>
              </w:rPr>
              <w:t>administracines sankcijas</w:t>
            </w:r>
            <w:r w:rsidRPr="00565F80">
              <w:rPr>
                <w:color w:val="auto"/>
              </w:rPr>
              <w:t xml:space="preserve">, jei nesilaikoma pirštų atspaudų ir veido atspaudo ėmimo tvarkos, kaip nustatyta šio straipsnio 1 dalyje. </w:t>
            </w:r>
            <w:r w:rsidRPr="00565F80">
              <w:rPr>
                <w:b/>
                <w:i/>
                <w:color w:val="auto"/>
              </w:rPr>
              <w:t>Tos sankcijos turi būti veiksmingos, proporcingos ir atgrasomos. Tokiomis aplinkybėmis sulaikymas turėtų būti taikomas tik jei nėra kitos išeities ir būtina nustatyti ar patikrinti trečiosios šalies piliečio tapatybę.</w:t>
            </w:r>
          </w:p>
        </w:tc>
        <w:tc>
          <w:tcPr>
            <w:tcW w:w="4876" w:type="dxa"/>
          </w:tcPr>
          <w:p w:rsidR="00BF668E" w:rsidRPr="00565F80" w:rsidRDefault="00BF668E" w:rsidP="00A904C0">
            <w:pPr>
              <w:pStyle w:val="Normal6"/>
              <w:rPr>
                <w:color w:val="auto"/>
              </w:rPr>
            </w:pPr>
            <w:r w:rsidRPr="00565F80">
              <w:rPr>
                <w:color w:val="auto"/>
              </w:rPr>
              <w:t>3.</w:t>
            </w:r>
            <w:r w:rsidRPr="00565F80">
              <w:rPr>
                <w:color w:val="auto"/>
              </w:rPr>
              <w:tab/>
              <w:t xml:space="preserve">Valstybės narės </w:t>
            </w:r>
            <w:r w:rsidRPr="00565F80">
              <w:rPr>
                <w:b/>
                <w:i/>
                <w:color w:val="auto"/>
              </w:rPr>
              <w:t>negali</w:t>
            </w:r>
            <w:r w:rsidRPr="00565F80">
              <w:rPr>
                <w:color w:val="auto"/>
              </w:rPr>
              <w:t xml:space="preserve"> nustatyti </w:t>
            </w:r>
            <w:r w:rsidRPr="00565F80">
              <w:rPr>
                <w:b/>
                <w:i/>
                <w:color w:val="auto"/>
              </w:rPr>
              <w:t>administracin</w:t>
            </w:r>
            <w:r w:rsidR="00A904C0" w:rsidRPr="00565F80">
              <w:rPr>
                <w:b/>
                <w:i/>
                <w:color w:val="auto"/>
              </w:rPr>
              <w:t>ių</w:t>
            </w:r>
            <w:r w:rsidRPr="00565F80">
              <w:rPr>
                <w:b/>
                <w:i/>
                <w:color w:val="auto"/>
              </w:rPr>
              <w:t xml:space="preserve"> sankcij</w:t>
            </w:r>
            <w:r w:rsidR="00A904C0" w:rsidRPr="00565F80">
              <w:rPr>
                <w:b/>
                <w:i/>
                <w:color w:val="auto"/>
              </w:rPr>
              <w:t>ų</w:t>
            </w:r>
            <w:r w:rsidRPr="00565F80">
              <w:rPr>
                <w:color w:val="auto"/>
              </w:rPr>
              <w:t>, jei nesilaikoma pirštų atspaudų ir veido atspaudo ėmimo tvarkos, kaip nustatyta šio straipsnio 1 dalyje.</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184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3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w:t>
            </w:r>
            <w:r w:rsidRPr="00565F80">
              <w:rPr>
                <w:color w:val="auto"/>
              </w:rPr>
              <w:tab/>
              <w:t xml:space="preserve">Valstybės narės, vadovaudamosi nacionaline teise, </w:t>
            </w:r>
            <w:r w:rsidRPr="00565F80">
              <w:rPr>
                <w:b/>
                <w:i/>
                <w:color w:val="auto"/>
              </w:rPr>
              <w:t>gali nustatyti</w:t>
            </w:r>
            <w:r w:rsidRPr="00565F80">
              <w:rPr>
                <w:color w:val="auto"/>
              </w:rPr>
              <w:t xml:space="preserve"> administracines sankcijas, jei nesilaikoma </w:t>
            </w:r>
            <w:r w:rsidRPr="00565F80">
              <w:rPr>
                <w:b/>
                <w:i/>
                <w:color w:val="auto"/>
              </w:rPr>
              <w:t xml:space="preserve">pirštų atspaudų ir veido atspaudo </w:t>
            </w:r>
            <w:r w:rsidRPr="00565F80">
              <w:rPr>
                <w:color w:val="auto"/>
              </w:rPr>
              <w:t>ėmimo tvarkos</w:t>
            </w:r>
            <w:r w:rsidRPr="00565F80">
              <w:rPr>
                <w:b/>
                <w:i/>
                <w:color w:val="auto"/>
              </w:rPr>
              <w:t xml:space="preserve">, kaip nustatyta šio straipsnio 1 dalyje. Tos </w:t>
            </w:r>
            <w:r w:rsidRPr="00565F80">
              <w:rPr>
                <w:color w:val="auto"/>
              </w:rPr>
              <w:t>sankcijos turi būti veiksmingos, proporcingos ir atgrasomos. Tokiomis aplinkybėmis sulaikymas turėtų būti taikomas tik jei nėra kitos išeities ir būtina nustatyti ar patikrinti trečiosios šalies piliečio tapatybę.</w:t>
            </w:r>
          </w:p>
        </w:tc>
        <w:tc>
          <w:tcPr>
            <w:tcW w:w="4876" w:type="dxa"/>
          </w:tcPr>
          <w:p w:rsidR="00BF668E" w:rsidRPr="00565F80" w:rsidRDefault="00BF668E" w:rsidP="00C555DE">
            <w:pPr>
              <w:pStyle w:val="Normal6"/>
              <w:rPr>
                <w:color w:val="auto"/>
              </w:rPr>
            </w:pPr>
            <w:r w:rsidRPr="00565F80">
              <w:rPr>
                <w:color w:val="auto"/>
              </w:rPr>
              <w:t>3.</w:t>
            </w:r>
            <w:r w:rsidRPr="00565F80">
              <w:rPr>
                <w:color w:val="auto"/>
              </w:rPr>
              <w:tab/>
            </w:r>
            <w:r w:rsidRPr="00565F80">
              <w:rPr>
                <w:b/>
                <w:i/>
                <w:color w:val="auto"/>
              </w:rPr>
              <w:t>Siekdamos atlikti visapusišką visų asmenų registraciją pagal 1 dalį,</w:t>
            </w:r>
            <w:r w:rsidRPr="00565F80">
              <w:rPr>
                <w:color w:val="auto"/>
              </w:rPr>
              <w:t xml:space="preserve"> valstybės narės, vadovaudamosi nacionaline teise, </w:t>
            </w:r>
            <w:r w:rsidRPr="00565F80">
              <w:rPr>
                <w:b/>
                <w:i/>
                <w:color w:val="auto"/>
              </w:rPr>
              <w:t>nustato</w:t>
            </w:r>
            <w:r w:rsidRPr="00565F80">
              <w:rPr>
                <w:color w:val="auto"/>
              </w:rPr>
              <w:t xml:space="preserve"> administracines sankcijas, jei nesilaikoma </w:t>
            </w:r>
            <w:r w:rsidRPr="00565F80">
              <w:rPr>
                <w:b/>
                <w:i/>
                <w:color w:val="auto"/>
              </w:rPr>
              <w:t xml:space="preserve">biometrinių duomenų </w:t>
            </w:r>
            <w:r w:rsidRPr="00565F80">
              <w:rPr>
                <w:color w:val="auto"/>
              </w:rPr>
              <w:t>ėmimo tvarkos</w:t>
            </w:r>
            <w:r w:rsidRPr="00565F80">
              <w:rPr>
                <w:b/>
                <w:i/>
                <w:color w:val="auto"/>
              </w:rPr>
              <w:t xml:space="preserve">. Valstybės narės užtikrina, kad asmeniui būtų suteikta konsultavimo galimybė, siekiant įtikinti tą asmenį bendradarbiauti atliekant procedūrą. </w:t>
            </w:r>
            <w:r w:rsidRPr="00565F80">
              <w:rPr>
                <w:color w:val="auto"/>
              </w:rPr>
              <w:t>Sankcijos</w:t>
            </w:r>
            <w:r w:rsidRPr="00565F80">
              <w:rPr>
                <w:b/>
                <w:i/>
                <w:color w:val="auto"/>
              </w:rPr>
              <w:t>, įskaitant galimybę naudoti prievartos priemones,</w:t>
            </w:r>
            <w:r w:rsidRPr="00565F80">
              <w:rPr>
                <w:color w:val="auto"/>
              </w:rPr>
              <w:t xml:space="preserve"> turi būti veiksmingos, proporcingos ir atgrasomos. Tokiomis aplinkybėmis sulaikymas turėtų būti taikomas tik jei nėra kitos išeities ir būtina nustatyti ar patikrinti trečiosios šalies piliečio tapatybę.</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Susitelkiama į 100 % registracijos normą.</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185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Kati Piri, Maria Grapini, Juan Fernando López Aguilar, Caterina Chinnici</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3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w:t>
            </w:r>
            <w:r w:rsidRPr="00565F80">
              <w:rPr>
                <w:color w:val="auto"/>
              </w:rPr>
              <w:tab/>
              <w:t xml:space="preserve">Valstybės narės, vadovaudamosi nacionaline teise, gali nustatyti </w:t>
            </w:r>
            <w:r w:rsidRPr="00565F80">
              <w:rPr>
                <w:color w:val="auto"/>
              </w:rPr>
              <w:lastRenderedPageBreak/>
              <w:t xml:space="preserve">administracines sankcijas, jei nesilaikoma pirštų atspaudų ir veido atspaudo ėmimo tvarkos, kaip nustatyta šio straipsnio 1 dalyje. Tos sankcijos turi būti veiksmingos, proporcingos ir atgrasomos. Tokiomis aplinkybėmis sulaikymas turėtų būti taikomas tik jei nėra kitos išeities </w:t>
            </w:r>
            <w:r w:rsidRPr="00565F80">
              <w:rPr>
                <w:b/>
                <w:i/>
                <w:color w:val="auto"/>
              </w:rPr>
              <w:t>ir būtina</w:t>
            </w:r>
            <w:r w:rsidRPr="00565F80">
              <w:rPr>
                <w:color w:val="auto"/>
              </w:rPr>
              <w:t xml:space="preserve"> nustatyti ar patikrinti trečiosios šalies piliečio tapatybę.</w:t>
            </w:r>
          </w:p>
        </w:tc>
        <w:tc>
          <w:tcPr>
            <w:tcW w:w="4876" w:type="dxa"/>
          </w:tcPr>
          <w:p w:rsidR="00BF668E" w:rsidRPr="00565F80" w:rsidRDefault="00BF668E" w:rsidP="00C555DE">
            <w:pPr>
              <w:pStyle w:val="Normal6"/>
              <w:rPr>
                <w:color w:val="auto"/>
              </w:rPr>
            </w:pPr>
            <w:r w:rsidRPr="00565F80">
              <w:rPr>
                <w:color w:val="auto"/>
              </w:rPr>
              <w:lastRenderedPageBreak/>
              <w:t>3.</w:t>
            </w:r>
            <w:r w:rsidRPr="00565F80">
              <w:rPr>
                <w:color w:val="auto"/>
              </w:rPr>
              <w:tab/>
              <w:t xml:space="preserve">Valstybės narės, vadovaudamosi nacionaline teise </w:t>
            </w:r>
            <w:r w:rsidRPr="00565F80">
              <w:rPr>
                <w:b/>
                <w:i/>
                <w:color w:val="auto"/>
              </w:rPr>
              <w:t xml:space="preserve">ir visiškai laikydamosi </w:t>
            </w:r>
            <w:r w:rsidRPr="00565F80">
              <w:rPr>
                <w:b/>
                <w:i/>
                <w:color w:val="auto"/>
              </w:rPr>
              <w:lastRenderedPageBreak/>
              <w:t>Europos Sąjungos pagrindinių teisių chartijos</w:t>
            </w:r>
            <w:r w:rsidRPr="00565F80">
              <w:rPr>
                <w:color w:val="auto"/>
              </w:rPr>
              <w:t xml:space="preserve">, </w:t>
            </w:r>
            <w:r w:rsidRPr="00565F80">
              <w:rPr>
                <w:b/>
                <w:i/>
                <w:color w:val="auto"/>
              </w:rPr>
              <w:t xml:space="preserve">prireikus </w:t>
            </w:r>
            <w:r w:rsidRPr="00565F80">
              <w:rPr>
                <w:color w:val="auto"/>
              </w:rPr>
              <w:t xml:space="preserve">gali nustatyti </w:t>
            </w:r>
            <w:r w:rsidRPr="00565F80">
              <w:rPr>
                <w:b/>
                <w:i/>
                <w:color w:val="auto"/>
              </w:rPr>
              <w:t xml:space="preserve">tinkamai pagrįstas </w:t>
            </w:r>
            <w:r w:rsidRPr="00565F80">
              <w:rPr>
                <w:color w:val="auto"/>
              </w:rPr>
              <w:t xml:space="preserve">administracines sankcijas, jei nesilaikoma pirštų atspaudų ir veido atspaudo ėmimo tvarkos, kaip nustatyta šio straipsnio 1 dalyje. Tos sankcijos turi būti veiksmingos, proporcingos ir atgrasomos. Tokiomis aplinkybėmis sulaikymas turėtų būti taikomas </w:t>
            </w:r>
            <w:r w:rsidRPr="00565F80">
              <w:rPr>
                <w:b/>
                <w:i/>
                <w:color w:val="auto"/>
              </w:rPr>
              <w:t xml:space="preserve">kuo trumpesnį ir būtiną laiką, </w:t>
            </w:r>
            <w:r w:rsidRPr="00565F80">
              <w:rPr>
                <w:color w:val="auto"/>
              </w:rPr>
              <w:t xml:space="preserve">tik jei nėra kitos išeities </w:t>
            </w:r>
            <w:r w:rsidRPr="00565F80">
              <w:rPr>
                <w:b/>
                <w:i/>
                <w:color w:val="auto"/>
              </w:rPr>
              <w:t>po veiksmingos psichologinės pagalbos, jeigu nėra kito būdo</w:t>
            </w:r>
            <w:r w:rsidRPr="00565F80">
              <w:rPr>
                <w:color w:val="auto"/>
              </w:rPr>
              <w:t xml:space="preserve"> nustatyti ar patikrinti trečiosios šalies piliečio </w:t>
            </w:r>
            <w:r w:rsidRPr="00565F80">
              <w:rPr>
                <w:b/>
                <w:i/>
                <w:color w:val="auto"/>
              </w:rPr>
              <w:t xml:space="preserve">arba asmens be pilietybės </w:t>
            </w:r>
            <w:r w:rsidRPr="00565F80">
              <w:rPr>
                <w:color w:val="auto"/>
              </w:rPr>
              <w:t xml:space="preserve">tapatybę </w:t>
            </w:r>
            <w:r w:rsidRPr="00565F80">
              <w:rPr>
                <w:b/>
                <w:i/>
                <w:color w:val="auto"/>
              </w:rPr>
              <w:t>ir jei šis asmuo gali pasislėpti. Draudžiama sulaikyti nepilnamečius</w:t>
            </w:r>
            <w:r w:rsidRPr="00565F80">
              <w:rPr>
                <w:color w:val="auto"/>
              </w:rPr>
              <w:t>.</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186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Lorenzo Fontana</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3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w:t>
            </w:r>
            <w:r w:rsidRPr="00565F80">
              <w:rPr>
                <w:color w:val="auto"/>
              </w:rPr>
              <w:tab/>
              <w:t>Valstybės narės, vadovaudamosi nacionaline teise, gali nustatyti administracines sankcijas, jei nesilaikoma pirštų atspaudų ir veido atspaudo ėmimo tvarkos, kaip nustatyta šio straipsnio 1 dalyje. Tos sankcijos turi būti veiksmingos, proporcingos ir atgrasomos. Tokiomis aplinkybėmis sulaikymas turėtų būti taikomas</w:t>
            </w:r>
            <w:r w:rsidRPr="00565F80">
              <w:rPr>
                <w:b/>
                <w:i/>
                <w:color w:val="auto"/>
              </w:rPr>
              <w:t xml:space="preserve"> tik jei nėra kitos išeities ir</w:t>
            </w:r>
            <w:r w:rsidRPr="00565F80">
              <w:rPr>
                <w:color w:val="auto"/>
              </w:rPr>
              <w:t xml:space="preserve"> būtina nustatyti ar patikrinti trečiosios šalies piliečio tapatybę.</w:t>
            </w:r>
          </w:p>
        </w:tc>
        <w:tc>
          <w:tcPr>
            <w:tcW w:w="4876" w:type="dxa"/>
          </w:tcPr>
          <w:p w:rsidR="00BF668E" w:rsidRPr="00565F80" w:rsidRDefault="00BF668E" w:rsidP="00C555DE">
            <w:pPr>
              <w:pStyle w:val="Normal6"/>
              <w:rPr>
                <w:color w:val="auto"/>
              </w:rPr>
            </w:pPr>
            <w:r w:rsidRPr="00565F80">
              <w:rPr>
                <w:color w:val="auto"/>
              </w:rPr>
              <w:t>3.</w:t>
            </w:r>
            <w:r w:rsidRPr="00565F80">
              <w:rPr>
                <w:color w:val="auto"/>
              </w:rPr>
              <w:tab/>
              <w:t>Valstybės narės, vadovaudamosi nacionaline teise, gali nustatyti administracines sankcijas, jei nesilaikoma pirštų atspaudų ir veido atspaudo ėmimo tvarkos, kaip nustatyta šio straipsnio 1 dalyje. Tos sankcijos turi būti veiksmingos, proporcingos ir atgrasomos. Tokiomis aplinkybėmis sulaikymas turėtų būti taikomas</w:t>
            </w:r>
            <w:r w:rsidRPr="00565F80">
              <w:rPr>
                <w:b/>
                <w:i/>
                <w:color w:val="auto"/>
              </w:rPr>
              <w:t>, jeigu</w:t>
            </w:r>
            <w:r w:rsidRPr="00565F80">
              <w:rPr>
                <w:color w:val="auto"/>
              </w:rPr>
              <w:t xml:space="preserve"> būtina nustatyti ar patikrinti trečiosios šalies piliečio tapatybę.</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{IT}</w:t>
      </w:r>
      <w:r w:rsidRPr="00565F80">
        <w:rPr>
          <w:color w:val="auto"/>
          <w:lang w:val="lt-LT"/>
        </w:rPr>
        <w:t>it</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187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Sophia in 't Veld</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lastRenderedPageBreak/>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3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w:t>
            </w:r>
            <w:r w:rsidRPr="00565F80">
              <w:rPr>
                <w:color w:val="auto"/>
              </w:rPr>
              <w:tab/>
              <w:t>Valstybės narės, vadovaudamosi nacionaline teise, gali nustatyti administracines sankcijas, jei nesilaikoma pirštų atspaudų ir veido atspaudo ėmimo tvarkos, kaip nustatyta šio straipsnio 1 dalyje. Tos sankcijos turi būti veiksmingos, proporcingos ir atgrasomos. Tokiomis aplinkybėmis sulaikymas turėtų būti taikomas tik jei nėra kitos išeities ir būtina nustatyti ar patikrinti trečiosios šalies piliečio tapatybę.</w:t>
            </w:r>
          </w:p>
        </w:tc>
        <w:tc>
          <w:tcPr>
            <w:tcW w:w="4876" w:type="dxa"/>
          </w:tcPr>
          <w:p w:rsidR="00BF668E" w:rsidRPr="00565F80" w:rsidRDefault="00BF668E" w:rsidP="00C555DE">
            <w:pPr>
              <w:pStyle w:val="Normal6"/>
              <w:rPr>
                <w:color w:val="auto"/>
              </w:rPr>
            </w:pPr>
            <w:r w:rsidRPr="00565F80">
              <w:rPr>
                <w:color w:val="auto"/>
              </w:rPr>
              <w:t>3.</w:t>
            </w:r>
            <w:r w:rsidRPr="00565F80">
              <w:rPr>
                <w:color w:val="auto"/>
              </w:rPr>
              <w:tab/>
              <w:t xml:space="preserve">Valstybės narės, vadovaudamosi nacionaline teise, gali nustatyti administracines sankcijas, jei nesilaikoma pirštų atspaudų ir veido atspaudo ėmimo tvarkos, kaip nustatyta šio straipsnio 1 dalyje. Tos sankcijos turi būti veiksmingos, proporcingos ir atgrasomos. Tokiomis aplinkybėmis sulaikymas turėtų būti taikomas tik jei nėra kitos išeities ir būtina nustatyti ar patikrinti trečiosios šalies piliečio tapatybę. </w:t>
            </w:r>
            <w:r w:rsidRPr="00565F80">
              <w:rPr>
                <w:b/>
                <w:i/>
                <w:color w:val="auto"/>
              </w:rPr>
              <w:t>Kiekvienu konkrečiu atveju atliekamas vertinimas siekiant nustatyti, ar įvykdytos visos išankstinės sąlygos, būtinos savavališkam sulaikymui išvengti.</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188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4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4.</w:t>
            </w:r>
            <w:r w:rsidRPr="00565F80">
              <w:rPr>
                <w:color w:val="auto"/>
              </w:rPr>
              <w:tab/>
              <w:t xml:space="preserve">Nedarant poveikio šio straipsnio 3 daliai, kai dėl pirštų pagalvėlių ar veido būklės neįmanoma paimti trečiosios šalies piliečių, kurie laikomi pažeidžiamais asmenimis, ar nepilnamečių pirštų atspaudų ar veido atvaizdo, tos valstybės narės institucijos netaiko jokių sankcijų, kad prievarta paimtų pirštų atspaudus ar veido atvaizdą. </w:t>
            </w:r>
            <w:r w:rsidRPr="00565F80">
              <w:rPr>
                <w:b/>
                <w:i/>
                <w:color w:val="auto"/>
              </w:rPr>
              <w:t xml:space="preserve">Jei tvarkos nesilaikymas grindžiamas priežastimis, nesusijusiomis su asmens pirštų pagalvėlių ar veido būkle ir asmens sveikata, ir jei savo veiksmus gali tinkamai pagrįsti, valstybė narė gali bandyti pakartotinai paimti </w:t>
            </w:r>
            <w:r w:rsidRPr="00565F80">
              <w:rPr>
                <w:b/>
                <w:i/>
                <w:color w:val="auto"/>
              </w:rPr>
              <w:lastRenderedPageBreak/>
              <w:t>nepilnamečio ar pažeidžiamo asmens, kuris atsisako dalyvauti procedūroje, pirštų atspaudus ir veido atvaizdą.</w:t>
            </w:r>
            <w:r w:rsidRPr="00565F80">
              <w:rPr>
                <w:color w:val="auto"/>
              </w:rPr>
              <w:t xml:space="preserve"> Jeigu nepilnametis, visų pirma nelydimas ar atskirtas, atsisako duoti pirštų atspaudus </w:t>
            </w:r>
            <w:r w:rsidRPr="00565F80">
              <w:rPr>
                <w:b/>
                <w:i/>
                <w:color w:val="auto"/>
              </w:rPr>
              <w:t xml:space="preserve">ir </w:t>
            </w:r>
            <w:r w:rsidRPr="00565F80">
              <w:rPr>
                <w:color w:val="auto"/>
              </w:rPr>
              <w:t>veido atvaizdą</w:t>
            </w:r>
            <w:r w:rsidRPr="00565F80">
              <w:rPr>
                <w:b/>
                <w:i/>
                <w:color w:val="auto"/>
              </w:rPr>
              <w:t xml:space="preserve"> ir jeigu yra pagrįstų priežasčių įtarti, kad yra vaiko saugumo ir apsaugos pavojų</w:t>
            </w:r>
            <w:r w:rsidRPr="00565F80">
              <w:rPr>
                <w:color w:val="auto"/>
              </w:rPr>
              <w:t xml:space="preserve">, nepilnametis perduodamas nacionalinėms vaikų apsaugos institucijoms </w:t>
            </w:r>
            <w:r w:rsidRPr="00565F80">
              <w:rPr>
                <w:b/>
                <w:i/>
                <w:color w:val="auto"/>
              </w:rPr>
              <w:t>ir (arba)</w:t>
            </w:r>
            <w:r w:rsidRPr="00565F80">
              <w:rPr>
                <w:color w:val="auto"/>
              </w:rPr>
              <w:t xml:space="preserve"> jam taikomi nacionaliniai nukreipimo mechanizmai.</w:t>
            </w:r>
          </w:p>
        </w:tc>
        <w:tc>
          <w:tcPr>
            <w:tcW w:w="4876" w:type="dxa"/>
          </w:tcPr>
          <w:p w:rsidR="00BF668E" w:rsidRPr="00565F80" w:rsidRDefault="00BF668E" w:rsidP="00C555DE">
            <w:pPr>
              <w:pStyle w:val="Normal6"/>
              <w:rPr>
                <w:color w:val="auto"/>
              </w:rPr>
            </w:pPr>
            <w:r w:rsidRPr="00565F80">
              <w:rPr>
                <w:color w:val="auto"/>
              </w:rPr>
              <w:lastRenderedPageBreak/>
              <w:t>4.</w:t>
            </w:r>
            <w:r w:rsidRPr="00565F80">
              <w:rPr>
                <w:color w:val="auto"/>
              </w:rPr>
              <w:tab/>
              <w:t>Nedarant poveikio šio straipsnio 3 daliai, kai dėl pirštų pagalvėlių ar veido būklės neįmanoma paimti trečiosios šalies piliečių, kurie laikomi pažeidžiamais asmenimis, ar nepilnamečių pirštų atspaudų ar veido atvaizdo, tos valstybės narės institucijos netaiko jokių sankcijų, kad prievarta paimtų pirštų atspaudus ar veido atvaizdą. Jeigu nepilnametis, visų pirma nelydimas ar atskirtas, atsisako duoti pirštų atspaudus</w:t>
            </w:r>
            <w:r w:rsidRPr="00565F80">
              <w:rPr>
                <w:b/>
                <w:i/>
                <w:color w:val="auto"/>
              </w:rPr>
              <w:t xml:space="preserve"> arba </w:t>
            </w:r>
            <w:r w:rsidRPr="00565F80">
              <w:rPr>
                <w:color w:val="auto"/>
              </w:rPr>
              <w:t>veido atvaizdą, nepilnametis perduodamas nacionalinėms vaikų apsaugos institucijoms</w:t>
            </w:r>
            <w:r w:rsidRPr="00565F80">
              <w:rPr>
                <w:b/>
                <w:i/>
                <w:color w:val="auto"/>
              </w:rPr>
              <w:t xml:space="preserve">, </w:t>
            </w:r>
            <w:r w:rsidRPr="00565F80">
              <w:rPr>
                <w:color w:val="auto"/>
              </w:rPr>
              <w:t xml:space="preserve">jam taikomi nacionaliniai nukreipimo mechanizmai </w:t>
            </w:r>
            <w:r w:rsidRPr="00565F80">
              <w:rPr>
                <w:b/>
                <w:i/>
                <w:color w:val="auto"/>
              </w:rPr>
              <w:lastRenderedPageBreak/>
              <w:t>arba naudojami abu šie būdai. Nacionalinės vaikų apsaugos institucijos, kiti atitinkami nacionaliniai nukreipimo mechanizmai arba abu šie subjektai atlieka poreikių vertinimą, siekiant rasti ilgalaikį sprendimą vaikui, atsižvelgiant į jo interesus</w:t>
            </w:r>
            <w:r w:rsidRPr="00565F80">
              <w:rPr>
                <w:color w:val="auto"/>
              </w:rPr>
              <w:t>.</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pakeitimas reikalingas siekiant išlaikyti teksto logiką, nes juo turėtų būti apsaugoti prekybos žmonėmis aukomis tapę vaikai ir remiamas nelydimų vaikų, kurie dingsta, prarandami arba pasislepia, tapatybės nustatymas ir apsauga, kaip Europos Komisija pabrėžė savo aiškinamajame memorandume, pridėtame prie siūlomos naujos EURODAC reglamento redakcijos. Siekiant laikytis Chartijos 7 straipsnio, 8 straipsnio ir 24 straipsnio, vaikų nuo šešerių metų biometrinių duomenų tvarkymas gali būti pateisinamas tik vaiko apsaugos tikslu.</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189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4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4.</w:t>
            </w:r>
            <w:r w:rsidRPr="00565F80">
              <w:rPr>
                <w:color w:val="auto"/>
              </w:rPr>
              <w:tab/>
            </w:r>
            <w:r w:rsidRPr="00565F80">
              <w:rPr>
                <w:b/>
                <w:i/>
                <w:color w:val="auto"/>
              </w:rPr>
              <w:t>Nedarant poveikio šio straipsnio 3 daliai, kai dėl pirštų pagalvėlių ar veido būklės neįmanoma paimti trečiosios šalies piliečių, kurie laikomi pažeidžiamais asmenimis, ar nepilnamečių pirštų atspaudų ar veido atvaizdo, tos</w:t>
            </w:r>
            <w:r w:rsidRPr="00565F80">
              <w:rPr>
                <w:color w:val="auto"/>
              </w:rPr>
              <w:t xml:space="preserve"> valstybės narės </w:t>
            </w:r>
            <w:r w:rsidRPr="00565F80">
              <w:rPr>
                <w:b/>
                <w:i/>
                <w:color w:val="auto"/>
              </w:rPr>
              <w:t>institucijos</w:t>
            </w:r>
            <w:r w:rsidRPr="00565F80">
              <w:rPr>
                <w:color w:val="auto"/>
              </w:rPr>
              <w:t xml:space="preserve"> netaiko jokių sankcijų, kad prievarta paimtų pirštų atspaudus </w:t>
            </w:r>
            <w:r w:rsidRPr="00565F80">
              <w:rPr>
                <w:b/>
                <w:i/>
                <w:color w:val="auto"/>
              </w:rPr>
              <w:t>ar veido atvaizdą</w:t>
            </w:r>
            <w:r w:rsidRPr="00565F80">
              <w:rPr>
                <w:color w:val="auto"/>
              </w:rPr>
              <w:t xml:space="preserve">. Jei tvarkos nesilaikymas grindžiamas priežastimis, nesusijusiomis su asmens pirštų pagalvėlių ar </w:t>
            </w:r>
            <w:r w:rsidRPr="00565F80">
              <w:rPr>
                <w:b/>
                <w:i/>
                <w:color w:val="auto"/>
              </w:rPr>
              <w:t>veido būkle</w:t>
            </w:r>
            <w:r w:rsidRPr="00565F80">
              <w:rPr>
                <w:color w:val="auto"/>
              </w:rPr>
              <w:t xml:space="preserve"> </w:t>
            </w:r>
            <w:r w:rsidRPr="00565F80">
              <w:rPr>
                <w:b/>
                <w:i/>
                <w:color w:val="auto"/>
              </w:rPr>
              <w:t>ir</w:t>
            </w:r>
            <w:r w:rsidRPr="00565F80">
              <w:rPr>
                <w:color w:val="auto"/>
              </w:rPr>
              <w:t xml:space="preserve"> asmens sveikata, ir jei savo veiksmus </w:t>
            </w:r>
            <w:r w:rsidRPr="00565F80">
              <w:rPr>
                <w:color w:val="auto"/>
              </w:rPr>
              <w:lastRenderedPageBreak/>
              <w:t xml:space="preserve">gali tinkamai pagrįsti, valstybė narė gali bandyti pakartotinai paimti </w:t>
            </w:r>
            <w:r w:rsidRPr="00565F80">
              <w:rPr>
                <w:b/>
                <w:i/>
                <w:color w:val="auto"/>
              </w:rPr>
              <w:t>nepilnamečio ar pažeidžiamo</w:t>
            </w:r>
            <w:r w:rsidRPr="00565F80">
              <w:rPr>
                <w:color w:val="auto"/>
              </w:rPr>
              <w:t xml:space="preserve"> asmens, kuris atsisako dalyvauti procedūroje, pirštų atspaudus </w:t>
            </w:r>
            <w:r w:rsidRPr="00565F80">
              <w:rPr>
                <w:b/>
                <w:i/>
                <w:color w:val="auto"/>
              </w:rPr>
              <w:t>ir veido atvaizdą</w:t>
            </w:r>
            <w:r w:rsidRPr="00565F80">
              <w:rPr>
                <w:color w:val="auto"/>
              </w:rPr>
              <w:t>. Jeigu nepilnametis, visų pirma nelydimas ar atskirtas, atsisako duoti pirštų atspaudus ir veido atvaizdą ir jeigu yra pagrįstų priežasčių įtarti, kad yra vaiko saugumo ir apsaugos pavojų, nepilnametis perduodamas nacionalinėms vaikų apsaugos institucijoms ir (arba) jam taikomi nacionaliniai nukreipimo mechanizmai.</w:t>
            </w:r>
          </w:p>
        </w:tc>
        <w:tc>
          <w:tcPr>
            <w:tcW w:w="4876" w:type="dxa"/>
          </w:tcPr>
          <w:p w:rsidR="00BF668E" w:rsidRPr="00565F80" w:rsidRDefault="00BF668E" w:rsidP="00344601">
            <w:pPr>
              <w:pStyle w:val="Normal6"/>
              <w:rPr>
                <w:color w:val="auto"/>
              </w:rPr>
            </w:pPr>
            <w:r w:rsidRPr="00565F80">
              <w:rPr>
                <w:color w:val="auto"/>
              </w:rPr>
              <w:lastRenderedPageBreak/>
              <w:t>4.</w:t>
            </w:r>
            <w:r w:rsidRPr="00565F80">
              <w:rPr>
                <w:color w:val="auto"/>
              </w:rPr>
              <w:tab/>
              <w:t>Valstybės narės netaiko jokių sankcijų, kad prievarta paimtų pirštų atspaudus. Jei tvarkos nesilaikymas grindžiamas priežastimis, nesusijusiomis su asmens pirštų pagalvėlių ar asmens sveikata, ir jei savo veiksmus gali tinkamai pagrįsti, valstybė narė gali bandyti pakartotinai paimti asmens, kuris atsisako dalyvauti procedūroje, pirštų atspaudus</w:t>
            </w:r>
            <w:r w:rsidRPr="00565F80">
              <w:rPr>
                <w:b/>
                <w:i/>
                <w:color w:val="auto"/>
              </w:rPr>
              <w:t>, ir tai turi padaryti asmens amžiui tinkamu būdu, kaip nurodyta 2 straipsnio 2 dalyje</w:t>
            </w:r>
            <w:r w:rsidRPr="00565F80">
              <w:rPr>
                <w:color w:val="auto"/>
              </w:rPr>
              <w:t xml:space="preserve">. Jeigu nepilnametis, visų pirma nelydimas </w:t>
            </w:r>
            <w:r w:rsidRPr="00565F80">
              <w:rPr>
                <w:color w:val="auto"/>
              </w:rPr>
              <w:lastRenderedPageBreak/>
              <w:t xml:space="preserve">ar atskirtas, atsisako duoti pirštų atspaudus ir veido atvaizdą ir jeigu yra pagrįstų priežasčių įtarti, kad yra vaiko saugumo ir apsaugos pavojų, </w:t>
            </w:r>
            <w:r w:rsidRPr="00565F80">
              <w:rPr>
                <w:b/>
                <w:i/>
                <w:color w:val="auto"/>
              </w:rPr>
              <w:t xml:space="preserve">kaip įvertina specialiai darbui su nepilnamečiais </w:t>
            </w:r>
            <w:r w:rsidR="00344601" w:rsidRPr="00565F80">
              <w:rPr>
                <w:b/>
                <w:i/>
                <w:color w:val="auto"/>
              </w:rPr>
              <w:t>parengtas</w:t>
            </w:r>
            <w:r w:rsidRPr="00565F80">
              <w:rPr>
                <w:b/>
                <w:i/>
                <w:color w:val="auto"/>
              </w:rPr>
              <w:t xml:space="preserve"> pareigūnas, </w:t>
            </w:r>
            <w:r w:rsidRPr="00565F80">
              <w:rPr>
                <w:color w:val="auto"/>
              </w:rPr>
              <w:t>nepilnametis perduodamas nacionalinėms vaikų apsaugos institucijoms ir (arba) jam taikomi nacionaliniai nukreipimo mechanizmai.</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190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Anna Maria Corazza Bildt, Damiano Zoffoli, Barbara Matera, Petras Auštrevičius, Beatriz Becerra Basterrechea, Carlos Coelho, Hilde Vautmans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4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4.</w:t>
            </w:r>
            <w:r w:rsidRPr="00565F80">
              <w:rPr>
                <w:color w:val="auto"/>
              </w:rPr>
              <w:tab/>
              <w:t xml:space="preserve">Nedarant poveikio šio straipsnio 3 daliai, kai dėl pirštų pagalvėlių ar veido būklės neįmanoma paimti trečiosios šalies piliečių, kurie laikomi pažeidžiamais asmenimis, ar nepilnamečių pirštų atspaudų ar veido atvaizdo, tos valstybės narės institucijos netaiko jokių sankcijų, kad prievarta paimtų pirštų atspaudus ar veido atvaizdą. Jei tvarkos nesilaikymas grindžiamas priežastimis, nesusijusiomis su asmens pirštų pagalvėlių ar veido būkle ir asmens sveikata, ir jei savo veiksmus gali tinkamai pagrįsti, valstybė narė gali bandyti pakartotinai paimti nepilnamečio ar pažeidžiamo asmens, kuris atsisako dalyvauti procedūroje, pirštų atspaudus ir veido atvaizdą. Jeigu nepilnametis, visų pirma nelydimas ar atskirtas, atsisako duoti pirštų atspaudus ir veido atvaizdą </w:t>
            </w:r>
            <w:r w:rsidRPr="00565F80">
              <w:rPr>
                <w:b/>
                <w:i/>
                <w:color w:val="auto"/>
              </w:rPr>
              <w:t xml:space="preserve">ir jeigu </w:t>
            </w:r>
            <w:r w:rsidRPr="00565F80">
              <w:rPr>
                <w:b/>
                <w:i/>
                <w:color w:val="auto"/>
              </w:rPr>
              <w:lastRenderedPageBreak/>
              <w:t>yra pagrįstų priežasčių įtarti, kad yra vaiko saugumo ir apsaugos pavojų</w:t>
            </w:r>
            <w:r w:rsidRPr="00565F80">
              <w:rPr>
                <w:color w:val="auto"/>
              </w:rPr>
              <w:t>, nepilnametis perduodamas nacionalinėms vaikų apsaugos institucijoms ir (arba) jam taikomi nacionaliniai nukreipimo mechanizmai.</w:t>
            </w:r>
          </w:p>
        </w:tc>
        <w:tc>
          <w:tcPr>
            <w:tcW w:w="4876" w:type="dxa"/>
          </w:tcPr>
          <w:p w:rsidR="00BF668E" w:rsidRPr="00565F80" w:rsidRDefault="00BF668E" w:rsidP="00C555DE">
            <w:pPr>
              <w:pStyle w:val="Normal6"/>
              <w:rPr>
                <w:color w:val="auto"/>
              </w:rPr>
            </w:pPr>
            <w:r w:rsidRPr="00565F80">
              <w:rPr>
                <w:color w:val="auto"/>
              </w:rPr>
              <w:lastRenderedPageBreak/>
              <w:t>4.</w:t>
            </w:r>
            <w:r w:rsidRPr="00565F80">
              <w:rPr>
                <w:color w:val="auto"/>
              </w:rPr>
              <w:tab/>
              <w:t xml:space="preserve">Nedarant poveikio šio straipsnio 3 daliai, kai dėl pirštų pagalvėlių ar veido būklės neįmanoma paimti trečiosios šalies piliečių, kurie laikomi pažeidžiamais asmenimis, ar nepilnamečių pirštų atspaudų ar veido atvaizdo, tos valstybės narės institucijos netaiko jokių sankcijų, kad prievarta paimtų pirštų atspaudus ar veido atvaizdą. Jei tvarkos nesilaikymas grindžiamas priežastimis, nesusijusiomis su asmens pirštų pagalvėlių ar veido būkle ir asmens sveikata, ir jei savo veiksmus gali tinkamai pagrįsti, valstybė narė gali bandyti pakartotinai paimti nepilnamečio ar pažeidžiamo asmens, kuris atsisako dalyvauti procedūroje, pirštų atspaudus ir veido atvaizdą. Jeigu nepilnametis, visų pirma nelydimas ar atskirtas, atsisako duoti pirštų atspaudus ir veido atvaizdą, </w:t>
            </w:r>
            <w:r w:rsidRPr="00565F80">
              <w:rPr>
                <w:color w:val="auto"/>
              </w:rPr>
              <w:lastRenderedPageBreak/>
              <w:t>nepilnametis perduodamas nacionalinėms vaikų apsaugos institucijoms ir (arba) jam taikomi nacionaliniai nukreipimo mechanizmai.</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191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Kati Piri, Maria Grapini, Juan Fernando López Aguilar, Caterina Chinnici</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4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4.</w:t>
            </w:r>
            <w:r w:rsidRPr="00565F80">
              <w:rPr>
                <w:color w:val="auto"/>
              </w:rPr>
              <w:tab/>
              <w:t>Nedarant poveikio šio straipsnio 3 daliai, kai dėl pirštų pagalvėlių ar veido būklės neįmanoma paimti trečiosios šalies piliečių, kurie laikomi pažeidžiamais asmenimis, ar nepilnamečių pirštų atspaudų ar veido atvaizdo, tos valstybės narės institucijos netaiko jokių sankcijų, kad prievarta paimtų pirštų atspaudus ar veido atvaizdą. Jei tvarkos nesilaikymas grindžiamas priežastimis, nesusijusiomis su asmens pirštų pagalvėlių ar veido būkle ir asmens sveikata, ir jei savo veiksmus gali tinkamai pagrįsti, valstybė narė gali bandyti pakartotinai paimti nepilnamečio ar pažeidžiamo asmens, kuris atsisako dalyvauti procedūroje, pirštų atspaudus ir veido atvaizdą. Jeigu nepilnametis, visų pirma nelydimas ar atskirtas, atsisako duoti pirštų atspaudus ir veido atvaizdą ir jeigu yra pagrįstų priežasčių įtarti, kad yra vaiko saugumo ir apsaugos pavojų, nepilnametis perduodamas nacionalinėms vaikų apsaugos institucijoms ir (arba) jam taikomi nacionaliniai nukreipimo mechanizmai.</w:t>
            </w:r>
          </w:p>
        </w:tc>
        <w:tc>
          <w:tcPr>
            <w:tcW w:w="4876" w:type="dxa"/>
          </w:tcPr>
          <w:p w:rsidR="00BF668E" w:rsidRPr="00565F80" w:rsidRDefault="00BF668E" w:rsidP="00C555DE">
            <w:pPr>
              <w:pStyle w:val="Normal6"/>
              <w:rPr>
                <w:color w:val="auto"/>
              </w:rPr>
            </w:pPr>
            <w:r w:rsidRPr="00565F80">
              <w:rPr>
                <w:color w:val="auto"/>
              </w:rPr>
              <w:t>4.</w:t>
            </w:r>
            <w:r w:rsidRPr="00565F80">
              <w:rPr>
                <w:color w:val="auto"/>
              </w:rPr>
              <w:tab/>
              <w:t xml:space="preserve">Nedarant poveikio šio straipsnio 3 daliai, kai dėl pirštų pagalvėlių ar veido būklės neįmanoma paimti trečiosios šalies piliečių </w:t>
            </w:r>
            <w:r w:rsidRPr="00565F80">
              <w:rPr>
                <w:b/>
                <w:i/>
                <w:color w:val="auto"/>
              </w:rPr>
              <w:t>arba asmenų be pilietybės</w:t>
            </w:r>
            <w:r w:rsidRPr="00565F80">
              <w:rPr>
                <w:color w:val="auto"/>
              </w:rPr>
              <w:t xml:space="preserve">, kurie laikomi pažeidžiamais asmenimis, ar nepilnamečių pirštų atspaudų ar veido atvaizdo, tos valstybės narės institucijos netaiko jokių sankcijų, </w:t>
            </w:r>
            <w:r w:rsidRPr="00565F80">
              <w:rPr>
                <w:b/>
                <w:i/>
                <w:color w:val="auto"/>
              </w:rPr>
              <w:t xml:space="preserve">nei psichinės ar fizinės prievartos, </w:t>
            </w:r>
            <w:r w:rsidRPr="00565F80">
              <w:rPr>
                <w:color w:val="auto"/>
              </w:rPr>
              <w:t xml:space="preserve">kad prievarta paimtų pirštų atspaudus ar veido atvaizdą. Jei tvarkos nesilaikymas grindžiamas priežastimis, nesusijusiomis su asmens pirštų pagalvėlių ar veido būkle ir asmens sveikata, ir jei savo veiksmus gali tinkamai pagrįsti, valstybė narė gali bandyti pakartotinai paimti nepilnamečio ar pažeidžiamo asmens, kuris atsisako dalyvauti procedūroje, pirštų atspaudus ir veido atvaizdą. Jeigu nepilnametis, visų pirma nelydimas ar atskirtas, atsisako duoti pirštų atspaudus ir veido atvaizdą ir jeigu yra pagrįstų priežasčių įtarti, kad yra vaiko saugumo ir apsaugos pavojų, nepilnametis perduodamas nacionalinėms vaikų apsaugos institucijoms ir (arba) jam taikomi nacionaliniai nukreipimo </w:t>
            </w:r>
            <w:r w:rsidRPr="00565F80">
              <w:rPr>
                <w:color w:val="auto"/>
              </w:rPr>
              <w:lastRenderedPageBreak/>
              <w:t>mechanizmai.</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192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4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4.</w:t>
            </w:r>
            <w:r w:rsidRPr="00565F80">
              <w:rPr>
                <w:color w:val="auto"/>
              </w:rPr>
              <w:tab/>
              <w:t>Nedarant poveikio šio straipsnio 3 daliai, kai dėl pirštų pagalvėlių ar veido būklės neįmanoma paimti trečiosios šalies piliečių, kurie laikomi pažeidžiamais asmenimis, ar nepilnamečių pirštų atspaudų ar veido atvaizdo, tos valstybės narės institucijos netaiko jokių sankcijų, kad prievarta paimtų pirštų atspaudus ar veido atvaizdą. Jei tvarkos nesilaikymas grindžiamas priežastimis, nesusijusiomis su asmens pirštų pagalvėlių ar veido būkle ir asmens sveikata, ir jei savo veiksmus gali tinkamai pagrįsti, valstybė narė gali bandyti pakartotinai paimti nepilnamečio ar pažeidžiamo asmens, kuris atsisako dalyvauti procedūroje, pirštų atspaudus ir veido atvaizdą. Jeigu nepilnametis, visų pirma nelydimas ar atskirtas, atsisako duoti pirštų atspaudus ir veido atvaizdą ir jeigu yra pagrįstų priežasčių įtarti, kad yra vaiko saugumo ir apsaugos pavojų, nepilnametis perduodamas nacionalinėms vaikų apsaugos institucijoms ir (arba) jam taikomi nacionaliniai nukreipimo mechanizmai.</w:t>
            </w:r>
          </w:p>
        </w:tc>
        <w:tc>
          <w:tcPr>
            <w:tcW w:w="4876" w:type="dxa"/>
          </w:tcPr>
          <w:p w:rsidR="00BF668E" w:rsidRPr="00565F80" w:rsidRDefault="00BF668E" w:rsidP="00C555DE">
            <w:pPr>
              <w:pStyle w:val="Normal6"/>
              <w:rPr>
                <w:color w:val="auto"/>
              </w:rPr>
            </w:pPr>
            <w:r w:rsidRPr="00565F80">
              <w:rPr>
                <w:color w:val="auto"/>
              </w:rPr>
              <w:t>4.</w:t>
            </w:r>
            <w:r w:rsidRPr="00565F80">
              <w:rPr>
                <w:color w:val="auto"/>
              </w:rPr>
              <w:tab/>
              <w:t xml:space="preserve">Nedarant poveikio šio straipsnio 3 daliai, kai dėl pirštų pagalvėlių ar veido būklės neįmanoma paimti trečiosios šalies piliečių </w:t>
            </w:r>
            <w:r w:rsidRPr="00565F80">
              <w:rPr>
                <w:b/>
                <w:i/>
                <w:color w:val="auto"/>
              </w:rPr>
              <w:t>arba asmenų be pilietybės</w:t>
            </w:r>
            <w:r w:rsidRPr="00565F80">
              <w:rPr>
                <w:color w:val="auto"/>
              </w:rPr>
              <w:t>, kurie laikomi pažeidžiamais asmenimis, ar nepilnamečių pirštų atspaudų ar veido atvaizdo, tos valstybės narės institucijos netaiko jokių sankcijų, kad prievarta paimtų pirštų atspaudus ar veido atvaizdą. Jei tvarkos nesilaikymas grindžiamas priežastimis, nesusijusiomis su asmens pirštų pagalvėlių ar veido būkle ir asmens sveikata, ir jei savo veiksmus gali tinkamai pagrįsti, valstybė narė gali bandyti pakartotinai paimti nepilnamečio ar pažeidžiamo asmens, kuris atsisako dalyvauti procedūroje, pirštų atspaudus ir veido atvaizdą. Jeigu nepilnametis, visų pirma nelydimas ar atskirtas, atsisako duoti pirštų atspaudus ir veido atvaizdą ir jeigu yra pagrįstų priežasčių įtarti, kad yra vaiko saugumo ir apsaugos pavojų, nepilnametis perduodamas nacionalinėms vaikų apsaugos institucijoms ir (arba) jam taikomi nacionaliniai nukreipimo mechanizmai.</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193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Lorenzo Fontana</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lastRenderedPageBreak/>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4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4.</w:t>
            </w:r>
            <w:r w:rsidRPr="00565F80">
              <w:rPr>
                <w:color w:val="auto"/>
              </w:rPr>
              <w:tab/>
              <w:t xml:space="preserve">Nedarant poveikio šio straipsnio 3 daliai, kai dėl pirštų pagalvėlių ar veido būklės neįmanoma paimti trečiosios šalies piliečių, kurie laikomi pažeidžiamais asmenimis, ar nepilnamečių pirštų atspaudų ar veido atvaizdo, tos valstybės narės institucijos </w:t>
            </w:r>
            <w:r w:rsidRPr="00565F80">
              <w:rPr>
                <w:b/>
                <w:i/>
                <w:color w:val="auto"/>
              </w:rPr>
              <w:t>netaiko jokių sankcijų, kad prievarta paimtų pirštų atspaudus ar veido atvaizdą</w:t>
            </w:r>
            <w:r w:rsidRPr="00565F80">
              <w:rPr>
                <w:color w:val="auto"/>
              </w:rPr>
              <w:t>. Jei tvarkos nesilaikymas grindžiamas priežastimis, nesusijusiomis su asmens pirštų pagalvėlių ar veido būkle ir asmens sveikata, ir jei savo veiksmus gali tinkamai pagrįsti, valstybė narė gali bandyti pakartotinai paimti nepilnamečio ar pažeidžiamo asmens, kuris atsisako dalyvauti procedūroje, pirštų atspaudus ir veido atvaizdą. Jeigu nepilnametis, visų pirma nelydimas ar atskirtas, atsisako duoti pirštų atspaudus ir veido atvaizdą ir jeigu yra pagrįstų priežasčių įtarti, kad yra vaiko saugumo ir apsaugos pavojų, nepilnametis perduodamas nacionalinėms vaikų apsaugos institucijoms ir (arba) jam taikomi nacionaliniai nukreipimo mechanizmai.</w:t>
            </w:r>
          </w:p>
        </w:tc>
        <w:tc>
          <w:tcPr>
            <w:tcW w:w="4876" w:type="dxa"/>
          </w:tcPr>
          <w:p w:rsidR="00BF668E" w:rsidRPr="00565F80" w:rsidRDefault="00BF668E" w:rsidP="00C555DE">
            <w:pPr>
              <w:pStyle w:val="Normal6"/>
              <w:rPr>
                <w:color w:val="auto"/>
              </w:rPr>
            </w:pPr>
            <w:r w:rsidRPr="00565F80">
              <w:rPr>
                <w:color w:val="auto"/>
              </w:rPr>
              <w:t>4.</w:t>
            </w:r>
            <w:r w:rsidRPr="00565F80">
              <w:rPr>
                <w:color w:val="auto"/>
              </w:rPr>
              <w:tab/>
              <w:t xml:space="preserve">Nedarant poveikio šio straipsnio 3 daliai, kai dėl pirštų pagalvėlių ar veido būklės neįmanoma paimti trečiosios šalies piliečių, kurie laikomi pažeidžiamais asmenimis, ar nepilnamečių pirštų atspaudų ar veido atvaizdo, tos valstybės narės institucijos </w:t>
            </w:r>
            <w:r w:rsidRPr="00565F80">
              <w:rPr>
                <w:b/>
                <w:i/>
                <w:color w:val="auto"/>
              </w:rPr>
              <w:t>gali</w:t>
            </w:r>
            <w:r w:rsidRPr="00565F80">
              <w:rPr>
                <w:i/>
                <w:color w:val="auto"/>
              </w:rPr>
              <w:t xml:space="preserve"> </w:t>
            </w:r>
            <w:r w:rsidRPr="00565F80">
              <w:rPr>
                <w:b/>
                <w:i/>
                <w:color w:val="auto"/>
              </w:rPr>
              <w:t>taikyti sankcijas, jeigu asmuo nesutinka, kad būtų imami pirštų atspaudai ar veido atvaizdas</w:t>
            </w:r>
            <w:r w:rsidRPr="00565F80">
              <w:rPr>
                <w:color w:val="auto"/>
              </w:rPr>
              <w:t>. Jei tvarkos nesilaikymas grindžiamas priežastimis, nesusijusiomis su asmens pirštų pagalvėlių ar veido būkle ir asmens sveikata, ir jei savo veiksmus gali tinkamai pagrįsti, valstybė narė gali bandyti pakartotinai paimti nepilnamečio ar pažeidžiamo asmens, kuris atsisako dalyvauti procedūroje, pirštų atspaudus ir veido atvaizdą. Jeigu nepilnametis, visų pirma nelydimas ar atskirtas, atsisako duoti pirštų atspaudus ir veido atvaizdą ir jeigu yra pagrįstų priežasčių įtarti, kad yra vaiko saugumo ir apsaugos pavojų, nepilnametis perduodamas nacionalinėms vaikų apsaugos institucijoms ir (arba) jam taikomi nacionaliniai nukreipimo mechanizmai.</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{IT}</w:t>
      </w:r>
      <w:r w:rsidRPr="00565F80">
        <w:rPr>
          <w:color w:val="auto"/>
          <w:lang w:val="lt-LT"/>
        </w:rPr>
        <w:t>it</w:t>
      </w:r>
      <w:r w:rsidRPr="00565F80">
        <w:rPr>
          <w:rStyle w:val="HideTWBExt"/>
          <w:color w:val="auto"/>
          <w:lang w:val="lt-LT"/>
        </w:rPr>
        <w:t>&lt;/Original&gt;</w:t>
      </w:r>
    </w:p>
    <w:p w:rsidR="00BF668E" w:rsidRPr="00565F80" w:rsidRDefault="00BF668E" w:rsidP="00BF668E">
      <w:pPr>
        <w:pStyle w:val="AMNumberTabs"/>
        <w:rPr>
          <w:color w:val="auto"/>
        </w:rPr>
      </w:pPr>
      <w:r w:rsidRPr="00565F80">
        <w:rPr>
          <w:rStyle w:val="HideTWBExt"/>
          <w:color w:val="auto"/>
        </w:rPr>
        <w:t>&lt;/Amend&gt;&lt;Amend&gt;</w:t>
      </w:r>
      <w:r w:rsidRPr="00565F80">
        <w:rPr>
          <w:color w:val="auto"/>
        </w:rPr>
        <w:t xml:space="preserve">Pakeitimas </w:t>
      </w:r>
      <w:r w:rsidRPr="00565F80">
        <w:rPr>
          <w:rStyle w:val="HideTWBExt"/>
          <w:color w:val="auto"/>
        </w:rPr>
        <w:t>&lt;NumAm&gt;</w:t>
      </w:r>
      <w:r w:rsidRPr="00565F80">
        <w:rPr>
          <w:color w:val="auto"/>
        </w:rPr>
        <w:t>194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Sophia in 't Veld</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5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5.</w:t>
            </w:r>
            <w:r w:rsidRPr="00565F80">
              <w:rPr>
                <w:color w:val="auto"/>
              </w:rPr>
              <w:tab/>
              <w:t xml:space="preserve">Pirštų atspaudų ir veido atvaizdo ėmimo </w:t>
            </w:r>
            <w:r w:rsidRPr="00565F80">
              <w:rPr>
                <w:b/>
                <w:i/>
                <w:color w:val="auto"/>
              </w:rPr>
              <w:t>tvarka nustatoma</w:t>
            </w:r>
            <w:r w:rsidRPr="00565F80">
              <w:rPr>
                <w:color w:val="auto"/>
              </w:rPr>
              <w:t xml:space="preserve"> ir </w:t>
            </w:r>
            <w:r w:rsidRPr="00565F80">
              <w:rPr>
                <w:b/>
                <w:i/>
                <w:color w:val="auto"/>
              </w:rPr>
              <w:t>taikoma remiantis</w:t>
            </w:r>
            <w:r w:rsidRPr="00565F80">
              <w:rPr>
                <w:color w:val="auto"/>
              </w:rPr>
              <w:t xml:space="preserve"> </w:t>
            </w:r>
            <w:r w:rsidRPr="00565F80">
              <w:rPr>
                <w:b/>
                <w:i/>
                <w:color w:val="auto"/>
              </w:rPr>
              <w:t>atitinkamos valstybės narės</w:t>
            </w:r>
            <w:r w:rsidRPr="00565F80">
              <w:rPr>
                <w:color w:val="auto"/>
              </w:rPr>
              <w:t xml:space="preserve"> </w:t>
            </w:r>
            <w:r w:rsidRPr="00565F80">
              <w:rPr>
                <w:b/>
                <w:i/>
                <w:color w:val="auto"/>
              </w:rPr>
              <w:t>vidaus praktika</w:t>
            </w:r>
            <w:r w:rsidRPr="00565F80">
              <w:rPr>
                <w:color w:val="auto"/>
              </w:rPr>
              <w:t xml:space="preserve"> ir laikantis Europos Sąjungos pagrindinių teisių chartijoje, </w:t>
            </w:r>
            <w:r w:rsidRPr="00565F80">
              <w:rPr>
                <w:color w:val="auto"/>
              </w:rPr>
              <w:lastRenderedPageBreak/>
              <w:t>Europos žmogaus teisių ir pagrindinių laisvių apsaugos konvencijoje bei Jungtinių Tautų vaiko teisių konvencijoje nustatytų garantijų.</w:t>
            </w:r>
          </w:p>
        </w:tc>
        <w:tc>
          <w:tcPr>
            <w:tcW w:w="4876" w:type="dxa"/>
          </w:tcPr>
          <w:p w:rsidR="00BF668E" w:rsidRPr="00565F80" w:rsidRDefault="00BF668E" w:rsidP="00C555DE">
            <w:pPr>
              <w:pStyle w:val="Normal6"/>
              <w:rPr>
                <w:color w:val="auto"/>
              </w:rPr>
            </w:pPr>
            <w:r w:rsidRPr="00565F80">
              <w:rPr>
                <w:color w:val="auto"/>
              </w:rPr>
              <w:lastRenderedPageBreak/>
              <w:t>5.</w:t>
            </w:r>
            <w:r w:rsidRPr="00565F80">
              <w:rPr>
                <w:color w:val="auto"/>
              </w:rPr>
              <w:tab/>
              <w:t xml:space="preserve">Pirštų atspaudų ir veido atvaizdo ėmimo </w:t>
            </w:r>
            <w:r w:rsidRPr="00565F80">
              <w:rPr>
                <w:b/>
                <w:i/>
                <w:color w:val="auto"/>
              </w:rPr>
              <w:t>tvarką bendrai nustato</w:t>
            </w:r>
            <w:r w:rsidRPr="00565F80">
              <w:rPr>
                <w:color w:val="auto"/>
              </w:rPr>
              <w:t xml:space="preserve"> ir </w:t>
            </w:r>
            <w:r w:rsidRPr="00565F80">
              <w:rPr>
                <w:b/>
                <w:i/>
                <w:color w:val="auto"/>
              </w:rPr>
              <w:t>stebi Europos Sąjungos prieglobsčio agentūra ir FRA, remdamosi FRA 2015 m. kontroliniu sąrašu</w:t>
            </w:r>
            <w:r w:rsidRPr="00565F80">
              <w:rPr>
                <w:rStyle w:val="SupBoldItalic"/>
                <w:color w:val="auto"/>
              </w:rPr>
              <w:t>1a</w:t>
            </w:r>
            <w:r w:rsidRPr="00565F80">
              <w:rPr>
                <w:b/>
                <w:i/>
                <w:color w:val="auto"/>
              </w:rPr>
              <w:t xml:space="preserve">, o ją taiko atitinkama </w:t>
            </w:r>
            <w:r w:rsidRPr="00565F80">
              <w:rPr>
                <w:b/>
                <w:i/>
                <w:color w:val="auto"/>
              </w:rPr>
              <w:lastRenderedPageBreak/>
              <w:t>valstybė narė, vi</w:t>
            </w:r>
            <w:r w:rsidR="00810BDC" w:rsidRPr="00565F80">
              <w:rPr>
                <w:b/>
                <w:i/>
                <w:color w:val="auto"/>
              </w:rPr>
              <w:t>s</w:t>
            </w:r>
            <w:r w:rsidR="001F369B" w:rsidRPr="00565F80">
              <w:rPr>
                <w:b/>
                <w:i/>
                <w:color w:val="auto"/>
              </w:rPr>
              <w:t>apu</w:t>
            </w:r>
            <w:r w:rsidRPr="00565F80">
              <w:rPr>
                <w:b/>
                <w:i/>
                <w:color w:val="auto"/>
              </w:rPr>
              <w:t>siškai gerbdama žmogaus orumą</w:t>
            </w:r>
            <w:r w:rsidRPr="00565F80">
              <w:rPr>
                <w:color w:val="auto"/>
              </w:rPr>
              <w:t xml:space="preserve"> ir </w:t>
            </w:r>
            <w:r w:rsidRPr="00565F80">
              <w:rPr>
                <w:b/>
                <w:i/>
                <w:color w:val="auto"/>
              </w:rPr>
              <w:t>laikydamasi</w:t>
            </w:r>
            <w:r w:rsidRPr="00565F80">
              <w:rPr>
                <w:color w:val="auto"/>
              </w:rPr>
              <w:t xml:space="preserve"> Europos Sąjungos pagrindinių teisių chartijoje, Europos žmogaus teisių ir pagrindinių laisvių apsaugos konvencijoje bei Jungtinių Tautų vaiko teisių konvencijoje nustatytų garantijų.</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color w:val="auto"/>
              </w:rPr>
              <w:t>_________________</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rStyle w:val="SupBoldItalic"/>
                <w:color w:val="auto"/>
              </w:rPr>
              <w:t>1a</w:t>
            </w:r>
            <w:r w:rsidRPr="00565F80">
              <w:rPr>
                <w:color w:val="auto"/>
              </w:rPr>
              <w:t xml:space="preserve"> </w:t>
            </w:r>
            <w:r w:rsidRPr="00565F80">
              <w:rPr>
                <w:b/>
                <w:i/>
                <w:color w:val="auto"/>
              </w:rPr>
              <w:t>FRA kontrolinis sąrašas, taikomas laikantis pagrindinių teisių imant pirštų atspaudus EURODAC, 2015 m. http://fra.europa.eu/en/publication/2015/fundamental-rights-implications-obligation-provide-fingerprints-eurodac#checklist</w:t>
            </w:r>
            <w:r w:rsidR="001A1E89" w:rsidRPr="00565F80">
              <w:rPr>
                <w:b/>
                <w:i/>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 xml:space="preserve">Pagal Darbo </w:t>
      </w:r>
      <w:r w:rsidR="00E57954" w:rsidRPr="00565F80">
        <w:rPr>
          <w:color w:val="auto"/>
          <w:lang w:val="lt-LT"/>
        </w:rPr>
        <w:t>tvarkos taisyklių 104 straipsnį</w:t>
      </w:r>
      <w:r w:rsidRPr="00565F80">
        <w:rPr>
          <w:color w:val="auto"/>
          <w:lang w:val="lt-LT"/>
        </w:rPr>
        <w:t xml:space="preserve"> šis pakeitimas yra būtinas, nes jis yra neatskiriamai susijęs su kitais priimtinais pakeitimais, susijusiais su papildomais EURODAC tikslais (1 straipsnis) ir bendra procedūra, kurią nustato ir stebi Europos Sąjungos prieglobsčio agentūra ir FRA; žr. 30 konstatuojamąją dalį.</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195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Hilde Vautmans,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2 straipsnio 5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5.</w:t>
            </w:r>
            <w:r w:rsidRPr="00565F80">
              <w:rPr>
                <w:color w:val="auto"/>
              </w:rPr>
              <w:tab/>
              <w:t>Pirštų atspaudų ir veido atvaizdo ėmimo tvarka nustatoma ir taikoma remiantis atitinkamos valstybės narės vidaus praktika ir laikantis Europos Sąjungos pagrindinių teisių chartijoje, Europos žmogaus teisių ir pagrindinių laisvių apsaugos konvencijoje bei Jungtinių Tautų vaiko teisių konvencijoje nustatytų garantijų.</w:t>
            </w:r>
          </w:p>
        </w:tc>
        <w:tc>
          <w:tcPr>
            <w:tcW w:w="4876" w:type="dxa"/>
          </w:tcPr>
          <w:p w:rsidR="00BF668E" w:rsidRPr="00565F80" w:rsidRDefault="00BF668E" w:rsidP="00C555DE">
            <w:pPr>
              <w:pStyle w:val="Normal6"/>
              <w:rPr>
                <w:color w:val="auto"/>
              </w:rPr>
            </w:pPr>
            <w:r w:rsidRPr="00565F80">
              <w:rPr>
                <w:color w:val="auto"/>
              </w:rPr>
              <w:t>5.</w:t>
            </w:r>
            <w:r w:rsidRPr="00565F80">
              <w:rPr>
                <w:color w:val="auto"/>
              </w:rPr>
              <w:tab/>
            </w:r>
            <w:r w:rsidRPr="00565F80">
              <w:rPr>
                <w:b/>
                <w:i/>
                <w:color w:val="auto"/>
              </w:rPr>
              <w:t>Pirštų atspaudai ir veido atvaizdas imami užtikrinant visišką pagarbą žmogaus orumui.</w:t>
            </w:r>
            <w:r w:rsidRPr="00565F80">
              <w:rPr>
                <w:color w:val="auto"/>
              </w:rPr>
              <w:t xml:space="preserve"> Pirštų atspaudų ir veido atvaizdo ėmimo tvarka nustatoma ir taikoma remiantis atitinkamos valstybės narės vidaus praktika</w:t>
            </w:r>
            <w:r w:rsidRPr="00565F80">
              <w:rPr>
                <w:b/>
                <w:i/>
                <w:color w:val="auto"/>
              </w:rPr>
              <w:t>, laikantis šio reglamento Ia priede nustatyto bendro požiūrio</w:t>
            </w:r>
            <w:r w:rsidRPr="00565F80">
              <w:rPr>
                <w:color w:val="auto"/>
              </w:rPr>
              <w:t xml:space="preserve"> ir laikantis Europos Sąjungos pagrindinių teisių chartijoje, Europos žmogaus teisių ir pagrindinių laisvių apsaugos konvencijoje bei Jungtinių Tautų </w:t>
            </w:r>
            <w:r w:rsidRPr="00565F80">
              <w:rPr>
                <w:color w:val="auto"/>
              </w:rPr>
              <w:lastRenderedPageBreak/>
              <w:t>vaiko teisių konvencijoje nustatytų garantijų.</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 xml:space="preserve">Išdėstymas nauja redakcija. Tyrimo rezultatai rodo, kad kai kuriose valstybėse narėse leidžiama sulaikyti asmenis siekiant užtikrinti, kad būtų paimti migrantų pirštų atspaudai, kai kuriose valstybėse narėse leidžiama naudoti tam tikro lygio prievartą, o kitose valstybėse narėse </w:t>
      </w:r>
      <w:r w:rsidR="004D2F56" w:rsidRPr="00565F80">
        <w:rPr>
          <w:color w:val="auto"/>
          <w:lang w:val="lt-LT"/>
        </w:rPr>
        <w:t>netaikomas</w:t>
      </w:r>
      <w:r w:rsidRPr="00565F80">
        <w:rPr>
          <w:color w:val="auto"/>
          <w:lang w:val="lt-LT"/>
        </w:rPr>
        <w:t xml:space="preserve"> nei sulaikymas, nei prievarta. Todėl reikia suderinti taikomus veiksmus siekiant užtikrinti, kad būtų laikomasi įsipareigojimų pagal Eurodac reglamentą visur vienodomis sąlygomis. Bendras Komisijos požiūris, išdėstytas Komisijos tarnybų darbo dokumente SWD(2015) 150 final.</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196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 straipsnio 1 dalies a a punktas (naujas)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aa)</w:t>
            </w:r>
            <w:r w:rsidRPr="00565F80">
              <w:rPr>
                <w:color w:val="auto"/>
              </w:rPr>
              <w:tab/>
            </w:r>
            <w:r w:rsidRPr="00565F80">
              <w:rPr>
                <w:b/>
                <w:i/>
                <w:color w:val="auto"/>
              </w:rPr>
              <w:t>trečiųjų šalių piliečiai ar asmenys be pilietybės, kuriems valstybė narė ketina taikyti perkėlimo procedūrą – tai trečiųjų šalių piliečiai ar asmenys be pilietybės, kuriems valstybė narė pradėjo taikyti perkėlimo procedūrą pagal Reglamento XXX/XXX 10 straipsnio 2 dalį</w:t>
            </w:r>
            <w:r w:rsidR="00262A78" w:rsidRPr="00565F80">
              <w:rPr>
                <w:b/>
                <w:i/>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Išdėstymas nauja redakcija. Šiuo pakeitimu įtraukiama naujos kategorijos asmenų apibrėžtis, nes siūloma šių asmenų duomenis registruoti į sistemą Eurodac. Todėl reikia pateikti nuorodą į Reglamentą XXX/XXX.</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197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 straipsnio 1 dalies b punkto ia dalis (nauja)</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ia)</w:t>
            </w:r>
            <w:r w:rsidRPr="00565F80">
              <w:rPr>
                <w:color w:val="auto"/>
              </w:rPr>
              <w:tab/>
            </w:r>
            <w:r w:rsidRPr="00565F80">
              <w:rPr>
                <w:b/>
                <w:i/>
                <w:color w:val="auto"/>
              </w:rPr>
              <w:t>asmens, kuriam taikoma 12a straipsnis, atžvilgiu – valstybė narė, į centrinę sistemą perduodanti asmens duomenis ir gaunanti lyginimo rezultatus;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Išdėstymas nauja redakcija. Šis pakeitimas susijęs su pasiūlymu įtraukti naują asmenų kategoriją (naujas skyrius IIa), juo siekiama suderinti tekstą atsižvelgiant į šį pasiūlymą.</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198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 straipsnio 1 dalies d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d)</w:t>
            </w:r>
            <w:r w:rsidRPr="00565F80">
              <w:rPr>
                <w:color w:val="auto"/>
              </w:rPr>
              <w:tab/>
              <w:t>neteisėtas buvimas – trečiosios šalies piliečio, kuris neatitinka arba nebeatitinka Šengeno sienų kodekso 5 straipsnyje nustatytų atvykimo sąlygų ar kitų atvykimo, buvimo ar gyvenimo toje valstybėje narėje sąlygų, buvimas valstybės narės teritorijoje;</w:t>
            </w:r>
          </w:p>
        </w:tc>
        <w:tc>
          <w:tcPr>
            <w:tcW w:w="4876" w:type="dxa"/>
          </w:tcPr>
          <w:p w:rsidR="00BF668E" w:rsidRPr="00565F80" w:rsidRDefault="005B6BB7" w:rsidP="00C555DE">
            <w:pPr>
              <w:pStyle w:val="Normal6"/>
              <w:rPr>
                <w:i/>
                <w:color w:val="auto"/>
              </w:rPr>
            </w:pPr>
            <w:r w:rsidRPr="00565F80">
              <w:rPr>
                <w:i/>
                <w:color w:val="auto"/>
              </w:rPr>
              <w:t>(Tekstas lietuvių kalba nekeičiamas.)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199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 straipsnio 1 dalies d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d)</w:t>
            </w:r>
            <w:r w:rsidRPr="00565F80">
              <w:rPr>
                <w:color w:val="auto"/>
              </w:rPr>
              <w:tab/>
              <w:t xml:space="preserve">neteisėtas buvimas – trečiosios šalies piliečio, kuris neatitinka arba </w:t>
            </w:r>
            <w:r w:rsidRPr="00565F80">
              <w:rPr>
                <w:color w:val="auto"/>
              </w:rPr>
              <w:lastRenderedPageBreak/>
              <w:t>nebeatitinka Šengeno sienų kodekso 5 straipsnyje nustatytų atvykimo sąlygų ar kitų atvykimo, buvimo ar gyvenimo toje valstybėje narėje sąlygų, buvimas valstybės narės teritorijoje;</w:t>
            </w:r>
          </w:p>
        </w:tc>
        <w:tc>
          <w:tcPr>
            <w:tcW w:w="4876" w:type="dxa"/>
          </w:tcPr>
          <w:p w:rsidR="00BF668E" w:rsidRPr="00565F80" w:rsidRDefault="00636326" w:rsidP="00C555DE">
            <w:pPr>
              <w:pStyle w:val="Normal6"/>
              <w:rPr>
                <w:color w:val="auto"/>
              </w:rPr>
            </w:pPr>
            <w:r w:rsidRPr="00565F80">
              <w:rPr>
                <w:i/>
                <w:color w:val="auto"/>
              </w:rPr>
              <w:lastRenderedPageBreak/>
              <w:t>(Tekstas lietuvių kalba nekeičiamas.)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Italic"/>
              <w:rPr>
                <w:color w:val="auto"/>
              </w:rPr>
            </w:pPr>
            <w:r w:rsidRPr="00565F80">
              <w:rPr>
                <w:color w:val="auto"/>
              </w:rPr>
              <w:t>(</w:t>
            </w:r>
            <w:r w:rsidR="00636326" w:rsidRPr="00565F80">
              <w:t>Dėl šio pakeitimo tekstas lietuvių kalba nekeičiamas.)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200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 straipsnio 1 dalies d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d)</w:t>
            </w:r>
            <w:r w:rsidRPr="00565F80">
              <w:rPr>
                <w:color w:val="auto"/>
              </w:rPr>
              <w:tab/>
              <w:t>neteisėtas buvimas – trečiosios šalies piliečio, kuris neatitinka arba nebeatitinka Šengeno sienų kodekso 5 straipsnyje nustatytų atvykimo sąlygų ar kitų atvykimo, buvimo ar gyvenimo toje valstybėje narėje sąlygų, buvimas valstybės narės teritorijoje;</w:t>
            </w:r>
          </w:p>
        </w:tc>
        <w:tc>
          <w:tcPr>
            <w:tcW w:w="4876" w:type="dxa"/>
          </w:tcPr>
          <w:p w:rsidR="00BF668E" w:rsidRPr="00565F80" w:rsidRDefault="00BF668E" w:rsidP="00C555DE">
            <w:pPr>
              <w:pStyle w:val="Normal6"/>
              <w:rPr>
                <w:color w:val="auto"/>
              </w:rPr>
            </w:pPr>
            <w:r w:rsidRPr="00565F80">
              <w:rPr>
                <w:color w:val="auto"/>
              </w:rPr>
              <w:t>d)</w:t>
            </w:r>
            <w:r w:rsidRPr="00565F80">
              <w:rPr>
                <w:color w:val="auto"/>
              </w:rPr>
              <w:tab/>
              <w:t xml:space="preserve">neteisėtas buvimas – trečiosios šalies piliečio </w:t>
            </w:r>
            <w:r w:rsidRPr="00565F80">
              <w:rPr>
                <w:b/>
                <w:i/>
                <w:color w:val="auto"/>
              </w:rPr>
              <w:t>arba asmens be pilietybės</w:t>
            </w:r>
            <w:r w:rsidRPr="00565F80">
              <w:rPr>
                <w:color w:val="auto"/>
              </w:rPr>
              <w:t>, kuris neatitinka arba nebeatitinka Šengeno sienų kodekso 5 straipsnyje nustatytų atvykimo sąlygų ar kitų atvykimo, buvimo ar gyvenimo toje valstybėje narėje sąlygų, buvimas valstybės narės teritorijoje;</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201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 straipsnio 1 dalies f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f)</w:t>
            </w:r>
            <w:r w:rsidRPr="00565F80">
              <w:rPr>
                <w:color w:val="auto"/>
              </w:rPr>
              <w:tab/>
              <w:t xml:space="preserve">atitiktis – kompiuterizuotoje centrinėje duomenų bazėje įrašytus pirštų atspaudų duomenis lyginant su valstybės narės dėl kokio nors asmens perduotais pirštų atspaudų duomenimis centrinėje sistemoje nustatyta atitiktis ar atitiktys, nepanaikinant reikalavimo, kad valstybės narės nedelsdamos patikrintų lyginimo </w:t>
            </w:r>
            <w:r w:rsidRPr="00565F80">
              <w:rPr>
                <w:color w:val="auto"/>
              </w:rPr>
              <w:lastRenderedPageBreak/>
              <w:t>rezultatus pagal 26 straipsnio 4 dalį;</w:t>
            </w:r>
          </w:p>
        </w:tc>
        <w:tc>
          <w:tcPr>
            <w:tcW w:w="4876" w:type="dxa"/>
          </w:tcPr>
          <w:p w:rsidR="00BF668E" w:rsidRPr="00565F80" w:rsidRDefault="00BF668E" w:rsidP="00C555DE">
            <w:pPr>
              <w:pStyle w:val="Normal6"/>
              <w:rPr>
                <w:color w:val="auto"/>
              </w:rPr>
            </w:pPr>
            <w:r w:rsidRPr="00565F80">
              <w:rPr>
                <w:color w:val="auto"/>
              </w:rPr>
              <w:lastRenderedPageBreak/>
              <w:t>f)</w:t>
            </w:r>
            <w:r w:rsidRPr="00565F80">
              <w:rPr>
                <w:color w:val="auto"/>
              </w:rPr>
              <w:tab/>
              <w:t xml:space="preserve">atitiktis – kompiuterizuotoje centrinėje duomenų bazėje įrašytus pirštų atspaudų duomenis lyginant su valstybės narės dėl kokio nors asmens perduotais pirštų atspaudų </w:t>
            </w:r>
            <w:r w:rsidRPr="00565F80">
              <w:rPr>
                <w:b/>
                <w:i/>
                <w:color w:val="auto"/>
              </w:rPr>
              <w:t xml:space="preserve">ir veido atvaizdo </w:t>
            </w:r>
            <w:r w:rsidRPr="00565F80">
              <w:rPr>
                <w:color w:val="auto"/>
              </w:rPr>
              <w:t xml:space="preserve">duomenimis centrinėje sistemoje nustatyta atitiktis ar atitiktys, nepanaikinant reikalavimo, kad valstybės narės </w:t>
            </w:r>
            <w:r w:rsidRPr="00565F80">
              <w:rPr>
                <w:color w:val="auto"/>
              </w:rPr>
              <w:lastRenderedPageBreak/>
              <w:t>nedelsdamos patikrintų lyginimo rezultatus pagal 26 straipsnio 4 dalį;</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Komisijos pasiūlymas pataisomas, nes ne visose reikiamose vietose yra įterpiami „pirštų atspaudai“ ir „veido atvaizdas“, nors tai atitinka prievolę, nurodytą 2 straipsnyje.</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202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 straipsnio 1 dalies i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i)</w:t>
            </w:r>
            <w:r w:rsidRPr="00565F80">
              <w:rPr>
                <w:color w:val="auto"/>
              </w:rPr>
              <w:tab/>
            </w:r>
            <w:r w:rsidRPr="00565F80">
              <w:rPr>
                <w:b/>
                <w:i/>
                <w:color w:val="auto"/>
              </w:rPr>
              <w:t>Europolas – pagal Sprendimą 2009/371/TVR įsteigtas Europos policijos biuras;</w:t>
            </w:r>
          </w:p>
        </w:tc>
        <w:tc>
          <w:tcPr>
            <w:tcW w:w="4876" w:type="dxa"/>
          </w:tcPr>
          <w:p w:rsidR="00BF668E" w:rsidRPr="00565F80" w:rsidRDefault="00BF668E" w:rsidP="00C555DE">
            <w:pPr>
              <w:pStyle w:val="Normal6"/>
              <w:rPr>
                <w:color w:val="auto"/>
              </w:rPr>
            </w:pPr>
            <w:r w:rsidRPr="00565F80">
              <w:rPr>
                <w:b/>
                <w:i/>
                <w:color w:val="auto"/>
              </w:rPr>
              <w:t>Išbraukta.</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BF668E" w:rsidRPr="00565F80" w:rsidRDefault="00BF668E" w:rsidP="00BF668E">
      <w:r w:rsidRPr="00565F80">
        <w:rPr>
          <w:rStyle w:val="HideTWBExt"/>
          <w:color w:val="auto"/>
        </w:rPr>
        <w:lastRenderedPageBreak/>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203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 straipsnio 1 dalies j punktas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j)</w:t>
            </w:r>
            <w:r w:rsidRPr="00565F80">
              <w:rPr>
                <w:color w:val="auto"/>
              </w:rPr>
              <w:tab/>
              <w:t>sistemos EURODAC duomenys – visi duomenys, centrinėje sistemoje saugomi pagal 12 straipsnį, 13 straipsnio 2 dalį ir 14 straipsnio 2 dalį ;</w:t>
            </w:r>
          </w:p>
        </w:tc>
        <w:tc>
          <w:tcPr>
            <w:tcW w:w="4876" w:type="dxa"/>
          </w:tcPr>
          <w:p w:rsidR="00BF668E" w:rsidRPr="00565F80" w:rsidRDefault="00BF668E" w:rsidP="00C555DE">
            <w:pPr>
              <w:pStyle w:val="Normal6"/>
              <w:rPr>
                <w:color w:val="auto"/>
              </w:rPr>
            </w:pPr>
            <w:r w:rsidRPr="00565F80">
              <w:rPr>
                <w:color w:val="auto"/>
              </w:rPr>
              <w:t>j)</w:t>
            </w:r>
            <w:r w:rsidRPr="00565F80">
              <w:rPr>
                <w:color w:val="auto"/>
              </w:rPr>
              <w:tab/>
              <w:t xml:space="preserve">sistemos EURODAC duomenys – visi duomenys, centrinėje sistemoje saugomi pagal 12 straipsnį, </w:t>
            </w:r>
            <w:r w:rsidRPr="00565F80">
              <w:rPr>
                <w:b/>
                <w:i/>
                <w:color w:val="auto"/>
              </w:rPr>
              <w:t>12a straipsnį,</w:t>
            </w:r>
            <w:r w:rsidRPr="00565F80">
              <w:rPr>
                <w:color w:val="auto"/>
              </w:rPr>
              <w:t xml:space="preserve"> 13 straipsnio 2 dalį ir 14 straipsnio 2 dalį ;</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Išdėstymas nauja redakcija. Šis pakeitimas susijęs su pasiūlymu įtraukti naują asmenų kategoriją (naujas IIa</w:t>
      </w:r>
      <w:r w:rsidR="00874CD0" w:rsidRPr="00565F80">
        <w:rPr>
          <w:color w:val="auto"/>
          <w:lang w:val="lt-LT"/>
        </w:rPr>
        <w:t xml:space="preserve"> skyrius</w:t>
      </w:r>
      <w:r w:rsidRPr="00565F80">
        <w:rPr>
          <w:color w:val="auto"/>
          <w:lang w:val="lt-LT"/>
        </w:rPr>
        <w:t>), juo siekiama suderinti tekstą atsižvelgiant į šį pasiūlymą.</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204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 straipsnio 1 dalies j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j)</w:t>
            </w:r>
            <w:r w:rsidRPr="00565F80">
              <w:rPr>
                <w:color w:val="auto"/>
              </w:rPr>
              <w:tab/>
              <w:t>sistemos EURODAC duomenys – visi duomenys, centrinėje sistemoje saugomi pagal 12 straipsnį</w:t>
            </w:r>
            <w:r w:rsidRPr="00565F80">
              <w:rPr>
                <w:b/>
                <w:i/>
                <w:color w:val="auto"/>
              </w:rPr>
              <w:t>,</w:t>
            </w:r>
            <w:r w:rsidRPr="00565F80">
              <w:rPr>
                <w:color w:val="auto"/>
              </w:rPr>
              <w:t xml:space="preserve"> 13 straipsnio 2 dalį</w:t>
            </w:r>
            <w:r w:rsidRPr="00565F80">
              <w:rPr>
                <w:b/>
                <w:i/>
                <w:color w:val="auto"/>
              </w:rPr>
              <w:t xml:space="preserve"> ir 14 straipsnio 2 dalį</w:t>
            </w:r>
            <w:r w:rsidRPr="00565F80">
              <w:rPr>
                <w:color w:val="auto"/>
              </w:rPr>
              <w:t xml:space="preserve"> ;</w:t>
            </w:r>
          </w:p>
        </w:tc>
        <w:tc>
          <w:tcPr>
            <w:tcW w:w="4876" w:type="dxa"/>
          </w:tcPr>
          <w:p w:rsidR="00BF668E" w:rsidRPr="00565F80" w:rsidRDefault="00BF668E" w:rsidP="00C555DE">
            <w:pPr>
              <w:pStyle w:val="Normal6"/>
              <w:rPr>
                <w:color w:val="auto"/>
              </w:rPr>
            </w:pPr>
            <w:r w:rsidRPr="00565F80">
              <w:rPr>
                <w:color w:val="auto"/>
              </w:rPr>
              <w:t>j)</w:t>
            </w:r>
            <w:r w:rsidRPr="00565F80">
              <w:rPr>
                <w:color w:val="auto"/>
              </w:rPr>
              <w:tab/>
              <w:t xml:space="preserve">sistemos EURODAC duomenys – visi duomenys, centrinėje sistemoje saugomi pagal 12 straipsnį </w:t>
            </w:r>
            <w:r w:rsidRPr="00565F80">
              <w:rPr>
                <w:b/>
                <w:i/>
                <w:color w:val="auto"/>
              </w:rPr>
              <w:t>ir</w:t>
            </w:r>
            <w:r w:rsidRPr="00565F80">
              <w:rPr>
                <w:color w:val="auto"/>
              </w:rPr>
              <w:t xml:space="preserve"> 13 straipsnio 2 dalį;</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pakeitimas yra priimtinas, nes yra neatskiriamai susijęs su priimtinais pakeitimais, kuriais išbraukiama 14 straipsnio 1 dalis, 14 straipsnio 2 dalis, 14 straipsnio 4 dalis, 14 straipsnio 5 dalis ir 14 straipsnio 6 dalis.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205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lastRenderedPageBreak/>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 straipsnio 1 dalies k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k)</w:t>
            </w:r>
            <w:r w:rsidRPr="00565F80">
              <w:rPr>
                <w:color w:val="auto"/>
              </w:rPr>
              <w:tab/>
            </w:r>
            <w:r w:rsidRPr="00565F80">
              <w:rPr>
                <w:b/>
                <w:i/>
                <w:color w:val="auto"/>
              </w:rPr>
              <w:t>teisėsauga – teroristinių ar kitų sunkių nusikalstamų veikų prevencija, atskleidimas ar tyrimas;</w:t>
            </w:r>
          </w:p>
        </w:tc>
        <w:tc>
          <w:tcPr>
            <w:tcW w:w="4876" w:type="dxa"/>
          </w:tcPr>
          <w:p w:rsidR="00BF668E" w:rsidRPr="00565F80" w:rsidRDefault="00BF668E" w:rsidP="00C555DE">
            <w:pPr>
              <w:pStyle w:val="Normal6"/>
              <w:rPr>
                <w:color w:val="auto"/>
              </w:rPr>
            </w:pPr>
            <w:r w:rsidRPr="00565F80">
              <w:rPr>
                <w:b/>
                <w:i/>
                <w:color w:val="auto"/>
              </w:rPr>
              <w:t>Išbraukta.</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206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Monika Hohlmeier, Heinz K. Becker, Jeroen Lenaers, Rachida Dati, Brice Hortefeux, Mariya Gabriel, Artis Pabriks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 straipsnio 1 dalies k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k)</w:t>
            </w:r>
            <w:r w:rsidRPr="00565F80">
              <w:rPr>
                <w:color w:val="auto"/>
              </w:rPr>
              <w:tab/>
              <w:t xml:space="preserve">teisėsauga – teroristinių ar kitų </w:t>
            </w:r>
            <w:r w:rsidRPr="00565F80">
              <w:rPr>
                <w:color w:val="auto"/>
              </w:rPr>
              <w:lastRenderedPageBreak/>
              <w:t xml:space="preserve">sunkių nusikalstamų veikų prevencija, atskleidimas </w:t>
            </w:r>
            <w:r w:rsidRPr="00565F80">
              <w:rPr>
                <w:b/>
                <w:i/>
                <w:color w:val="auto"/>
              </w:rPr>
              <w:t>ar</w:t>
            </w:r>
            <w:r w:rsidRPr="00565F80">
              <w:rPr>
                <w:color w:val="auto"/>
              </w:rPr>
              <w:t xml:space="preserve"> tyrimas;</w:t>
            </w:r>
          </w:p>
        </w:tc>
        <w:tc>
          <w:tcPr>
            <w:tcW w:w="4876" w:type="dxa"/>
          </w:tcPr>
          <w:p w:rsidR="00BF668E" w:rsidRPr="00565F80" w:rsidRDefault="00BF668E" w:rsidP="00C555DE">
            <w:pPr>
              <w:pStyle w:val="Normal6"/>
              <w:rPr>
                <w:color w:val="auto"/>
              </w:rPr>
            </w:pPr>
            <w:r w:rsidRPr="00565F80">
              <w:rPr>
                <w:color w:val="auto"/>
              </w:rPr>
              <w:lastRenderedPageBreak/>
              <w:t>k)</w:t>
            </w:r>
            <w:r w:rsidRPr="00565F80">
              <w:rPr>
                <w:color w:val="auto"/>
              </w:rPr>
              <w:tab/>
              <w:t xml:space="preserve">teisėsauga – teroristinių ar kitų </w:t>
            </w:r>
            <w:r w:rsidRPr="00565F80">
              <w:rPr>
                <w:color w:val="auto"/>
              </w:rPr>
              <w:lastRenderedPageBreak/>
              <w:t>sunkių nusikalstamų veikų prevencija, atskleidimas</w:t>
            </w:r>
            <w:r w:rsidRPr="00565F80">
              <w:rPr>
                <w:b/>
                <w:i/>
                <w:color w:val="auto"/>
              </w:rPr>
              <w:t>,</w:t>
            </w:r>
            <w:r w:rsidRPr="00565F80">
              <w:rPr>
                <w:color w:val="auto"/>
              </w:rPr>
              <w:t xml:space="preserve"> tyrimas </w:t>
            </w:r>
            <w:r w:rsidRPr="00565F80">
              <w:rPr>
                <w:b/>
                <w:i/>
                <w:color w:val="auto"/>
              </w:rPr>
              <w:t>ar persekiojimas</w:t>
            </w:r>
            <w:r w:rsidRPr="00565F80">
              <w:rPr>
                <w:color w:val="auto"/>
              </w:rPr>
              <w:t>;</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pakeitimas bus taikomas visam tekstui ir atitinka pridedamą naują 1 straipsnio c dalį.</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207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 straipsnio 1 dalies l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l)</w:t>
            </w:r>
            <w:r w:rsidRPr="00565F80">
              <w:rPr>
                <w:color w:val="auto"/>
              </w:rPr>
              <w:tab/>
            </w:r>
            <w:r w:rsidRPr="00565F80">
              <w:rPr>
                <w:b/>
                <w:i/>
                <w:color w:val="auto"/>
              </w:rPr>
              <w:t>teroristinės veikos – nacionalinėje teisėje nustatytos veikos, atitinkančios Pamatinio sprendimo 2002/475/TVR 1–4 straipsniuose nurodytąsias arba joms lygiavertės;</w:t>
            </w:r>
          </w:p>
        </w:tc>
        <w:tc>
          <w:tcPr>
            <w:tcW w:w="4876" w:type="dxa"/>
          </w:tcPr>
          <w:p w:rsidR="00BF668E" w:rsidRPr="00565F80" w:rsidRDefault="00BF668E" w:rsidP="00C555DE">
            <w:pPr>
              <w:pStyle w:val="Normal6"/>
              <w:rPr>
                <w:color w:val="auto"/>
              </w:rPr>
            </w:pPr>
            <w:r w:rsidRPr="00565F80">
              <w:rPr>
                <w:b/>
                <w:i/>
                <w:color w:val="auto"/>
              </w:rPr>
              <w:t>Išbraukta.</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 xml:space="preserve">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w:t>
      </w:r>
      <w:r w:rsidRPr="00565F80">
        <w:rPr>
          <w:color w:val="auto"/>
          <w:lang w:val="lt-LT"/>
        </w:rPr>
        <w:lastRenderedPageBreak/>
        <w:t>EDPS, such an expansion should not be done before a careful assessment of the suitability of Eurodac to meet these objectives.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208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Monika Hohlmeier, Heinz K. Becker, Jeroen Lenaers, Rachida Dati, Brice Hortefeux, Mariya Gabriel, Artis Pabriks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 straipsnio 1 dalies l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l)</w:t>
            </w:r>
            <w:r w:rsidRPr="00565F80">
              <w:rPr>
                <w:color w:val="auto"/>
              </w:rPr>
              <w:tab/>
              <w:t xml:space="preserve">teroristinės veikos – </w:t>
            </w:r>
            <w:r w:rsidRPr="00565F80">
              <w:rPr>
                <w:b/>
                <w:i/>
                <w:color w:val="auto"/>
              </w:rPr>
              <w:t xml:space="preserve">nacionalinėje teisėje nustatytos </w:t>
            </w:r>
            <w:r w:rsidRPr="00565F80">
              <w:rPr>
                <w:color w:val="auto"/>
              </w:rPr>
              <w:t xml:space="preserve">veikos, </w:t>
            </w:r>
            <w:r w:rsidRPr="00565F80">
              <w:rPr>
                <w:b/>
                <w:i/>
                <w:color w:val="auto"/>
              </w:rPr>
              <w:t>atitinkančios</w:t>
            </w:r>
            <w:r w:rsidRPr="00565F80">
              <w:rPr>
                <w:color w:val="auto"/>
              </w:rPr>
              <w:t xml:space="preserve"> </w:t>
            </w:r>
            <w:r w:rsidRPr="00565F80">
              <w:rPr>
                <w:b/>
                <w:i/>
                <w:color w:val="auto"/>
              </w:rPr>
              <w:t>Pamatinio sprendimo</w:t>
            </w:r>
            <w:r w:rsidRPr="00565F80">
              <w:rPr>
                <w:color w:val="auto"/>
              </w:rPr>
              <w:t xml:space="preserve"> 2002/475/TVR </w:t>
            </w:r>
            <w:r w:rsidRPr="00565F80">
              <w:rPr>
                <w:b/>
                <w:i/>
                <w:color w:val="auto"/>
              </w:rPr>
              <w:t>1–4 straipsniuose nurodytąsias arba joms lygiavertės</w:t>
            </w:r>
            <w:r w:rsidRPr="00565F80">
              <w:rPr>
                <w:color w:val="auto"/>
              </w:rPr>
              <w:t>;</w:t>
            </w:r>
          </w:p>
        </w:tc>
        <w:tc>
          <w:tcPr>
            <w:tcW w:w="4876" w:type="dxa"/>
          </w:tcPr>
          <w:p w:rsidR="00BF668E" w:rsidRPr="00565F80" w:rsidRDefault="00BF668E" w:rsidP="00874CD0">
            <w:pPr>
              <w:pStyle w:val="Normal6"/>
              <w:rPr>
                <w:color w:val="auto"/>
              </w:rPr>
            </w:pPr>
            <w:r w:rsidRPr="00565F80">
              <w:rPr>
                <w:color w:val="auto"/>
              </w:rPr>
              <w:t>l)</w:t>
            </w:r>
            <w:r w:rsidRPr="00565F80">
              <w:rPr>
                <w:color w:val="auto"/>
              </w:rPr>
              <w:tab/>
              <w:t xml:space="preserve">teroristinės veikos – veikos, </w:t>
            </w:r>
            <w:r w:rsidRPr="00565F80">
              <w:rPr>
                <w:b/>
                <w:i/>
                <w:color w:val="auto"/>
              </w:rPr>
              <w:t>nurodytos Europos Parlamento ir Tarybos direktyvos (ES) 2017/... [dėl kovos su terorizmu ir</w:t>
            </w:r>
            <w:r w:rsidR="00874CD0" w:rsidRPr="00565F80">
              <w:rPr>
                <w:b/>
                <w:i/>
                <w:color w:val="auto"/>
              </w:rPr>
              <w:t xml:space="preserve"> kuria</w:t>
            </w:r>
            <w:r w:rsidRPr="00565F80">
              <w:rPr>
                <w:b/>
                <w:i/>
                <w:color w:val="auto"/>
              </w:rPr>
              <w:t xml:space="preserve"> pakeičia</w:t>
            </w:r>
            <w:r w:rsidR="00874CD0" w:rsidRPr="00565F80">
              <w:rPr>
                <w:b/>
                <w:i/>
                <w:color w:val="auto"/>
              </w:rPr>
              <w:t>mas</w:t>
            </w:r>
            <w:r w:rsidRPr="00565F80">
              <w:rPr>
                <w:b/>
                <w:i/>
                <w:color w:val="auto"/>
              </w:rPr>
              <w:t xml:space="preserve"> Tarybos pamatin</w:t>
            </w:r>
            <w:r w:rsidR="00874CD0" w:rsidRPr="00565F80">
              <w:rPr>
                <w:b/>
                <w:i/>
                <w:color w:val="auto"/>
              </w:rPr>
              <w:t>is</w:t>
            </w:r>
            <w:r w:rsidRPr="00565F80">
              <w:rPr>
                <w:b/>
                <w:i/>
                <w:color w:val="auto"/>
              </w:rPr>
              <w:t xml:space="preserve"> sprendim</w:t>
            </w:r>
            <w:r w:rsidR="00874CD0" w:rsidRPr="00565F80">
              <w:rPr>
                <w:b/>
                <w:i/>
                <w:color w:val="auto"/>
              </w:rPr>
              <w:t>as</w:t>
            </w:r>
            <w:r w:rsidRPr="00565F80">
              <w:rPr>
                <w:color w:val="auto"/>
              </w:rPr>
              <w:t xml:space="preserve"> 2002/475/TVR </w:t>
            </w:r>
            <w:r w:rsidRPr="00565F80">
              <w:rPr>
                <w:b/>
                <w:i/>
                <w:color w:val="auto"/>
              </w:rPr>
              <w:t xml:space="preserve">ir iš dalies </w:t>
            </w:r>
            <w:r w:rsidR="00874CD0" w:rsidRPr="00565F80">
              <w:rPr>
                <w:b/>
                <w:i/>
                <w:color w:val="auto"/>
              </w:rPr>
              <w:t>keičiamas Tarybos sprendimas</w:t>
            </w:r>
            <w:r w:rsidRPr="00565F80">
              <w:rPr>
                <w:b/>
                <w:i/>
                <w:color w:val="auto"/>
              </w:rPr>
              <w:t xml:space="preserve"> 2005/671/TVR]</w:t>
            </w:r>
            <w:r w:rsidRPr="00565F80">
              <w:rPr>
                <w:color w:val="auto"/>
              </w:rPr>
              <w:t xml:space="preserve"> </w:t>
            </w:r>
            <w:r w:rsidRPr="00565F80">
              <w:rPr>
                <w:b/>
                <w:i/>
                <w:color w:val="auto"/>
              </w:rPr>
              <w:t>3–12 straipsniuose</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Pamatinio sprendimo 2002/475 TVR nuostatos buvo integruotos į naująją direktyvą dėl kovos su terorizmu, dėl kurios balsuota Europos Parlamente 2017 m. vasario 16 d.</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209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 straipsnio 1 dalies n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n)</w:t>
            </w:r>
            <w:r w:rsidRPr="00565F80">
              <w:rPr>
                <w:color w:val="auto"/>
              </w:rPr>
              <w:tab/>
              <w:t>visų dešimties (jei įmanoma) pirštų plokščiųjų ar ritintų atspaudų arba latentinių pirštų atspaudų duomenys;</w:t>
            </w:r>
          </w:p>
        </w:tc>
        <w:tc>
          <w:tcPr>
            <w:tcW w:w="4876" w:type="dxa"/>
          </w:tcPr>
          <w:p w:rsidR="00BF668E" w:rsidRPr="00565F80" w:rsidRDefault="00BF668E" w:rsidP="00C555DE">
            <w:pPr>
              <w:pStyle w:val="Normal6"/>
              <w:rPr>
                <w:color w:val="auto"/>
              </w:rPr>
            </w:pPr>
            <w:r w:rsidRPr="00565F80">
              <w:rPr>
                <w:color w:val="auto"/>
              </w:rPr>
              <w:t>n)</w:t>
            </w:r>
            <w:r w:rsidRPr="00565F80">
              <w:rPr>
                <w:color w:val="auto"/>
              </w:rPr>
              <w:tab/>
              <w:t xml:space="preserve">visų dešimties (jei įmanoma) pirštų </w:t>
            </w:r>
            <w:r w:rsidRPr="00565F80">
              <w:rPr>
                <w:b/>
                <w:i/>
                <w:color w:val="auto"/>
              </w:rPr>
              <w:t>arba bent smilių</w:t>
            </w:r>
            <w:r w:rsidRPr="00565F80">
              <w:rPr>
                <w:color w:val="auto"/>
              </w:rPr>
              <w:t xml:space="preserve"> plokščiųjų ar ritintų atspaudų arba latentinių pirštų atspaudų duomenys;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lastRenderedPageBreak/>
        <w:t>&lt;Amend&gt;</w:t>
      </w:r>
      <w:r w:rsidRPr="00565F80">
        <w:rPr>
          <w:color w:val="auto"/>
        </w:rPr>
        <w:t xml:space="preserve">Pakeitimas </w:t>
      </w:r>
      <w:r w:rsidRPr="00565F80">
        <w:rPr>
          <w:rStyle w:val="HideTWBExt"/>
          <w:color w:val="auto"/>
        </w:rPr>
        <w:t>&lt;NumAm&gt;</w:t>
      </w:r>
      <w:r w:rsidRPr="00565F80">
        <w:rPr>
          <w:color w:val="auto"/>
        </w:rPr>
        <w:t>210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 straipsnio 1 dalies o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o)</w:t>
            </w:r>
            <w:r w:rsidRPr="00565F80">
              <w:rPr>
                <w:color w:val="auto"/>
              </w:rPr>
              <w:tab/>
            </w:r>
            <w:r w:rsidRPr="00565F80">
              <w:rPr>
                <w:b/>
                <w:i/>
                <w:color w:val="auto"/>
              </w:rPr>
              <w:t>veido atvaizdas – tinkamos raiškos ir kokybės skaitmeninis veido atvaizdas, naudotinas automatiškai nustatant biometrinių duomenų atitiktį.</w:t>
            </w:r>
          </w:p>
        </w:tc>
        <w:tc>
          <w:tcPr>
            <w:tcW w:w="4876" w:type="dxa"/>
          </w:tcPr>
          <w:p w:rsidR="00BF668E" w:rsidRPr="00565F80" w:rsidRDefault="00BF668E" w:rsidP="00C555DE">
            <w:pPr>
              <w:pStyle w:val="Normal6"/>
              <w:rPr>
                <w:color w:val="auto"/>
              </w:rPr>
            </w:pPr>
            <w:r w:rsidRPr="00565F80">
              <w:rPr>
                <w:b/>
                <w:i/>
                <w:color w:val="auto"/>
              </w:rPr>
              <w:t>Išbraukta.</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211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 straipsnio 1 dalies o a punktas (naujas)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oa)</w:t>
            </w:r>
            <w:r w:rsidRPr="00565F80">
              <w:rPr>
                <w:color w:val="auto"/>
              </w:rPr>
              <w:tab/>
            </w:r>
            <w:r w:rsidRPr="00565F80">
              <w:rPr>
                <w:b/>
                <w:i/>
                <w:color w:val="auto"/>
              </w:rPr>
              <w:t>asmuo be pilietybės – asmuo, kurio jokia valstybė pagal savo teisės aktus nepripažįsta kaip savo šalies piliečio</w:t>
            </w:r>
            <w:r w:rsidR="0036333B" w:rsidRPr="00565F80">
              <w:rPr>
                <w:b/>
                <w:i/>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1954 m. Jungtinių Tautų konvencijos dėl asmenų be pilietybės statuso apibrėžtis.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212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3 straipsnio 1 dalies o a punktas (naujas)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oa)</w:t>
            </w:r>
            <w:r w:rsidRPr="00565F80">
              <w:rPr>
                <w:color w:val="auto"/>
              </w:rPr>
              <w:tab/>
            </w:r>
            <w:r w:rsidRPr="00565F80">
              <w:rPr>
                <w:b/>
                <w:i/>
                <w:color w:val="auto"/>
              </w:rPr>
              <w:t xml:space="preserve">raidiniai skaitmeniniai duomenys – raidėmis, skaičiais, specialiais ženklais, tarpu ir skyrybos ženklais pateikiami </w:t>
            </w:r>
            <w:r w:rsidRPr="00565F80">
              <w:rPr>
                <w:b/>
                <w:i/>
                <w:color w:val="auto"/>
              </w:rPr>
              <w:lastRenderedPageBreak/>
              <w:t>duomenys;</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Atitinka kitus pakeitimus, kurie sudaro sąlygas raidinių skaitmeninių duomenų paieškai.</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213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4 straipsnio 4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4.</w:t>
            </w:r>
            <w:r w:rsidRPr="00565F80">
              <w:rPr>
                <w:color w:val="auto"/>
              </w:rPr>
              <w:tab/>
              <w:t>Duomenys apie asmenis, kuriems taikomos 10 straipsnio 1 dalis, 13 straipsnio 1 dalis ir 14 straipsnio 1 dalis, centrinėje sistemoje apdorojami kilmės valstybės narės vardu laikantis šiame reglamente nustatytų sąlygų ir juos atskiriant tinkamomis techninėmis priemonėmis.</w:t>
            </w:r>
          </w:p>
        </w:tc>
        <w:tc>
          <w:tcPr>
            <w:tcW w:w="4876" w:type="dxa"/>
          </w:tcPr>
          <w:p w:rsidR="00BF668E" w:rsidRPr="00565F80" w:rsidRDefault="00BF668E" w:rsidP="00C555DE">
            <w:pPr>
              <w:pStyle w:val="Normal6"/>
              <w:rPr>
                <w:color w:val="auto"/>
              </w:rPr>
            </w:pPr>
            <w:r w:rsidRPr="00565F80">
              <w:rPr>
                <w:color w:val="auto"/>
              </w:rPr>
              <w:t>4.</w:t>
            </w:r>
            <w:r w:rsidRPr="00565F80">
              <w:rPr>
                <w:color w:val="auto"/>
              </w:rPr>
              <w:tab/>
              <w:t xml:space="preserve">Duomenys apie asmenis, kuriems taikomos 10 straipsnio 1 dalis, </w:t>
            </w:r>
            <w:r w:rsidRPr="00565F80">
              <w:rPr>
                <w:b/>
                <w:i/>
                <w:color w:val="auto"/>
              </w:rPr>
              <w:t>12a straipsnis,</w:t>
            </w:r>
            <w:r w:rsidRPr="00565F80">
              <w:rPr>
                <w:color w:val="auto"/>
              </w:rPr>
              <w:t xml:space="preserve"> 13 straipsnio 1 dalis ir 14 straipsnio 1 dalis, centrinėje sistemoje apdorojami kilmės valstybės narės vardu laikantis šiame reglamente nustatytų sąlygų ir juos atskiriant tinkamomis techninėmis priemonėmis.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Išdėstymas nauja redakcija. Šis pakeitimas susijęs su pasiūlymu įtraukti naują asmenų kategoriją (naujas IIa</w:t>
      </w:r>
      <w:r w:rsidR="00B563D8" w:rsidRPr="00565F80">
        <w:rPr>
          <w:color w:val="auto"/>
          <w:lang w:val="lt-LT"/>
        </w:rPr>
        <w:t xml:space="preserve"> skyrius</w:t>
      </w:r>
      <w:r w:rsidRPr="00565F80">
        <w:rPr>
          <w:color w:val="auto"/>
          <w:lang w:val="lt-LT"/>
        </w:rPr>
        <w:t>), juo siekiama suderinti tekstą atsižvelgiant į šį pasiūlymą.</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214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 Dennis de Jong</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5 straipsnio 2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2.</w:t>
            </w:r>
            <w:r w:rsidRPr="00565F80">
              <w:rPr>
                <w:color w:val="auto"/>
              </w:rPr>
              <w:tab/>
            </w:r>
            <w:r w:rsidRPr="00565F80">
              <w:rPr>
                <w:b/>
                <w:i/>
                <w:color w:val="auto"/>
              </w:rPr>
              <w:t xml:space="preserve">„eu-LISA“ leidžiama naudoti realius sistemos EURODAC asmens duomenis testavimo tikslais tokiomis </w:t>
            </w:r>
            <w:r w:rsidRPr="00565F80">
              <w:rPr>
                <w:b/>
                <w:i/>
                <w:color w:val="auto"/>
              </w:rPr>
              <w:lastRenderedPageBreak/>
              <w:t>aplinkybėmis:</w:t>
            </w:r>
          </w:p>
        </w:tc>
        <w:tc>
          <w:tcPr>
            <w:tcW w:w="4876" w:type="dxa"/>
          </w:tcPr>
          <w:p w:rsidR="00BF668E" w:rsidRPr="00565F80" w:rsidRDefault="00BF668E" w:rsidP="00C555DE">
            <w:pPr>
              <w:pStyle w:val="Normal6"/>
              <w:rPr>
                <w:color w:val="auto"/>
              </w:rPr>
            </w:pPr>
            <w:r w:rsidRPr="00565F80">
              <w:rPr>
                <w:b/>
                <w:i/>
                <w:color w:val="auto"/>
              </w:rPr>
              <w:lastRenderedPageBreak/>
              <w:t>Išbraukta.</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a) diagnostikai ir taisymui, kai randama centrinės sistemos klaidų, ir</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b) naujų technologijų ir metodų, kuriais siekiama pagerinti centrinės sistemos veikimą ar duomenų perdavimą į ją, testavimui.</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Šiais atvejais testavimo aplinkos saugumo priemonės, prieigos kontrolė ir registravimo veiksmai turi prilygti atitinkamoms sistemos EURODAC priemonėms, kontrolei ir veiksmams. Testavimui naudojami realūs asmens duomenys nuasmeninami taip, kad nebebūtų galima nustatyti duomenų subjekto tapatybės.</w:t>
            </w:r>
          </w:p>
        </w:tc>
        <w:tc>
          <w:tcPr>
            <w:tcW w:w="4876" w:type="dxa"/>
          </w:tcPr>
          <w:p w:rsidR="00BF668E" w:rsidRPr="00565F80" w:rsidRDefault="00BF668E" w:rsidP="00C555DE">
            <w:pPr>
              <w:pStyle w:val="Normal6"/>
              <w:rPr>
                <w:color w:val="auto"/>
              </w:rPr>
            </w:pP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215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5 straipsnio 2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2.</w:t>
            </w:r>
            <w:r w:rsidRPr="00565F80">
              <w:rPr>
                <w:color w:val="auto"/>
              </w:rPr>
              <w:tab/>
            </w:r>
            <w:r w:rsidRPr="00565F80">
              <w:rPr>
                <w:b/>
                <w:i/>
                <w:color w:val="auto"/>
              </w:rPr>
              <w:t>„eu-LISA“ leidžiama naudoti realius sistemos EURODAC asmens duomenis testavimo tikslais tokiomis aplinkybėmis:</w:t>
            </w:r>
          </w:p>
        </w:tc>
        <w:tc>
          <w:tcPr>
            <w:tcW w:w="4876" w:type="dxa"/>
          </w:tcPr>
          <w:p w:rsidR="00BF668E" w:rsidRPr="00565F80" w:rsidRDefault="00BF668E" w:rsidP="00C555DE">
            <w:pPr>
              <w:pStyle w:val="Normal6"/>
              <w:rPr>
                <w:color w:val="auto"/>
              </w:rPr>
            </w:pPr>
            <w:r w:rsidRPr="00565F80">
              <w:rPr>
                <w:b/>
                <w:i/>
                <w:color w:val="auto"/>
              </w:rPr>
              <w:t>Išbraukta.</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a) diagnostikai ir taisymui, kai randama centrinės sistemos klaidų, ir</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b) naujų technologijų ir metodų, kuriais siekiama pagerinti centrinės sistemos veikimą ar duomenų perdavimą į ją, testavimui.</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 xml:space="preserve">Šiais atvejais testavimo aplinkos saugumo priemonės, prieigos kontrolė ir registravimo veiksmai turi prilygti atitinkamoms sistemos EURODAC priemonėms, kontrolei ir veiksmams. </w:t>
            </w:r>
            <w:r w:rsidRPr="00565F80">
              <w:rPr>
                <w:b/>
                <w:i/>
                <w:color w:val="auto"/>
              </w:rPr>
              <w:lastRenderedPageBreak/>
              <w:t>Testavimui naudojami realūs asmens duomenys nuasmeninami taip, kad nebebūtų galima nustatyti duomenų subjekto tapatybės.</w:t>
            </w:r>
          </w:p>
        </w:tc>
        <w:tc>
          <w:tcPr>
            <w:tcW w:w="4876" w:type="dxa"/>
          </w:tcPr>
          <w:p w:rsidR="00BF668E" w:rsidRPr="00565F80" w:rsidRDefault="00BF668E" w:rsidP="00C555DE">
            <w:pPr>
              <w:pStyle w:val="Normal6"/>
              <w:rPr>
                <w:color w:val="auto"/>
              </w:rPr>
            </w:pP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 xml:space="preserve">Atitinka Europos duomenų apsaugos priežiūros pareigūno pastabas: atsižvelgiant į riziką, kuri kyla naudojant realius duomenis testavimo tikslais, ir nesant tokių duomenų papildomos naudos, EDAPP rekomenduoja iš naujos redakcijos pasiūlymo išbraukti 5 straipsnio 2 dalį, kuri sudaro sąlygas naudoti realius duomenis testavimo tikslais. </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216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Kati Piri, Maria Grapini, Juan Fernando López Aguilar, Caterina Chinnici</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5 straipsnio 2 dalies pirmos pastraipos įžanginė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„eu-LISA“ leidžiama naudoti realius sistemos EURODAC asmens duomenis testavimo tikslais tokiomis aplinkybėmis:</w:t>
            </w:r>
          </w:p>
        </w:tc>
        <w:tc>
          <w:tcPr>
            <w:tcW w:w="4876" w:type="dxa"/>
          </w:tcPr>
          <w:p w:rsidR="00BF668E" w:rsidRPr="00565F80" w:rsidRDefault="00BF668E" w:rsidP="00C555DE">
            <w:pPr>
              <w:pStyle w:val="Normal6"/>
              <w:rPr>
                <w:color w:val="auto"/>
              </w:rPr>
            </w:pPr>
            <w:r w:rsidRPr="00565F80">
              <w:rPr>
                <w:color w:val="auto"/>
              </w:rPr>
              <w:t xml:space="preserve">„eu-LISA“ leidžiama naudoti realius sistemos EURODAC asmens duomenis testavimo tikslais </w:t>
            </w:r>
            <w:r w:rsidRPr="00565F80">
              <w:rPr>
                <w:b/>
                <w:i/>
                <w:color w:val="auto"/>
              </w:rPr>
              <w:t xml:space="preserve">ir griežtai laikantis Pareigūnų tarnybos nuostatų 17 straipsnio dėl profesinės paslapties kiekvienam asmeniui, dalyvaujančiam testavime, tik </w:t>
            </w:r>
            <w:r w:rsidRPr="00565F80">
              <w:rPr>
                <w:color w:val="auto"/>
              </w:rPr>
              <w:t>tokiomis aplinkybėmis: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217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002729FD" w:rsidRPr="00565F80">
        <w:rPr>
          <w:color w:val="auto"/>
        </w:rPr>
        <w:t>5 straipsnio 2 dalies pirmos pastraipos</w:t>
      </w:r>
      <w:r w:rsidRPr="00565F80">
        <w:rPr>
          <w:color w:val="auto"/>
        </w:rPr>
        <w:t xml:space="preserve"> įžanginė dalis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 xml:space="preserve">„eu-LISA“ leidžiama naudoti realius sistemos EURODAC asmens duomenis </w:t>
            </w:r>
            <w:r w:rsidRPr="00565F80">
              <w:rPr>
                <w:color w:val="auto"/>
              </w:rPr>
              <w:lastRenderedPageBreak/>
              <w:t>testavimo tikslais tokiomis aplinkybėmis:</w:t>
            </w:r>
          </w:p>
        </w:tc>
        <w:tc>
          <w:tcPr>
            <w:tcW w:w="4876" w:type="dxa"/>
          </w:tcPr>
          <w:p w:rsidR="00BF668E" w:rsidRPr="00565F80" w:rsidRDefault="00BF668E" w:rsidP="00C555DE">
            <w:pPr>
              <w:pStyle w:val="Normal6"/>
              <w:rPr>
                <w:color w:val="auto"/>
              </w:rPr>
            </w:pPr>
            <w:r w:rsidRPr="00565F80">
              <w:rPr>
                <w:color w:val="auto"/>
              </w:rPr>
              <w:lastRenderedPageBreak/>
              <w:t xml:space="preserve">„eu-LISA“ leidžiama naudoti realius sistemos EURODAC asmens duomenis </w:t>
            </w:r>
            <w:r w:rsidRPr="00565F80">
              <w:rPr>
                <w:color w:val="auto"/>
              </w:rPr>
              <w:lastRenderedPageBreak/>
              <w:t>testavimo tikslais</w:t>
            </w:r>
            <w:r w:rsidRPr="00565F80">
              <w:rPr>
                <w:b/>
                <w:i/>
                <w:color w:val="auto"/>
              </w:rPr>
              <w:t>, laikantis Reglamento (ES) 2016/679 nuostatų,</w:t>
            </w:r>
            <w:r w:rsidRPr="00565F80">
              <w:rPr>
                <w:color w:val="auto"/>
              </w:rPr>
              <w:t xml:space="preserve"> tokiomis aplinkybėmis:</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218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5 straipsnio 2 dalies pirmos pastraipos įžanginė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„eu-LISA“ leidžiama naudoti realius sistemos EURODAC asmens duomenis testavimo tikslais tokiomis aplinkybėmis:</w:t>
            </w:r>
          </w:p>
        </w:tc>
        <w:tc>
          <w:tcPr>
            <w:tcW w:w="4876" w:type="dxa"/>
          </w:tcPr>
          <w:p w:rsidR="00BF668E" w:rsidRPr="00565F80" w:rsidRDefault="00BF668E" w:rsidP="00C555DE">
            <w:pPr>
              <w:pStyle w:val="Normal6"/>
              <w:rPr>
                <w:color w:val="auto"/>
              </w:rPr>
            </w:pPr>
            <w:r w:rsidRPr="00565F80">
              <w:rPr>
                <w:color w:val="auto"/>
              </w:rPr>
              <w:t xml:space="preserve">„eu-LISA“ leidžiama naudoti realius sistemos EURODAC asmens duomenis testavimo </w:t>
            </w:r>
            <w:r w:rsidRPr="00565F80">
              <w:rPr>
                <w:b/>
                <w:i/>
                <w:color w:val="auto"/>
              </w:rPr>
              <w:t xml:space="preserve">ir koregavimo </w:t>
            </w:r>
            <w:r w:rsidRPr="00565F80">
              <w:rPr>
                <w:color w:val="auto"/>
              </w:rPr>
              <w:t>tikslais tokiomis aplinkybėmis: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219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 xml:space="preserve">5 straipsnio 2 dalies </w:t>
      </w:r>
      <w:r w:rsidR="00E87104" w:rsidRPr="00565F80">
        <w:rPr>
          <w:color w:val="auto"/>
        </w:rPr>
        <w:t>antra pastraipa</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Šiais atvejais testavimo aplinkos saugumo priemonės, prieigos kontrolė ir registravimo veiksmai turi prilygti atitinkamoms sistemos EURODAC priemonėms, kontrolei ir veiksmams. Testavimui naudojami realūs asmens duomenys nuasmeninami taip, kad nebebūtų galima nustatyti duomenų subjekto tapatybės.</w:t>
            </w:r>
          </w:p>
        </w:tc>
        <w:tc>
          <w:tcPr>
            <w:tcW w:w="4876" w:type="dxa"/>
          </w:tcPr>
          <w:p w:rsidR="00BF668E" w:rsidRPr="00565F80" w:rsidRDefault="00BF668E" w:rsidP="00C555DE">
            <w:pPr>
              <w:pStyle w:val="Normal6"/>
              <w:rPr>
                <w:color w:val="auto"/>
              </w:rPr>
            </w:pPr>
            <w:r w:rsidRPr="00565F80">
              <w:rPr>
                <w:color w:val="auto"/>
              </w:rPr>
              <w:t xml:space="preserve">Šiais atvejais testavimo aplinkos saugumo priemonės, prieigos kontrolė ir registravimo veiksmai turi prilygti atitinkamoms sistemos EURODAC priemonėms, kontrolei ir veiksmams. Testavimui naudojami realūs asmens duomenys nuasmeninami taip, kad nebebūtų galima nustatyti duomenų subjekto tapatybės. </w:t>
            </w:r>
            <w:r w:rsidRPr="00565F80">
              <w:rPr>
                <w:b/>
                <w:i/>
                <w:color w:val="auto"/>
              </w:rPr>
              <w:t>„eu-LISA“ prižiūri, kad išorės sutarties subjektai laikytųsi įsipareigojimų dėl naudojimosi duomenimis, laikantis Reglamento (ES) 2016/679 24 ir 28 straipsnių nuostatų.</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r w:rsidRPr="00565F80">
        <w:rPr>
          <w:rStyle w:val="HideTWBExt"/>
          <w:color w:val="auto"/>
        </w:rPr>
        <w:lastRenderedPageBreak/>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220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Sophia in 't Veld</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5 straipsnio 2 dalies antra pastraipa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Šiais atvejais testavimo aplinkos saugumo priemonės, prieigos kontrolė ir registravimo veiksmai turi prilygti atitinkamoms sistemos EURODAC priemonėms, kontrolei ir veiksmams. Testavimui naudojami realūs asmens duomenys nuasmeninami taip, kad nebebūtų galima nustatyti duomenų subjekto tapatybės.</w:t>
            </w:r>
          </w:p>
        </w:tc>
        <w:tc>
          <w:tcPr>
            <w:tcW w:w="4876" w:type="dxa"/>
          </w:tcPr>
          <w:p w:rsidR="00BF668E" w:rsidRPr="00565F80" w:rsidRDefault="00BF668E" w:rsidP="00C555DE">
            <w:pPr>
              <w:pStyle w:val="Normal6"/>
              <w:rPr>
                <w:color w:val="auto"/>
              </w:rPr>
            </w:pPr>
            <w:r w:rsidRPr="00565F80">
              <w:rPr>
                <w:color w:val="auto"/>
              </w:rPr>
              <w:t xml:space="preserve">Šiais atvejais testavimo aplinkos saugumo priemonės, prieigos kontrolė ir registravimo veiksmai turi prilygti atitinkamoms sistemos EURODAC priemonėms, kontrolei ir veiksmams. Testavimui naudojami realūs asmens duomenys </w:t>
            </w:r>
            <w:r w:rsidRPr="00565F80">
              <w:rPr>
                <w:b/>
                <w:i/>
                <w:color w:val="auto"/>
              </w:rPr>
              <w:t xml:space="preserve">taikant griežtas sąlygas ir </w:t>
            </w:r>
            <w:r w:rsidRPr="00565F80">
              <w:rPr>
                <w:color w:val="auto"/>
              </w:rPr>
              <w:t xml:space="preserve">nuasmeninami taip, kad nebebūtų galima nustatyti duomenų subjekto tapatybės. </w:t>
            </w:r>
            <w:r w:rsidRPr="00565F80">
              <w:rPr>
                <w:b/>
                <w:i/>
                <w:color w:val="auto"/>
              </w:rPr>
              <w:t>Visi asmens duomenys turi būti tiesiogiai ir nuolat ištrinami iš testavimo aplinkos po to, kai buvo pasiekti testavimo tikslai arba atlikti testai.</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221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5 straipsnio 2 dalies antra pastraipa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Šiais atvejais testavimo aplinkos saugumo priemonės, prieigos kontrolė ir registravimo veiksmai turi prilygti atitinkamoms sistemos EURODAC priemonėms, kontrolei ir veiksmams. Testavimui naudojami realūs asmens duomenys nuasmeninami taip, kad nebebūtų galima nustatyti duomenų subjekto tapatybės.</w:t>
            </w:r>
          </w:p>
        </w:tc>
        <w:tc>
          <w:tcPr>
            <w:tcW w:w="4876" w:type="dxa"/>
          </w:tcPr>
          <w:p w:rsidR="00BF668E" w:rsidRPr="00565F80" w:rsidRDefault="00BF668E" w:rsidP="00C555DE">
            <w:pPr>
              <w:pStyle w:val="Normal6"/>
              <w:rPr>
                <w:color w:val="auto"/>
              </w:rPr>
            </w:pPr>
            <w:r w:rsidRPr="00565F80">
              <w:rPr>
                <w:color w:val="auto"/>
              </w:rPr>
              <w:t xml:space="preserve">Šiais atvejais testavimo aplinkos saugumo priemonės, prieigos kontrolė ir registravimo veiksmai turi prilygti atitinkamoms sistemos EURODAC priemonėms, kontrolei ir veiksmams. Testavimui naudojami realūs asmens duomenys nuasmeninami taip, kad nebebūtų galima nustatyti duomenų subjekto tapatybės. </w:t>
            </w:r>
            <w:r w:rsidRPr="00565F80">
              <w:rPr>
                <w:b/>
                <w:i/>
                <w:color w:val="auto"/>
              </w:rPr>
              <w:t>Pasiekus pirmoje pastraipoje nurodytus testavimo tikslus, realūs asmens duomenys turi būti visam laikui ištrinti iš testavimo aplinkos.</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222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5 straipsnio 3 dalies c a punktas (naujas)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ca)</w:t>
            </w:r>
            <w:r w:rsidRPr="00565F80">
              <w:rPr>
                <w:color w:val="auto"/>
              </w:rPr>
              <w:tab/>
            </w:r>
            <w:r w:rsidRPr="00565F80">
              <w:rPr>
                <w:b/>
                <w:i/>
                <w:color w:val="auto"/>
              </w:rPr>
              <w:t>sąveikumas su kitomis informacinėmis sistemomis;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 xml:space="preserve">Išdėstymas nauja redakcija. Reikėtų numatyti „eu-LISA“ kompetencijas kuriant būsimus apsaugotus komunikacijos kanalus su centrine sistema </w:t>
      </w:r>
      <w:r w:rsidR="00371D41" w:rsidRPr="00565F80">
        <w:rPr>
          <w:color w:val="auto"/>
          <w:lang w:val="lt-LT"/>
        </w:rPr>
        <w:t>EURODAC</w:t>
      </w:r>
      <w:r w:rsidRPr="00565F80">
        <w:rPr>
          <w:color w:val="auto"/>
          <w:lang w:val="lt-LT"/>
        </w:rPr>
        <w:t xml:space="preserve"> ir kitomis sistemomis.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223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6 straipsnio 1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w:t>
            </w:r>
            <w:r w:rsidRPr="00565F80">
              <w:rPr>
                <w:color w:val="auto"/>
              </w:rPr>
              <w:tab/>
              <w:t xml:space="preserve">1 straipsnio 1 dalies c punkte išdėstytais tikslais valstybės narės paskiria institucijas, kurioms pagal šį reglamentą leidžiama prašyti palyginimo su sistemos EURODAC duomenimis. Paskirtos institucijos yra valstybių narių institucijos, atsakingos už teroristinių ar kitų sunkių nusikalstamų veikų prevenciją, atskleidimą ar tyrimą. </w:t>
            </w:r>
            <w:r w:rsidRPr="00565F80">
              <w:rPr>
                <w:b/>
                <w:i/>
                <w:color w:val="auto"/>
              </w:rPr>
              <w:t>Paskirtos institucijos neapima agentūrų ar padalinių, kurie atsakingi tik už žvalgybą, susijusią su nacionaliniu saugumu.</w:t>
            </w:r>
          </w:p>
        </w:tc>
        <w:tc>
          <w:tcPr>
            <w:tcW w:w="4876" w:type="dxa"/>
          </w:tcPr>
          <w:p w:rsidR="00BF668E" w:rsidRPr="00565F80" w:rsidRDefault="00BF668E" w:rsidP="00C555DE">
            <w:pPr>
              <w:pStyle w:val="Normal6"/>
              <w:rPr>
                <w:color w:val="auto"/>
              </w:rPr>
            </w:pPr>
            <w:r w:rsidRPr="00565F80">
              <w:rPr>
                <w:color w:val="auto"/>
              </w:rPr>
              <w:t>1.</w:t>
            </w:r>
            <w:r w:rsidRPr="00565F80">
              <w:rPr>
                <w:color w:val="auto"/>
              </w:rPr>
              <w:tab/>
              <w:t>1 straipsnio 1 dalies c punkte išdėstytais tikslais valstybės narės paskiria institucijas, kurioms pagal šį reglamentą leidžiama prašyti palyginimo su sistemos EURODAC duomenimis. Paskirtos institucijos yra valstybių narių institucijos, atsakingos už teroristinių ar kitų sunkių nusikalstamų veikų prevenciją, atskleidimą ar tyrimą.</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lastRenderedPageBreak/>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Neaišku, kodėl tekste įtraukt</w:t>
      </w:r>
      <w:r w:rsidR="00F63CF2" w:rsidRPr="00565F80">
        <w:rPr>
          <w:color w:val="auto"/>
          <w:lang w:val="lt-LT"/>
        </w:rPr>
        <w:t>a speciali nuostata, neapimanti</w:t>
      </w:r>
      <w:r w:rsidRPr="00565F80">
        <w:rPr>
          <w:color w:val="auto"/>
          <w:lang w:val="lt-LT"/>
        </w:rPr>
        <w:t xml:space="preserve"> agentūrų ar padalinių, kurie atsakingi tik už žvalgybą, susijusią su nacionaliniu saugumu, ir susijusi su 1 straipsnio 1 dalies c punkte nurodytu tikslu. Sąlygos, kuriomis valstybių narių paskirtos institucijos ir Europos policijos biuras (Europolas) gali pateikti prašymą dėl prieigos prie EURODAC duomenų, yra nustatytos šiame reglamente. Pati valstybė narė sprendžia, kuri jos paskirta institucija vykdys pareigą nustatyti arba tirti teroristinius nusikaltimus ar kitus sunkius nusikaltimus</w:t>
      </w:r>
      <w:r w:rsidR="001F1B5A" w:rsidRPr="00565F80">
        <w:rPr>
          <w:color w:val="auto"/>
          <w:lang w:val="lt-LT"/>
        </w:rPr>
        <w:t xml:space="preserve"> ir užkirsti jiems kelią</w:t>
      </w:r>
      <w:r w:rsidRPr="00565F80">
        <w:rPr>
          <w:color w:val="auto"/>
          <w:lang w:val="lt-LT"/>
        </w:rPr>
        <w: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224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Kati Piri, Maria Grapini, Juan Fernando López Aguilar, Caterina Chinnici</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6 straipsnio 2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w:t>
            </w:r>
            <w:r w:rsidRPr="00565F80">
              <w:rPr>
                <w:color w:val="auto"/>
              </w:rPr>
              <w:tab/>
              <w:t>Kiekviena valstybė narė sudaro paskirtų institucijų sąrašą.</w:t>
            </w:r>
          </w:p>
        </w:tc>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Kiekviena valstybė narė sudaro paskirtų institucijų sąrašą </w:t>
            </w:r>
            <w:r w:rsidRPr="00565F80">
              <w:rPr>
                <w:b/>
                <w:i/>
                <w:color w:val="auto"/>
              </w:rPr>
              <w:t>ir nedelsdama perduoda jį Komisijai ir „eu-LISA“</w:t>
            </w:r>
            <w:r w:rsidRPr="00565F80">
              <w:rPr>
                <w:color w:val="auto"/>
              </w:rPr>
              <w:t>.</w:t>
            </w:r>
            <w:r w:rsidRPr="00565F80">
              <w:rPr>
                <w:b/>
                <w:i/>
                <w:color w:val="auto"/>
              </w:rPr>
              <w:t xml:space="preserve"> „eu-LISA“ suvestinį sąrašą skelbia Europos Sąjungos oficialiajame leidinyje. To sąrašo pakeitimų atveju „eu-LISA“ kartą per metus internetu skelbia atnaujintą suvestinį sąrašą</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pakeitimas yra susijęs su pakeistu Komisijos pasiūlymo 1 straipsnio 1 dalies c punktu.</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225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7 straipsnis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Center"/>
              <w:rPr>
                <w:color w:val="auto"/>
                <w:lang w:val="lt-LT"/>
              </w:rPr>
            </w:pPr>
            <w:r w:rsidRPr="00565F80">
              <w:rPr>
                <w:b/>
                <w:i/>
                <w:color w:val="auto"/>
                <w:sz w:val="24"/>
                <w:lang w:val="lt-LT"/>
              </w:rPr>
              <w:lastRenderedPageBreak/>
              <w:t>7 straipsnis</w:t>
            </w:r>
            <w:r w:rsidRPr="00565F80">
              <w:rPr>
                <w:color w:val="auto"/>
                <w:lang w:val="lt-LT"/>
              </w:rPr>
              <w:tab/>
            </w:r>
          </w:p>
        </w:tc>
        <w:tc>
          <w:tcPr>
            <w:tcW w:w="4876" w:type="dxa"/>
          </w:tcPr>
          <w:p w:rsidR="00BF668E" w:rsidRPr="00565F80" w:rsidRDefault="00BF668E" w:rsidP="00C555DE">
            <w:pPr>
              <w:pStyle w:val="Normal6"/>
              <w:rPr>
                <w:color w:val="auto"/>
              </w:rPr>
            </w:pPr>
            <w:r w:rsidRPr="00565F80">
              <w:rPr>
                <w:b/>
                <w:i/>
                <w:color w:val="auto"/>
              </w:rPr>
              <w:t>Išbraukta.</w:t>
            </w:r>
          </w:p>
        </w:tc>
      </w:tr>
      <w:tr w:rsidR="00BF668E" w:rsidRPr="00565F80" w:rsidTr="00C555DE">
        <w:trPr>
          <w:jc w:val="center"/>
        </w:trPr>
        <w:tc>
          <w:tcPr>
            <w:tcW w:w="4876" w:type="dxa"/>
          </w:tcPr>
          <w:p w:rsidR="00BF668E" w:rsidRPr="00565F80" w:rsidRDefault="00BF668E" w:rsidP="00C555DE">
            <w:pPr>
              <w:pStyle w:val="Center"/>
              <w:rPr>
                <w:color w:val="auto"/>
                <w:lang w:val="lt-LT"/>
              </w:rPr>
            </w:pPr>
            <w:r w:rsidRPr="00565F80">
              <w:rPr>
                <w:b/>
                <w:i/>
                <w:color w:val="auto"/>
                <w:sz w:val="24"/>
                <w:lang w:val="lt-LT"/>
              </w:rPr>
              <w:t>Teisėsaugos tikslais paskirtos valstybių narių tikrinančiosios institucijos</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1.</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1 straipsnio 1 dalies c punkte išdėstytais tikslais kiekviena valstybė narė paskiria vieną nacionalinę instituciją ar tokios institucijos padalinį, kurie atliktų tikrinančiosios institucijos funkcijas. Tikrinančioji institucija yra valstybės narės institucija, atsakinga už teroristinių ar kitų sunkių nusikalstamų veikų prevenciją, atskleidimą ar tyrimą.</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Paskirta institucija ir tikrinančioji institucija gali priklausyti tai pačiai organizacijai, jei taip leidžiama pagal nacionalinę teisę, tačiau tikrinančioji institucija, atlikdama pagal šį reglamentą jai nustatytas užduotis, veikia nepriklausomai. Tikrinančioji institucija veikia atskirai nuo 6 straipsnio 3 dalyje nurodytų vykdomųjų padalinių ir nepriima jų nurodymų, susijusių su patikrinimo rezultatais.</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Valstybės narės, vykdydamos savo konstitucinius ar teisinius reikalavimus, gali paskirti daugiau negu vieną tikrinančiąją instituciją pagal jų organizacinę ir administracinę struktūrą.</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2.</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Tikrinančioji institucija užtikrina, kad būtų įvykdytos prašymų palyginti pirštų atspaudus su sistemos EURODAC duomenimis teikimo sąlygos.</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Priimti ir perduoti prašymą prisijungti prie sistemos EURODAC remiantis 20 straipsniu leidžiama tik tinkamai įgaliotiems tikrinančiosios institucijos darbuotojams.</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Tik tikrinančioji institucija turi teisę prašymus palyginti pirštų atspaudus ir veido atvaizdą perduoti nacionalinei duomenų perdavimo įstaigai.</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Italic"/>
              <w:rPr>
                <w:color w:val="auto"/>
              </w:rPr>
            </w:pPr>
            <w:r w:rsidRPr="00565F80">
              <w:rPr>
                <w:color w:val="auto"/>
              </w:rPr>
              <w:t>(Šis pakeitimas taikomas visam tekstui. Jį priėmus reikės padaryti atitinkamus viso teksto pakeitimus.)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226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7 straipsnio 2 dalies pirma pastraipa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Tikrinančioji institucija užtikrina, kad būtų įvykdytos prašymų palyginti pirštų atspaudus su sistemos EURODAC duomenimis teikimo sąlygos.</w:t>
            </w:r>
          </w:p>
        </w:tc>
        <w:tc>
          <w:tcPr>
            <w:tcW w:w="4876" w:type="dxa"/>
          </w:tcPr>
          <w:p w:rsidR="00BF668E" w:rsidRPr="00565F80" w:rsidRDefault="00BF668E" w:rsidP="00C555DE">
            <w:pPr>
              <w:pStyle w:val="Normal6"/>
              <w:rPr>
                <w:color w:val="auto"/>
              </w:rPr>
            </w:pPr>
            <w:r w:rsidRPr="00565F80">
              <w:rPr>
                <w:color w:val="auto"/>
              </w:rPr>
              <w:t>Tikrinančioji institucija užtikrina, kad būtų įvykdytos prašymų palyginti pirštų atspaudus</w:t>
            </w:r>
            <w:r w:rsidRPr="00565F80">
              <w:rPr>
                <w:b/>
                <w:i/>
                <w:color w:val="auto"/>
              </w:rPr>
              <w:t>, veido atvaizdą ir raidinius skaitmeninius duomenis</w:t>
            </w:r>
            <w:r w:rsidRPr="00565F80">
              <w:rPr>
                <w:color w:val="auto"/>
              </w:rPr>
              <w:t xml:space="preserve"> su sistemos EURODAC duomenimis teikimo sąlygos.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lastRenderedPageBreak/>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Correction of the commission'sproposal that doesn't insert in all the required places both 'fingerprints' and'facial image', which is in line with the obligation as mentioned in article 2. Regarding the search possibility alphanumeric data: Under the proposal,national law enforcement authorities and Europol cannot request comparison with specific alphanumeric data, which is highly detrimental to investigations, especially in the counter-terrorism field,trying to establish the places and dates of entry in the EU of suspects forwhich a used identity is known, but no fingerprint is available. In thiscontext, and given that Art.1.1(c) of the proposal, extends its scope ofEurodac to law enforcement purposes, it would be essential for national lawenforcement authorities and Europol to have access to all data contained inEurodac in order to properly carry out their tasks.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227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7 straipsnio 2 dalies trečia pastraipa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 xml:space="preserve">Tik tikrinančioji institucija turi teisę prašymus palyginti pirštų atspaudus </w:t>
            </w:r>
            <w:r w:rsidRPr="00565F80">
              <w:rPr>
                <w:b/>
                <w:i/>
                <w:color w:val="auto"/>
              </w:rPr>
              <w:t>ir</w:t>
            </w:r>
            <w:r w:rsidRPr="00565F80">
              <w:rPr>
                <w:color w:val="auto"/>
              </w:rPr>
              <w:t xml:space="preserve"> veido atvaizdą perduoti nacionalinei duomenų perdavimo įstaigai.</w:t>
            </w:r>
          </w:p>
        </w:tc>
        <w:tc>
          <w:tcPr>
            <w:tcW w:w="4876" w:type="dxa"/>
          </w:tcPr>
          <w:p w:rsidR="00BF668E" w:rsidRPr="00565F80" w:rsidRDefault="00BF668E" w:rsidP="00C555DE">
            <w:pPr>
              <w:pStyle w:val="Normal6"/>
              <w:rPr>
                <w:color w:val="auto"/>
              </w:rPr>
            </w:pPr>
            <w:r w:rsidRPr="00565F80">
              <w:rPr>
                <w:color w:val="auto"/>
              </w:rPr>
              <w:t>Tik tikrinančioji institucija turi teisę prašymus palyginti pirštų atspaudus</w:t>
            </w:r>
            <w:r w:rsidRPr="00565F80">
              <w:rPr>
                <w:b/>
                <w:i/>
                <w:color w:val="auto"/>
              </w:rPr>
              <w:t>,</w:t>
            </w:r>
            <w:r w:rsidRPr="00565F80">
              <w:rPr>
                <w:i/>
                <w:color w:val="auto"/>
              </w:rPr>
              <w:t xml:space="preserve"> </w:t>
            </w:r>
            <w:r w:rsidRPr="00565F80">
              <w:rPr>
                <w:color w:val="auto"/>
              </w:rPr>
              <w:t xml:space="preserve">veido atvaizdą </w:t>
            </w:r>
            <w:r w:rsidRPr="00565F80">
              <w:rPr>
                <w:b/>
                <w:i/>
                <w:color w:val="auto"/>
              </w:rPr>
              <w:t xml:space="preserve">ir raidinius skaitmeninius duomenis </w:t>
            </w:r>
            <w:r w:rsidRPr="00565F80">
              <w:rPr>
                <w:color w:val="auto"/>
              </w:rPr>
              <w:t>perduoti nacionalinei duomenų perdavimo įstaigai.</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Pagrindimas panašus į ankstesn</w:t>
      </w:r>
      <w:r w:rsidR="00A26C0A" w:rsidRPr="00565F80">
        <w:rPr>
          <w:color w:val="auto"/>
          <w:lang w:val="lt-LT"/>
        </w:rPr>
        <w:t>io</w:t>
      </w:r>
      <w:r w:rsidRPr="00565F80">
        <w:rPr>
          <w:color w:val="auto"/>
          <w:lang w:val="lt-LT"/>
        </w:rPr>
        <w:t xml:space="preserve"> pakeitim</w:t>
      </w:r>
      <w:r w:rsidR="00A26C0A" w:rsidRPr="00565F80">
        <w:rPr>
          <w:color w:val="auto"/>
          <w:lang w:val="lt-LT"/>
        </w:rPr>
        <w:t>o</w:t>
      </w:r>
      <w:r w:rsidRPr="00565F80">
        <w:rPr>
          <w:color w:val="auto"/>
          <w:lang w:val="lt-LT"/>
        </w:rPr>
        <w: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228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7 straipsnio 2 dalies trečia pastraipa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 xml:space="preserve">Tik tikrinančioji institucija turi teisę prašymus palyginti pirštų atspaudus </w:t>
            </w:r>
            <w:r w:rsidRPr="00565F80">
              <w:rPr>
                <w:b/>
                <w:i/>
                <w:color w:val="auto"/>
              </w:rPr>
              <w:t>ir</w:t>
            </w:r>
            <w:r w:rsidRPr="00565F80">
              <w:rPr>
                <w:color w:val="auto"/>
              </w:rPr>
              <w:t xml:space="preserve"> veido atvaizdą perduoti nacionalinei </w:t>
            </w:r>
            <w:r w:rsidRPr="00565F80">
              <w:rPr>
                <w:color w:val="auto"/>
              </w:rPr>
              <w:lastRenderedPageBreak/>
              <w:t>duomenų perdavimo įstaigai.</w:t>
            </w:r>
          </w:p>
        </w:tc>
        <w:tc>
          <w:tcPr>
            <w:tcW w:w="4876" w:type="dxa"/>
          </w:tcPr>
          <w:p w:rsidR="00BF668E" w:rsidRPr="00565F80" w:rsidRDefault="00BF668E" w:rsidP="00C555DE">
            <w:pPr>
              <w:pStyle w:val="Normal6"/>
              <w:rPr>
                <w:color w:val="auto"/>
              </w:rPr>
            </w:pPr>
            <w:r w:rsidRPr="00565F80">
              <w:rPr>
                <w:color w:val="auto"/>
              </w:rPr>
              <w:lastRenderedPageBreak/>
              <w:t>Tik tikrinančioji institucija turi teisę prašymus palyginti pirštų atspaudus</w:t>
            </w:r>
            <w:r w:rsidRPr="00565F80">
              <w:rPr>
                <w:b/>
                <w:i/>
                <w:color w:val="auto"/>
              </w:rPr>
              <w:t>,</w:t>
            </w:r>
            <w:r w:rsidRPr="00565F80">
              <w:rPr>
                <w:color w:val="auto"/>
              </w:rPr>
              <w:t xml:space="preserve"> veido atvaizdą </w:t>
            </w:r>
            <w:r w:rsidRPr="00565F80">
              <w:rPr>
                <w:b/>
                <w:i/>
                <w:color w:val="auto"/>
              </w:rPr>
              <w:t xml:space="preserve">arba abiejų rūšių duomenis </w:t>
            </w:r>
            <w:r w:rsidRPr="00565F80">
              <w:rPr>
                <w:color w:val="auto"/>
              </w:rPr>
              <w:lastRenderedPageBreak/>
              <w:t>perduoti nacionalinei duomenų perdavimo įstaigai.</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229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8 straipsnis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Center"/>
              <w:rPr>
                <w:color w:val="auto"/>
                <w:lang w:val="lt-LT"/>
              </w:rPr>
            </w:pPr>
            <w:r w:rsidRPr="00565F80">
              <w:rPr>
                <w:b/>
                <w:i/>
                <w:color w:val="auto"/>
                <w:sz w:val="24"/>
                <w:lang w:val="lt-LT"/>
              </w:rPr>
              <w:t>8 straipsnis</w:t>
            </w:r>
            <w:r w:rsidRPr="00565F80">
              <w:rPr>
                <w:color w:val="auto"/>
                <w:lang w:val="lt-LT"/>
              </w:rPr>
              <w:tab/>
            </w:r>
          </w:p>
        </w:tc>
        <w:tc>
          <w:tcPr>
            <w:tcW w:w="4876" w:type="dxa"/>
          </w:tcPr>
          <w:p w:rsidR="00BF668E" w:rsidRPr="00565F80" w:rsidRDefault="00BF668E" w:rsidP="00C555DE">
            <w:pPr>
              <w:pStyle w:val="Normal6"/>
              <w:rPr>
                <w:color w:val="auto"/>
              </w:rPr>
            </w:pPr>
            <w:r w:rsidRPr="00565F80">
              <w:rPr>
                <w:b/>
                <w:i/>
                <w:color w:val="auto"/>
              </w:rPr>
              <w:t>Išbraukta.</w:t>
            </w:r>
          </w:p>
        </w:tc>
      </w:tr>
      <w:tr w:rsidR="00BF668E" w:rsidRPr="00565F80" w:rsidTr="00C555DE">
        <w:trPr>
          <w:jc w:val="center"/>
        </w:trPr>
        <w:tc>
          <w:tcPr>
            <w:tcW w:w="4876" w:type="dxa"/>
          </w:tcPr>
          <w:p w:rsidR="00BF668E" w:rsidRPr="00565F80" w:rsidRDefault="00BF668E" w:rsidP="00C555DE">
            <w:pPr>
              <w:pStyle w:val="Center"/>
              <w:rPr>
                <w:color w:val="auto"/>
                <w:lang w:val="lt-LT"/>
              </w:rPr>
            </w:pPr>
            <w:r w:rsidRPr="00565F80">
              <w:rPr>
                <w:b/>
                <w:i/>
                <w:color w:val="auto"/>
                <w:sz w:val="24"/>
                <w:lang w:val="lt-LT"/>
              </w:rPr>
              <w:t>Europolas</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1. 1 straipsnio 1 dalies c punkte išdėstytais tikslais Europolas paskiria specializuotą padalinį su tinkamai įgaliotais Europolo pareigūnais, kurie atliktų jo tikrinančios institucijos funkcijas, atlikdamas pagal šį reglamentą jam nustatytas užduotis veiktų nepriklausomai nuo šio straipsnio 2 dalyje nurodytos paskirtos institucijos ir nepriimtų paskirtos institucijos nurodymų, susijusių su patikrinimo rezultatais. Padalinys užtikrina, kad būtų įvykdytos prašymų palyginti pirštų atspaudus ir veido atvaizdą su sistemos EURODAC duomenimis teikimo sąlygos. Europolas, suderinęs su kuria nors valstybe nare, paskiria tos valstybės narės nacionalinę duomenų perdavimo įstaigą, kuri jo prašymus palyginti pirštų atspaudų ir veido atvaizdo duomenis perduotų į centrinę sistemą.</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 xml:space="preserve">2. 1 straipsnio 1 dalies c punkte nustatytais tikslais Europolas paskiria vykdomąjį padalinį, kuris turi teisę per paskirtą nacionalinę duomenų perdavimo įstaigą pateikti prašymus palyginti duomenis su sistemos EURODAC duomenimis. Paskirta institucija yra Europos vykdomasis padalinys, </w:t>
            </w:r>
            <w:r w:rsidRPr="00565F80">
              <w:rPr>
                <w:b/>
                <w:i/>
                <w:color w:val="auto"/>
              </w:rPr>
              <w:lastRenderedPageBreak/>
              <w:t>kompetentingas rinkti, saugoti, tvarkyti, analizuoti informaciją, reikalingą remti ir stiprinti valstybių narių veiksmams, susijusiems su teroristinių ar kitų sunkių nusikalstamų veikų, kurias tirti įgaliotas Europolas, prevencija, atskleidimu ar tyrimu, ir šia informacija keistis.</w:t>
            </w:r>
          </w:p>
        </w:tc>
        <w:tc>
          <w:tcPr>
            <w:tcW w:w="4876" w:type="dxa"/>
          </w:tcPr>
          <w:p w:rsidR="00BF668E" w:rsidRPr="00565F80" w:rsidRDefault="00BF668E" w:rsidP="00C555DE">
            <w:pPr>
              <w:pStyle w:val="Normal6"/>
              <w:rPr>
                <w:color w:val="auto"/>
              </w:rPr>
            </w:pP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Italic"/>
              <w:rPr>
                <w:color w:val="auto"/>
              </w:rPr>
            </w:pPr>
            <w:r w:rsidRPr="00565F80">
              <w:rPr>
                <w:color w:val="auto"/>
              </w:rPr>
              <w:t>(Šis pakeitimas taikomas visam tekstui. Jį priėmus reikės padaryti atitinkamus viso teksto pakeitimus.)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230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8 straipsnio 1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w:t>
            </w:r>
            <w:r w:rsidRPr="00565F80">
              <w:rPr>
                <w:color w:val="auto"/>
              </w:rPr>
              <w:tab/>
              <w:t xml:space="preserve">1 straipsnio 1 dalies c punkte </w:t>
            </w:r>
            <w:r w:rsidRPr="00565F80">
              <w:rPr>
                <w:color w:val="auto"/>
              </w:rPr>
              <w:lastRenderedPageBreak/>
              <w:t xml:space="preserve">išdėstytais tikslais Europolas paskiria </w:t>
            </w:r>
            <w:r w:rsidRPr="00565F80">
              <w:rPr>
                <w:b/>
                <w:i/>
                <w:color w:val="auto"/>
              </w:rPr>
              <w:t>specializuotą padalinį su tinkamai įgaliotais Europolo pareigūnais, kurie atliktų jo tikrinančios institucijos funkcijas,</w:t>
            </w:r>
            <w:r w:rsidRPr="00565F80">
              <w:rPr>
                <w:color w:val="auto"/>
              </w:rPr>
              <w:t xml:space="preserve"> </w:t>
            </w:r>
            <w:r w:rsidRPr="00565F80">
              <w:rPr>
                <w:b/>
                <w:i/>
                <w:color w:val="auto"/>
              </w:rPr>
              <w:t>atlikdamas</w:t>
            </w:r>
            <w:r w:rsidRPr="00565F80">
              <w:rPr>
                <w:color w:val="auto"/>
              </w:rPr>
              <w:t xml:space="preserve"> pagal šį reglamentą </w:t>
            </w:r>
            <w:r w:rsidRPr="00565F80">
              <w:rPr>
                <w:b/>
                <w:i/>
                <w:color w:val="auto"/>
              </w:rPr>
              <w:t>jam</w:t>
            </w:r>
            <w:r w:rsidRPr="00565F80">
              <w:rPr>
                <w:color w:val="auto"/>
              </w:rPr>
              <w:t xml:space="preserve"> nustatytas užduotis </w:t>
            </w:r>
            <w:r w:rsidRPr="00565F80">
              <w:rPr>
                <w:b/>
                <w:i/>
                <w:color w:val="auto"/>
              </w:rPr>
              <w:t>veiktų</w:t>
            </w:r>
            <w:r w:rsidRPr="00565F80">
              <w:rPr>
                <w:color w:val="auto"/>
              </w:rPr>
              <w:t xml:space="preserve"> nepriklausomai nuo šio straipsnio 2 dalyje nurodytos </w:t>
            </w:r>
            <w:r w:rsidRPr="00565F80">
              <w:rPr>
                <w:b/>
                <w:i/>
                <w:color w:val="auto"/>
              </w:rPr>
              <w:t>paskirtos institucijos</w:t>
            </w:r>
            <w:r w:rsidRPr="00565F80">
              <w:rPr>
                <w:color w:val="auto"/>
              </w:rPr>
              <w:t xml:space="preserve"> ir </w:t>
            </w:r>
            <w:r w:rsidRPr="00565F80">
              <w:rPr>
                <w:b/>
                <w:i/>
                <w:color w:val="auto"/>
              </w:rPr>
              <w:t>nepriimtų</w:t>
            </w:r>
            <w:r w:rsidRPr="00565F80">
              <w:rPr>
                <w:color w:val="auto"/>
              </w:rPr>
              <w:t xml:space="preserve"> paskirtos institucijos nurodymų, susijusių su patikrinimo rezultatais. </w:t>
            </w:r>
            <w:r w:rsidRPr="00565F80">
              <w:rPr>
                <w:b/>
                <w:i/>
                <w:color w:val="auto"/>
              </w:rPr>
              <w:t>Padalinys užtikrina, kad būtų įvykdytos prašymų palyginti pirštų atspaudus ir veido atvaizdą su sistemos EURODAC duomenimis teikimo sąlygos. Europolas, suderinęs su kuria nors valstybe nare, paskiria tos valstybės narės nacionalinę duomenų perdavimo įstaigą, kuri jo prašymus palyginti pirštų atspaudų ir veido atvaizdo duomenis perduotų į centrinę sistemą</w:t>
            </w:r>
            <w:r w:rsidRPr="00565F80">
              <w:rPr>
                <w:color w:val="auto"/>
              </w:rPr>
              <w:t>.</w:t>
            </w:r>
          </w:p>
        </w:tc>
        <w:tc>
          <w:tcPr>
            <w:tcW w:w="4876" w:type="dxa"/>
          </w:tcPr>
          <w:p w:rsidR="00BF668E" w:rsidRPr="00565F80" w:rsidRDefault="00BF668E" w:rsidP="00C555DE">
            <w:pPr>
              <w:pStyle w:val="Normal6"/>
              <w:rPr>
                <w:color w:val="auto"/>
              </w:rPr>
            </w:pPr>
            <w:r w:rsidRPr="00565F80">
              <w:rPr>
                <w:color w:val="auto"/>
              </w:rPr>
              <w:lastRenderedPageBreak/>
              <w:t>1.</w:t>
            </w:r>
            <w:r w:rsidRPr="00565F80">
              <w:rPr>
                <w:color w:val="auto"/>
              </w:rPr>
              <w:tab/>
              <w:t xml:space="preserve">1 straipsnio 1 dalies c punkte </w:t>
            </w:r>
            <w:r w:rsidRPr="00565F80">
              <w:rPr>
                <w:color w:val="auto"/>
              </w:rPr>
              <w:lastRenderedPageBreak/>
              <w:t xml:space="preserve">išdėstytais tikslais Europolas paskiria </w:t>
            </w:r>
            <w:r w:rsidRPr="00565F80">
              <w:rPr>
                <w:b/>
                <w:i/>
                <w:color w:val="auto"/>
              </w:rPr>
              <w:t>instituciją, kuri yra įgaliota pateikti prašymą dėl prieigos prie EURODAC per savo paskirtąją centrinę duomenų perdavimo įstaigą teroristinių veikų ar kitų sunkių nusikalstamų veikų prevencijos, atskleidimo ar tyrimo tikslais. Paskirtoji institucija, atlikdama</w:t>
            </w:r>
            <w:r w:rsidRPr="00565F80">
              <w:rPr>
                <w:color w:val="auto"/>
              </w:rPr>
              <w:t xml:space="preserve"> pagal šį reglamentą </w:t>
            </w:r>
            <w:r w:rsidRPr="00565F80">
              <w:rPr>
                <w:b/>
                <w:i/>
                <w:color w:val="auto"/>
              </w:rPr>
              <w:t>jai</w:t>
            </w:r>
            <w:r w:rsidRPr="00565F80">
              <w:rPr>
                <w:color w:val="auto"/>
              </w:rPr>
              <w:t xml:space="preserve"> nustatytas užduotis</w:t>
            </w:r>
            <w:r w:rsidRPr="00565F80">
              <w:rPr>
                <w:b/>
                <w:i/>
                <w:color w:val="auto"/>
              </w:rPr>
              <w:t>, veikia</w:t>
            </w:r>
            <w:r w:rsidRPr="00565F80">
              <w:rPr>
                <w:color w:val="auto"/>
              </w:rPr>
              <w:t xml:space="preserve"> nepriklausomai nuo šio straipsnio 2 dalyje nurodytos </w:t>
            </w:r>
            <w:r w:rsidRPr="00565F80">
              <w:rPr>
                <w:b/>
                <w:i/>
                <w:color w:val="auto"/>
              </w:rPr>
              <w:t>centrinės duomenų perdavimo įstaigos</w:t>
            </w:r>
            <w:r w:rsidRPr="00565F80">
              <w:rPr>
                <w:color w:val="auto"/>
              </w:rPr>
              <w:t xml:space="preserve"> ir </w:t>
            </w:r>
            <w:r w:rsidRPr="00565F80">
              <w:rPr>
                <w:b/>
                <w:i/>
                <w:color w:val="auto"/>
              </w:rPr>
              <w:t>nepriima</w:t>
            </w:r>
            <w:r w:rsidRPr="00565F80">
              <w:rPr>
                <w:color w:val="auto"/>
              </w:rPr>
              <w:t xml:space="preserve"> paskirtos institucijos nurodymų, susijusių su patikrinimo rezultatais. </w:t>
            </w:r>
            <w:r w:rsidRPr="00565F80">
              <w:rPr>
                <w:b/>
                <w:i/>
                <w:color w:val="auto"/>
              </w:rPr>
              <w:t>Paskirtoji institucija yra Europolo vykdomasis padalinys</w:t>
            </w:r>
            <w:r w:rsidRPr="00565F80">
              <w:rPr>
                <w:color w:val="auto"/>
              </w:rPr>
              <w:t>.</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 and effective, but should stilltake into consideration that the main purpose of Eurodac is to support the MemberStates in applying the Dublin regulation. This amendment together with the next arranges the access of Europol to Eurodac similar to the mechanism in the Entry-Exit System.</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231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Maria Grapini, Juan Fernando López Aguilar, Caterina Chinnici</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8 straipsnio 1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w:t>
            </w:r>
            <w:r w:rsidRPr="00565F80">
              <w:rPr>
                <w:color w:val="auto"/>
              </w:rPr>
              <w:tab/>
              <w:t xml:space="preserve">1 straipsnio 1 dalies c punkte išdėstytais tikslais Europolas paskiria </w:t>
            </w:r>
            <w:r w:rsidRPr="00565F80">
              <w:rPr>
                <w:color w:val="auto"/>
              </w:rPr>
              <w:lastRenderedPageBreak/>
              <w:t xml:space="preserve">specializuotą padalinį su tinkamai įgaliotais Europolo pareigūnais, kurie atliktų jo tikrinančios institucijos funkcijas, atlikdamas pagal šį reglamentą jam nustatytas užduotis veiktų nepriklausomai nuo šio straipsnio 2 dalyje nurodytos paskirtos institucijos ir nepriimtų paskirtos institucijos nurodymų, susijusių su patikrinimo rezultatais. Padalinys užtikrina, kad būtų įvykdytos prašymų palyginti pirštų atspaudus ir veido atvaizdą su sistemos EURODAC duomenimis teikimo sąlygos. </w:t>
            </w:r>
            <w:r w:rsidRPr="00565F80">
              <w:rPr>
                <w:b/>
                <w:i/>
                <w:color w:val="auto"/>
              </w:rPr>
              <w:t>Europolas, suderinęs su kuria nors valstybe nare, paskiria tos valstybės narės nacionalinę duomenų perdavimo įstaigą, kuri</w:t>
            </w:r>
            <w:r w:rsidRPr="00565F80">
              <w:rPr>
                <w:color w:val="auto"/>
              </w:rPr>
              <w:t xml:space="preserve"> jo prašymus palyginti pirštų atspaudų ir veido atvaizdo duomenis perduotų į centrinę sistemą.</w:t>
            </w:r>
          </w:p>
        </w:tc>
        <w:tc>
          <w:tcPr>
            <w:tcW w:w="4876" w:type="dxa"/>
          </w:tcPr>
          <w:p w:rsidR="00BF668E" w:rsidRPr="00565F80" w:rsidRDefault="00BF668E" w:rsidP="00C555DE">
            <w:pPr>
              <w:pStyle w:val="Normal6"/>
              <w:rPr>
                <w:color w:val="auto"/>
              </w:rPr>
            </w:pPr>
            <w:r w:rsidRPr="00565F80">
              <w:rPr>
                <w:color w:val="auto"/>
              </w:rPr>
              <w:lastRenderedPageBreak/>
              <w:t>1.</w:t>
            </w:r>
            <w:r w:rsidRPr="00565F80">
              <w:rPr>
                <w:color w:val="auto"/>
              </w:rPr>
              <w:tab/>
              <w:t xml:space="preserve">1 straipsnio 1 dalies c punkte išdėstytais tikslais Europolas paskiria </w:t>
            </w:r>
            <w:r w:rsidRPr="00565F80">
              <w:rPr>
                <w:color w:val="auto"/>
              </w:rPr>
              <w:lastRenderedPageBreak/>
              <w:t>specializuotą padalinį su tinkamai įgaliotais Europolo pareigūnais, kurie atliktų jo tikrinančios institucijos funkcijas, atlikdamas pagal šį reglamentą jam nustatytas užduotis veiktų nepriklausomai nuo šio straipsnio 2 dalyje nurodytos paskirtos institucijos ir nepriimtų paskirtos institucijos nurodymų, susijusių su patikrinimo rezultatais. Padalinys užtikrina, kad būtų įvykdytos prašymų palyginti pirštų atspaudus ir veido atvaizdą su sistemos EURODAC duomenimis teikimo sąlygos. </w:t>
            </w:r>
            <w:r w:rsidRPr="00565F80">
              <w:rPr>
                <w:b/>
                <w:i/>
                <w:color w:val="auto"/>
              </w:rPr>
              <w:t>Kai sąlygos yra įvykdomos, Europolas</w:t>
            </w:r>
            <w:r w:rsidRPr="00565F80">
              <w:rPr>
                <w:color w:val="auto"/>
              </w:rPr>
              <w:t xml:space="preserve"> jo prašymus palyginti pirštų atspaudų ir veido atvaizdo duomenis perduotų į centrinę sistemą.</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pakeitimas susijęs su 1 straipsnio 1 dalies c punktu. Tiek dėl techninių, tiek dėl duomenų apsaugos priežasčių Europolas šiuo metu negali prašyti palyginimo per nacionalinį kontaktinį centrą, nors teisės aktų leidėjas leido Europolui tai daryti per paskutinę išdėstymo nauja redakcija procedūrą 2013 m. Todėl Europolui turėtų būti leidžiama teikti prašymus dėl palyginimo be papildomų sąlygų.</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232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8 straipsnio 1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1.</w:t>
            </w:r>
            <w:r w:rsidRPr="00565F80">
              <w:rPr>
                <w:color w:val="auto"/>
              </w:rPr>
              <w:tab/>
              <w:t xml:space="preserve">1 straipsnio 1 dalies c punkte išdėstytais tikslais Europolas paskiria specializuotą padalinį su tinkamai įgaliotais Europolo pareigūnais, kurie atliktų jo tikrinančios institucijos funkcijas, atlikdamas pagal šį reglamentą jam nustatytas užduotis veiktų nepriklausomai nuo šio straipsnio 2 dalyje nurodytos </w:t>
            </w:r>
            <w:r w:rsidRPr="00565F80">
              <w:rPr>
                <w:color w:val="auto"/>
              </w:rPr>
              <w:lastRenderedPageBreak/>
              <w:t xml:space="preserve">paskirtos institucijos ir nepriimtų paskirtos institucijos nurodymų, susijusių su patikrinimo rezultatais. Padalinys užtikrina, kad būtų įvykdytos prašymų palyginti pirštų atspaudus </w:t>
            </w:r>
            <w:r w:rsidRPr="00565F80">
              <w:rPr>
                <w:b/>
                <w:i/>
                <w:color w:val="auto"/>
              </w:rPr>
              <w:t>ir</w:t>
            </w:r>
            <w:r w:rsidRPr="00565F80">
              <w:rPr>
                <w:color w:val="auto"/>
              </w:rPr>
              <w:t xml:space="preserve"> veido atvaizdą su sistemos EURODAC duomenimis teikimo sąlygos. Europolas, suderinęs su kuria nors valstybe nare, paskiria tos valstybės narės nacionalinę duomenų perdavimo įstaigą, kuri jo prašymus palyginti pirštų atspaudų </w:t>
            </w:r>
            <w:r w:rsidRPr="00565F80">
              <w:rPr>
                <w:b/>
                <w:i/>
                <w:color w:val="auto"/>
              </w:rPr>
              <w:t>ir</w:t>
            </w:r>
            <w:r w:rsidRPr="00565F80">
              <w:rPr>
                <w:color w:val="auto"/>
              </w:rPr>
              <w:t xml:space="preserve"> veido atvaizdo duomenis perduotų į centrinę sistemą.</w:t>
            </w:r>
          </w:p>
        </w:tc>
        <w:tc>
          <w:tcPr>
            <w:tcW w:w="4876" w:type="dxa"/>
          </w:tcPr>
          <w:p w:rsidR="00BF668E" w:rsidRPr="00565F80" w:rsidRDefault="00BF668E" w:rsidP="00C555DE">
            <w:pPr>
              <w:pStyle w:val="Normal6"/>
              <w:rPr>
                <w:color w:val="auto"/>
              </w:rPr>
            </w:pPr>
            <w:r w:rsidRPr="00565F80">
              <w:rPr>
                <w:color w:val="auto"/>
              </w:rPr>
              <w:lastRenderedPageBreak/>
              <w:t>1.</w:t>
            </w:r>
            <w:r w:rsidRPr="00565F80">
              <w:rPr>
                <w:color w:val="auto"/>
              </w:rPr>
              <w:tab/>
              <w:t xml:space="preserve">1 straipsnio 1 dalies c punkte išdėstytais tikslais Europolas paskiria specializuotą padalinį su tinkamai įgaliotais Europolo pareigūnais, kurie atliktų jo tikrinančios institucijos funkcijas, atlikdamas pagal šį reglamentą jam nustatytas užduotis veiktų nepriklausomai nuo šio straipsnio 2 dalyje nurodytos </w:t>
            </w:r>
            <w:r w:rsidRPr="00565F80">
              <w:rPr>
                <w:color w:val="auto"/>
              </w:rPr>
              <w:lastRenderedPageBreak/>
              <w:t>paskirtos institucijos ir nepriimtų paskirtos institucijos nurodymų, susijusių su patikrinimo rezultatais. Padalinys užtikrina, kad būtų įvykdytos prašymų palyginti pirštų atspaudus</w:t>
            </w:r>
            <w:r w:rsidRPr="00565F80">
              <w:rPr>
                <w:b/>
                <w:i/>
                <w:color w:val="auto"/>
              </w:rPr>
              <w:t>,</w:t>
            </w:r>
            <w:r w:rsidRPr="00565F80">
              <w:rPr>
                <w:color w:val="auto"/>
              </w:rPr>
              <w:t xml:space="preserve"> veido atvaizdą </w:t>
            </w:r>
            <w:r w:rsidRPr="00565F80">
              <w:rPr>
                <w:b/>
                <w:i/>
                <w:color w:val="auto"/>
              </w:rPr>
              <w:t xml:space="preserve">arba abiejų rūšių duomenis </w:t>
            </w:r>
            <w:r w:rsidRPr="00565F80">
              <w:rPr>
                <w:color w:val="auto"/>
              </w:rPr>
              <w:t xml:space="preserve">su sistemos EURODAC duomenimis teikimo sąlygos. Europolas, suderinęs su kuria nors valstybe nare, paskiria tos valstybės narės nacionalinę duomenų perdavimo įstaigą, kuri jo prašymus palyginti pirštų atspaudų </w:t>
            </w:r>
            <w:r w:rsidRPr="00565F80">
              <w:rPr>
                <w:b/>
                <w:i/>
                <w:color w:val="auto"/>
              </w:rPr>
              <w:t xml:space="preserve">duomenis, </w:t>
            </w:r>
            <w:r w:rsidRPr="00565F80">
              <w:rPr>
                <w:color w:val="auto"/>
              </w:rPr>
              <w:t xml:space="preserve">veido atvaizdo duomenis </w:t>
            </w:r>
            <w:r w:rsidRPr="00565F80">
              <w:rPr>
                <w:b/>
                <w:i/>
                <w:color w:val="auto"/>
              </w:rPr>
              <w:t xml:space="preserve">arba abiejų rūšių duomenis </w:t>
            </w:r>
            <w:r w:rsidRPr="00565F80">
              <w:rPr>
                <w:color w:val="auto"/>
              </w:rPr>
              <w:t>perduotų į centrinę sistemą.</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233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8 straipsnio 2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1 straipsnio 1 dalies c punkte nustatytais tikslais Europolas paskiria </w:t>
            </w:r>
            <w:r w:rsidRPr="00565F80">
              <w:rPr>
                <w:b/>
                <w:i/>
                <w:color w:val="auto"/>
              </w:rPr>
              <w:t>vykdomąjį padalinį, kuris turi teisę per paskirtą nacionalinę duomenų perdavimo įstaigą pateikti prašymus palyginti duomenis su sistemos EURODAC duomenimis. Paskirta institucija yra Europos vykdomasis padalinys, kompetentingas rinkti, saugoti, tvarkyti, analizuoti informaciją, reikalingą remti ir stiprinti valstybių narių veiksmams, susijusiems su teroristinių ar kitų sunkių nusikalstamų veikų, kurias tirti įgaliotas Europolas, prevencija, atskleidimu ar tyrimu, ir šia informacija keistis</w:t>
            </w:r>
            <w:r w:rsidRPr="00565F80">
              <w:rPr>
                <w:color w:val="auto"/>
              </w:rPr>
              <w:t>.</w:t>
            </w:r>
          </w:p>
        </w:tc>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1 straipsnio 1 dalies c punkte nustatytais tikslais Europolas paskiria </w:t>
            </w:r>
            <w:r w:rsidRPr="00565F80">
              <w:rPr>
                <w:b/>
                <w:i/>
                <w:color w:val="auto"/>
              </w:rPr>
              <w:t>specializuotą padalinį su tinkamai įgaliotais Europolo pareigūnais</w:t>
            </w:r>
            <w:r w:rsidRPr="00565F80">
              <w:rPr>
                <w:i/>
                <w:color w:val="auto"/>
              </w:rPr>
              <w:t xml:space="preserve"> </w:t>
            </w:r>
            <w:r w:rsidRPr="00565F80">
              <w:rPr>
                <w:b/>
                <w:i/>
                <w:color w:val="auto"/>
              </w:rPr>
              <w:t>kaip centrinį prieigos punktą. Centrinis prieigos punktas tikrina, ar įvykdytos 22 straipsnyje nustatytos prašymo suteikti prieigą prie EURODAC sąlygos.</w:t>
            </w:r>
            <w:r w:rsidRPr="00565F80">
              <w:rPr>
                <w:color w:val="auto"/>
              </w:rPr>
              <w:br/>
            </w:r>
            <w:r w:rsidRPr="00565F80">
              <w:rPr>
                <w:b/>
                <w:i/>
                <w:color w:val="auto"/>
              </w:rPr>
              <w:t>Vykdydamas šiame reglamente nustatytas užduotis, centrinis prieigos punktas veikia nepriklausomai ir iš 1 dalyje nurodytos paskirtosios institucijos nepriima nurodymų, susijusių su tikrinimo rezultatais</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lastRenderedPageBreak/>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quickand effective, but should still take into consideration that the main purposeof Eurodac is to support the Member States in applying the Dublin regulation.This amendment together with the previous arranges the access of Europol to Eurodacsimilar to the mechanism in the Entry-Exit System.</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234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Maria Grapini, Juan Fernando López Aguilar, Caterina Chinnici</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8 straipsnio 2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1 straipsnio 1 dalies c punkte nustatytais tikslais Europolas paskiria vykdomąjį padalinį, kuris turi teisę </w:t>
            </w:r>
            <w:r w:rsidRPr="00565F80">
              <w:rPr>
                <w:b/>
                <w:i/>
                <w:color w:val="auto"/>
              </w:rPr>
              <w:t>per paskirtą nacionalinę duomenų perdavimo įstaigą</w:t>
            </w:r>
            <w:r w:rsidRPr="00565F80">
              <w:rPr>
                <w:color w:val="auto"/>
              </w:rPr>
              <w:t xml:space="preserve"> pateikti prašymus palyginti duomenis su sistemos EURODAC duomenimis. Paskirta institucija yra </w:t>
            </w:r>
            <w:r w:rsidRPr="00565F80">
              <w:rPr>
                <w:b/>
                <w:i/>
                <w:color w:val="auto"/>
              </w:rPr>
              <w:t>Europos</w:t>
            </w:r>
            <w:r w:rsidRPr="00565F80">
              <w:rPr>
                <w:color w:val="auto"/>
              </w:rPr>
              <w:t xml:space="preserve"> vykdomasis padalinys, kompetentingas rinkti, saugoti, tvarkyti, analizuoti informaciją, reikalingą remti ir stiprinti valstybių narių veiksmams, susijusiems su teroristinių ar kitų sunkių nusikalstamų veikų, kurias tirti įgaliotas Europolas, prevencija, atskleidimu ar tyrimu, ir šia informacija keistis.</w:t>
            </w:r>
          </w:p>
        </w:tc>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1 straipsnio 1 dalies c punkte nustatytais tikslais Europolas paskiria vykdomąjį padalinį, kuris turi teisę pateikti prašymus palyginti duomenis su sistemos EURODAC duomenimis. Paskirta institucija yra </w:t>
            </w:r>
            <w:r w:rsidRPr="00565F80">
              <w:rPr>
                <w:b/>
                <w:i/>
                <w:color w:val="auto"/>
              </w:rPr>
              <w:t>Europolo</w:t>
            </w:r>
            <w:r w:rsidRPr="00565F80">
              <w:rPr>
                <w:color w:val="auto"/>
              </w:rPr>
              <w:t xml:space="preserve"> vykdomasis padalinys, kompetentingas rinkti, saugoti, tvarkyti, analizuoti informaciją, reikalingą remti ir stiprinti valstybių narių veiksmams, susijusiems su teroristinių ar kitų sunkių nusikalstamų veikų, kurias tirti įgaliotas Europolas, prevencija, atskleidimu ar tyrimu, ir šia informacija keistis.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pakeitimas susijęs su 1 straipsnio 1 dalies c punktu. Tiek dėl techninių, tiek dėl duomenų apsaugos priežasčių Europolas šiuo metu negali prašyti palyginimo per nacionalinį kontaktinį centrą, nors teisės aktų leidėjas leido Europolui tai daryti per paskutinę išdėstymo nauja redakcija procedūrą 2013 m. Todėl Europolui turėtų būti leidžiama teikti prašymus dėl palyginimo be papildomų sąlygų.</w:t>
      </w:r>
    </w:p>
    <w:p w:rsidR="00BF668E" w:rsidRPr="00565F80" w:rsidRDefault="00BF668E" w:rsidP="00BF668E">
      <w:r w:rsidRPr="00565F80">
        <w:rPr>
          <w:rStyle w:val="HideTWBExt"/>
          <w:color w:val="auto"/>
        </w:rPr>
        <w:lastRenderedPageBreak/>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235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Sophia in 't Veld</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8 straipsnio 2 a dalis (nauja)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2a.</w:t>
            </w:r>
            <w:r w:rsidRPr="00565F80">
              <w:rPr>
                <w:color w:val="auto"/>
              </w:rPr>
              <w:tab/>
            </w:r>
            <w:r w:rsidRPr="00565F80">
              <w:rPr>
                <w:b/>
                <w:i/>
                <w:color w:val="auto"/>
              </w:rPr>
              <w:t>1 straipsnio 1 dalies ca punkte nustatytais tikslais Europolas paskiria vykdomąjį padalinį, atsakingą už dingusius vaikus ir prekybos žmonėmis aukomis tapusius vaikus. Paskirta institucija yra Europolo vykdomasis padalinys, kompetentingas rinkti, saugoti, tvarkyti, analizuoti informaciją, reikalingą remti ir stiprinti valstybių narių veiksmus, susijusius su prekybos vaikais, išnaudojimo darbe ir seksualinio išnaudojimo prevencija, atskleidimu ar tyrimu, ir šia informacija keistis.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old (Article 10, 13 and 14), the purpose of Eurodac should also be facilitating family reunification and identify and protect child victims of human trafficking. This will positively contribute to the protection of the rights of the child, including the rights of unaccompanied minors. Introducing a Europol operating unit on missing children and child victims of trafficking in human beings will contribute to this purpose.</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236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Monika Hohlmeier, Heinz K. Becker, Rachida Dati, Brice Hortefeux, Mariya Gabriel</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8 a straipsnis (naujas)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lastRenderedPageBreak/>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Center"/>
              <w:rPr>
                <w:color w:val="auto"/>
                <w:lang w:val="lt-LT"/>
              </w:rPr>
            </w:pPr>
            <w:r w:rsidRPr="00565F80">
              <w:rPr>
                <w:b/>
                <w:i/>
                <w:color w:val="auto"/>
                <w:sz w:val="24"/>
                <w:lang w:val="lt-LT"/>
              </w:rPr>
              <w:t>8a straipsnis</w:t>
            </w:r>
            <w:r w:rsidRPr="00565F80">
              <w:rPr>
                <w:color w:val="auto"/>
                <w:lang w:val="lt-LT"/>
              </w:rPr>
              <w:tab/>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Center"/>
              <w:rPr>
                <w:color w:val="auto"/>
                <w:lang w:val="lt-LT"/>
              </w:rPr>
            </w:pPr>
            <w:r w:rsidRPr="00565F80">
              <w:rPr>
                <w:b/>
                <w:i/>
                <w:color w:val="auto"/>
                <w:sz w:val="24"/>
                <w:lang w:val="lt-LT"/>
              </w:rPr>
              <w:t>Europos sienų ir pakrančių apsaugos pajėgos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Pagal Europos Parlamento ir Tarybos reglamento (ES) Nr.</w:t>
            </w:r>
            <w:r w:rsidR="00976358" w:rsidRPr="00565F80">
              <w:rPr>
                <w:b/>
                <w:i/>
                <w:color w:val="auto"/>
              </w:rPr>
              <w:t> 2016/1624 40 straipsnio 8 dalį</w:t>
            </w:r>
            <w:r w:rsidRPr="00565F80">
              <w:rPr>
                <w:b/>
                <w:i/>
                <w:color w:val="auto"/>
              </w:rPr>
              <w:t xml:space="preserve"> Europos sienos ir pakrančių apsaugos agentūros nariai arba su grąžinimu susijusias užduotis vykdančių darbuotojų grupių nariai, taip pat migracijos valdymo rėmimo grupių nariai pagal savo įgaliojimus turi teisę susipažinti su duomenimis ir jų ieškoti</w:t>
            </w:r>
            <w:r w:rsidR="00976358" w:rsidRPr="00565F80">
              <w:rPr>
                <w:b/>
                <w:i/>
                <w:color w:val="auto"/>
              </w:rPr>
              <w:t xml:space="preserve"> sistemoje</w:t>
            </w:r>
            <w:r w:rsidRPr="00565F80">
              <w:rPr>
                <w:b/>
                <w:i/>
                <w:color w:val="auto"/>
              </w:rPr>
              <w:t xml:space="preserve"> EURODAC. Šiuo tikslu jie naudojasi technine sąsaja, kurią įdiegė ir palaiko Europos sienos ir pakrančių apsaugos agentūra, kaip nurodyta 10 straipsnio 3a dalyje.</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w:t>
      </w:r>
      <w:r w:rsidR="00F63CF2" w:rsidRPr="00565F80">
        <w:rPr>
          <w:color w:val="auto"/>
          <w:lang w:val="lt-LT"/>
        </w:rPr>
        <w:t xml:space="preserve">eitimas atitinka naują </w:t>
      </w:r>
      <w:r w:rsidR="000B4C6F" w:rsidRPr="00565F80">
        <w:rPr>
          <w:color w:val="auto"/>
          <w:lang w:val="lt-LT"/>
        </w:rPr>
        <w:t xml:space="preserve">sistemos </w:t>
      </w:r>
      <w:r w:rsidR="00F63CF2" w:rsidRPr="00565F80">
        <w:rPr>
          <w:color w:val="auto"/>
          <w:lang w:val="lt-LT"/>
        </w:rPr>
        <w:t xml:space="preserve">EURODAC </w:t>
      </w:r>
      <w:r w:rsidRPr="00565F80">
        <w:rPr>
          <w:color w:val="auto"/>
          <w:lang w:val="lt-LT"/>
        </w:rPr>
        <w:t xml:space="preserve">perimamą vaidmenį, kaip numatyta pagal naują 1 straipsnio b dalį. Nuo šiol </w:t>
      </w:r>
      <w:r w:rsidR="000B4C6F" w:rsidRPr="00565F80">
        <w:rPr>
          <w:color w:val="auto"/>
          <w:lang w:val="lt-LT"/>
        </w:rPr>
        <w:t xml:space="preserve">sistema </w:t>
      </w:r>
      <w:r w:rsidRPr="00565F80">
        <w:rPr>
          <w:color w:val="auto"/>
          <w:lang w:val="lt-LT"/>
        </w:rPr>
        <w:t xml:space="preserve">EURODAC padės vykdyti neteisėtos migracijos ir antrinio judėjimo kontrolę. Pagal naujus įgaliojimus naujai sukurta Europos sienos ir pakrančių apsaugos agentūra taip pat turės šią užduotį. Prieigos Europos sienų ir pakrančių apsaugos pajėgoms suteikimas užtikrins, kad būtų visapusiškai išnaudojamos naujos </w:t>
      </w:r>
      <w:r w:rsidR="000B4C6F" w:rsidRPr="00565F80">
        <w:rPr>
          <w:color w:val="auto"/>
          <w:lang w:val="lt-LT"/>
        </w:rPr>
        <w:t xml:space="preserve">sistemos </w:t>
      </w:r>
      <w:r w:rsidRPr="00565F80">
        <w:rPr>
          <w:color w:val="auto"/>
          <w:lang w:val="lt-LT"/>
        </w:rPr>
        <w:t>EURODAC funkcijos.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Pakeitimas</w:t>
      </w:r>
      <w:r w:rsidR="00CC1629" w:rsidRPr="00565F80">
        <w:rPr>
          <w:color w:val="auto"/>
        </w:rPr>
        <w:t xml:space="preserve"> </w:t>
      </w:r>
      <w:r w:rsidRPr="00565F80">
        <w:rPr>
          <w:rStyle w:val="HideTWBExt"/>
          <w:color w:val="auto"/>
        </w:rPr>
        <w:t>&lt;NumAm&gt;</w:t>
      </w:r>
      <w:r w:rsidRPr="00565F80">
        <w:rPr>
          <w:color w:val="auto"/>
        </w:rPr>
        <w:t>237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Gérard Deprez, Louis Michel, Petr Ježek</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9 straipsnio 1 dalies a punktas</w:t>
      </w:r>
      <w:r w:rsidRPr="00565F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a)</w:t>
            </w:r>
            <w:r w:rsidRPr="00565F80">
              <w:rPr>
                <w:color w:val="auto"/>
              </w:rPr>
              <w:tab/>
              <w:t>duomenų rinkinių, perduotų apie 10 straipsnio 1 dalyje, 13 straipsnio 1 dalyje ir 14 straipsnio 1 dalyje nurodytus asmenis, skaičių;</w:t>
            </w:r>
          </w:p>
        </w:tc>
        <w:tc>
          <w:tcPr>
            <w:tcW w:w="4876" w:type="dxa"/>
          </w:tcPr>
          <w:p w:rsidR="00BF668E" w:rsidRPr="00565F80" w:rsidRDefault="00BF668E" w:rsidP="00C555DE">
            <w:pPr>
              <w:pStyle w:val="Normal6"/>
              <w:rPr>
                <w:color w:val="auto"/>
              </w:rPr>
            </w:pPr>
            <w:r w:rsidRPr="00565F80">
              <w:rPr>
                <w:color w:val="auto"/>
              </w:rPr>
              <w:t>a)</w:t>
            </w:r>
            <w:r w:rsidRPr="00565F80">
              <w:rPr>
                <w:color w:val="auto"/>
              </w:rPr>
              <w:tab/>
              <w:t xml:space="preserve">duomenų rinkinių, perduotų apie 10 straipsnio 1 dalyje, </w:t>
            </w:r>
            <w:r w:rsidRPr="00565F80">
              <w:rPr>
                <w:b/>
                <w:i/>
                <w:color w:val="auto"/>
              </w:rPr>
              <w:t xml:space="preserve">12a straipsnyje, </w:t>
            </w:r>
            <w:r w:rsidRPr="00565F80">
              <w:rPr>
                <w:color w:val="auto"/>
              </w:rPr>
              <w:t>13 straipsnio 1 dalyje ir 14 straipsnio 1 dalyje nurodytus asmenis, skaičių;</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{FR}</w:t>
      </w:r>
      <w:r w:rsidRPr="00565F80">
        <w:rPr>
          <w:color w:val="auto"/>
          <w:lang w:val="lt-LT"/>
        </w:rPr>
        <w:t>fr</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lastRenderedPageBreak/>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Išdėstymas nauja redakcija. Šis pakeitimas susijęs su pasiūlymu įtraukti naują asmenų kategoriją (naujas IIa</w:t>
      </w:r>
      <w:r w:rsidR="00164064" w:rsidRPr="00565F80">
        <w:rPr>
          <w:color w:val="auto"/>
          <w:lang w:val="lt-LT"/>
        </w:rPr>
        <w:t xml:space="preserve"> skyrius</w:t>
      </w:r>
      <w:r w:rsidRPr="00565F80">
        <w:rPr>
          <w:color w:val="auto"/>
          <w:lang w:val="lt-LT"/>
        </w:rPr>
        <w:t>), juo siekiama suderinti tekstą atsižvelgiant į šį pasiūlymą.</w:t>
      </w:r>
    </w:p>
    <w:p w:rsidR="00BF668E" w:rsidRPr="00565F80" w:rsidRDefault="00BF668E" w:rsidP="00BF668E">
      <w:pPr>
        <w:pStyle w:val="AMNumberTabs"/>
        <w:rPr>
          <w:color w:val="auto"/>
        </w:rPr>
      </w:pPr>
      <w:r w:rsidRPr="00565F80">
        <w:rPr>
          <w:rStyle w:val="HideTWBExt"/>
          <w:color w:val="auto"/>
        </w:rPr>
        <w:t>&lt;/Amend&gt;&lt;Amend&gt;</w:t>
      </w:r>
      <w:r w:rsidRPr="00565F80">
        <w:rPr>
          <w:color w:val="auto"/>
        </w:rPr>
        <w:t xml:space="preserve">Pakeitimas </w:t>
      </w:r>
      <w:r w:rsidRPr="00565F80">
        <w:rPr>
          <w:rStyle w:val="HideTWBExt"/>
          <w:color w:val="auto"/>
        </w:rPr>
        <w:t>&lt;NumAm&gt;</w:t>
      </w:r>
      <w:r w:rsidRPr="00565F80">
        <w:rPr>
          <w:color w:val="auto"/>
        </w:rPr>
        <w:t>238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9 straipsnio 1 dalies a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a)</w:t>
            </w:r>
            <w:r w:rsidRPr="00565F80">
              <w:rPr>
                <w:color w:val="auto"/>
              </w:rPr>
              <w:tab/>
              <w:t>duomenų rinkinių, perduotų apie 10 straipsnio 1 dalyje</w:t>
            </w:r>
            <w:r w:rsidRPr="00565F80">
              <w:rPr>
                <w:b/>
                <w:i/>
                <w:color w:val="auto"/>
              </w:rPr>
              <w:t>,</w:t>
            </w:r>
            <w:r w:rsidRPr="00565F80">
              <w:rPr>
                <w:color w:val="auto"/>
              </w:rPr>
              <w:t xml:space="preserve"> 13 straipsnio 1 dalyje </w:t>
            </w:r>
            <w:r w:rsidRPr="00565F80">
              <w:rPr>
                <w:b/>
                <w:i/>
                <w:color w:val="auto"/>
              </w:rPr>
              <w:t>ir 14 straipsnio 1 dalyje</w:t>
            </w:r>
            <w:r w:rsidRPr="00565F80">
              <w:rPr>
                <w:color w:val="auto"/>
              </w:rPr>
              <w:t xml:space="preserve"> nurodytus asmenis, skaičių;</w:t>
            </w:r>
          </w:p>
        </w:tc>
        <w:tc>
          <w:tcPr>
            <w:tcW w:w="4876" w:type="dxa"/>
          </w:tcPr>
          <w:p w:rsidR="00BF668E" w:rsidRPr="00565F80" w:rsidRDefault="00BF668E" w:rsidP="00C555DE">
            <w:pPr>
              <w:pStyle w:val="Normal6"/>
              <w:rPr>
                <w:color w:val="auto"/>
              </w:rPr>
            </w:pPr>
            <w:r w:rsidRPr="00565F80">
              <w:rPr>
                <w:color w:val="auto"/>
              </w:rPr>
              <w:t>a)</w:t>
            </w:r>
            <w:r w:rsidRPr="00565F80">
              <w:rPr>
                <w:color w:val="auto"/>
              </w:rPr>
              <w:tab/>
              <w:t xml:space="preserve">duomenų rinkinių, perduotų apie 10 straipsnio 1 dalyje </w:t>
            </w:r>
            <w:r w:rsidRPr="00565F80">
              <w:rPr>
                <w:b/>
                <w:i/>
                <w:color w:val="auto"/>
              </w:rPr>
              <w:t>ir</w:t>
            </w:r>
            <w:r w:rsidRPr="00565F80">
              <w:rPr>
                <w:color w:val="auto"/>
              </w:rPr>
              <w:t xml:space="preserve"> 13 straipsnio 1 dalyje nurodytus asmenis, skaičių;</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pakeitimas yra priimtinas, nes yra neatskiriamai susijęs su priimtinais pakeitimais, kuriais išbrau</w:t>
      </w:r>
      <w:r w:rsidR="008A77FD" w:rsidRPr="00565F80">
        <w:rPr>
          <w:color w:val="auto"/>
          <w:lang w:val="lt-LT"/>
        </w:rPr>
        <w:t xml:space="preserve">kiama 14 straipsnio 1, 2, </w:t>
      </w:r>
      <w:r w:rsidRPr="00565F80">
        <w:rPr>
          <w:color w:val="auto"/>
          <w:lang w:val="lt-LT"/>
        </w:rPr>
        <w:t xml:space="preserve">4, 5 </w:t>
      </w:r>
      <w:r w:rsidR="008A77FD" w:rsidRPr="00565F80">
        <w:rPr>
          <w:color w:val="auto"/>
          <w:lang w:val="lt-LT"/>
        </w:rPr>
        <w:t>ir 6 daly</w:t>
      </w:r>
      <w:r w:rsidRPr="00565F80">
        <w:rPr>
          <w:color w:val="auto"/>
          <w:lang w:val="lt-LT"/>
        </w:rPr>
        <w:t>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239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9 straipsnio 1 dalies b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b)</w:t>
            </w:r>
            <w:r w:rsidRPr="00565F80">
              <w:rPr>
                <w:color w:val="auto"/>
              </w:rPr>
              <w:tab/>
              <w:t>su 10 straipsnio 1 dalyje nurodytais asmenimis , vėliau pateikusiais tarptautinės apsaugos prašymus kitoje valstybėje narėje</w:t>
            </w:r>
            <w:r w:rsidRPr="00565F80">
              <w:rPr>
                <w:b/>
                <w:i/>
                <w:color w:val="auto"/>
              </w:rPr>
              <w:t>, sulaikytais neteisėtai kertant išorės sieną ir nustatytais neteisėtai esančiais valstybėje narėje</w:t>
            </w:r>
            <w:r w:rsidRPr="00565F80">
              <w:rPr>
                <w:color w:val="auto"/>
              </w:rPr>
              <w:t>, susijusių atitikčių skaičių;</w:t>
            </w:r>
          </w:p>
        </w:tc>
        <w:tc>
          <w:tcPr>
            <w:tcW w:w="4876" w:type="dxa"/>
          </w:tcPr>
          <w:p w:rsidR="00BF668E" w:rsidRPr="00565F80" w:rsidRDefault="00BF668E" w:rsidP="00C555DE">
            <w:pPr>
              <w:pStyle w:val="Normal6"/>
              <w:rPr>
                <w:color w:val="auto"/>
              </w:rPr>
            </w:pPr>
            <w:r w:rsidRPr="00565F80">
              <w:rPr>
                <w:color w:val="auto"/>
              </w:rPr>
              <w:t>b)</w:t>
            </w:r>
            <w:r w:rsidRPr="00565F80">
              <w:rPr>
                <w:color w:val="auto"/>
              </w:rPr>
              <w:tab/>
              <w:t>su 10 straipsnio 1 dalyje nurodytais asmenimis, vėliau pateikusiais tarptautinės apsaugos prašymus kitoje valstybėje narėje, susijusių atitikčių skaičių;</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lastRenderedPageBreak/>
        <w:t>&lt;Amend&gt;</w:t>
      </w:r>
      <w:r w:rsidRPr="00565F80">
        <w:rPr>
          <w:color w:val="auto"/>
        </w:rPr>
        <w:t xml:space="preserve">Pakeitimas </w:t>
      </w:r>
      <w:r w:rsidRPr="00565F80">
        <w:rPr>
          <w:rStyle w:val="HideTWBExt"/>
          <w:color w:val="auto"/>
        </w:rPr>
        <w:t>&lt;NumAm&gt;</w:t>
      </w:r>
      <w:r w:rsidRPr="00565F80">
        <w:rPr>
          <w:color w:val="auto"/>
        </w:rPr>
        <w:t>240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9 straipsnio 1 dalies b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b)</w:t>
            </w:r>
            <w:r w:rsidRPr="00565F80">
              <w:rPr>
                <w:color w:val="auto"/>
              </w:rPr>
              <w:tab/>
              <w:t>su 10 straipsnio 1 dalyje nurodytais asmenimis , vėliau pateikusiais tarptautinės apsaugos prašymus kitoje valstybėje narėje</w:t>
            </w:r>
            <w:r w:rsidRPr="00565F80">
              <w:rPr>
                <w:b/>
                <w:i/>
                <w:color w:val="auto"/>
              </w:rPr>
              <w:t>, sulaikytais neteisėtai kertant išorės sieną ir nustatytais neteisėtai esančiais valstybėje narėje</w:t>
            </w:r>
            <w:r w:rsidRPr="00565F80">
              <w:rPr>
                <w:color w:val="auto"/>
              </w:rPr>
              <w:t>, susijusių atitikčių skaičių;</w:t>
            </w:r>
          </w:p>
        </w:tc>
        <w:tc>
          <w:tcPr>
            <w:tcW w:w="4876" w:type="dxa"/>
          </w:tcPr>
          <w:p w:rsidR="00BF668E" w:rsidRPr="00565F80" w:rsidRDefault="00BF668E" w:rsidP="00C555DE">
            <w:pPr>
              <w:pStyle w:val="Normal6"/>
              <w:rPr>
                <w:color w:val="auto"/>
              </w:rPr>
            </w:pPr>
            <w:r w:rsidRPr="00565F80">
              <w:rPr>
                <w:color w:val="auto"/>
              </w:rPr>
              <w:t>b)</w:t>
            </w:r>
            <w:r w:rsidRPr="00565F80">
              <w:rPr>
                <w:color w:val="auto"/>
              </w:rPr>
              <w:tab/>
              <w:t>su 10 straipsnio 1 dalyje nurodytais asmenimis, vėliau pateikusiais tarptautinės apsaugos prašymus kitoje valstybėje narėje, susijusių atitikčių skaičių;</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241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9 straipsnio 1 dalies c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c)</w:t>
            </w:r>
            <w:r w:rsidRPr="00565F80">
              <w:rPr>
                <w:color w:val="auto"/>
              </w:rPr>
              <w:tab/>
              <w:t xml:space="preserve">su 13 straipsnio 1 dalyje nurodytais asmenimis, kurie paskui pateikė tarptautinės apsaugos prašymą, </w:t>
            </w:r>
            <w:r w:rsidRPr="00565F80">
              <w:rPr>
                <w:b/>
                <w:i/>
                <w:color w:val="auto"/>
              </w:rPr>
              <w:t>sulaikytais neteisėtai kertant išorės sieną ir nustatytais neteisė</w:t>
            </w:r>
            <w:r w:rsidR="00C42D8F" w:rsidRPr="00565F80">
              <w:rPr>
                <w:b/>
                <w:i/>
                <w:color w:val="auto"/>
              </w:rPr>
              <w:t>tai esančiais valstybėje narėje</w:t>
            </w:r>
            <w:r w:rsidRPr="00565F80">
              <w:rPr>
                <w:b/>
                <w:i/>
                <w:color w:val="auto"/>
              </w:rPr>
              <w:t>,</w:t>
            </w:r>
            <w:r w:rsidRPr="00565F80">
              <w:rPr>
                <w:color w:val="auto"/>
              </w:rPr>
              <w:t xml:space="preserve"> susijusių atitikčių skaičių;</w:t>
            </w:r>
          </w:p>
        </w:tc>
        <w:tc>
          <w:tcPr>
            <w:tcW w:w="4876" w:type="dxa"/>
          </w:tcPr>
          <w:p w:rsidR="00BF668E" w:rsidRPr="00565F80" w:rsidRDefault="00BF668E" w:rsidP="00C555DE">
            <w:pPr>
              <w:pStyle w:val="Normal6"/>
              <w:rPr>
                <w:color w:val="auto"/>
              </w:rPr>
            </w:pPr>
            <w:r w:rsidRPr="00565F80">
              <w:rPr>
                <w:color w:val="auto"/>
              </w:rPr>
              <w:t>c)</w:t>
            </w:r>
            <w:r w:rsidRPr="00565F80">
              <w:rPr>
                <w:color w:val="auto"/>
              </w:rPr>
              <w:tab/>
              <w:t>su 13 straipsnio 1 dalyje nurodytais asmenimis, kurie paskui pateikė tarptautinės apsaugos prašymą, susijusių atitikčių skaičių;</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242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9 straipsnio 1 dalies c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lastRenderedPageBreak/>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c)</w:t>
            </w:r>
            <w:r w:rsidRPr="00565F80">
              <w:rPr>
                <w:color w:val="auto"/>
              </w:rPr>
              <w:tab/>
              <w:t xml:space="preserve">su 13 straipsnio 1 dalyje nurodytais asmenimis, kurie paskui pateikė tarptautinės apsaugos prašymą, </w:t>
            </w:r>
            <w:r w:rsidRPr="00565F80">
              <w:rPr>
                <w:b/>
                <w:i/>
                <w:color w:val="auto"/>
              </w:rPr>
              <w:t>sulaikytais neteisėtai kertant išorės sieną ir nustatytais neteisėtai esančiais valstybėje narėje,</w:t>
            </w:r>
            <w:r w:rsidRPr="00565F80">
              <w:rPr>
                <w:color w:val="auto"/>
              </w:rPr>
              <w:t xml:space="preserve"> susijusių atitikčių skaičių;</w:t>
            </w:r>
          </w:p>
        </w:tc>
        <w:tc>
          <w:tcPr>
            <w:tcW w:w="4876" w:type="dxa"/>
          </w:tcPr>
          <w:p w:rsidR="00BF668E" w:rsidRPr="00565F80" w:rsidRDefault="00BF668E" w:rsidP="00C555DE">
            <w:pPr>
              <w:pStyle w:val="Normal6"/>
              <w:rPr>
                <w:color w:val="auto"/>
              </w:rPr>
            </w:pPr>
            <w:r w:rsidRPr="00565F80">
              <w:rPr>
                <w:color w:val="auto"/>
              </w:rPr>
              <w:t>c)</w:t>
            </w:r>
            <w:r w:rsidRPr="00565F80">
              <w:rPr>
                <w:color w:val="auto"/>
              </w:rPr>
              <w:tab/>
              <w:t>su 13 straipsnio 1 dalyje nurodytais asmenimis, kurie paskui pateikė tarptautinės apsaugos prašymą, susijusių atitikčių skaičių;</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243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9 straipsnio 1 dalies d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d)</w:t>
            </w:r>
            <w:r w:rsidRPr="00565F80">
              <w:rPr>
                <w:color w:val="auto"/>
              </w:rPr>
              <w:tab/>
            </w:r>
            <w:r w:rsidRPr="00565F80">
              <w:rPr>
                <w:b/>
                <w:i/>
                <w:color w:val="auto"/>
              </w:rPr>
              <w:t>su 14 straipsnio 1 dalyje nurodytais asmenimis, kurie anksčiau buvo pateikę tarptautinės apsaugos prašymą kitoje valstybėje narėje, sulaikytais neteisėtai kertant išorės sieną ir nustatytais neteisėtai esančiais valstybėje narėje , susijusių atitikčių skaičių;</w:t>
            </w:r>
          </w:p>
        </w:tc>
        <w:tc>
          <w:tcPr>
            <w:tcW w:w="4876" w:type="dxa"/>
          </w:tcPr>
          <w:p w:rsidR="00BF668E" w:rsidRPr="00565F80" w:rsidRDefault="00BF668E" w:rsidP="00C555DE">
            <w:pPr>
              <w:pStyle w:val="Normal6"/>
              <w:rPr>
                <w:color w:val="auto"/>
              </w:rPr>
            </w:pPr>
            <w:r w:rsidRPr="00565F80">
              <w:rPr>
                <w:b/>
                <w:i/>
                <w:color w:val="auto"/>
              </w:rPr>
              <w:t>Išbraukta.</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 xml:space="preserve">Šis pakeitimas yra priimtinas, nes yra neatskiriamai susijęs su priimtinais pakeitimais, kuriais išbraukiama 14 straipsnio </w:t>
      </w:r>
      <w:r w:rsidR="001F47DD" w:rsidRPr="00565F80">
        <w:rPr>
          <w:color w:val="auto"/>
          <w:lang w:val="lt-LT"/>
        </w:rPr>
        <w:t>1, 2, 4, 5 ir 6 dalys.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244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9 straipsnio 1 dalies d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lastRenderedPageBreak/>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d)</w:t>
            </w:r>
            <w:r w:rsidRPr="00565F80">
              <w:rPr>
                <w:color w:val="auto"/>
              </w:rPr>
              <w:tab/>
              <w:t xml:space="preserve">su 14 straipsnio 1 dalyje nurodytais asmenimis, kurie anksčiau buvo pateikę tarptautinės apsaugos prašymą kitoje valstybėje narėje, </w:t>
            </w:r>
            <w:r w:rsidRPr="00565F80">
              <w:rPr>
                <w:b/>
                <w:i/>
                <w:color w:val="auto"/>
              </w:rPr>
              <w:t>sulaikytais neteisėtai kertant išorės sieną ir nustatytais neteisėtai esančiais valstybėje narėje ,</w:t>
            </w:r>
            <w:r w:rsidRPr="00565F80">
              <w:rPr>
                <w:color w:val="auto"/>
              </w:rPr>
              <w:t xml:space="preserve"> susijusių atitikčių skaičių;</w:t>
            </w:r>
          </w:p>
        </w:tc>
        <w:tc>
          <w:tcPr>
            <w:tcW w:w="4876" w:type="dxa"/>
          </w:tcPr>
          <w:p w:rsidR="00BF668E" w:rsidRPr="00565F80" w:rsidRDefault="00BF668E" w:rsidP="00C555DE">
            <w:pPr>
              <w:pStyle w:val="Normal6"/>
              <w:rPr>
                <w:color w:val="auto"/>
              </w:rPr>
            </w:pPr>
            <w:r w:rsidRPr="00565F80">
              <w:rPr>
                <w:color w:val="auto"/>
              </w:rPr>
              <w:t>d)</w:t>
            </w:r>
            <w:r w:rsidRPr="00565F80">
              <w:rPr>
                <w:color w:val="auto"/>
              </w:rPr>
              <w:tab/>
              <w:t>su 14 straipsnio 1 dalyje nurodytais asmenimis, kurie anksčiau buvo pateikę tarptautinės apsaugos prašymą kitoje valstybėje narėje, susijusių atitikčių skaičių;</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245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9 straipsnio 1 dalies e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e)</w:t>
            </w:r>
            <w:r w:rsidRPr="00565F80">
              <w:rPr>
                <w:color w:val="auto"/>
              </w:rPr>
              <w:tab/>
              <w:t>pirštų atspaudų duomenų, kurių centrinė sistema kilmės valstybės narės turėjo prašyti daugiau nei vieną kartą, nes pirmiau perduotų pirštų atspaudų duomenų nebuvo galima lyginti naudojant kompiuterizuotą pirštų atspaudų atpažinimo sistemą;</w:t>
            </w:r>
          </w:p>
        </w:tc>
        <w:tc>
          <w:tcPr>
            <w:tcW w:w="4876" w:type="dxa"/>
          </w:tcPr>
          <w:p w:rsidR="00BF668E" w:rsidRPr="00565F80" w:rsidRDefault="00BF668E" w:rsidP="00C555DE">
            <w:pPr>
              <w:pStyle w:val="Normal6"/>
              <w:rPr>
                <w:color w:val="auto"/>
              </w:rPr>
            </w:pPr>
            <w:r w:rsidRPr="00565F80">
              <w:rPr>
                <w:color w:val="auto"/>
              </w:rPr>
              <w:t>e)</w:t>
            </w:r>
            <w:r w:rsidRPr="00565F80">
              <w:rPr>
                <w:color w:val="auto"/>
              </w:rPr>
              <w:tab/>
              <w:t xml:space="preserve">pirštų atspaudų duomenų, </w:t>
            </w:r>
            <w:r w:rsidRPr="00565F80">
              <w:rPr>
                <w:b/>
                <w:i/>
                <w:color w:val="auto"/>
              </w:rPr>
              <w:t xml:space="preserve">išskaidytų pagal subjekto gimimo metų duomenis, </w:t>
            </w:r>
            <w:r w:rsidRPr="00565F80">
              <w:rPr>
                <w:color w:val="auto"/>
              </w:rPr>
              <w:t>kurių centrinė sistema kilmės valstybės narės turėjo prašyti daugiau nei vieną kartą, nes pirmiau perduotų pirštų atspaudų duomenų nebuvo galima lyginti naudojant kompiuterizuotą pirštų atspaudų atpažinimo sistemą;</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children’s statistics concerning the reliability of biometric matching should be broken down by year of birth.</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246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lastRenderedPageBreak/>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9 straipsnio 1 dalies e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e)</w:t>
            </w:r>
            <w:r w:rsidRPr="00565F80">
              <w:rPr>
                <w:color w:val="auto"/>
              </w:rPr>
              <w:tab/>
              <w:t>pirštų atspaudų duomenų, kurių centrinė sistema kilmės valstybės narės turėjo prašyti daugiau nei vieną kartą, nes pirmiau perduotų pirštų atspaudų duomenų nebuvo galima lyginti naudojant kompiuterizuotą pirštų atspaudų atpažinimo sistemą;</w:t>
            </w:r>
          </w:p>
        </w:tc>
        <w:tc>
          <w:tcPr>
            <w:tcW w:w="4876" w:type="dxa"/>
          </w:tcPr>
          <w:p w:rsidR="00BF668E" w:rsidRPr="00565F80" w:rsidRDefault="00BF668E" w:rsidP="00C555DE">
            <w:pPr>
              <w:pStyle w:val="Normal6"/>
              <w:rPr>
                <w:color w:val="auto"/>
              </w:rPr>
            </w:pPr>
            <w:r w:rsidRPr="00565F80">
              <w:rPr>
                <w:color w:val="auto"/>
              </w:rPr>
              <w:t>e)</w:t>
            </w:r>
            <w:r w:rsidRPr="00565F80">
              <w:rPr>
                <w:color w:val="auto"/>
              </w:rPr>
              <w:tab/>
              <w:t xml:space="preserve">pirštų atspaudų duomenų, kurių centrinė sistema kilmės valstybės narės turėjo prašyti daugiau nei vieną kartą, nes pirmiau perduotų pirštų atspaudų </w:t>
            </w:r>
            <w:r w:rsidRPr="00565F80">
              <w:rPr>
                <w:b/>
                <w:i/>
                <w:color w:val="auto"/>
              </w:rPr>
              <w:t xml:space="preserve">ir veido atvaizdo </w:t>
            </w:r>
            <w:r w:rsidRPr="00565F80">
              <w:rPr>
                <w:color w:val="auto"/>
              </w:rPr>
              <w:t xml:space="preserve">duomenų nebuvo galima lyginti naudojant kompiuterizuotą pirštų atspaudų </w:t>
            </w:r>
            <w:r w:rsidRPr="00565F80">
              <w:rPr>
                <w:b/>
                <w:i/>
                <w:color w:val="auto"/>
              </w:rPr>
              <w:t xml:space="preserve">ir veido atvaizdo </w:t>
            </w:r>
            <w:r w:rsidRPr="00565F80">
              <w:rPr>
                <w:color w:val="auto"/>
              </w:rPr>
              <w:t>atpažinimo sistemą;</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Komisijos pasiūlymas pataisomas, nes ne visose reikiamose vietose yra įterpiami „pirštų atspaudai“ ir „veido atvaizdas“, nors tai atitinka prievolę, nurodytą 2 straipsnyje.</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247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9 straipsnio 1 dalies g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g)</w:t>
            </w:r>
            <w:r w:rsidRPr="00565F80">
              <w:rPr>
                <w:color w:val="auto"/>
              </w:rPr>
              <w:tab/>
              <w:t xml:space="preserve">su 19 straipsnio 1 </w:t>
            </w:r>
            <w:r w:rsidRPr="00565F80">
              <w:rPr>
                <w:b/>
                <w:i/>
                <w:color w:val="auto"/>
              </w:rPr>
              <w:t>ir 4 dalyse</w:t>
            </w:r>
            <w:r w:rsidRPr="00565F80">
              <w:rPr>
                <w:color w:val="auto"/>
              </w:rPr>
              <w:t xml:space="preserve"> nurodytais asmenimis, kurių atžvilgiu pagal šio straipsnio b </w:t>
            </w:r>
            <w:r w:rsidRPr="00565F80">
              <w:rPr>
                <w:b/>
                <w:i/>
                <w:color w:val="auto"/>
              </w:rPr>
              <w:t>,</w:t>
            </w:r>
            <w:r w:rsidRPr="00565F80">
              <w:rPr>
                <w:color w:val="auto"/>
              </w:rPr>
              <w:t xml:space="preserve"> c </w:t>
            </w:r>
            <w:r w:rsidRPr="00565F80">
              <w:rPr>
                <w:b/>
                <w:i/>
                <w:color w:val="auto"/>
              </w:rPr>
              <w:t>ir d</w:t>
            </w:r>
            <w:r w:rsidRPr="00565F80">
              <w:rPr>
                <w:color w:val="auto"/>
              </w:rPr>
              <w:t xml:space="preserve"> punktus buvo užfiksuotos atitiktys, susijusių atitikčių skaičių;</w:t>
            </w:r>
          </w:p>
        </w:tc>
        <w:tc>
          <w:tcPr>
            <w:tcW w:w="4876" w:type="dxa"/>
          </w:tcPr>
          <w:p w:rsidR="00BF668E" w:rsidRPr="00565F80" w:rsidRDefault="00BF668E" w:rsidP="00C555DE">
            <w:pPr>
              <w:pStyle w:val="Normal6"/>
              <w:rPr>
                <w:color w:val="auto"/>
              </w:rPr>
            </w:pPr>
            <w:r w:rsidRPr="00565F80">
              <w:rPr>
                <w:color w:val="auto"/>
              </w:rPr>
              <w:t>g)</w:t>
            </w:r>
            <w:r w:rsidRPr="00565F80">
              <w:rPr>
                <w:color w:val="auto"/>
              </w:rPr>
              <w:tab/>
              <w:t xml:space="preserve">su 19 straipsnio 1 </w:t>
            </w:r>
            <w:r w:rsidRPr="00565F80">
              <w:rPr>
                <w:b/>
                <w:i/>
                <w:color w:val="auto"/>
              </w:rPr>
              <w:t>dalyje</w:t>
            </w:r>
            <w:r w:rsidRPr="00565F80">
              <w:rPr>
                <w:color w:val="auto"/>
              </w:rPr>
              <w:t xml:space="preserve"> nurodytais asmenimis, kurių atžvilgiu pagal šio straipsnio b ir c punktus buvo užfiksuotos atitiktys, susijusių atitikčių skaičių;</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 xml:space="preserve">Šis pakeitimas yra priimtinas, nes yra neatskiriamai susijęs su priimtinais pakeitimais, kuriais išbraukiama 14 straipsnio </w:t>
      </w:r>
      <w:r w:rsidR="001A23B0" w:rsidRPr="00565F80">
        <w:rPr>
          <w:color w:val="auto"/>
          <w:lang w:val="lt-LT"/>
        </w:rPr>
        <w:t>1, 2, 4, 5 ir 6 dalys.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248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lastRenderedPageBreak/>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9 straipsnio 1 dalies j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j)</w:t>
            </w:r>
            <w:r w:rsidRPr="00565F80">
              <w:rPr>
                <w:color w:val="auto"/>
              </w:rPr>
              <w:tab/>
              <w:t>31 straipsnyje nurodytų asmenų pateiktų prašymų skaičių;</w:t>
            </w:r>
          </w:p>
        </w:tc>
        <w:tc>
          <w:tcPr>
            <w:tcW w:w="4876" w:type="dxa"/>
          </w:tcPr>
          <w:p w:rsidR="00BF668E" w:rsidRPr="00565F80" w:rsidRDefault="00BF668E" w:rsidP="00C555DE">
            <w:pPr>
              <w:pStyle w:val="Normal6"/>
              <w:rPr>
                <w:color w:val="auto"/>
              </w:rPr>
            </w:pPr>
            <w:r w:rsidRPr="00565F80">
              <w:rPr>
                <w:color w:val="auto"/>
              </w:rPr>
              <w:t>j)</w:t>
            </w:r>
            <w:r w:rsidRPr="00565F80">
              <w:rPr>
                <w:color w:val="auto"/>
              </w:rPr>
              <w:tab/>
              <w:t xml:space="preserve">31 straipsnyje nurodytų asmenų pateiktų prašymų skaičių </w:t>
            </w:r>
            <w:r w:rsidRPr="00565F80">
              <w:rPr>
                <w:b/>
                <w:i/>
                <w:color w:val="auto"/>
              </w:rPr>
              <w:t>ir tipą</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249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9 straipsnio 2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w:t>
            </w:r>
            <w:r w:rsidRPr="00565F80">
              <w:rPr>
                <w:color w:val="auto"/>
              </w:rPr>
              <w:tab/>
              <w:t>Mėnesiniai statistiniai duomenys apie asmenis, nurodytus 1 dalies a–h punktuose, skelbiami ir viešinami kas mėnesį. Kiekvienų metų pabaigoje metiniai statistiniai duomenys apie asmenis, nurodytus 1 dalies a–h punktuose, skelbiami ir viešinami „eu-LISA“ . Statistiniai duomenys skirstomi į grupes pagal atskiras valstybes nares.</w:t>
            </w:r>
          </w:p>
        </w:tc>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Mėnesiniai statistiniai duomenys apie asmenis, nurodytus 1 dalies a–h punktuose, skelbiami ir viešinami kas mėnesį. </w:t>
            </w:r>
            <w:r w:rsidRPr="00565F80">
              <w:rPr>
                <w:b/>
                <w:i/>
                <w:color w:val="auto"/>
              </w:rPr>
              <w:t>Pagal 1 dalies a–h punktuose nurodytų asmenų amžių ir lytį išskaidyti duomenys turi būti įtraukti į mėnesinius statistinius duomenis.</w:t>
            </w:r>
            <w:r w:rsidRPr="00565F80">
              <w:rPr>
                <w:color w:val="auto"/>
              </w:rPr>
              <w:t xml:space="preserve"> Kiekvienų metų pabaigoje metiniai statistiniai duomenys apie asmenis, nurodytus 1 dalies a–h punktuose, skelbiami ir viešinami „eu-LISA“ . Statistiniai duomenys skirstomi į grupes pagal atskiras valstybes nares.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 xml:space="preserve">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to better evaluate the impact of the Eurodac Regulation on </w:t>
      </w:r>
      <w:r w:rsidRPr="00565F80">
        <w:rPr>
          <w:color w:val="auto"/>
          <w:lang w:val="lt-LT"/>
        </w:rPr>
        <w:lastRenderedPageBreak/>
        <w:t>children, monthly statistics provided by eu-LISA under Article 9 of the proposal should be broken down by age and sex to understand how many boys and girls under the age of 18 years are affected.</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250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9 straipsnio 2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w:t>
            </w:r>
            <w:r w:rsidRPr="00565F80">
              <w:rPr>
                <w:color w:val="auto"/>
              </w:rPr>
              <w:tab/>
              <w:t>Mėnesiniai statistiniai duomenys apie asmenis, nurodytus 1 dalies a–</w:t>
            </w:r>
            <w:r w:rsidRPr="00565F80">
              <w:rPr>
                <w:b/>
                <w:i/>
                <w:color w:val="auto"/>
              </w:rPr>
              <w:t>h</w:t>
            </w:r>
            <w:r w:rsidRPr="00565F80">
              <w:rPr>
                <w:color w:val="auto"/>
              </w:rPr>
              <w:t xml:space="preserve"> punktuose, skelbiami ir viešinami kas mėnesį. Kiekvienų metų pabaigoje metiniai statistiniai duomenys apie asmenis, nurodytus 1 dalies a–h punktuose, skelbiami ir viešinami „eu-LISA“. Statistiniai duomenys skirstomi į grupes pagal atskiras valstybes nares.</w:t>
            </w:r>
          </w:p>
        </w:tc>
        <w:tc>
          <w:tcPr>
            <w:tcW w:w="4876" w:type="dxa"/>
          </w:tcPr>
          <w:p w:rsidR="00BF668E" w:rsidRPr="00565F80" w:rsidRDefault="00BF668E" w:rsidP="00C555DE">
            <w:pPr>
              <w:pStyle w:val="Normal6"/>
              <w:rPr>
                <w:color w:val="auto"/>
              </w:rPr>
            </w:pPr>
            <w:r w:rsidRPr="00565F80">
              <w:rPr>
                <w:color w:val="auto"/>
              </w:rPr>
              <w:t>2.</w:t>
            </w:r>
            <w:r w:rsidRPr="00565F80">
              <w:rPr>
                <w:color w:val="auto"/>
              </w:rPr>
              <w:tab/>
              <w:t>Mėnesiniai statistiniai duomenys apie asmenis, nurodytus 1 dalies a–</w:t>
            </w:r>
            <w:r w:rsidRPr="00565F80">
              <w:rPr>
                <w:b/>
                <w:i/>
                <w:color w:val="auto"/>
              </w:rPr>
              <w:t>k</w:t>
            </w:r>
            <w:r w:rsidRPr="00565F80">
              <w:rPr>
                <w:color w:val="auto"/>
              </w:rPr>
              <w:t xml:space="preserve"> punktuose, </w:t>
            </w:r>
            <w:r w:rsidRPr="00565F80">
              <w:rPr>
                <w:b/>
                <w:i/>
                <w:color w:val="auto"/>
              </w:rPr>
              <w:t>išskaidomi, kai tai įmanoma, pagal lytį ir amžių, kad būtų galima suprasti, kiek yra susijusių nepilnamečių berniukų ir mergaičių, ir</w:t>
            </w:r>
            <w:r w:rsidRPr="00565F80">
              <w:rPr>
                <w:color w:val="auto"/>
              </w:rPr>
              <w:t xml:space="preserve"> skelbiami ir viešinami kas mėnesį. Kiekvienų metų pabaigoje metiniai statistiniai duomenys apie asmenis, nurodytus 1 dalies a–h punktuose, skelbiami ir viešinami „eu-LISA“ . Statistiniai duomenys skirstomi į grupes pagal atskiras valstybes nares.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251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Maria Grapini, Juan Fernando López Aguilar, Dietmar Köster, Caterina Chinnici</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9 straipsnio 2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2.</w:t>
            </w:r>
            <w:r w:rsidRPr="00565F80">
              <w:rPr>
                <w:color w:val="auto"/>
              </w:rPr>
              <w:tab/>
              <w:t xml:space="preserve">Mėnesiniai statistiniai duomenys apie asmenis, nurodytus 1 dalies a–h punktuose, skelbiami ir viešinami kas mėnesį. Kiekvienų metų pabaigoje metiniai statistiniai duomenys apie asmenis, nurodytus 1 dalies a–h punktuose, skelbiami ir viešinami „eu-LISA“ . </w:t>
            </w:r>
            <w:r w:rsidRPr="00565F80">
              <w:rPr>
                <w:color w:val="auto"/>
              </w:rPr>
              <w:lastRenderedPageBreak/>
              <w:t>Statistiniai duomenys skirstomi į grupes pagal atskiras valstybes nares.</w:t>
            </w:r>
          </w:p>
        </w:tc>
        <w:tc>
          <w:tcPr>
            <w:tcW w:w="4876" w:type="dxa"/>
          </w:tcPr>
          <w:p w:rsidR="00BF668E" w:rsidRPr="00565F80" w:rsidRDefault="00BF668E" w:rsidP="00C555DE">
            <w:pPr>
              <w:pStyle w:val="Normal6"/>
              <w:rPr>
                <w:color w:val="auto"/>
              </w:rPr>
            </w:pPr>
            <w:r w:rsidRPr="00565F80">
              <w:rPr>
                <w:color w:val="auto"/>
              </w:rPr>
              <w:lastRenderedPageBreak/>
              <w:t>2.</w:t>
            </w:r>
            <w:r w:rsidRPr="00565F80">
              <w:rPr>
                <w:color w:val="auto"/>
              </w:rPr>
              <w:tab/>
              <w:t xml:space="preserve">Mėnesiniai statistiniai duomenys apie asmenis, nurodytus 1 dalies a–h punktuose, skelbiami ir viešinami kas mėnesį </w:t>
            </w:r>
            <w:r w:rsidRPr="00565F80">
              <w:rPr>
                <w:b/>
                <w:i/>
                <w:color w:val="auto"/>
              </w:rPr>
              <w:t>ir išskaidomi pagal duomenų subjektų gimimo metus ir lytį</w:t>
            </w:r>
            <w:r w:rsidRPr="00565F80">
              <w:rPr>
                <w:color w:val="auto"/>
              </w:rPr>
              <w:t xml:space="preserve">. Kiekvienų metų pabaigoje metiniai statistiniai duomenys apie asmenis, nurodytus 1 dalies </w:t>
            </w:r>
            <w:r w:rsidRPr="00565F80">
              <w:rPr>
                <w:color w:val="auto"/>
              </w:rPr>
              <w:lastRenderedPageBreak/>
              <w:t>a–h punktuose, skelbiami ir viešinami „eu-LISA“ . Statistiniai duomenys skirstomi į grupes pagal atskiras valstybes nares.</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252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Monika Hohlmeier, Heinz K. Becker, Rachida Dati, Brice Hortefeux, Mariya Gabriel</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9 straipsnio 3 a dalis (nauja)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3a.</w:t>
            </w:r>
            <w:r w:rsidRPr="00565F80">
              <w:rPr>
                <w:color w:val="auto"/>
              </w:rPr>
              <w:tab/>
            </w:r>
            <w:r w:rsidRPr="00565F80">
              <w:rPr>
                <w:b/>
                <w:i/>
                <w:color w:val="auto"/>
              </w:rPr>
              <w:t>Tinkamai įgalioti Europos sienos ir pakrančių apsaugos agentūros darbuotojai turi prieigą prie „eu-LISA“ rengiamos statistikos, nurodytos 1 dalies a–h punktuose, ir atitinkamų duomenų, nurodytų 12 straipsnio d–s punktuose, 13 straipsnio d–m punktuose ir 14 straipsnio d–m punktuose, tik 1 straipsnio b punkte nurodytais tikslais ir Reglamento (ES) 2016/1624 11 ir 37 straipsniuose nurodytais tikslais, be teisės nustatyti pavienių asmenų tapatybę. Tie duomenys turi būti tvarkomi laikantis Reglamente (ES) 2016/1624 nustatytų duomenų apsaugos priemonių</w:t>
            </w:r>
            <w:r w:rsidR="00F615C4" w:rsidRPr="00565F80">
              <w:rPr>
                <w:b/>
                <w:i/>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w:t>
      </w:r>
      <w:r w:rsidR="00F63CF2" w:rsidRPr="00565F80">
        <w:rPr>
          <w:color w:val="auto"/>
          <w:lang w:val="lt-LT"/>
        </w:rPr>
        <w:t xml:space="preserve">eitimas atitinka naują EURODAC </w:t>
      </w:r>
      <w:r w:rsidRPr="00565F80">
        <w:rPr>
          <w:color w:val="auto"/>
          <w:lang w:val="lt-LT"/>
        </w:rPr>
        <w:t>perimamą vaidmenį, kaip numatyta pagal naują 1 straipsnio b dalį. Nuo šiol EURODAC padės vykdyti neteisėtos migracijos ir antrinio judėjimo kontrolę. Pagal naujus įgaliojimus naujai sukurta Europos sienos ir pakrančių apsaugos agentūra taip pat turės šią užduotį. Prieigos Europos sienų ir pakrančių apsaugos pajėgoms suteikimas užtikrins, kad būtų visapusiškai išnaudojamos naujos EURODAC funkcijos.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253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lastRenderedPageBreak/>
        <w:t>&lt;RepeatBlock-By&gt;&lt;Members&gt;</w:t>
      </w:r>
      <w:r w:rsidRPr="00565F80">
        <w:rPr>
          <w:color w:val="auto"/>
        </w:rPr>
        <w:t>Sylvia-Yvonne Kaufmann, Josef Weidenholzer, Vilija Blinkevičiūtė, Péter Niedermüller, Kati Piri, Maria Grapini, Juan Fernando López Aguilar</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10 straipsnio 1 dalies pirma pastraipa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Kiekviena valstybė narė nedelsdama paima kiekvieno ne jaunesnio kaip 6 metų tarptautinės apsaugos prašytojo visų pirštų atspaudus ir veido atvaizdą , taip pat kuo skubiau ir ne vėliau kaip per 72 valandas nuo jo tarptautinės apsaugos prašymo pateikimo, kaip apibrėžta Reglamento (ES) Nr. [.../...] 21 straipsnio 2 dalyje, perduoda juos, kartu su šio reglamento 12 straipsnio c–n punktuose nurodytais duomenimis, į centrinę sistemą.</w:t>
            </w:r>
          </w:p>
        </w:tc>
        <w:tc>
          <w:tcPr>
            <w:tcW w:w="4876" w:type="dxa"/>
          </w:tcPr>
          <w:p w:rsidR="00BF668E" w:rsidRPr="00565F80" w:rsidRDefault="00BF668E" w:rsidP="00C555DE">
            <w:pPr>
              <w:pStyle w:val="Normal6"/>
              <w:rPr>
                <w:color w:val="auto"/>
              </w:rPr>
            </w:pPr>
            <w:r w:rsidRPr="00565F80">
              <w:rPr>
                <w:color w:val="auto"/>
              </w:rPr>
              <w:t xml:space="preserve">Kiekviena valstybė narė nedelsdama paima kiekvieno ne jaunesnio kaip 6 metų tarptautinės apsaugos prašytojo visų pirštų atspaudus ir veido atvaizdą, taip pat kuo skubiau ir ne vėliau kaip per 72 valandas nuo jo tarptautinės apsaugos prašymo pateikimo, kaip apibrėžta Reglamento (ES) Nr. [.../...] 21 straipsnio 2 dalyje, perduoda juos, kartu su šio reglamento 12 straipsnio c–n punktuose nurodytais duomenimis, į centrinę sistemą. </w:t>
            </w:r>
            <w:r w:rsidRPr="00565F80">
              <w:rPr>
                <w:b/>
                <w:i/>
                <w:color w:val="auto"/>
              </w:rPr>
              <w:t>Vaikų pirštų atspaudų ir veido atvaizdo ėmimas atliekamas visų pirma 1 straipsnio 1 dalies ca punkte nurodytu tikslu.</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pakeitimas yra tiesiogiai susijęs su šiame straipsnyje Komisijos pasiūlytu amžiaus pakeitimu nuo 14 metų iki 6 metų.</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254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10 straipsnio 1 dalies pirma pastraipa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 xml:space="preserve">Kiekviena valstybė narė nedelsdama paima kiekvieno ne jaunesnio kaip </w:t>
            </w:r>
            <w:r w:rsidRPr="00565F80">
              <w:rPr>
                <w:b/>
                <w:i/>
                <w:color w:val="auto"/>
              </w:rPr>
              <w:t>6</w:t>
            </w:r>
            <w:r w:rsidRPr="00565F80">
              <w:rPr>
                <w:color w:val="auto"/>
              </w:rPr>
              <w:t xml:space="preserve"> metų tarptautinės apsaugos prašytojo visų pirštų atspaudus</w:t>
            </w:r>
            <w:r w:rsidRPr="00565F80">
              <w:rPr>
                <w:b/>
                <w:i/>
                <w:color w:val="auto"/>
              </w:rPr>
              <w:t xml:space="preserve"> ir veido atvaizdą</w:t>
            </w:r>
            <w:r w:rsidRPr="00565F80">
              <w:rPr>
                <w:color w:val="auto"/>
              </w:rPr>
              <w:t xml:space="preserve"> , taip pat kuo skubiau ir ne vėliau kaip per 72 valandas nuo jo tarptautinės apsaugos prašymo </w:t>
            </w:r>
            <w:r w:rsidRPr="00565F80">
              <w:rPr>
                <w:color w:val="auto"/>
              </w:rPr>
              <w:lastRenderedPageBreak/>
              <w:t>pateikimo, kaip apibrėžta Reglamento (ES) Nr. [.../...] 21 straipsnio 2 dalyje, perduoda juos, kartu su šio reglamento 12 straipsnio c–n punktuose nurodytais duomenimis, į centrinę sistemą.</w:t>
            </w:r>
          </w:p>
        </w:tc>
        <w:tc>
          <w:tcPr>
            <w:tcW w:w="4876" w:type="dxa"/>
          </w:tcPr>
          <w:p w:rsidR="00BF668E" w:rsidRPr="00565F80" w:rsidRDefault="00BF668E" w:rsidP="00C555DE">
            <w:pPr>
              <w:pStyle w:val="Normal6"/>
              <w:rPr>
                <w:color w:val="auto"/>
              </w:rPr>
            </w:pPr>
            <w:r w:rsidRPr="00565F80">
              <w:rPr>
                <w:color w:val="auto"/>
              </w:rPr>
              <w:lastRenderedPageBreak/>
              <w:t xml:space="preserve">Kiekviena valstybė narė nedelsdama paima kiekvieno ne jaunesnio kaip </w:t>
            </w:r>
            <w:r w:rsidRPr="00565F80">
              <w:rPr>
                <w:b/>
                <w:i/>
                <w:color w:val="auto"/>
              </w:rPr>
              <w:t>14</w:t>
            </w:r>
            <w:r w:rsidRPr="00565F80">
              <w:rPr>
                <w:color w:val="auto"/>
              </w:rPr>
              <w:t xml:space="preserve"> metų tarptautinės apsaugos prašytojo visų pirštų atspaudus, taip pat kuo skubiau ir ne vėliau kaip per 72 valandas nuo jo tarptautinės apsaugos prašymo pateikimo, kaip </w:t>
            </w:r>
            <w:r w:rsidRPr="00565F80">
              <w:rPr>
                <w:color w:val="auto"/>
              </w:rPr>
              <w:lastRenderedPageBreak/>
              <w:t>apibrėžta Reglamento (ES) Nr. [.../...] 21 straipsnio 2 dalyje, perduoda juos, kartu su šio reglamento 12 straipsnio c–n punktuose nurodytais duomenimis, į centrinę sistemą.</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Italic"/>
              <w:rPr>
                <w:color w:val="auto"/>
              </w:rPr>
            </w:pPr>
            <w:r w:rsidRPr="00565F80">
              <w:rPr>
                <w:color w:val="auto"/>
              </w:rPr>
              <w:t>(Šis pakeitimas taikomas visam tekstui. Jį priėmus reikės padaryti atitinkamus viso teksto pakeitimus.)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255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10 straipsnio 1 dalies pirma pastraipa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 xml:space="preserve">Kiekviena valstybė narė nedelsdama paima kiekvieno ne jaunesnio kaip </w:t>
            </w:r>
            <w:r w:rsidRPr="00565F80">
              <w:rPr>
                <w:b/>
                <w:i/>
                <w:color w:val="auto"/>
              </w:rPr>
              <w:t>6</w:t>
            </w:r>
            <w:r w:rsidRPr="00565F80">
              <w:rPr>
                <w:color w:val="auto"/>
              </w:rPr>
              <w:t xml:space="preserve"> metų tarptautinės apsaugos prašytojo visų pirštų atspaudus</w:t>
            </w:r>
            <w:r w:rsidRPr="00565F80">
              <w:rPr>
                <w:b/>
                <w:i/>
                <w:color w:val="auto"/>
              </w:rPr>
              <w:t xml:space="preserve"> ir veido atvaizdą</w:t>
            </w:r>
            <w:r w:rsidRPr="00565F80">
              <w:rPr>
                <w:color w:val="auto"/>
              </w:rPr>
              <w:t xml:space="preserve"> , taip pat kuo skubiau ir ne vėliau kaip per 72 valandas nuo jo tarptautinės apsaugos prašymo pateikimo, kaip apibrėžta Reglamento (ES) Nr. [.../...] 21 straipsnio 2 dalyje, perduoda juos, kartu su šio reglamento 12 straipsnio c–n punktuose nurodytais duomenimis, į centrinę sistemą.</w:t>
            </w:r>
          </w:p>
        </w:tc>
        <w:tc>
          <w:tcPr>
            <w:tcW w:w="4876" w:type="dxa"/>
          </w:tcPr>
          <w:p w:rsidR="00BF668E" w:rsidRPr="00565F80" w:rsidRDefault="00BF668E" w:rsidP="00C555DE">
            <w:pPr>
              <w:pStyle w:val="Normal6"/>
              <w:rPr>
                <w:color w:val="auto"/>
              </w:rPr>
            </w:pPr>
            <w:r w:rsidRPr="00565F80">
              <w:rPr>
                <w:color w:val="auto"/>
              </w:rPr>
              <w:t xml:space="preserve">Kiekviena valstybė narė nedelsdama paima kiekvieno ne jaunesnio kaip </w:t>
            </w:r>
            <w:r w:rsidRPr="00565F80">
              <w:rPr>
                <w:b/>
                <w:i/>
                <w:color w:val="auto"/>
              </w:rPr>
              <w:t>18</w:t>
            </w:r>
            <w:r w:rsidRPr="00565F80">
              <w:rPr>
                <w:color w:val="auto"/>
              </w:rPr>
              <w:t xml:space="preserve"> metų tarptautinės apsaugos prašytojo visų pirštų atspaudus, taip pat kuo skubiau ir ne vėliau kaip per 72 valandas nuo jo tarptautinės apsaugos prašymo pateikimo, kaip apibrėžta Reglamento (ES) Nr. [.../...] 21 straipsnio 2 dalyje, perduoda juos, kartu su šio reglamento 12 straipsnio c–n punktuose nurodytais duomenimis, į centrinę sistemą.</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Tai susiję su naujos 1A dalies įvedimu šiame straipsnyje, kuria siekiama geriau apsaugoti vaikus nuo prekybos žmonėmis ir remti dingstančių vaikų tapatybės nustatymą ir apsaugą.</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256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lastRenderedPageBreak/>
        <w:t>&lt;Article&gt;</w:t>
      </w:r>
      <w:r w:rsidRPr="00565F80">
        <w:rPr>
          <w:color w:val="auto"/>
        </w:rPr>
        <w:t>10 straipsnio 1 dalies 1 a pastraipa (nauja)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1 straipsnio 1 dalies ca punkto tikslais kiekviena valstybė narė nedelsdama paima kiekvieno ne jaunesnio kaip 6 metų vaiko, prašančio tarptautinės apsaugos, visų pirštų atspaudus ir veido atvaizdą, taip pat kuo skubiau ir ne vėliau kaip per 72 valandas nuo jo tarptautinės apsaugos prašymo pateikimo, kaip apibrėžta Reglamento (ES) Nr. XX/XXXX [21 straipsnio 2 dalyje], perduoda juos, kartu su šio reglamento 12 straipsnio c–n punktuose nurodytais duomenimis, į centrinę sistemą.</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Šis pakeitimas reikalingas siekiant išlaikyti teksto logiką, nes juo turėtų būti apsaugoti prekybos žmonėmis aukomis tapę vaikai ir remiamas nelydimų vaikų, kurie dingsta, prarandami arba pasislepia, tapatybės nustatymas ir apsauga, kaip Europos Komisija pabrėžė savo aiškinamajame memorandume, pridėtame prie siūlomos naujos EURODAC reglamento redakcijos. Siekiant laikytis Chartijos 7 straipsnio, 8 straipsnio ir 24 straipsnio, vaikų nuo šešerių metų biometrinių duomenų tvarkymas gali būti pateisinamas tik vaiko apsaugos tikslu.</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257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10 straipsnio 1 dalies antra pastraipa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 xml:space="preserve">72 valandų termino nesilaikymas neatleidžia valstybių narių nuo pareigos paimti ir perduoti pirštų atspaudus į centrinę sistemą. Kai dėl pirštų pagalvėlių būklės negalima paimti tokios kokybės pirštų atspaudų, kokios reikia tinkamam atspaudų palyginimui pagal 26 straipsnį, kilmės valstybė narė pakartotinai paima </w:t>
            </w:r>
            <w:r w:rsidRPr="00565F80">
              <w:rPr>
                <w:color w:val="auto"/>
              </w:rPr>
              <w:lastRenderedPageBreak/>
              <w:t>prašytojo pirštų atspaudus ir persiunčia juos kuo skubiau ir ne vėliau kaip per 48 valandas nuo jų pakartotinio paėmimo.</w:t>
            </w:r>
          </w:p>
        </w:tc>
        <w:tc>
          <w:tcPr>
            <w:tcW w:w="4876" w:type="dxa"/>
          </w:tcPr>
          <w:p w:rsidR="00BF668E" w:rsidRPr="00565F80" w:rsidRDefault="00BF668E" w:rsidP="00C555DE">
            <w:pPr>
              <w:pStyle w:val="Normal6"/>
              <w:rPr>
                <w:color w:val="auto"/>
              </w:rPr>
            </w:pPr>
            <w:r w:rsidRPr="00565F80">
              <w:rPr>
                <w:color w:val="auto"/>
              </w:rPr>
              <w:lastRenderedPageBreak/>
              <w:t xml:space="preserve">72 valandų termino nesilaikymas neatleidžia valstybių narių nuo pareigos paimti ir perduoti pirštų atspaudus </w:t>
            </w:r>
            <w:r w:rsidRPr="00565F80">
              <w:rPr>
                <w:b/>
                <w:i/>
                <w:color w:val="auto"/>
              </w:rPr>
              <w:t xml:space="preserve">ir veido atvaizdą </w:t>
            </w:r>
            <w:r w:rsidRPr="00565F80">
              <w:rPr>
                <w:color w:val="auto"/>
              </w:rPr>
              <w:t xml:space="preserve">į centrinę sistemą. Kai dėl pirštų pagalvėlių būklės negalima paimti tokios kokybės pirštų atspaudų, kokios reikia tinkamam atspaudų palyginimui pagal 26 straipsnį, kilmės valstybė narė pakartotinai </w:t>
            </w:r>
            <w:r w:rsidRPr="00565F80">
              <w:rPr>
                <w:color w:val="auto"/>
              </w:rPr>
              <w:lastRenderedPageBreak/>
              <w:t>paima prašytojo pirštų atspaudus ir persiunčia juos kuo skubiau ir ne vėliau kaip per 48 valandas nuo jų pakartotinio paėmimo.</w:t>
            </w:r>
          </w:p>
        </w:tc>
      </w:tr>
    </w:tbl>
    <w:p w:rsidR="00BF668E" w:rsidRPr="00565F80" w:rsidRDefault="00BF668E" w:rsidP="00BF668E">
      <w:pPr>
        <w:pStyle w:val="Olang"/>
        <w:rPr>
          <w:color w:val="auto"/>
          <w:lang w:val="lt-LT"/>
        </w:rPr>
      </w:pPr>
      <w:r w:rsidRPr="00565F80">
        <w:rPr>
          <w:color w:val="auto"/>
          <w:lang w:val="lt-LT"/>
        </w:rPr>
        <w:lastRenderedPageBreak/>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Komisijos pasiūlymas pataisomas, nes ne visose reikiamose vietose yra įterpiami „pirštų atspaudai“ ir „veido atvaizdas“, nors tai atitinka prievolę, nurodytą 2 straipsnyje.</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258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10 straipsnio 2 dalies pirma pastraipa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 xml:space="preserve">Nukrypstant nuo šio straipsnio 1 dalies, kai neįmanoma paimti tarptautinės apsaugos prašytojo pirštų atspaudų </w:t>
            </w:r>
            <w:r w:rsidRPr="00565F80">
              <w:rPr>
                <w:b/>
                <w:i/>
                <w:color w:val="auto"/>
              </w:rPr>
              <w:t>ir</w:t>
            </w:r>
            <w:r w:rsidRPr="00565F80">
              <w:rPr>
                <w:color w:val="auto"/>
              </w:rPr>
              <w:t xml:space="preserve"> veido atvaizdo dėl priemonių, kurių imtasi jo arba visuomenės sveikatos apsaugai užtikrinti, valstybės narės tokius pirštų atspaudus </w:t>
            </w:r>
            <w:r w:rsidRPr="00565F80">
              <w:rPr>
                <w:b/>
                <w:i/>
                <w:color w:val="auto"/>
              </w:rPr>
              <w:t>ir</w:t>
            </w:r>
            <w:r w:rsidRPr="00565F80">
              <w:rPr>
                <w:color w:val="auto"/>
              </w:rPr>
              <w:t xml:space="preserve"> veido atvaizdą paima ir persiunčia kuo skubiau, bet ne vėliau kaip per 48 valandas nuo tų su sveikata susijusių priežasčių išnykimo.</w:t>
            </w:r>
          </w:p>
        </w:tc>
        <w:tc>
          <w:tcPr>
            <w:tcW w:w="4876" w:type="dxa"/>
          </w:tcPr>
          <w:p w:rsidR="00BF668E" w:rsidRPr="00565F80" w:rsidRDefault="00BF668E" w:rsidP="00C555DE">
            <w:pPr>
              <w:pStyle w:val="Normal6"/>
              <w:rPr>
                <w:color w:val="auto"/>
              </w:rPr>
            </w:pPr>
            <w:r w:rsidRPr="00565F80">
              <w:rPr>
                <w:color w:val="auto"/>
              </w:rPr>
              <w:t>Nukrypstant nuo šio straipsnio 1 dalies, kai neįmanoma paimti tarptautinės apsaugos prašytojo pirštų atspaudų</w:t>
            </w:r>
            <w:r w:rsidRPr="00565F80">
              <w:rPr>
                <w:b/>
                <w:i/>
                <w:color w:val="auto"/>
              </w:rPr>
              <w:t>,</w:t>
            </w:r>
            <w:r w:rsidRPr="00565F80">
              <w:rPr>
                <w:i/>
                <w:color w:val="auto"/>
              </w:rPr>
              <w:t xml:space="preserve"> </w:t>
            </w:r>
            <w:r w:rsidRPr="00565F80">
              <w:rPr>
                <w:color w:val="auto"/>
              </w:rPr>
              <w:t xml:space="preserve">veido atvaizdo </w:t>
            </w:r>
            <w:r w:rsidRPr="00565F80">
              <w:rPr>
                <w:b/>
                <w:i/>
                <w:color w:val="auto"/>
              </w:rPr>
              <w:t xml:space="preserve">arba abiejų rūšių duomenų </w:t>
            </w:r>
            <w:r w:rsidRPr="00565F80">
              <w:rPr>
                <w:color w:val="auto"/>
              </w:rPr>
              <w:t>dėl priemonių, kurių imtasi jo arba visuomenės sveikatos apsaugai užtikrinti, valstybės narės tokius pirštų atspaudus</w:t>
            </w:r>
            <w:r w:rsidRPr="00565F80">
              <w:rPr>
                <w:b/>
                <w:i/>
                <w:color w:val="auto"/>
              </w:rPr>
              <w:t>,</w:t>
            </w:r>
            <w:r w:rsidRPr="00565F80">
              <w:rPr>
                <w:i/>
                <w:color w:val="auto"/>
              </w:rPr>
              <w:t xml:space="preserve"> </w:t>
            </w:r>
            <w:r w:rsidRPr="00565F80">
              <w:rPr>
                <w:color w:val="auto"/>
              </w:rPr>
              <w:t xml:space="preserve">veido atvaizdą </w:t>
            </w:r>
            <w:r w:rsidRPr="00565F80">
              <w:rPr>
                <w:b/>
                <w:i/>
                <w:color w:val="auto"/>
              </w:rPr>
              <w:t xml:space="preserve">arba abiejų rūšių duomenis </w:t>
            </w:r>
            <w:r w:rsidRPr="00565F80">
              <w:rPr>
                <w:color w:val="auto"/>
              </w:rPr>
              <w:t>paima ir persiunčia kuo skubiau, bet ne vėliau kaip per 48 valandas nuo tų su sveikata susijusių priežasčių išnykimo.</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259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10 straipsnio 3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lastRenderedPageBreak/>
              <w:t>3.</w:t>
            </w:r>
            <w:r w:rsidRPr="00565F80">
              <w:rPr>
                <w:color w:val="auto"/>
              </w:rPr>
              <w:tab/>
            </w:r>
            <w:r w:rsidRPr="00565F80">
              <w:rPr>
                <w:b/>
                <w:i/>
                <w:color w:val="auto"/>
              </w:rPr>
              <w:t>Pirštų atspaudus paimti ir perduoti taip pat gali Europos sienų [ir pakrančių] apsaugos būrių nariai arba valstybių narių prieglobsčio ekspertai, atlikdami užduotis ir naudodamiesi įgaliojimais, nustatytais [Reglamente dėl Europos sienų [ir pakrančių] apsaugos pajėgų, kuriuo panaikinamas Reglamentas (EB) Nr. 2007/2004, Reglamentas (EB) Nr. 863/2007 ir Tarybos sprendimas 2005/267/EB,] ir [Reglamente (ES) Nr. 439/2010].</w:t>
            </w:r>
          </w:p>
        </w:tc>
        <w:tc>
          <w:tcPr>
            <w:tcW w:w="4876" w:type="dxa"/>
          </w:tcPr>
          <w:p w:rsidR="00BF668E" w:rsidRPr="00565F80" w:rsidRDefault="00BF668E" w:rsidP="00C555DE">
            <w:pPr>
              <w:pStyle w:val="Normal6"/>
              <w:rPr>
                <w:color w:val="auto"/>
              </w:rPr>
            </w:pPr>
            <w:r w:rsidRPr="00565F80">
              <w:rPr>
                <w:b/>
                <w:i/>
                <w:color w:val="auto"/>
              </w:rPr>
              <w:t>Išbraukta.</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260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10 straipsnio 3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w:t>
            </w:r>
            <w:r w:rsidRPr="00565F80">
              <w:rPr>
                <w:color w:val="auto"/>
              </w:rPr>
              <w:tab/>
              <w:t xml:space="preserve">Pirštų atspaudus </w:t>
            </w:r>
            <w:r w:rsidRPr="00565F80">
              <w:rPr>
                <w:b/>
                <w:i/>
                <w:color w:val="auto"/>
              </w:rPr>
              <w:t>paimti</w:t>
            </w:r>
            <w:r w:rsidRPr="00565F80">
              <w:rPr>
                <w:color w:val="auto"/>
              </w:rPr>
              <w:t xml:space="preserve"> ir </w:t>
            </w:r>
            <w:r w:rsidRPr="00565F80">
              <w:rPr>
                <w:b/>
                <w:i/>
                <w:color w:val="auto"/>
              </w:rPr>
              <w:t>perduoti</w:t>
            </w:r>
            <w:r w:rsidRPr="00565F80">
              <w:rPr>
                <w:color w:val="auto"/>
              </w:rPr>
              <w:t xml:space="preserve"> </w:t>
            </w:r>
            <w:r w:rsidRPr="00565F80">
              <w:rPr>
                <w:b/>
                <w:i/>
                <w:color w:val="auto"/>
              </w:rPr>
              <w:t>taip pat gali Europos sienų [ir pakrančių] apsaugos būrių nariai arba</w:t>
            </w:r>
            <w:r w:rsidRPr="00565F80">
              <w:rPr>
                <w:color w:val="auto"/>
              </w:rPr>
              <w:t xml:space="preserve"> valstybių narių prieglobsčio ekspertai, </w:t>
            </w:r>
            <w:r w:rsidRPr="00565F80">
              <w:rPr>
                <w:b/>
                <w:i/>
                <w:color w:val="auto"/>
              </w:rPr>
              <w:t>atlikdami užduotis ir naudodamiesi įgaliojimais, nustatytais [Reglamente dėl Europos sienų [ir pakrančių] apsaugos pajėgų, kuriuo panaikinamas Reglamentas (EB) Nr. 2007/2004, Reglamentas (EB) Nr. 863/2007 ir Tarybos sprendimas 2005/267/EB,] ir [Reglamente (ES) Nr. 439/2010]</w:t>
            </w:r>
            <w:r w:rsidRPr="00565F80">
              <w:rPr>
                <w:color w:val="auto"/>
              </w:rPr>
              <w:t>.</w:t>
            </w:r>
          </w:p>
        </w:tc>
        <w:tc>
          <w:tcPr>
            <w:tcW w:w="4876" w:type="dxa"/>
          </w:tcPr>
          <w:p w:rsidR="00BF668E" w:rsidRPr="00565F80" w:rsidRDefault="00BF668E" w:rsidP="00C555DE">
            <w:pPr>
              <w:pStyle w:val="Normal6"/>
              <w:rPr>
                <w:color w:val="auto"/>
              </w:rPr>
            </w:pPr>
            <w:r w:rsidRPr="00565F80">
              <w:rPr>
                <w:color w:val="auto"/>
              </w:rPr>
              <w:t>3.</w:t>
            </w:r>
            <w:r w:rsidRPr="00565F80">
              <w:rPr>
                <w:color w:val="auto"/>
              </w:rPr>
              <w:tab/>
              <w:t xml:space="preserve">Pirštų atspaudus </w:t>
            </w:r>
            <w:r w:rsidRPr="00565F80">
              <w:rPr>
                <w:b/>
                <w:i/>
                <w:color w:val="auto"/>
              </w:rPr>
              <w:t>paima</w:t>
            </w:r>
            <w:r w:rsidRPr="00565F80">
              <w:rPr>
                <w:color w:val="auto"/>
              </w:rPr>
              <w:t xml:space="preserve"> ir </w:t>
            </w:r>
            <w:r w:rsidRPr="00565F80">
              <w:rPr>
                <w:b/>
                <w:i/>
                <w:color w:val="auto"/>
              </w:rPr>
              <w:t>perduoda</w:t>
            </w:r>
            <w:r w:rsidRPr="00565F80">
              <w:rPr>
                <w:color w:val="auto"/>
              </w:rPr>
              <w:t xml:space="preserve"> valstybių narių prieglobsčio ekspertai, </w:t>
            </w:r>
            <w:r w:rsidRPr="00565F80">
              <w:rPr>
                <w:b/>
                <w:i/>
                <w:color w:val="auto"/>
              </w:rPr>
              <w:t>kuriems buvo teikiami konkretūs mokymai apie pagrindines teises, teisę į prieglobstį ir tai, kaip tenkinti specialius pažeidžiamų migrantų, įskaitant vaikus, poreikius</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261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Kati Piri, Maria Grapini, Juan Fernando López Aguilar</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lastRenderedPageBreak/>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10 straipsnio 3 dalis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3.</w:t>
            </w:r>
            <w:r w:rsidRPr="00565F80">
              <w:rPr>
                <w:color w:val="auto"/>
              </w:rPr>
              <w:tab/>
              <w:t xml:space="preserve">Pirštų atspaudus paimti ir perduoti taip pat gali Europos sienų [ir pakrančių] apsaugos būrių nariai arba valstybių narių prieglobsčio ekspertai, atlikdami užduotis ir naudodamiesi įgaliojimais, nustatytais [Reglamente dėl Europos sienų [ir pakrančių] apsaugos pajėgų, kuriuo panaikinamas Reglamentas (EB) </w:t>
            </w:r>
            <w:r w:rsidR="00CB6B85" w:rsidRPr="00565F80">
              <w:rPr>
                <w:color w:val="auto"/>
              </w:rPr>
              <w:t>Nr. 2007/2004, Reglamentas (EB) Nr. </w:t>
            </w:r>
            <w:r w:rsidRPr="00565F80">
              <w:rPr>
                <w:color w:val="auto"/>
              </w:rPr>
              <w:t>863/2007 ir Tarybos sprendimas 2005/2</w:t>
            </w:r>
            <w:r w:rsidR="00CB6B85" w:rsidRPr="00565F80">
              <w:rPr>
                <w:color w:val="auto"/>
              </w:rPr>
              <w:t>67/EB,] ir [Reglamente (ES) Nr. </w:t>
            </w:r>
            <w:r w:rsidRPr="00565F80">
              <w:rPr>
                <w:color w:val="auto"/>
              </w:rPr>
              <w:t>439/2010].</w:t>
            </w:r>
          </w:p>
        </w:tc>
        <w:tc>
          <w:tcPr>
            <w:tcW w:w="4876" w:type="dxa"/>
          </w:tcPr>
          <w:p w:rsidR="00BF668E" w:rsidRPr="00565F80" w:rsidRDefault="00BF668E" w:rsidP="00C555DE">
            <w:pPr>
              <w:pStyle w:val="Normal6"/>
              <w:rPr>
                <w:color w:val="auto"/>
              </w:rPr>
            </w:pPr>
            <w:r w:rsidRPr="00565F80">
              <w:rPr>
                <w:color w:val="auto"/>
              </w:rPr>
              <w:t>3.</w:t>
            </w:r>
            <w:r w:rsidRPr="00565F80">
              <w:rPr>
                <w:color w:val="auto"/>
              </w:rPr>
              <w:tab/>
              <w:t xml:space="preserve">Pirštų atspaudus </w:t>
            </w:r>
            <w:r w:rsidRPr="00565F80">
              <w:rPr>
                <w:b/>
                <w:i/>
                <w:color w:val="auto"/>
              </w:rPr>
              <w:t xml:space="preserve">ir veido atvaizdą </w:t>
            </w:r>
            <w:r w:rsidRPr="00565F80">
              <w:rPr>
                <w:color w:val="auto"/>
              </w:rPr>
              <w:t>paimti ir perduoti taip pat gali Europos sienų [ir pakrančių] apsaugos būrių nariai arba valstybių narių prieglobsčio ekspertai, atlikdami užduotis ir naudodamiesi įgaliojimais, nustatytais [Reglamente dėl Europos sienų [ir pakrančių] apsaugos pajėgų, kuriuo pa</w:t>
            </w:r>
            <w:r w:rsidR="00E67291" w:rsidRPr="00565F80">
              <w:rPr>
                <w:color w:val="auto"/>
              </w:rPr>
              <w:t>naikinamas Reglamentas (EB) Nr. </w:t>
            </w:r>
            <w:r w:rsidR="00CB6B85" w:rsidRPr="00565F80">
              <w:rPr>
                <w:color w:val="auto"/>
              </w:rPr>
              <w:t>2007/2004, Reglamentas (EB) Nr. </w:t>
            </w:r>
            <w:r w:rsidRPr="00565F80">
              <w:rPr>
                <w:color w:val="auto"/>
              </w:rPr>
              <w:t>863/2007 ir Tarybos sprendimas 2005/2</w:t>
            </w:r>
            <w:r w:rsidR="00CB6B85" w:rsidRPr="00565F80">
              <w:rPr>
                <w:color w:val="auto"/>
              </w:rPr>
              <w:t>67/EB,] ir [Reglamente (ES) Nr. </w:t>
            </w:r>
            <w:r w:rsidRPr="00565F80">
              <w:rPr>
                <w:color w:val="auto"/>
              </w:rPr>
              <w:t>439/2010].</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262</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Monika Hohlmeier, Heinz K. Becker, Rachida Dati, Brice Hortefeux, Mariya Gabriel</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10 straipsnio 3 a dalis (nauja)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3a.</w:t>
            </w:r>
            <w:r w:rsidRPr="00565F80">
              <w:rPr>
                <w:color w:val="auto"/>
              </w:rPr>
              <w:tab/>
            </w:r>
            <w:r w:rsidRPr="00565F80">
              <w:rPr>
                <w:b/>
                <w:i/>
                <w:color w:val="auto"/>
              </w:rPr>
              <w:t>3 dalies taikymo tikslais Europos sienų ir pakrančių apsaugos agentūra ir būsima Europos Sąjungos prieglobsčio agentūra įsteigia ir palaiko techninę sąsają, kuri suteikia tiesioginį ryšį su EURODAC centrine sistema.</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Šiuo pakeitimu mažinama Agentūros priklausomybė nuo nacionalinės infrastruktūros, kuri gali būti tikra našta kasdieniam agentūrų darbui, nes ne kiekviena nacionalinė infrastruktūra yra grindžiama aukščiausiais standartais.</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lastRenderedPageBreak/>
        <w:t>&lt;Amend&gt;</w:t>
      </w:r>
      <w:r w:rsidRPr="00565F80">
        <w:rPr>
          <w:color w:val="auto"/>
        </w:rPr>
        <w:t xml:space="preserve">Pakeitimas </w:t>
      </w:r>
      <w:r w:rsidRPr="00565F80">
        <w:rPr>
          <w:rStyle w:val="HideTWBExt"/>
          <w:color w:val="auto"/>
        </w:rPr>
        <w:t>&lt;NumAm&gt;</w:t>
      </w:r>
      <w:r w:rsidRPr="00565F80">
        <w:rPr>
          <w:color w:val="auto"/>
        </w:rPr>
        <w:t>263</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Malin Björk, Barbara Spinelli, Marina Albiol Guzmán</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12 straipsnio 1 dalies b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b)</w:t>
            </w:r>
            <w:r w:rsidRPr="00565F80">
              <w:rPr>
                <w:color w:val="auto"/>
              </w:rPr>
              <w:tab/>
            </w:r>
            <w:r w:rsidRPr="00565F80">
              <w:rPr>
                <w:b/>
                <w:i/>
                <w:color w:val="auto"/>
              </w:rPr>
              <w:t>veido atvaizdą;</w:t>
            </w:r>
          </w:p>
        </w:tc>
        <w:tc>
          <w:tcPr>
            <w:tcW w:w="4876" w:type="dxa"/>
          </w:tcPr>
          <w:p w:rsidR="00BF668E" w:rsidRPr="00565F80" w:rsidRDefault="00BF668E" w:rsidP="00C555DE">
            <w:pPr>
              <w:pStyle w:val="Normal6"/>
              <w:rPr>
                <w:color w:val="auto"/>
              </w:rPr>
            </w:pPr>
            <w:r w:rsidRPr="00565F80">
              <w:rPr>
                <w:b/>
                <w:i/>
                <w:color w:val="auto"/>
              </w:rPr>
              <w:t>Išbraukta.</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264</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12 straipsnio 1 dalies b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b)</w:t>
            </w:r>
            <w:r w:rsidRPr="00565F80">
              <w:rPr>
                <w:color w:val="auto"/>
              </w:rPr>
              <w:tab/>
              <w:t>veido atvaizdą;</w:t>
            </w:r>
          </w:p>
        </w:tc>
        <w:tc>
          <w:tcPr>
            <w:tcW w:w="4876" w:type="dxa"/>
          </w:tcPr>
          <w:p w:rsidR="00BF668E" w:rsidRPr="00565F80" w:rsidRDefault="00BF668E" w:rsidP="00C555DE">
            <w:pPr>
              <w:pStyle w:val="Normal6"/>
              <w:rPr>
                <w:color w:val="auto"/>
              </w:rPr>
            </w:pPr>
            <w:r w:rsidRPr="00565F80">
              <w:rPr>
                <w:color w:val="auto"/>
              </w:rPr>
              <w:t>b)</w:t>
            </w:r>
            <w:r w:rsidRPr="00565F80">
              <w:rPr>
                <w:color w:val="auto"/>
              </w:rPr>
              <w:tab/>
              <w:t>veido atvaizdą</w:t>
            </w:r>
            <w:r w:rsidRPr="00565F80">
              <w:rPr>
                <w:b/>
                <w:i/>
                <w:color w:val="auto"/>
              </w:rPr>
              <w:t>, kai duomenų subjektas yra nepilnametis</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265</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12 straipsnio 1 dalies c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c)</w:t>
            </w:r>
            <w:r w:rsidRPr="00565F80">
              <w:rPr>
                <w:color w:val="auto"/>
              </w:rPr>
              <w:tab/>
              <w:t>pavardę (-es) ir vardą (-us), pavardę (-es) gimimo metu ir visas anksčiau turėtas pavardes</w:t>
            </w:r>
            <w:r w:rsidRPr="00565F80">
              <w:rPr>
                <w:b/>
                <w:i/>
                <w:color w:val="auto"/>
              </w:rPr>
              <w:t>, visas pravardes, kurias galima įvesti atskirai</w:t>
            </w:r>
            <w:r w:rsidRPr="00565F80">
              <w:rPr>
                <w:color w:val="auto"/>
              </w:rPr>
              <w:t>;</w:t>
            </w:r>
          </w:p>
        </w:tc>
        <w:tc>
          <w:tcPr>
            <w:tcW w:w="4876" w:type="dxa"/>
          </w:tcPr>
          <w:p w:rsidR="00BF668E" w:rsidRPr="00565F80" w:rsidRDefault="00BF668E" w:rsidP="00C555DE">
            <w:pPr>
              <w:pStyle w:val="Normal6"/>
              <w:rPr>
                <w:color w:val="auto"/>
              </w:rPr>
            </w:pPr>
            <w:r w:rsidRPr="00565F80">
              <w:rPr>
                <w:color w:val="auto"/>
              </w:rPr>
              <w:t>c)</w:t>
            </w:r>
            <w:r w:rsidRPr="00565F80">
              <w:rPr>
                <w:color w:val="auto"/>
              </w:rPr>
              <w:tab/>
              <w:t>pavardę (-es) ir vardą (-us), pavardę (-es) gimimo metu ir visas anksčiau turėtas pavardes;</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lastRenderedPageBreak/>
        <w:t>&lt;Amend&gt;</w:t>
      </w:r>
      <w:r w:rsidRPr="00565F80">
        <w:rPr>
          <w:color w:val="auto"/>
        </w:rPr>
        <w:t xml:space="preserve">Pakeitimas </w:t>
      </w:r>
      <w:r w:rsidRPr="00565F80">
        <w:rPr>
          <w:rStyle w:val="HideTWBExt"/>
          <w:color w:val="auto"/>
        </w:rPr>
        <w:t>&lt;NumAm&gt;</w:t>
      </w:r>
      <w:r w:rsidRPr="00565F80">
        <w:rPr>
          <w:color w:val="auto"/>
        </w:rPr>
        <w:t>266</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12 straipsnio 1 dalies d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d)</w:t>
            </w:r>
            <w:r w:rsidRPr="00565F80">
              <w:rPr>
                <w:color w:val="auto"/>
              </w:rPr>
              <w:tab/>
            </w:r>
            <w:r w:rsidRPr="00565F80">
              <w:rPr>
                <w:b/>
                <w:i/>
                <w:color w:val="auto"/>
              </w:rPr>
              <w:t>pilietybę (-es);</w:t>
            </w:r>
          </w:p>
        </w:tc>
        <w:tc>
          <w:tcPr>
            <w:tcW w:w="4876" w:type="dxa"/>
          </w:tcPr>
          <w:p w:rsidR="00BF668E" w:rsidRPr="00565F80" w:rsidRDefault="00BF668E" w:rsidP="00C555DE">
            <w:pPr>
              <w:pStyle w:val="Normal6"/>
              <w:rPr>
                <w:color w:val="auto"/>
              </w:rPr>
            </w:pPr>
            <w:r w:rsidRPr="00565F80">
              <w:rPr>
                <w:b/>
                <w:i/>
                <w:color w:val="auto"/>
              </w:rPr>
              <w:t>Išbraukta.</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267</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Kati Piri, Maria Grapini, Juan Fernando López Aguilar, Caterina Chinnici</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12 straipsnio 1 dalies d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color w:val="auto"/>
              </w:rPr>
              <w:t>d)</w:t>
            </w:r>
            <w:r w:rsidRPr="00565F80">
              <w:rPr>
                <w:color w:val="auto"/>
              </w:rPr>
              <w:tab/>
              <w:t>pilietybę (-es);</w:t>
            </w:r>
          </w:p>
        </w:tc>
        <w:tc>
          <w:tcPr>
            <w:tcW w:w="4876" w:type="dxa"/>
          </w:tcPr>
          <w:p w:rsidR="00BF668E" w:rsidRPr="00565F80" w:rsidRDefault="00BF668E" w:rsidP="00C555DE">
            <w:pPr>
              <w:pStyle w:val="Normal6"/>
              <w:rPr>
                <w:color w:val="auto"/>
              </w:rPr>
            </w:pPr>
            <w:r w:rsidRPr="00565F80">
              <w:rPr>
                <w:color w:val="auto"/>
              </w:rPr>
              <w:t>d)</w:t>
            </w:r>
            <w:r w:rsidRPr="00565F80">
              <w:rPr>
                <w:color w:val="auto"/>
              </w:rPr>
              <w:tab/>
              <w:t xml:space="preserve">pilietybę (-es) </w:t>
            </w:r>
            <w:r w:rsidRPr="00565F80">
              <w:rPr>
                <w:b/>
                <w:i/>
                <w:color w:val="auto"/>
              </w:rPr>
              <w:t>arba preziumuojamą ir deklaruotą pilietybę arba asmens be pilietybės statusą pagal 1954 m. konvencijos dėl asmenų be pilietybės statuso 1 straipsnio 1 dalį</w:t>
            </w:r>
            <w:r w:rsidRPr="00565F80">
              <w:rPr>
                <w:color w:val="auto"/>
              </w:rPr>
              <w:t>;</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268</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12 straipsnio 1 dalies e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e)</w:t>
            </w:r>
            <w:r w:rsidRPr="00565F80">
              <w:rPr>
                <w:color w:val="auto"/>
              </w:rPr>
              <w:tab/>
            </w:r>
            <w:r w:rsidRPr="00565F80">
              <w:rPr>
                <w:b/>
                <w:i/>
                <w:color w:val="auto"/>
              </w:rPr>
              <w:t>gimimo vieta ir data;</w:t>
            </w:r>
          </w:p>
        </w:tc>
        <w:tc>
          <w:tcPr>
            <w:tcW w:w="4876" w:type="dxa"/>
          </w:tcPr>
          <w:p w:rsidR="00BF668E" w:rsidRPr="00565F80" w:rsidRDefault="00BF668E" w:rsidP="00C555DE">
            <w:pPr>
              <w:pStyle w:val="Normal6"/>
              <w:rPr>
                <w:color w:val="auto"/>
              </w:rPr>
            </w:pPr>
            <w:r w:rsidRPr="00565F80">
              <w:rPr>
                <w:b/>
                <w:i/>
                <w:color w:val="auto"/>
              </w:rPr>
              <w:t>Išbraukta.</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lastRenderedPageBreak/>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269</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Sylvia-Yvonne Kaufmann, Josef Weidenholzer, Vilija Blinkevičiūtė, Péter Niedermüller, Kati Piri, Maria Grapini, Juan Fernando López Aguilar, Caterina Chinnici</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12 straipsnio 1 dalies g a punktas (naujas)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ga)</w:t>
            </w:r>
            <w:r w:rsidRPr="00565F80">
              <w:rPr>
                <w:color w:val="auto"/>
              </w:rPr>
              <w:tab/>
            </w:r>
            <w:r w:rsidRPr="00565F80">
              <w:rPr>
                <w:b/>
                <w:i/>
                <w:color w:val="auto"/>
              </w:rPr>
              <w:t>informaciją apie nepilnamečių šeiminius ryšius, pvz., šeimos narių ir lydinčių asmenų vardus, pavardes arba bet kokią kitą svarbią informaciją, kuri galėtų padėti surasti šeimą arba jai susijungti;</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BF668E" w:rsidRPr="00565F80" w:rsidRDefault="00BF668E" w:rsidP="00BF668E">
      <w:r w:rsidRPr="00565F80">
        <w:rPr>
          <w:rStyle w:val="HideTWBExt"/>
          <w:color w:val="auto"/>
        </w:rPr>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270</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Judith Sargentini</w:t>
      </w:r>
      <w:r w:rsidRPr="00565F80">
        <w:rPr>
          <w:rStyle w:val="HideTWBExt"/>
          <w:color w:val="auto"/>
        </w:rPr>
        <w:t>&lt;/Members&gt;</w:t>
      </w:r>
    </w:p>
    <w:p w:rsidR="00BF668E" w:rsidRPr="00565F80" w:rsidRDefault="00BF668E" w:rsidP="00BF668E">
      <w:r w:rsidRPr="00565F80">
        <w:rPr>
          <w:rStyle w:val="HideTWBExt"/>
          <w:color w:val="auto"/>
        </w:rPr>
        <w:t>&lt;AuNomDe&gt;</w:t>
      </w:r>
      <w:r w:rsidRPr="00565F80">
        <w:rPr>
          <w:rStyle w:val="HideTWBInt"/>
          <w:color w:val="auto"/>
        </w:rPr>
        <w:t>{Verts/ALE}</w:t>
      </w:r>
      <w:r w:rsidRPr="00565F80">
        <w:t>Verts/ALE frakcijos vardu</w:t>
      </w:r>
      <w:r w:rsidRPr="00565F80">
        <w:rPr>
          <w:rStyle w:val="HideTWBExt"/>
          <w:color w:val="auto"/>
        </w:rPr>
        <w:t>&lt;/AuNomDe&gt;</w:t>
      </w:r>
    </w:p>
    <w:p w:rsidR="00BF668E" w:rsidRPr="00565F80" w:rsidRDefault="00BF668E" w:rsidP="00BF668E">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12 straipsnio 1 dalies h punktas</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r w:rsidRPr="00565F80">
              <w:rPr>
                <w:b/>
                <w:i/>
                <w:color w:val="auto"/>
              </w:rPr>
              <w:t>h)</w:t>
            </w:r>
            <w:r w:rsidRPr="00565F80">
              <w:rPr>
                <w:color w:val="auto"/>
              </w:rPr>
              <w:tab/>
            </w:r>
            <w:r w:rsidRPr="00565F80">
              <w:rPr>
                <w:b/>
                <w:i/>
                <w:color w:val="auto"/>
              </w:rPr>
              <w:t>tapatybės ar kelionės dokumento tipą ir numerį; dokumentą išdavusios šalies trijų raidžių kodą ir galiojimo pabaigos datą;</w:t>
            </w:r>
          </w:p>
        </w:tc>
        <w:tc>
          <w:tcPr>
            <w:tcW w:w="4876" w:type="dxa"/>
          </w:tcPr>
          <w:p w:rsidR="00BF668E" w:rsidRPr="00565F80" w:rsidRDefault="00BF668E" w:rsidP="00C555DE">
            <w:pPr>
              <w:pStyle w:val="Normal6"/>
              <w:rPr>
                <w:color w:val="auto"/>
              </w:rPr>
            </w:pPr>
            <w:r w:rsidRPr="00565F80">
              <w:rPr>
                <w:b/>
                <w:i/>
                <w:color w:val="auto"/>
              </w:rPr>
              <w:t>Išbraukta.</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r w:rsidRPr="00565F80">
        <w:rPr>
          <w:rStyle w:val="HideTWBExt"/>
          <w:color w:val="auto"/>
        </w:rPr>
        <w:lastRenderedPageBreak/>
        <w:t>&lt;/Amend&gt;</w:t>
      </w:r>
    </w:p>
    <w:p w:rsidR="00BF668E" w:rsidRPr="00565F80" w:rsidRDefault="00BF668E" w:rsidP="00BF668E">
      <w:pPr>
        <w:pStyle w:val="AMNumberTabs"/>
        <w:rPr>
          <w:color w:val="auto"/>
        </w:rPr>
      </w:pPr>
      <w:r w:rsidRPr="00565F80">
        <w:rPr>
          <w:rStyle w:val="HideTWBExt"/>
          <w:color w:val="auto"/>
        </w:rPr>
        <w:t>&lt;Amend&gt;</w:t>
      </w:r>
      <w:r w:rsidRPr="00565F80">
        <w:rPr>
          <w:color w:val="auto"/>
        </w:rPr>
        <w:t xml:space="preserve">Pakeitimas </w:t>
      </w:r>
      <w:r w:rsidRPr="00565F80">
        <w:rPr>
          <w:rStyle w:val="HideTWBExt"/>
          <w:color w:val="auto"/>
        </w:rPr>
        <w:t>&lt;NumAm&gt;</w:t>
      </w:r>
      <w:r w:rsidRPr="00565F80">
        <w:rPr>
          <w:color w:val="auto"/>
        </w:rPr>
        <w:t>271</w:t>
      </w:r>
      <w:r w:rsidRPr="00565F80">
        <w:rPr>
          <w:rStyle w:val="HideTWBExt"/>
          <w:color w:val="auto"/>
        </w:rPr>
        <w:t>&lt;/NumAm&gt;</w:t>
      </w:r>
    </w:p>
    <w:p w:rsidR="00BF668E" w:rsidRPr="00565F80" w:rsidRDefault="00BF668E" w:rsidP="00BF668E">
      <w:pPr>
        <w:pStyle w:val="NormalBold"/>
        <w:rPr>
          <w:color w:val="auto"/>
        </w:rPr>
      </w:pPr>
      <w:r w:rsidRPr="00565F80">
        <w:rPr>
          <w:rStyle w:val="HideTWBExt"/>
          <w:color w:val="auto"/>
        </w:rPr>
        <w:t>&lt;RepeatBlock-By&gt;&lt;Members&gt;</w:t>
      </w:r>
      <w:r w:rsidRPr="00565F80">
        <w:rPr>
          <w:color w:val="auto"/>
        </w:rPr>
        <w:t>Jeroen Lenaers</w:t>
      </w:r>
      <w:r w:rsidRPr="00565F80">
        <w:rPr>
          <w:rStyle w:val="HideTWBExt"/>
          <w:color w:val="auto"/>
        </w:rPr>
        <w:t>&lt;/Members&gt;</w:t>
      </w:r>
    </w:p>
    <w:p w:rsidR="00BF668E" w:rsidRPr="00565F80" w:rsidRDefault="00BF668E" w:rsidP="00BF668E">
      <w:pPr>
        <w:pStyle w:val="NormalBold"/>
        <w:rPr>
          <w:color w:val="auto"/>
        </w:rPr>
      </w:pPr>
      <w:r w:rsidRPr="00565F80">
        <w:rPr>
          <w:rStyle w:val="HideTWBExt"/>
          <w:color w:val="auto"/>
        </w:rPr>
        <w:t>&lt;/RepeatBlock-By&gt;</w:t>
      </w:r>
    </w:p>
    <w:p w:rsidR="00BF668E" w:rsidRPr="00565F80" w:rsidRDefault="00BF668E" w:rsidP="00BF668E">
      <w:pPr>
        <w:pStyle w:val="NormalBold"/>
        <w:rPr>
          <w:color w:val="auto"/>
        </w:rPr>
      </w:pPr>
      <w:r w:rsidRPr="00565F80">
        <w:rPr>
          <w:rStyle w:val="HideTWBExt"/>
          <w:color w:val="auto"/>
        </w:rPr>
        <w:t>&lt;DocAmend&gt;</w:t>
      </w:r>
      <w:r w:rsidRPr="00565F80">
        <w:rPr>
          <w:color w:val="auto"/>
        </w:rPr>
        <w:t>Pasiūlymas dėl reglamento</w:t>
      </w:r>
      <w:r w:rsidRPr="00565F80">
        <w:rPr>
          <w:rStyle w:val="HideTWBExt"/>
          <w:color w:val="auto"/>
        </w:rPr>
        <w:t>&lt;/DocAmend&gt;</w:t>
      </w:r>
    </w:p>
    <w:p w:rsidR="00BF668E" w:rsidRPr="00565F80" w:rsidRDefault="00BF668E" w:rsidP="00BF668E">
      <w:pPr>
        <w:pStyle w:val="NormalBold"/>
        <w:rPr>
          <w:color w:val="auto"/>
        </w:rPr>
      </w:pPr>
      <w:r w:rsidRPr="00565F80">
        <w:rPr>
          <w:rStyle w:val="HideTWBExt"/>
          <w:color w:val="auto"/>
        </w:rPr>
        <w:t>&lt;Article&gt;</w:t>
      </w:r>
      <w:r w:rsidRPr="00565F80">
        <w:rPr>
          <w:color w:val="auto"/>
        </w:rPr>
        <w:t>12 straipsnio s a dalis (nauja)</w:t>
      </w:r>
      <w:r w:rsidRPr="00565F80">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F668E" w:rsidRPr="00565F80" w:rsidTr="00C555DE">
        <w:trPr>
          <w:trHeight w:hRule="exact" w:val="240"/>
          <w:jc w:val="center"/>
        </w:trPr>
        <w:tc>
          <w:tcPr>
            <w:tcW w:w="9752" w:type="dxa"/>
            <w:gridSpan w:val="2"/>
          </w:tcPr>
          <w:p w:rsidR="00BF668E" w:rsidRPr="00565F80" w:rsidRDefault="00BF668E" w:rsidP="00C555DE"/>
        </w:tc>
      </w:tr>
      <w:tr w:rsidR="00BF668E" w:rsidRPr="00565F80" w:rsidTr="00C555DE">
        <w:trPr>
          <w:trHeight w:val="240"/>
          <w:jc w:val="center"/>
        </w:trPr>
        <w:tc>
          <w:tcPr>
            <w:tcW w:w="4876" w:type="dxa"/>
          </w:tcPr>
          <w:p w:rsidR="00BF668E" w:rsidRPr="00565F80" w:rsidRDefault="00BF668E" w:rsidP="00C555DE">
            <w:pPr>
              <w:pStyle w:val="ColumnHeading"/>
              <w:rPr>
                <w:color w:val="auto"/>
              </w:rPr>
            </w:pPr>
            <w:r w:rsidRPr="00565F80">
              <w:rPr>
                <w:color w:val="auto"/>
              </w:rPr>
              <w:t>Komisijos siūlomas tekstas</w:t>
            </w:r>
          </w:p>
        </w:tc>
        <w:tc>
          <w:tcPr>
            <w:tcW w:w="4876" w:type="dxa"/>
          </w:tcPr>
          <w:p w:rsidR="00BF668E" w:rsidRPr="00565F80" w:rsidRDefault="00BF668E" w:rsidP="00C555DE">
            <w:pPr>
              <w:pStyle w:val="ColumnHeading"/>
              <w:rPr>
                <w:color w:val="auto"/>
              </w:rPr>
            </w:pPr>
            <w:r w:rsidRPr="00565F80">
              <w:rPr>
                <w:color w:val="auto"/>
              </w:rPr>
              <w:t>Pakeitimas</w:t>
            </w:r>
          </w:p>
        </w:tc>
      </w:tr>
      <w:tr w:rsidR="00BF668E" w:rsidRPr="00565F80" w:rsidTr="00C555DE">
        <w:trPr>
          <w:jc w:val="center"/>
        </w:trPr>
        <w:tc>
          <w:tcPr>
            <w:tcW w:w="4876" w:type="dxa"/>
          </w:tcPr>
          <w:p w:rsidR="00BF668E" w:rsidRPr="00565F80" w:rsidRDefault="00BF668E" w:rsidP="00C555DE">
            <w:pPr>
              <w:pStyle w:val="Normal6"/>
              <w:rPr>
                <w:color w:val="auto"/>
              </w:rPr>
            </w:pPr>
          </w:p>
        </w:tc>
        <w:tc>
          <w:tcPr>
            <w:tcW w:w="4876" w:type="dxa"/>
          </w:tcPr>
          <w:p w:rsidR="00BF668E" w:rsidRPr="00565F80" w:rsidRDefault="00BF668E" w:rsidP="00C555DE">
            <w:pPr>
              <w:pStyle w:val="Normal6"/>
              <w:rPr>
                <w:color w:val="auto"/>
              </w:rPr>
            </w:pPr>
            <w:r w:rsidRPr="00565F80">
              <w:rPr>
                <w:b/>
                <w:i/>
                <w:color w:val="auto"/>
              </w:rPr>
              <w:t>sa)</w:t>
            </w:r>
            <w:r w:rsidRPr="00565F80">
              <w:rPr>
                <w:color w:val="auto"/>
              </w:rPr>
              <w:tab/>
            </w:r>
            <w:r w:rsidRPr="00565F80">
              <w:rPr>
                <w:b/>
                <w:i/>
                <w:color w:val="auto"/>
              </w:rPr>
              <w:t>nepilnamečio, ypač nelydimo, atveju, jei taikytina, duomenis apie šeimos narius, pavyzdžiui, pavardę (-es), vardą (-us), gimimo datą, lytį, pilietybę (-es), gimimo vietą, ryšį su nepilnamečiu.</w:t>
            </w:r>
          </w:p>
        </w:tc>
      </w:tr>
    </w:tbl>
    <w:p w:rsidR="00BF668E" w:rsidRPr="00565F80" w:rsidRDefault="00BF668E" w:rsidP="00BF668E">
      <w:pPr>
        <w:pStyle w:val="Olang"/>
        <w:rPr>
          <w:color w:val="auto"/>
          <w:lang w:val="lt-LT"/>
        </w:rPr>
      </w:pPr>
      <w:r w:rsidRPr="00565F80">
        <w:rPr>
          <w:color w:val="auto"/>
          <w:lang w:val="lt-LT"/>
        </w:rPr>
        <w:t xml:space="preserve">Or. </w:t>
      </w:r>
      <w:r w:rsidRPr="00565F80">
        <w:rPr>
          <w:rStyle w:val="HideTWBExt"/>
          <w:color w:val="auto"/>
          <w:lang w:val="lt-LT"/>
        </w:rPr>
        <w:t>&lt;Original&gt;</w:t>
      </w:r>
      <w:r w:rsidRPr="00565F80">
        <w:rPr>
          <w:rStyle w:val="HideTWBInt"/>
          <w:color w:val="auto"/>
          <w:lang w:val="lt-LT"/>
        </w:rPr>
        <w:t>{EN}</w:t>
      </w:r>
      <w:r w:rsidRPr="00565F80">
        <w:rPr>
          <w:color w:val="auto"/>
          <w:lang w:val="lt-LT"/>
        </w:rPr>
        <w:t>en</w:t>
      </w:r>
      <w:r w:rsidRPr="00565F80">
        <w:rPr>
          <w:rStyle w:val="HideTWBExt"/>
          <w:color w:val="auto"/>
          <w:lang w:val="lt-LT"/>
        </w:rPr>
        <w:t>&lt;/Original&gt;</w:t>
      </w:r>
    </w:p>
    <w:p w:rsidR="00BF668E" w:rsidRPr="00565F80" w:rsidRDefault="00BF668E" w:rsidP="00BF668E">
      <w:pPr>
        <w:pStyle w:val="JustificationTitle"/>
        <w:rPr>
          <w:color w:val="auto"/>
          <w:lang w:val="lt-LT"/>
        </w:rPr>
      </w:pPr>
      <w:r w:rsidRPr="00565F80">
        <w:rPr>
          <w:rStyle w:val="HideTWBExt"/>
          <w:color w:val="auto"/>
          <w:lang w:val="lt-LT"/>
        </w:rPr>
        <w:t>&lt;TitreJust&gt;</w:t>
      </w:r>
      <w:r w:rsidRPr="00565F80">
        <w:rPr>
          <w:color w:val="auto"/>
          <w:lang w:val="lt-LT"/>
        </w:rPr>
        <w:t>Pagrindimas</w:t>
      </w:r>
      <w:r w:rsidRPr="00565F80">
        <w:rPr>
          <w:rStyle w:val="HideTWBExt"/>
          <w:color w:val="auto"/>
          <w:lang w:val="lt-LT"/>
        </w:rPr>
        <w:t>&lt;/TitreJust&gt;</w:t>
      </w:r>
    </w:p>
    <w:p w:rsidR="00BF668E" w:rsidRPr="00565F80" w:rsidRDefault="00BF668E" w:rsidP="00BF668E">
      <w:pPr>
        <w:pStyle w:val="Normal12Italic"/>
        <w:rPr>
          <w:color w:val="auto"/>
          <w:lang w:val="lt-LT"/>
        </w:rPr>
      </w:pPr>
      <w:r w:rsidRPr="00565F80">
        <w:rPr>
          <w:color w:val="auto"/>
          <w:lang w:val="lt-LT"/>
        </w:rPr>
        <w:t>Šiame reglamente būtina atsižvelgti į vaiko interesus. Šis pakeitimas susijęs su 2 straipsniu.</w:t>
      </w:r>
    </w:p>
    <w:p w:rsidR="00C92E8F" w:rsidRPr="00565F80" w:rsidRDefault="00BF668E" w:rsidP="00BF668E">
      <w:r w:rsidRPr="00565F80">
        <w:rPr>
          <w:rStyle w:val="HideTWBExt"/>
          <w:color w:val="auto"/>
        </w:rPr>
        <w:t>&lt;/Amend&gt;&lt;/RepeatBlock-Amend&gt;</w:t>
      </w:r>
    </w:p>
    <w:sectPr w:rsidR="00C92E8F" w:rsidRPr="00565F80" w:rsidSect="00565F80">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538B" w:rsidRPr="00565F80" w:rsidRDefault="00A050CF">
      <w:r w:rsidRPr="00565F80">
        <w:separator/>
      </w:r>
    </w:p>
  </w:endnote>
  <w:endnote w:type="continuationSeparator" w:id="0">
    <w:p w:rsidR="00B5538B" w:rsidRPr="00565F80" w:rsidRDefault="00A050CF">
      <w:r w:rsidRPr="00565F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F80" w:rsidRPr="00565F80" w:rsidRDefault="00565F80" w:rsidP="00565F80">
    <w:pPr>
      <w:pStyle w:val="Footer"/>
      <w:rPr>
        <w:lang w:val="lt-LT"/>
      </w:rPr>
    </w:pPr>
    <w:r w:rsidRPr="00565F80">
      <w:rPr>
        <w:lang w:val="lt-LT"/>
      </w:rPr>
      <w:t>PE</w:t>
    </w:r>
    <w:r w:rsidRPr="00565F80">
      <w:rPr>
        <w:rStyle w:val="HideTWBExt"/>
        <w:lang w:val="lt-LT"/>
      </w:rPr>
      <w:t>&lt;NoPE&gt;</w:t>
    </w:r>
    <w:r w:rsidRPr="00565F80">
      <w:rPr>
        <w:lang w:val="lt-LT"/>
      </w:rPr>
      <w:t>601.040</w:t>
    </w:r>
    <w:r w:rsidRPr="00565F80">
      <w:rPr>
        <w:rStyle w:val="HideTWBExt"/>
        <w:lang w:val="lt-LT"/>
      </w:rPr>
      <w:t>&lt;/NoPE&gt;&lt;Version&gt;</w:t>
    </w:r>
    <w:r w:rsidRPr="00565F80">
      <w:rPr>
        <w:lang w:val="lt-LT"/>
      </w:rPr>
      <w:t>v01-00</w:t>
    </w:r>
    <w:r w:rsidRPr="00565F80">
      <w:rPr>
        <w:rStyle w:val="HideTWBExt"/>
        <w:lang w:val="lt-LT"/>
      </w:rPr>
      <w:t>&lt;/Version&gt;</w:t>
    </w:r>
    <w:r w:rsidRPr="00565F80">
      <w:rPr>
        <w:lang w:val="lt-LT"/>
      </w:rPr>
      <w:tab/>
    </w:r>
    <w:r w:rsidRPr="00565F80">
      <w:rPr>
        <w:lang w:val="lt-LT"/>
      </w:rPr>
      <w:fldChar w:fldCharType="begin"/>
    </w:r>
    <w:r w:rsidRPr="00565F80">
      <w:rPr>
        <w:lang w:val="lt-LT"/>
      </w:rPr>
      <w:instrText xml:space="preserve"> PAGE  \* MERGEFORMAT </w:instrText>
    </w:r>
    <w:r w:rsidRPr="00565F80">
      <w:rPr>
        <w:lang w:val="lt-LT"/>
      </w:rPr>
      <w:fldChar w:fldCharType="separate"/>
    </w:r>
    <w:r w:rsidR="00D8426E">
      <w:rPr>
        <w:noProof/>
        <w:lang w:val="lt-LT"/>
      </w:rPr>
      <w:t>2</w:t>
    </w:r>
    <w:r w:rsidRPr="00565F80">
      <w:rPr>
        <w:lang w:val="lt-LT"/>
      </w:rPr>
      <w:fldChar w:fldCharType="end"/>
    </w:r>
    <w:r w:rsidRPr="00565F80">
      <w:rPr>
        <w:lang w:val="lt-LT"/>
      </w:rPr>
      <w:t>/</w:t>
    </w:r>
    <w:r w:rsidRPr="00565F80">
      <w:rPr>
        <w:lang w:val="lt-LT"/>
      </w:rPr>
      <w:fldChar w:fldCharType="begin"/>
    </w:r>
    <w:r w:rsidRPr="00565F80">
      <w:rPr>
        <w:lang w:val="lt-LT"/>
      </w:rPr>
      <w:instrText xml:space="preserve"> NUMPAGES  \* MERGEFORMAT </w:instrText>
    </w:r>
    <w:r w:rsidRPr="00565F80">
      <w:rPr>
        <w:lang w:val="lt-LT"/>
      </w:rPr>
      <w:fldChar w:fldCharType="separate"/>
    </w:r>
    <w:r w:rsidR="00D8426E">
      <w:rPr>
        <w:noProof/>
        <w:lang w:val="lt-LT"/>
      </w:rPr>
      <w:t>140</w:t>
    </w:r>
    <w:r w:rsidRPr="00565F80">
      <w:rPr>
        <w:lang w:val="lt-LT"/>
      </w:rPr>
      <w:fldChar w:fldCharType="end"/>
    </w:r>
    <w:r w:rsidRPr="00565F80">
      <w:rPr>
        <w:lang w:val="lt-LT"/>
      </w:rPr>
      <w:tab/>
    </w:r>
    <w:r w:rsidRPr="00565F80">
      <w:rPr>
        <w:rStyle w:val="HideTWBExt"/>
        <w:lang w:val="lt-LT"/>
      </w:rPr>
      <w:t>&lt;PathFdR&gt;</w:t>
    </w:r>
    <w:r w:rsidRPr="00565F80">
      <w:rPr>
        <w:lang w:val="lt-LT"/>
      </w:rPr>
      <w:t>AM\1119113LT.docx</w:t>
    </w:r>
    <w:r w:rsidRPr="00565F80">
      <w:rPr>
        <w:rStyle w:val="HideTWBExt"/>
        <w:lang w:val="lt-LT"/>
      </w:rPr>
      <w:t>&lt;/PathFdR&gt;</w:t>
    </w:r>
  </w:p>
  <w:p w:rsidR="00C92E8F" w:rsidRPr="00565F80" w:rsidRDefault="00565F80" w:rsidP="00565F80">
    <w:pPr>
      <w:pStyle w:val="Footer2"/>
    </w:pPr>
    <w:r w:rsidRPr="00565F80">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F80" w:rsidRPr="00565F80" w:rsidRDefault="00565F80" w:rsidP="00565F80">
    <w:pPr>
      <w:pStyle w:val="Footer"/>
      <w:rPr>
        <w:lang w:val="lt-LT"/>
      </w:rPr>
    </w:pPr>
    <w:r w:rsidRPr="00565F80">
      <w:rPr>
        <w:rStyle w:val="HideTWBExt"/>
        <w:lang w:val="lt-LT"/>
      </w:rPr>
      <w:t>&lt;PathFdR&gt;</w:t>
    </w:r>
    <w:r w:rsidRPr="00565F80">
      <w:rPr>
        <w:lang w:val="lt-LT"/>
      </w:rPr>
      <w:t>AM\1119113LT.docx</w:t>
    </w:r>
    <w:r w:rsidRPr="00565F80">
      <w:rPr>
        <w:rStyle w:val="HideTWBExt"/>
        <w:lang w:val="lt-LT"/>
      </w:rPr>
      <w:t>&lt;/PathFdR&gt;</w:t>
    </w:r>
    <w:r w:rsidRPr="00565F80">
      <w:rPr>
        <w:lang w:val="lt-LT"/>
      </w:rPr>
      <w:tab/>
    </w:r>
    <w:r w:rsidRPr="00565F80">
      <w:rPr>
        <w:lang w:val="lt-LT"/>
      </w:rPr>
      <w:fldChar w:fldCharType="begin"/>
    </w:r>
    <w:r w:rsidRPr="00565F80">
      <w:rPr>
        <w:lang w:val="lt-LT"/>
      </w:rPr>
      <w:instrText xml:space="preserve"> PAGE  \* MERGEFORMAT </w:instrText>
    </w:r>
    <w:r w:rsidRPr="00565F80">
      <w:rPr>
        <w:lang w:val="lt-LT"/>
      </w:rPr>
      <w:fldChar w:fldCharType="separate"/>
    </w:r>
    <w:r w:rsidR="00D8426E">
      <w:rPr>
        <w:noProof/>
        <w:lang w:val="lt-LT"/>
      </w:rPr>
      <w:t>3</w:t>
    </w:r>
    <w:r w:rsidRPr="00565F80">
      <w:rPr>
        <w:lang w:val="lt-LT"/>
      </w:rPr>
      <w:fldChar w:fldCharType="end"/>
    </w:r>
    <w:r w:rsidRPr="00565F80">
      <w:rPr>
        <w:lang w:val="lt-LT"/>
      </w:rPr>
      <w:t>/</w:t>
    </w:r>
    <w:r w:rsidRPr="00565F80">
      <w:rPr>
        <w:lang w:val="lt-LT"/>
      </w:rPr>
      <w:fldChar w:fldCharType="begin"/>
    </w:r>
    <w:r w:rsidRPr="00565F80">
      <w:rPr>
        <w:lang w:val="lt-LT"/>
      </w:rPr>
      <w:instrText xml:space="preserve"> NUMPAGES  \* MERGEFORMAT </w:instrText>
    </w:r>
    <w:r w:rsidRPr="00565F80">
      <w:rPr>
        <w:lang w:val="lt-LT"/>
      </w:rPr>
      <w:fldChar w:fldCharType="separate"/>
    </w:r>
    <w:r w:rsidR="00D8426E">
      <w:rPr>
        <w:noProof/>
        <w:lang w:val="lt-LT"/>
      </w:rPr>
      <w:t>140</w:t>
    </w:r>
    <w:r w:rsidRPr="00565F80">
      <w:rPr>
        <w:lang w:val="lt-LT"/>
      </w:rPr>
      <w:fldChar w:fldCharType="end"/>
    </w:r>
    <w:r w:rsidRPr="00565F80">
      <w:rPr>
        <w:lang w:val="lt-LT"/>
      </w:rPr>
      <w:tab/>
      <w:t>PE</w:t>
    </w:r>
    <w:r w:rsidRPr="00565F80">
      <w:rPr>
        <w:rStyle w:val="HideTWBExt"/>
        <w:lang w:val="lt-LT"/>
      </w:rPr>
      <w:t>&lt;NoPE&gt;</w:t>
    </w:r>
    <w:r w:rsidRPr="00565F80">
      <w:rPr>
        <w:lang w:val="lt-LT"/>
      </w:rPr>
      <w:t>601.040</w:t>
    </w:r>
    <w:r w:rsidRPr="00565F80">
      <w:rPr>
        <w:rStyle w:val="HideTWBExt"/>
        <w:lang w:val="lt-LT"/>
      </w:rPr>
      <w:t>&lt;/NoPE&gt;&lt;Version&gt;</w:t>
    </w:r>
    <w:r w:rsidRPr="00565F80">
      <w:rPr>
        <w:lang w:val="lt-LT"/>
      </w:rPr>
      <w:t>v01-00</w:t>
    </w:r>
    <w:r w:rsidRPr="00565F80">
      <w:rPr>
        <w:rStyle w:val="HideTWBExt"/>
        <w:lang w:val="lt-LT"/>
      </w:rPr>
      <w:t>&lt;/Version&gt;</w:t>
    </w:r>
  </w:p>
  <w:p w:rsidR="00565F80" w:rsidRPr="00565F80" w:rsidRDefault="00565F80" w:rsidP="00565F80">
    <w:pPr>
      <w:pStyle w:val="Footer2"/>
    </w:pPr>
    <w:r w:rsidRPr="00565F80">
      <w:tab/>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F80" w:rsidRPr="00565F80" w:rsidRDefault="00565F80" w:rsidP="00565F80">
    <w:pPr>
      <w:pStyle w:val="Footer"/>
      <w:rPr>
        <w:lang w:val="lt-LT"/>
      </w:rPr>
    </w:pPr>
    <w:r w:rsidRPr="00565F80">
      <w:rPr>
        <w:rStyle w:val="HideTWBExt"/>
        <w:lang w:val="lt-LT"/>
      </w:rPr>
      <w:t>&lt;PathFdR&gt;</w:t>
    </w:r>
    <w:r w:rsidRPr="00565F80">
      <w:rPr>
        <w:lang w:val="lt-LT"/>
      </w:rPr>
      <w:t>AM\1119113LT.docx</w:t>
    </w:r>
    <w:r w:rsidRPr="00565F80">
      <w:rPr>
        <w:rStyle w:val="HideTWBExt"/>
        <w:lang w:val="lt-LT"/>
      </w:rPr>
      <w:t>&lt;/PathFdR&gt;</w:t>
    </w:r>
    <w:r w:rsidRPr="00565F80">
      <w:rPr>
        <w:lang w:val="lt-LT"/>
      </w:rPr>
      <w:tab/>
    </w:r>
    <w:r w:rsidRPr="00565F80">
      <w:rPr>
        <w:lang w:val="lt-LT"/>
      </w:rPr>
      <w:tab/>
      <w:t>PE</w:t>
    </w:r>
    <w:r w:rsidRPr="00565F80">
      <w:rPr>
        <w:rStyle w:val="HideTWBExt"/>
        <w:lang w:val="lt-LT"/>
      </w:rPr>
      <w:t>&lt;NoPE&gt;</w:t>
    </w:r>
    <w:r w:rsidRPr="00565F80">
      <w:rPr>
        <w:lang w:val="lt-LT"/>
      </w:rPr>
      <w:t>601.040</w:t>
    </w:r>
    <w:r w:rsidRPr="00565F80">
      <w:rPr>
        <w:rStyle w:val="HideTWBExt"/>
        <w:lang w:val="lt-LT"/>
      </w:rPr>
      <w:t>&lt;/NoPE&gt;&lt;Version&gt;</w:t>
    </w:r>
    <w:r w:rsidRPr="00565F80">
      <w:rPr>
        <w:lang w:val="lt-LT"/>
      </w:rPr>
      <w:t>v01-00</w:t>
    </w:r>
    <w:r w:rsidRPr="00565F80">
      <w:rPr>
        <w:rStyle w:val="HideTWBExt"/>
        <w:lang w:val="lt-LT"/>
      </w:rPr>
      <w:t>&lt;/Version&gt;</w:t>
    </w:r>
  </w:p>
  <w:p w:rsidR="00C92E8F" w:rsidRPr="00565F80" w:rsidRDefault="00565F80" w:rsidP="00565F80">
    <w:pPr>
      <w:pStyle w:val="Footer2"/>
      <w:tabs>
        <w:tab w:val="center" w:pos="4535"/>
        <w:tab w:val="right" w:pos="9921"/>
      </w:tabs>
    </w:pPr>
    <w:r w:rsidRPr="00565F80">
      <w:t>LT</w:t>
    </w:r>
    <w:r w:rsidRPr="00565F80">
      <w:tab/>
    </w:r>
    <w:r w:rsidRPr="00565F80">
      <w:rPr>
        <w:b w:val="0"/>
        <w:i/>
        <w:color w:val="C0C0C0"/>
        <w:sz w:val="22"/>
      </w:rPr>
      <w:t>Suvienijusi įvairovę</w:t>
    </w:r>
    <w:r w:rsidRPr="00565F80">
      <w:tab/>
      <w:t>LT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538B" w:rsidRPr="00565F80" w:rsidRDefault="00A050CF">
      <w:r w:rsidRPr="00565F80">
        <w:separator/>
      </w:r>
    </w:p>
  </w:footnote>
  <w:footnote w:type="continuationSeparator" w:id="0">
    <w:p w:rsidR="00B5538B" w:rsidRPr="00565F80" w:rsidRDefault="00A050CF">
      <w:r w:rsidRPr="00565F80">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26E" w:rsidRDefault="00D842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26E" w:rsidRDefault="00D8426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26E" w:rsidRDefault="00D842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9"/>
    <w:docVar w:name="TXTLANGUE" w:val="LT"/>
    <w:docVar w:name="TXTLANGUEMIN" w:val="lt"/>
    <w:docVar w:name="TXTNRPE" w:val="601.040"/>
    <w:docVar w:name="TXTPEorAP" w:val="PE"/>
    <w:docVar w:name="TXTROUTE" w:val="AM\1119113LT.docx"/>
    <w:docVar w:name="TXTVERSION" w:val="01-00"/>
  </w:docVars>
  <w:rsids>
    <w:rsidRoot w:val="00C92E8F"/>
    <w:rsid w:val="00075FEA"/>
    <w:rsid w:val="000B4C6F"/>
    <w:rsid w:val="000B575E"/>
    <w:rsid w:val="00104CC4"/>
    <w:rsid w:val="00164064"/>
    <w:rsid w:val="001A1E89"/>
    <w:rsid w:val="001A23B0"/>
    <w:rsid w:val="001B762B"/>
    <w:rsid w:val="001F1B5A"/>
    <w:rsid w:val="001F369B"/>
    <w:rsid w:val="001F47DD"/>
    <w:rsid w:val="00252155"/>
    <w:rsid w:val="00262A78"/>
    <w:rsid w:val="002729FD"/>
    <w:rsid w:val="002F7B52"/>
    <w:rsid w:val="00344601"/>
    <w:rsid w:val="00347024"/>
    <w:rsid w:val="0036333B"/>
    <w:rsid w:val="00371D41"/>
    <w:rsid w:val="0039072E"/>
    <w:rsid w:val="003C169E"/>
    <w:rsid w:val="003C6DCD"/>
    <w:rsid w:val="00412D9A"/>
    <w:rsid w:val="0042479E"/>
    <w:rsid w:val="00453141"/>
    <w:rsid w:val="0046285D"/>
    <w:rsid w:val="004D2F56"/>
    <w:rsid w:val="00565F80"/>
    <w:rsid w:val="00585065"/>
    <w:rsid w:val="005852AB"/>
    <w:rsid w:val="005B6BB7"/>
    <w:rsid w:val="005D6A70"/>
    <w:rsid w:val="005F4C3E"/>
    <w:rsid w:val="005F728C"/>
    <w:rsid w:val="00636326"/>
    <w:rsid w:val="00675DFF"/>
    <w:rsid w:val="006945BF"/>
    <w:rsid w:val="006C2AFB"/>
    <w:rsid w:val="006E1298"/>
    <w:rsid w:val="00706BC8"/>
    <w:rsid w:val="00754F41"/>
    <w:rsid w:val="00797FCB"/>
    <w:rsid w:val="007D18F1"/>
    <w:rsid w:val="007E47A2"/>
    <w:rsid w:val="00800C5B"/>
    <w:rsid w:val="00810BDC"/>
    <w:rsid w:val="008617D6"/>
    <w:rsid w:val="00874CD0"/>
    <w:rsid w:val="00881C47"/>
    <w:rsid w:val="008A77FD"/>
    <w:rsid w:val="009604FF"/>
    <w:rsid w:val="00976358"/>
    <w:rsid w:val="00976531"/>
    <w:rsid w:val="009D2074"/>
    <w:rsid w:val="00A050CF"/>
    <w:rsid w:val="00A11402"/>
    <w:rsid w:val="00A26C0A"/>
    <w:rsid w:val="00A904C0"/>
    <w:rsid w:val="00AC407E"/>
    <w:rsid w:val="00AE3648"/>
    <w:rsid w:val="00B4436E"/>
    <w:rsid w:val="00B5538B"/>
    <w:rsid w:val="00B563D8"/>
    <w:rsid w:val="00B60FC6"/>
    <w:rsid w:val="00BA02F9"/>
    <w:rsid w:val="00BF668E"/>
    <w:rsid w:val="00C42D8F"/>
    <w:rsid w:val="00C6071E"/>
    <w:rsid w:val="00C92E8F"/>
    <w:rsid w:val="00CB6B85"/>
    <w:rsid w:val="00CC1629"/>
    <w:rsid w:val="00CD4A5F"/>
    <w:rsid w:val="00CF0926"/>
    <w:rsid w:val="00D71DD0"/>
    <w:rsid w:val="00D8426E"/>
    <w:rsid w:val="00D94921"/>
    <w:rsid w:val="00E07896"/>
    <w:rsid w:val="00E57954"/>
    <w:rsid w:val="00E67291"/>
    <w:rsid w:val="00E87104"/>
    <w:rsid w:val="00EE27B2"/>
    <w:rsid w:val="00EF0195"/>
    <w:rsid w:val="00EF072B"/>
    <w:rsid w:val="00F615C4"/>
    <w:rsid w:val="00F63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7"/>
    <o:shapelayout v:ext="edit">
      <o:idmap v:ext="edit" data="1"/>
    </o:shapelayout>
  </w:shapeDefaults>
  <w:decimalSymbol w:val=","/>
  <w:listSeparator w:val=";"/>
  <w15:docId w15:val="{13F7D0FD-E2DB-418F-8863-3694E1A62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FC6"/>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B60F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uiPriority w:val="99"/>
    <w:rsid w:val="00B60FC6"/>
    <w:pPr>
      <w:spacing w:after="120"/>
      <w:jc w:val="center"/>
    </w:pPr>
    <w:rPr>
      <w:color w:val="000000"/>
    </w:rPr>
  </w:style>
  <w:style w:type="paragraph" w:customStyle="1" w:styleId="ColumnHeading">
    <w:name w:val="ColumnHeading"/>
    <w:basedOn w:val="Normal"/>
    <w:rsid w:val="00B60FC6"/>
    <w:pPr>
      <w:spacing w:after="240"/>
      <w:jc w:val="center"/>
    </w:pPr>
    <w:rPr>
      <w:i/>
      <w:color w:val="000000"/>
    </w:rPr>
  </w:style>
  <w:style w:type="paragraph" w:customStyle="1" w:styleId="Cover24">
    <w:name w:val="Cover24"/>
    <w:rsid w:val="00B60FC6"/>
    <w:pPr>
      <w:spacing w:after="480"/>
      <w:ind w:left="1418"/>
    </w:pPr>
    <w:rPr>
      <w:color w:val="000000"/>
      <w:sz w:val="24"/>
      <w:szCs w:val="24"/>
    </w:rPr>
  </w:style>
  <w:style w:type="paragraph" w:customStyle="1" w:styleId="CoverBold">
    <w:name w:val="CoverBold"/>
    <w:rsid w:val="00B60FC6"/>
    <w:pPr>
      <w:ind w:left="1418"/>
    </w:pPr>
    <w:rPr>
      <w:b/>
      <w:color w:val="000000"/>
      <w:sz w:val="24"/>
      <w:szCs w:val="24"/>
    </w:rPr>
  </w:style>
  <w:style w:type="paragraph" w:customStyle="1" w:styleId="CoverNormal">
    <w:name w:val="CoverNormal"/>
    <w:basedOn w:val="Normal"/>
    <w:rsid w:val="00B60FC6"/>
    <w:pPr>
      <w:ind w:left="1418"/>
    </w:pPr>
    <w:rPr>
      <w:color w:val="000000"/>
    </w:rPr>
  </w:style>
  <w:style w:type="paragraph" w:customStyle="1" w:styleId="CrossRef">
    <w:name w:val="CrossRef"/>
    <w:rsid w:val="00B60FC6"/>
    <w:pPr>
      <w:spacing w:before="240"/>
      <w:jc w:val="center"/>
    </w:pPr>
    <w:rPr>
      <w:i/>
      <w:color w:val="000000"/>
      <w:sz w:val="24"/>
    </w:rPr>
  </w:style>
  <w:style w:type="character" w:customStyle="1" w:styleId="DefaultParagraphFont0">
    <w:name w:val="Default Paragraph Font_0"/>
    <w:uiPriority w:val="1"/>
    <w:semiHidden/>
    <w:unhideWhenUsed/>
    <w:rsid w:val="00B60FC6"/>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sid w:val="00B60FC6"/>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B60FC6"/>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B60FC6"/>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B60FC6"/>
    <w:rPr>
      <w:rFonts w:ascii="Arial" w:eastAsia="Arial" w:hAnsi="Arial" w:cs="Arial"/>
      <w:b w:val="0"/>
      <w:i w:val="0"/>
      <w:caps w:val="0"/>
      <w:vanish/>
      <w:color w:val="000080"/>
      <w:sz w:val="20"/>
    </w:rPr>
  </w:style>
  <w:style w:type="character" w:customStyle="1" w:styleId="HideTWBInt">
    <w:name w:val="HideTWBInt"/>
    <w:basedOn w:val="DefaultParagraphFont"/>
    <w:rsid w:val="00B60FC6"/>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B60FC6"/>
    <w:pPr>
      <w:keepNext/>
      <w:spacing w:before="240" w:after="240"/>
      <w:jc w:val="center"/>
    </w:pPr>
    <w:rPr>
      <w:i/>
      <w:color w:val="000000"/>
      <w:sz w:val="24"/>
      <w:szCs w:val="24"/>
    </w:rPr>
  </w:style>
  <w:style w:type="paragraph" w:customStyle="1" w:styleId="LineBottom">
    <w:name w:val="LineBottom"/>
    <w:basedOn w:val="Normal"/>
    <w:next w:val="Normal"/>
    <w:rsid w:val="00B60FC6"/>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B60FC6"/>
    <w:pPr>
      <w:pBdr>
        <w:top w:val="single" w:sz="4" w:space="0" w:color="auto"/>
      </w:pBdr>
      <w:jc w:val="center"/>
    </w:pPr>
    <w:rPr>
      <w:rFonts w:ascii="Arial" w:eastAsia="Arial" w:hAnsi="Arial" w:cs="Arial"/>
      <w:color w:val="000000"/>
      <w:sz w:val="16"/>
    </w:rPr>
  </w:style>
  <w:style w:type="paragraph" w:customStyle="1" w:styleId="NRAMS">
    <w:name w:val="NRAMS"/>
    <w:rsid w:val="00B60FC6"/>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B60FC6"/>
  </w:style>
  <w:style w:type="paragraph" w:customStyle="1" w:styleId="Normal0">
    <w:name w:val="Normal_0"/>
    <w:next w:val="Normal"/>
    <w:qFormat/>
    <w:rsid w:val="00EC60CE"/>
    <w:rPr>
      <w:sz w:val="24"/>
      <w:szCs w:val="24"/>
    </w:rPr>
  </w:style>
  <w:style w:type="paragraph" w:customStyle="1" w:styleId="Normal12">
    <w:name w:val="Normal12"/>
    <w:basedOn w:val="Normal"/>
    <w:rsid w:val="00B60FC6"/>
    <w:pPr>
      <w:spacing w:after="240"/>
    </w:pPr>
    <w:rPr>
      <w:color w:val="000000"/>
    </w:rPr>
  </w:style>
  <w:style w:type="paragraph" w:customStyle="1" w:styleId="Normal12Italic">
    <w:name w:val="Normal12Italic"/>
    <w:rsid w:val="00B60FC6"/>
    <w:pPr>
      <w:spacing w:after="240"/>
    </w:pPr>
    <w:rPr>
      <w:i/>
      <w:color w:val="000000"/>
      <w:sz w:val="24"/>
      <w:szCs w:val="24"/>
    </w:rPr>
  </w:style>
  <w:style w:type="paragraph" w:customStyle="1" w:styleId="Normal12a12b">
    <w:name w:val="Normal12a12b"/>
    <w:basedOn w:val="Normal"/>
    <w:rsid w:val="00B60FC6"/>
    <w:pPr>
      <w:spacing w:before="240" w:after="240"/>
    </w:pPr>
    <w:rPr>
      <w:color w:val="000000"/>
    </w:rPr>
  </w:style>
  <w:style w:type="paragraph" w:customStyle="1" w:styleId="Normal24">
    <w:name w:val="Normal24"/>
    <w:basedOn w:val="Normal"/>
    <w:rsid w:val="00B60FC6"/>
    <w:pPr>
      <w:spacing w:after="480"/>
    </w:pPr>
    <w:rPr>
      <w:color w:val="000000"/>
    </w:rPr>
  </w:style>
  <w:style w:type="paragraph" w:customStyle="1" w:styleId="Normal6">
    <w:name w:val="Normal6"/>
    <w:basedOn w:val="Normal"/>
    <w:rsid w:val="00B60FC6"/>
    <w:pPr>
      <w:spacing w:after="120"/>
    </w:pPr>
    <w:rPr>
      <w:color w:val="000000"/>
    </w:rPr>
  </w:style>
  <w:style w:type="paragraph" w:customStyle="1" w:styleId="Normal6Italic">
    <w:name w:val="Normal6Italic"/>
    <w:basedOn w:val="Normal"/>
    <w:uiPriority w:val="99"/>
    <w:rsid w:val="00B60FC6"/>
    <w:pPr>
      <w:spacing w:after="120"/>
    </w:pPr>
    <w:rPr>
      <w:i/>
      <w:color w:val="000000"/>
    </w:rPr>
  </w:style>
  <w:style w:type="character" w:customStyle="1" w:styleId="Normal6RomanBI">
    <w:name w:val="Normal6RomanBI"/>
    <w:rsid w:val="00B60FC6"/>
    <w:rPr>
      <w:rFonts w:ascii="Times New Roman" w:eastAsia="Times New Roman" w:hAnsi="Times New Roman" w:cs="Times New Roman"/>
      <w:b/>
      <w:i/>
      <w:color w:val="000000"/>
      <w:sz w:val="24"/>
    </w:rPr>
  </w:style>
  <w:style w:type="paragraph" w:customStyle="1" w:styleId="NormalBold">
    <w:name w:val="NormalBold"/>
    <w:basedOn w:val="Normal"/>
    <w:rsid w:val="00B60FC6"/>
    <w:rPr>
      <w:b/>
      <w:color w:val="000000"/>
    </w:rPr>
  </w:style>
  <w:style w:type="paragraph" w:customStyle="1" w:styleId="NormalBold12b">
    <w:name w:val="NormalBold12b"/>
    <w:basedOn w:val="Normal"/>
    <w:rsid w:val="00B60FC6"/>
    <w:pPr>
      <w:spacing w:before="240"/>
    </w:pPr>
    <w:rPr>
      <w:b/>
      <w:color w:val="000000"/>
    </w:rPr>
  </w:style>
  <w:style w:type="paragraph" w:customStyle="1" w:styleId="Olang">
    <w:name w:val="Olang"/>
    <w:rsid w:val="00B60FC6"/>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B60FC6"/>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B60FC6"/>
    <w:pPr>
      <w:spacing w:after="120"/>
    </w:pPr>
    <w:rPr>
      <w:b/>
      <w:i/>
      <w:color w:val="000000"/>
      <w:sz w:val="24"/>
      <w:szCs w:val="24"/>
    </w:rPr>
  </w:style>
  <w:style w:type="paragraph" w:customStyle="1" w:styleId="StyleNormalBoldNotBold">
    <w:name w:val="Style NormalBold + Not Bold"/>
    <w:rsid w:val="00B60FC6"/>
    <w:rPr>
      <w:color w:val="000000"/>
      <w:sz w:val="24"/>
      <w:szCs w:val="24"/>
    </w:rPr>
  </w:style>
  <w:style w:type="character" w:customStyle="1" w:styleId="Sub">
    <w:name w:val="Sub"/>
    <w:rsid w:val="00B60FC6"/>
    <w:rPr>
      <w:color w:val="000000"/>
      <w:vertAlign w:val="subscript"/>
    </w:rPr>
  </w:style>
  <w:style w:type="character" w:customStyle="1" w:styleId="SubBold">
    <w:name w:val="SubBold"/>
    <w:rsid w:val="00B60FC6"/>
    <w:rPr>
      <w:b/>
      <w:color w:val="000000"/>
      <w:vertAlign w:val="subscript"/>
    </w:rPr>
  </w:style>
  <w:style w:type="character" w:customStyle="1" w:styleId="SubBoldItalic">
    <w:name w:val="SubBoldItalic"/>
    <w:rsid w:val="00B60FC6"/>
    <w:rPr>
      <w:b/>
      <w:i/>
      <w:color w:val="000000"/>
      <w:vertAlign w:val="subscript"/>
    </w:rPr>
  </w:style>
  <w:style w:type="character" w:customStyle="1" w:styleId="SubItalic">
    <w:name w:val="SubItalic"/>
    <w:rsid w:val="00B60FC6"/>
    <w:rPr>
      <w:i/>
      <w:color w:val="000000"/>
      <w:vertAlign w:val="subscript"/>
    </w:rPr>
  </w:style>
  <w:style w:type="character" w:customStyle="1" w:styleId="Sup">
    <w:name w:val="Sup"/>
    <w:rsid w:val="00B60FC6"/>
    <w:rPr>
      <w:color w:val="000000"/>
      <w:vertAlign w:val="superscript"/>
    </w:rPr>
  </w:style>
  <w:style w:type="character" w:customStyle="1" w:styleId="SupBold">
    <w:name w:val="SupBold"/>
    <w:rsid w:val="00B60FC6"/>
    <w:rPr>
      <w:b/>
      <w:color w:val="000000"/>
      <w:vertAlign w:val="superscript"/>
    </w:rPr>
  </w:style>
  <w:style w:type="character" w:customStyle="1" w:styleId="SupBoldItalic">
    <w:name w:val="SupBoldItalic"/>
    <w:uiPriority w:val="99"/>
    <w:rsid w:val="00B60FC6"/>
    <w:rPr>
      <w:b/>
      <w:i/>
      <w:color w:val="000000"/>
      <w:vertAlign w:val="superscript"/>
    </w:rPr>
  </w:style>
  <w:style w:type="character" w:customStyle="1" w:styleId="SupItalic">
    <w:name w:val="SupItalic"/>
    <w:rsid w:val="00B60FC6"/>
    <w:rPr>
      <w:i/>
      <w:color w:val="000000"/>
      <w:vertAlign w:val="superscript"/>
    </w:rPr>
  </w:style>
  <w:style w:type="table" w:customStyle="1" w:styleId="TableNormal0">
    <w:name w:val="Table Normal_0"/>
    <w:next w:val="TableNormal"/>
    <w:uiPriority w:val="99"/>
    <w:semiHidden/>
    <w:unhideWhenUsed/>
    <w:rsid w:val="00B60FC6"/>
    <w:tblPr>
      <w:tblInd w:w="0" w:type="dxa"/>
      <w:tblCellMar>
        <w:top w:w="0" w:type="dxa"/>
        <w:left w:w="108" w:type="dxa"/>
        <w:bottom w:w="0" w:type="dxa"/>
        <w:right w:w="108" w:type="dxa"/>
      </w:tblCellMar>
    </w:tblPr>
  </w:style>
  <w:style w:type="paragraph" w:customStyle="1" w:styleId="TypeDocAM">
    <w:name w:val="TypeDocAM"/>
    <w:basedOn w:val="Normal"/>
    <w:rsid w:val="00B60FC6"/>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B60FC6"/>
    <w:pPr>
      <w:spacing w:line="220" w:lineRule="auto"/>
      <w:jc w:val="center"/>
    </w:pPr>
    <w:rPr>
      <w:rFonts w:ascii="Arial" w:eastAsia="Arial" w:hAnsi="Arial" w:cs="Arial"/>
      <w:i/>
      <w:color w:val="000000"/>
      <w:sz w:val="22"/>
    </w:rPr>
  </w:style>
  <w:style w:type="paragraph" w:customStyle="1" w:styleId="ZDate">
    <w:name w:val="ZDate"/>
    <w:basedOn w:val="Normal"/>
    <w:rsid w:val="00B60FC6"/>
    <w:pPr>
      <w:spacing w:after="1680"/>
    </w:pPr>
    <w:rPr>
      <w:color w:val="000000"/>
    </w:rPr>
  </w:style>
  <w:style w:type="paragraph" w:styleId="Header">
    <w:name w:val="header"/>
    <w:basedOn w:val="Normal"/>
    <w:link w:val="HeaderChar"/>
    <w:unhideWhenUsed/>
    <w:rsid w:val="00104CC4"/>
    <w:pPr>
      <w:tabs>
        <w:tab w:val="center" w:pos="4513"/>
        <w:tab w:val="right" w:pos="9026"/>
      </w:tabs>
    </w:pPr>
  </w:style>
  <w:style w:type="character" w:customStyle="1" w:styleId="HeaderChar">
    <w:name w:val="Header Char"/>
    <w:basedOn w:val="DefaultParagraphFont"/>
    <w:link w:val="Header"/>
    <w:rsid w:val="00104C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D6F1372D.dotm</Template>
  <TotalTime>0</TotalTime>
  <Pages>140</Pages>
  <Words>35208</Words>
  <Characters>269772</Characters>
  <Application>Microsoft Office Word</Application>
  <DocSecurity>0</DocSecurity>
  <Lines>9302</Lines>
  <Paragraphs>2989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MIKUCIONIS Kazimieras</cp:lastModifiedBy>
  <cp:revision>2</cp:revision>
  <dcterms:created xsi:type="dcterms:W3CDTF">2017-03-17T10:11:00Z</dcterms:created>
  <dcterms:modified xsi:type="dcterms:W3CDTF">2017-03-17T10:11:00Z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1119113</vt:lpwstr>
  </property>
  <property fmtid="{D5CDD505-2E9C-101B-9397-08002B2CF9AE}" pid="4" name="&lt;FooterPath&gt;">
    <vt:lpwstr>AM\1119113XM.doc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20170308-170438-169229-480056</vt:lpwstr>
  </property>
  <property fmtid="{D5CDD505-2E9C-101B-9397-08002B2CF9AE}" pid="8" name="PE Number">
    <vt:lpwstr>601.040</vt:lpwstr>
  </property>
  <property fmtid="{D5CDD505-2E9C-101B-9397-08002B2CF9AE}" pid="9" name="UID">
    <vt:lpwstr>eu.europa.europarl-DIN1-2017-0000024575_02.00-xm-01.00_text-xml</vt:lpwstr>
  </property>
  <property fmtid="{D5CDD505-2E9C-101B-9397-08002B2CF9AE}" pid="10" name="LastEdited with">
    <vt:lpwstr>9.0.0 Build [20170301]</vt:lpwstr>
  </property>
  <property fmtid="{D5CDD505-2E9C-101B-9397-08002B2CF9AE}" pid="11" name="FooterPath">
    <vt:lpwstr>AM\1119113LT.docx</vt:lpwstr>
  </property>
  <property fmtid="{D5CDD505-2E9C-101B-9397-08002B2CF9AE}" pid="12" name="Bookout">
    <vt:lpwstr>OK - 2017/03/17 11:11</vt:lpwstr>
  </property>
</Properties>
</file>