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4.1.0.0 -->
  <w:body>
    <w:tbl>
      <w:tblPr>
        <w:jc w:val="center"/>
        <w:tblLayout w:type="fixed"/>
        <w:tblCellMar>
          <w:top w:w="0" w:type="dxa"/>
          <w:left w:w="108" w:type="dxa"/>
          <w:bottom w:w="0" w:type="dxa"/>
          <w:right w:w="108" w:type="dxa"/>
        </w:tblCellMar>
      </w:tblPr>
      <w:tblGrid>
        <w:gridCol w:w="6804"/>
        <w:gridCol w:w="2268"/>
      </w:tblGrid>
      <w:tr>
        <w:tblPrEx>
          <w:jc w:val="center"/>
          <w:tblLayout w:type="fixed"/>
          <w:tblCellMar>
            <w:top w:w="0" w:type="dxa"/>
            <w:left w:w="108" w:type="dxa"/>
            <w:bottom w:w="0" w:type="dxa"/>
            <w:right w:w="108" w:type="dxa"/>
          </w:tblCellMar>
        </w:tblPrEx>
        <w:trPr>
          <w:trHeight w:hRule="exact" w:val="1417"/>
          <w:jc w:val="center"/>
        </w:trPr>
        <w:tc>
          <w:tcPr>
            <w:vAlign w:val="center"/>
          </w:tcPr>
          <w:p w:rsidR="00A77B3E">
            <w:pPr>
              <w:pStyle w:val="EPName"/>
            </w:pPr>
            <w:r>
              <w:t>Parlament Ewropew</w:t>
            </w:r>
          </w:p>
          <w:p>
            <w:pPr>
              <w:pStyle w:val="EPTerm"/>
            </w:pPr>
            <w:r>
              <w:t>2014-2019</w:t>
            </w:r>
          </w:p>
        </w:tc>
        <w:tc>
          <w:tcPr/>
          <w:p>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1.02pt;width:91.56pt">
                  <v:imagedata r:id="rId4" o:title=""/>
                </v:shape>
              </w:pict>
            </w:r>
          </w:p>
        </w:tc>
      </w:tr>
    </w:tbl>
    <w:p w:rsidR="00A77B3E">
      <w:pPr>
        <w:pStyle w:val="LineTop"/>
      </w:pPr>
    </w:p>
    <w:p>
      <w:pPr>
        <w:pStyle w:val="ZCommittee"/>
      </w:pPr>
      <w:r>
        <w:rPr>
          <w:rStyle w:val="HideTWBExt"/>
        </w:rPr>
        <w:t>&lt;</w:t>
      </w:r>
      <w:r>
        <w:rPr>
          <w:rStyle w:val="HideTWBExt"/>
        </w:rPr>
        <w:t>Commission</w:t>
      </w:r>
      <w:r>
        <w:rPr>
          <w:rStyle w:val="HideTWBExt"/>
        </w:rPr>
        <w:t>&gt;</w:t>
      </w:r>
      <w:r>
        <w:rPr>
          <w:rStyle w:val="HideTWBInt"/>
        </w:rPr>
        <w:t>{LIBE}</w:t>
      </w:r>
      <w:r>
        <w:t>Kumitat għal-Libertajiet Ċivili, il-Ġustizzja u l-Intern</w:t>
      </w:r>
      <w:r>
        <w:rPr>
          <w:rStyle w:val="HideTWBExt"/>
        </w:rPr>
        <w:t>&lt;/</w:t>
      </w:r>
      <w:r>
        <w:rPr>
          <w:rStyle w:val="HideTWBExt"/>
        </w:rPr>
        <w:t>Commission</w:t>
      </w:r>
      <w:r>
        <w:rPr>
          <w:rStyle w:val="HideTWBExt"/>
        </w:rPr>
        <w:t>&gt;</w:t>
      </w:r>
    </w:p>
    <w:p>
      <w:pPr>
        <w:pStyle w:val="LineBottom"/>
      </w:pPr>
    </w:p>
    <w:p>
      <w:pPr>
        <w:pStyle w:val="RefProc"/>
      </w:pPr>
      <w:r>
        <w:rPr>
          <w:rStyle w:val="HideTWBExt"/>
        </w:rPr>
        <w:t>&lt;</w:t>
      </w:r>
      <w:r>
        <w:rPr>
          <w:rStyle w:val="HideTWBExt"/>
        </w:rPr>
        <w:t>RefProc</w:t>
      </w:r>
      <w:r>
        <w:rPr>
          <w:rStyle w:val="HideTWBExt"/>
        </w:rPr>
        <w:t>&gt;</w:t>
      </w:r>
      <w:r>
        <w:t>2016/0132</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ZDate"/>
      </w:pPr>
      <w:r>
        <w:rPr>
          <w:rStyle w:val="HideTWBExt"/>
        </w:rPr>
        <w:t>&lt;</w:t>
      </w:r>
      <w:r>
        <w:rPr>
          <w:rStyle w:val="HideTWBExt"/>
        </w:rPr>
        <w:t>Date</w:t>
      </w:r>
      <w:r>
        <w:rPr>
          <w:rStyle w:val="HideTWBExt"/>
        </w:rPr>
        <w:t>&gt;</w:t>
      </w:r>
      <w:r>
        <w:rPr>
          <w:rStyle w:val="HideTWBInt"/>
        </w:rPr>
        <w:t>{</w:t>
      </w:r>
      <w:r>
        <w:rPr>
          <w:rStyle w:val="HideTWBInt"/>
        </w:rPr>
        <w:t>03/03/2017</w:t>
      </w:r>
      <w:r>
        <w:rPr>
          <w:rStyle w:val="HideTWBInt"/>
        </w:rPr>
        <w:t>}</w:t>
      </w:r>
      <w:r>
        <w:t>3.3.2017</w:t>
      </w:r>
      <w:r>
        <w:rPr>
          <w:rStyle w:val="HideTWBExt"/>
        </w:rPr>
        <w:t>&lt;/</w:t>
      </w:r>
      <w:r>
        <w:rPr>
          <w:rStyle w:val="HideTWBExt"/>
        </w:rPr>
        <w:t>Date</w:t>
      </w:r>
      <w:r>
        <w:rPr>
          <w:rStyle w:val="HideTWBExt"/>
        </w:rPr>
        <w:t>&gt;</w:t>
      </w:r>
    </w:p>
    <w:p>
      <w:pPr>
        <w:pStyle w:val="TypeDocAM"/>
      </w:pPr>
      <w:r>
        <w:rPr>
          <w:rStyle w:val="HideTWBExt"/>
        </w:rPr>
        <w:t>&lt;</w:t>
      </w:r>
      <w:r>
        <w:rPr>
          <w:rStyle w:val="HideTWBExt"/>
        </w:rPr>
        <w:t>TypeAM</w:t>
      </w:r>
      <w:r>
        <w:rPr>
          <w:rStyle w:val="HideTWBExt"/>
        </w:rPr>
        <w:t>&gt;</w:t>
      </w:r>
      <w:r>
        <w:t>EMENDI</w:t>
      </w:r>
      <w:r>
        <w:rPr>
          <w:rStyle w:val="HideTWBExt"/>
        </w:rPr>
        <w:t>&lt;/</w:t>
      </w:r>
      <w:r>
        <w:rPr>
          <w:rStyle w:val="HideTWBExt"/>
        </w:rPr>
        <w:t>TypeAM</w:t>
      </w:r>
      <w:r>
        <w:rPr>
          <w:rStyle w:val="HideTWBExt"/>
        </w:rPr>
        <w:t>&gt;</w:t>
      </w:r>
    </w:p>
    <w:p>
      <w:pPr>
        <w:pStyle w:val="NRAMS"/>
      </w:pPr>
      <w:r>
        <w:rPr>
          <w:rStyle w:val="HideTWBExt"/>
        </w:rPr>
        <w:t>&lt;</w:t>
      </w:r>
      <w:r>
        <w:rPr>
          <w:rStyle w:val="HideTWBExt"/>
        </w:rPr>
        <w:t>RangeAM</w:t>
      </w:r>
      <w:r>
        <w:rPr>
          <w:rStyle w:val="HideTWBExt"/>
        </w:rPr>
        <w:t>&gt;</w:t>
      </w:r>
      <w:r>
        <w:t>61</w:t>
      </w:r>
      <w:r>
        <w:t xml:space="preserve"> - </w:t>
      </w:r>
      <w:r>
        <w:t>271</w:t>
      </w:r>
      <w:r>
        <w:rPr>
          <w:rStyle w:val="HideTWBExt"/>
        </w:rPr>
        <w:t>&lt;/</w:t>
      </w:r>
      <w:r>
        <w:rPr>
          <w:rStyle w:val="HideTWBExt"/>
        </w:rPr>
        <w:t>RangeAM</w:t>
      </w:r>
      <w:r>
        <w:rPr>
          <w:rStyle w:val="HideTWBExt"/>
        </w:rPr>
        <w:t>&gt;</w:t>
      </w:r>
    </w:p>
    <w:p>
      <w:pPr>
        <w:pStyle w:val="CoverBold"/>
      </w:pPr>
      <w:r>
        <w:rPr>
          <w:rStyle w:val="HideTWBExt"/>
        </w:rPr>
        <w:t>&lt;</w:t>
      </w:r>
      <w:r>
        <w:rPr>
          <w:rStyle w:val="HideTWBExt"/>
        </w:rPr>
        <w:t>TitreType</w:t>
      </w:r>
      <w:r>
        <w:rPr>
          <w:rStyle w:val="HideTWBExt"/>
        </w:rPr>
        <w:t>&gt;</w:t>
      </w:r>
      <w:r>
        <w:t>Abbozz ta' rapport</w:t>
      </w:r>
      <w:r>
        <w:rPr>
          <w:rStyle w:val="HideTWBExt"/>
        </w:rPr>
        <w:t>&lt;/</w:t>
      </w:r>
      <w:r>
        <w:rPr>
          <w:rStyle w:val="HideTWBExt"/>
        </w:rPr>
        <w:t>TitreType</w:t>
      </w:r>
      <w:r>
        <w:rPr>
          <w:rStyle w:val="HideTWBExt"/>
        </w:rPr>
        <w:t>&gt;</w:t>
      </w:r>
    </w:p>
    <w:p>
      <w:pPr>
        <w:pStyle w:val="CoverBold"/>
      </w:pPr>
      <w:r>
        <w:rPr>
          <w:rStyle w:val="HideTWBExt"/>
        </w:rPr>
        <w:t>&lt;</w:t>
      </w:r>
      <w:r>
        <w:rPr>
          <w:rStyle w:val="HideTWBExt"/>
        </w:rPr>
        <w:t>Rapporteur</w:t>
      </w:r>
      <w:r>
        <w:rPr>
          <w:rStyle w:val="HideTWBExt"/>
        </w:rPr>
        <w:t>&gt;</w:t>
      </w:r>
      <w:r>
        <w:t>Monica Macovei</w:t>
      </w:r>
      <w:r>
        <w:rPr>
          <w:rStyle w:val="HideTWBExt"/>
        </w:rPr>
        <w:t>&lt;/</w:t>
      </w:r>
      <w:r>
        <w:rPr>
          <w:rStyle w:val="HideTWBExt"/>
        </w:rPr>
        <w:t>Rapporteur</w:t>
      </w:r>
      <w:r>
        <w:rPr>
          <w:rStyle w:val="HideTWBExt"/>
        </w:rPr>
        <w:t>&gt;</w:t>
      </w:r>
    </w:p>
    <w:p>
      <w:pPr>
        <w:pStyle w:val="Cover24"/>
      </w:pPr>
      <w:r>
        <w:t>(</w:t>
      </w:r>
      <w:r>
        <w:t>PE597.620v02-00</w:t>
      </w:r>
      <w:r>
        <w:t>)</w:t>
      </w:r>
    </w:p>
    <w:p>
      <w:pPr>
        <w:pStyle w:val="Cover24"/>
      </w:pPr>
      <w:r>
        <w:rPr>
          <w:rStyle w:val="HideTWBExt"/>
        </w:rPr>
        <w:t>&lt;</w:t>
      </w:r>
      <w:r>
        <w:rPr>
          <w:rStyle w:val="HideTWBExt"/>
        </w:rPr>
        <w:t>Titre</w:t>
      </w:r>
      <w:r>
        <w:rPr>
          <w:rStyle w:val="HideTWBExt"/>
        </w:rPr>
        <w:t>&gt;</w:t>
      </w:r>
      <w:r>
        <w:t>L-istabbiliment tal-"Eurodac" għat-tqabbil ta' marki tas-swaba' għall-applikazzjoni effettiva tar-Regolament (UE) Nru 604/2013, għall-identifikazzjoni ta' ċittadin ta' pajjiż terz jew persuna apolida li qed jirresjiedu illegalment u dwar talbiet għat-tqabbil ma' data tal-Eurodac mill-awtoritajiet tal-infurzar tal-liġi tal-Istati Membri u mill-Europol għall-finijiet ta' infurzar tal-liġi (riformulazzjoni)</w:t>
      </w:r>
      <w:r>
        <w:rPr>
          <w:rStyle w:val="HideTWBExt"/>
        </w:rPr>
        <w:t>&lt;/</w:t>
      </w:r>
      <w:r>
        <w:rPr>
          <w:rStyle w:val="HideTWBExt"/>
        </w:rPr>
        <w:t>Titre</w:t>
      </w:r>
      <w:r>
        <w:rPr>
          <w:rStyle w:val="HideTWBExt"/>
        </w:rPr>
        <w:t>&gt;</w:t>
      </w:r>
    </w:p>
    <w:p>
      <w:pPr>
        <w:pStyle w:val="CoverNormal"/>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Cover24"/>
      </w:pPr>
      <w:r>
        <w:rPr>
          <w:rStyle w:val="HideTWBExt"/>
        </w:rPr>
        <w:t>&lt;</w:t>
      </w:r>
      <w:r>
        <w:rPr>
          <w:rStyle w:val="HideTWBExt"/>
        </w:rPr>
        <w:t>DocRef</w:t>
      </w:r>
      <w:r>
        <w:rPr>
          <w:rStyle w:val="HideTWBExt"/>
        </w:rPr>
        <w:t>&gt;</w:t>
      </w:r>
      <w:r>
        <w:t>(</w:t>
      </w:r>
      <w:r>
        <w:t>COM(2016)0272</w:t>
      </w:r>
      <w:r>
        <w:t xml:space="preserve"> – </w:t>
      </w:r>
      <w:r>
        <w:t>C8-0179/2016</w:t>
      </w:r>
      <w:r>
        <w:t xml:space="preserve"> – </w:t>
      </w:r>
      <w:r>
        <w:t>2016/0132(COD)</w:t>
      </w:r>
      <w:r>
        <w:t>)</w:t>
      </w:r>
      <w:r>
        <w:rPr>
          <w:rStyle w:val="HideTWBExt"/>
        </w:rPr>
        <w:t>&lt;/</w:t>
      </w:r>
      <w:r>
        <w:rPr>
          <w:rStyle w:val="HideTWBExt"/>
        </w:rPr>
        <w:t>DocRef</w:t>
      </w:r>
      <w:r>
        <w:rPr>
          <w:rStyle w:val="HideTWBExt"/>
        </w:rPr>
        <w:t>&gt;</w:t>
      </w:r>
    </w:p>
    <w:p>
      <w:r>
        <w:br w:type="page"/>
      </w:r>
      <w:r>
        <w:t>AM_Com_LegReport</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Wara li kkunsidraw it-Trattat dwar il-Funzjonament tal-Unjoni Ewropea, u b’mod partikolari </w:t>
            </w:r>
            <w:r>
              <w:rPr>
                <w:rFonts w:ascii="Times New Roman" w:eastAsia="Times New Roman" w:hAnsi="Times New Roman" w:cs="Times New Roman"/>
                <w:b/>
                <w:i/>
                <w:strike w:val="0"/>
                <w:color w:val="000000"/>
                <w:sz w:val="24"/>
                <w:highlight w:val="none"/>
                <w:u w:val="none" w:color="auto"/>
              </w:rPr>
              <w:t>l-Artikolu 78(2)(e)</w:t>
            </w:r>
            <w:r>
              <w:t>,</w:t>
            </w:r>
            <w:r>
              <w:rPr>
                <w:rFonts w:ascii="Times New Roman" w:eastAsia="Times New Roman" w:hAnsi="Times New Roman" w:cs="Times New Roman"/>
                <w:b/>
                <w:i/>
                <w:strike w:val="0"/>
                <w:color w:val="000000"/>
                <w:sz w:val="24"/>
                <w:highlight w:val="none"/>
                <w:u w:val="none" w:color="auto"/>
              </w:rPr>
              <w:t xml:space="preserve">  </w:t>
            </w:r>
            <w:r>
              <w:t>79(2)(c),</w:t>
            </w:r>
            <w:r>
              <w:rPr>
                <w:rFonts w:ascii="Times New Roman" w:eastAsia="Times New Roman" w:hAnsi="Times New Roman" w:cs="Times New Roman"/>
                <w:b/>
                <w:i/>
                <w:strike w:val="0"/>
                <w:color w:val="000000"/>
                <w:sz w:val="24"/>
                <w:highlight w:val="none"/>
                <w:u w:val="none" w:color="auto"/>
              </w:rPr>
              <w:t xml:space="preserve">  </w:t>
            </w:r>
            <w:r>
              <w:t>87(2)(a) u 88(2)(a) tiegħu,</w:t>
            </w:r>
          </w:p>
        </w:tc>
        <w:tc>
          <w:tcPr/>
          <w:p>
            <w:pPr>
              <w:pStyle w:val="Normal6"/>
            </w:pPr>
            <w:r>
              <w:t xml:space="preserve">Wara li kkunsidraw it-Trattat dwar il-Funzjonament tal-Unjoni Ewropea, u b’mod partikolari </w:t>
            </w:r>
            <w:r>
              <w:rPr>
                <w:rFonts w:ascii="Times New Roman" w:eastAsia="Times New Roman" w:hAnsi="Times New Roman" w:cs="Times New Roman"/>
                <w:b/>
                <w:i/>
                <w:strike w:val="0"/>
                <w:color w:val="000000"/>
                <w:sz w:val="24"/>
                <w:highlight w:val="none"/>
                <w:u w:val="none" w:color="auto"/>
              </w:rPr>
              <w:t>l-Artikoli 78(2)(d) u (e)</w:t>
            </w:r>
            <w:r>
              <w:t>,</w:t>
            </w:r>
            <w:r>
              <w:rPr>
                <w:rFonts w:ascii="Times New Roman" w:eastAsia="Times New Roman" w:hAnsi="Times New Roman" w:cs="Times New Roman"/>
                <w:b/>
                <w:i/>
                <w:strike w:val="0"/>
                <w:color w:val="000000"/>
                <w:sz w:val="24"/>
                <w:highlight w:val="none"/>
                <w:u w:val="none" w:color="auto"/>
              </w:rPr>
              <w:t xml:space="preserve"> </w:t>
            </w:r>
            <w:r>
              <w:t>79(2)(c),</w:t>
            </w:r>
            <w:r>
              <w:rPr>
                <w:rFonts w:ascii="Times New Roman" w:eastAsia="Times New Roman" w:hAnsi="Times New Roman" w:cs="Times New Roman"/>
                <w:b/>
                <w:i/>
                <w:strike w:val="0"/>
                <w:color w:val="000000"/>
                <w:sz w:val="24"/>
                <w:highlight w:val="none"/>
                <w:u w:val="none" w:color="auto"/>
              </w:rPr>
              <w:t xml:space="preserve"> </w:t>
            </w:r>
            <w:r>
              <w:t>87(2)(a) u 88(2)(a) tiegħu,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Din hija l-bażi ġuridika applikabbli għall-proposta għal regolament li jistabbilixxi Qafas ta' Risistemazzjoni tal-Unjoni. Teħtieġ li tiżdied peress li l-proposta hija għal persuni li għalihom l-Istati Membri qed iqisu r-risistemazzjoni skont l-Artikolu 10(2) tal-proposta li tistabbilixxi Qafas ta' Risistemazzjoni tal-UE li għandu jiġi inkluż fil-kamp ta' applikazzjoni tar-Regolament Eurodac.</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Politika komuni dwar </w:t>
            </w:r>
            <w:r>
              <w:rPr>
                <w:rFonts w:ascii="Times New Roman" w:eastAsia="Times New Roman" w:hAnsi="Times New Roman" w:cs="Times New Roman"/>
                <w:b/>
                <w:i/>
                <w:strike w:val="0"/>
                <w:color w:val="000000"/>
                <w:sz w:val="24"/>
                <w:highlight w:val="none"/>
                <w:u w:val="none" w:color="auto"/>
              </w:rPr>
              <w:t>l-ażil</w:t>
            </w:r>
            <w:r>
              <w:t xml:space="preserve">, inkluża Sistema Ewropea Komuni </w:t>
            </w:r>
            <w:r>
              <w:rPr>
                <w:rFonts w:ascii="Times New Roman" w:eastAsia="Times New Roman" w:hAnsi="Times New Roman" w:cs="Times New Roman"/>
                <w:b/>
                <w:i/>
                <w:strike w:val="0"/>
                <w:color w:val="000000"/>
                <w:sz w:val="24"/>
                <w:highlight w:val="none"/>
                <w:u w:val="none" w:color="auto"/>
              </w:rPr>
              <w:t>tal-Ażil</w:t>
            </w:r>
            <w:r>
              <w:t xml:space="preserve">, hija parti kostitwenti </w:t>
            </w:r>
            <w:r>
              <w:rPr>
                <w:rFonts w:ascii="Times New Roman" w:eastAsia="Times New Roman" w:hAnsi="Times New Roman" w:cs="Times New Roman"/>
                <w:b/>
                <w:i/>
                <w:strike w:val="0"/>
                <w:color w:val="000000"/>
                <w:sz w:val="24"/>
                <w:highlight w:val="none"/>
                <w:u w:val="none" w:color="auto"/>
              </w:rPr>
              <w:t>tal-għan</w:t>
            </w:r>
            <w:r>
              <w:t xml:space="preserve"> tal-Unjoni Ewropea li tistabbilixxi b’mod progressiv spazju ta’ libertà, sigurtà u ġustizzja miftuħ għal dawk li, </w:t>
            </w:r>
            <w:r>
              <w:rPr>
                <w:rFonts w:ascii="Times New Roman" w:eastAsia="Times New Roman" w:hAnsi="Times New Roman" w:cs="Times New Roman"/>
                <w:b/>
                <w:i/>
                <w:strike w:val="0"/>
                <w:color w:val="000000"/>
                <w:sz w:val="24"/>
                <w:highlight w:val="none"/>
                <w:u w:val="none" w:color="auto"/>
              </w:rPr>
              <w:t>sforz iċ-ċirkustanzi</w:t>
            </w:r>
            <w:r>
              <w:t>, ifittxu protezzjoni internazzjonali fl-Unjoni.</w:t>
            </w:r>
          </w:p>
        </w:tc>
        <w:tc>
          <w:tcPr/>
          <w:p>
            <w:pPr>
              <w:pStyle w:val="Normal6"/>
            </w:pPr>
            <w:r>
              <w:t>(2)</w:t>
            </w:r>
            <w:r>
              <w:tab/>
            </w:r>
            <w:r>
              <w:t xml:space="preserve">Politika komuni dwar </w:t>
            </w:r>
            <w:r>
              <w:rPr>
                <w:rFonts w:ascii="Times New Roman" w:eastAsia="Times New Roman" w:hAnsi="Times New Roman" w:cs="Times New Roman"/>
                <w:b/>
                <w:i/>
                <w:strike w:val="0"/>
                <w:color w:val="000000"/>
                <w:sz w:val="24"/>
                <w:highlight w:val="none"/>
                <w:u w:val="none" w:color="auto"/>
              </w:rPr>
              <w:t>l-asil</w:t>
            </w:r>
            <w:r>
              <w:t xml:space="preserve">, inkluża Sistema Ewropea Komuni </w:t>
            </w:r>
            <w:r>
              <w:rPr>
                <w:rFonts w:ascii="Times New Roman" w:eastAsia="Times New Roman" w:hAnsi="Times New Roman" w:cs="Times New Roman"/>
                <w:b/>
                <w:i/>
                <w:strike w:val="0"/>
                <w:color w:val="000000"/>
                <w:sz w:val="24"/>
                <w:highlight w:val="none"/>
                <w:u w:val="none" w:color="auto"/>
              </w:rPr>
              <w:t>tal-Asil</w:t>
            </w:r>
            <w:r>
              <w:t xml:space="preserve">, hija parti kostitwenti </w:t>
            </w:r>
            <w:r>
              <w:rPr>
                <w:rFonts w:ascii="Times New Roman" w:eastAsia="Times New Roman" w:hAnsi="Times New Roman" w:cs="Times New Roman"/>
                <w:b/>
                <w:i/>
                <w:strike w:val="0"/>
                <w:color w:val="000000"/>
                <w:sz w:val="24"/>
                <w:highlight w:val="none"/>
                <w:u w:val="none" w:color="auto"/>
              </w:rPr>
              <w:t>tal-objettiv</w:t>
            </w:r>
            <w:r>
              <w:t xml:space="preserve"> tal-Unjoni Ewropea li tistabbilixxi b’mod progressiv spazju ta’ libertà, sigurtà u ġustizzja miftuħ għal dawk li, </w:t>
            </w:r>
            <w:r>
              <w:rPr>
                <w:rFonts w:ascii="Times New Roman" w:eastAsia="Times New Roman" w:hAnsi="Times New Roman" w:cs="Times New Roman"/>
                <w:b/>
                <w:i/>
                <w:strike w:val="0"/>
                <w:color w:val="000000"/>
                <w:sz w:val="24"/>
                <w:highlight w:val="none"/>
                <w:u w:val="none" w:color="auto"/>
              </w:rPr>
              <w:t>minħabba s-sitwazzjoni personali tagħhom</w:t>
            </w:r>
            <w:r>
              <w:t>,</w:t>
            </w:r>
            <w:r>
              <w:rPr>
                <w:rFonts w:ascii="Times New Roman" w:eastAsia="Times New Roman" w:hAnsi="Times New Roman" w:cs="Times New Roman"/>
                <w:b/>
                <w:i/>
                <w:strike w:val="0"/>
                <w:color w:val="000000"/>
                <w:sz w:val="24"/>
                <w:highlight w:val="none"/>
                <w:u w:val="none" w:color="auto"/>
              </w:rPr>
              <w:t xml:space="preserve"> huma eliġibbli biex</w:t>
            </w:r>
            <w:r>
              <w:t xml:space="preserve"> ifittxu protezzjoni internazzjonali fl-Unjoni.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It-terminu "sforz iċ-ċirkustanzi" huwa wisq wiesa' u jimplika li kwalunkwe ċirkostanza (mhux speċifikata) tista' tissemma bħala bażi għal protezzjoni internazzjonali. Madankollu, ir-rata ta' rifjut ta' applikazzjonijiet għal protezzjoni internazzjonali (aktar minn 66 % fi Franza fl-2016) turi li t-triq lejn il-protezzjoni internazzjonali spiss isservi għal skopijiet ta' immigrazzjoni illegali, li hija fattur li rridu niġġieldu kontrih b'mod aktar effikaċi. Ta' min jgħid li huwa fl-aħħar mill-aħħar abbażi tas-sitwazzjoni personali tal-applikant (jew tal-familja tiegħu/tagħha) li tista' ssir applikazzjoni valida għal protezzjoni internazzjonali.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Għall-finijiet tal-applikazzjoni tar-Regolament (UE) Nru […/…] li jistabbilixxi l-kriterji u l-mekkaniżmi biex ikun determinat l-Istat Membru responsabbli biex jeżamina applikazzjoni għall-protezzjoni internazzjonali ddepożitata f’wieħed mill-Istati Membri minn ċittadin ta’ pajjiż terz jew persuna apolida</w:t>
            </w:r>
            <w:r>
              <w:rPr>
                <w:rStyle w:val="SupBoldItalic"/>
              </w:rPr>
              <w:t>24</w:t>
            </w:r>
            <w:r>
              <w:rPr>
                <w:rFonts w:ascii="Times New Roman" w:eastAsia="Times New Roman" w:hAnsi="Times New Roman" w:cs="Times New Roman"/>
                <w:b/>
                <w:i/>
                <w:strike w:val="0"/>
                <w:color w:val="000000"/>
                <w:sz w:val="24"/>
                <w:highlight w:val="none"/>
                <w:u w:val="none" w:color="auto"/>
              </w:rPr>
              <w:t xml:space="preserve"> </w:t>
            </w:r>
            <w:r>
              <w:t>, huwa neċessarju li tkun stabbilita l-identità tal-applikanti għall-protezzjoni internazzjonali u ta' persuni maqbuda b'konnessjoni mal-qsim kontra l-liġi tal-fruntieri esterni tal-Unjoni. Huwa wkoll mixtieq, sabiex jiġi applikat b'mod effettiv ir-Regolament (UE) Nru […/…], u b'mod partikolari l-Artikoli [..] u [..]) tiegħu, li kull Stat Membru jitħalla jivverifika jekk ċittadin ta' pajjiż terz jew persuna apolida li jinstabu illegalment fit-territorju tiegħu jkunx applika għall-protezzjoni internazzjonali fi Stat Membru ieħor.</w:t>
            </w:r>
          </w:p>
        </w:tc>
        <w:tc>
          <w:tcPr/>
          <w:p>
            <w:pPr>
              <w:pStyle w:val="Normal6"/>
            </w:pPr>
            <w:r>
              <w:t>(4)</w:t>
            </w:r>
            <w:r>
              <w:tab/>
            </w:r>
            <w:r>
              <w:t>Għall-finijiet tal-applikazzjoni tar-Regolament (UE) Nru […/…] li jistabbilixxi l-kriterji u l-mekkaniżmi biex ikun determinat l-Istat Membru responsabbli biex jeżamina applikazzjoni għall-protezzjoni internazzjonali ddepożitata f’wieħed mill-Istati Membri minn ċittadin ta’ pajjiż terz jew persuna apolida</w:t>
            </w:r>
            <w:r>
              <w:rPr>
                <w:rFonts w:ascii="Times New Roman" w:eastAsia="Times New Roman" w:hAnsi="Times New Roman" w:cs="Times New Roman"/>
                <w:b/>
                <w:i/>
                <w:strike w:val="0"/>
                <w:color w:val="000000"/>
                <w:sz w:val="24"/>
                <w:highlight w:val="none"/>
                <w:u w:val="none" w:color="auto"/>
              </w:rPr>
              <w:t xml:space="preserve"> u tar-Regolament XXX/XXX li jistabbilixxi Qafas ta' Risistemazzjoni tal-Unjoni</w:t>
            </w:r>
            <w:r>
              <w:t>, huwa neċessarju li tkun stabbilita l-identità tal-applikanti għall-protezzjoni internazzjonali</w:t>
            </w:r>
            <w:r>
              <w:rPr>
                <w:rFonts w:ascii="Times New Roman" w:eastAsia="Times New Roman" w:hAnsi="Times New Roman" w:cs="Times New Roman"/>
                <w:b/>
                <w:i/>
                <w:strike w:val="0"/>
                <w:color w:val="000000"/>
                <w:sz w:val="24"/>
                <w:highlight w:val="none"/>
                <w:u w:val="none" w:color="auto"/>
              </w:rPr>
              <w:t>, tal-persuni li għalihom l-Istati Membri beħsiebhom iniedu proċedura ta' risistemazzjoni</w:t>
            </w:r>
            <w:r>
              <w:t xml:space="preserve"> u ta' persuni maqbuda b'konnessjoni mal-qsim kontra l-liġi tal-fruntieri esterni tal-Unjoni</w:t>
            </w:r>
            <w:r>
              <w:rPr>
                <w:rStyle w:val="Sup"/>
              </w:rPr>
              <w:t>24</w:t>
            </w:r>
            <w:r>
              <w:t>. Huwa wkoll mixtieq, sabiex jiġi applikat b'mod effettiv ir-Regolament (UE) Nru […/…], u b'mod partikolari l-Artikoli [..] u [..]) tiegħu, li kull Stat Membru jitħalla jivverifika jekk ċittadin ta' pajjiż terz jew persuna apolida li jinstabu illegalment fit-territorju tiegħu jkunx applika għall-protezzjoni internazzjonali fi Stat Membru ieħor.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24</w:t>
            </w:r>
            <w:r>
              <w:t xml:space="preserve"> </w:t>
            </w:r>
            <w:r>
              <w:t>Ara paġna 31 ta' dan il-Ġurnal Uffiċjali</w:t>
            </w:r>
          </w:p>
        </w:tc>
        <w:tc>
          <w:tcPr/>
          <w:p>
            <w:pPr>
              <w:pStyle w:val="Normal6"/>
            </w:pPr>
            <w:r>
              <w:rPr>
                <w:rStyle w:val="Sup"/>
              </w:rPr>
              <w:t>24</w:t>
            </w:r>
            <w:r>
              <w:t xml:space="preserve"> </w:t>
            </w:r>
            <w:r>
              <w:t>Ara paġna 31 ta' dan il-Ġurnal Uffiċjali</w:t>
            </w:r>
            <w:r>
              <w:rPr>
                <w:rFonts w:ascii="Times New Roman" w:eastAsia="Times New Roman" w:hAnsi="Times New Roman" w:cs="Times New Roman"/>
                <w:b/>
                <w:i/>
                <w:strike w:val="0"/>
                <w:color w:val="000000"/>
                <w:sz w:val="24"/>
                <w:highlight w:val="none"/>
                <w:u w:val="none" w:color="auto"/>
              </w:rP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Jeħtieġ li tiġi inkluża l-implimentazzjoni tar-Regolament futur li jistabbilixxi Qafas ta' Risistemazzjoni tal-Unjoni fost il-proposti tal-Eurodac sabiex tippermetti r-reġistrazzjoni ta' persuni li għalihom l-Istati Membri beħsiebhom iniedu proċedura ta' risistemazzjoni skont l-Artikolu 10(2) ta' dak ir-regolament.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(4a)</w:t>
            </w:r>
            <w:r>
              <w:tab/>
            </w:r>
            <w:r>
              <w:rPr>
                <w:rFonts w:ascii="Times New Roman" w:eastAsia="Times New Roman" w:hAnsi="Times New Roman" w:cs="Times New Roman"/>
                <w:b/>
                <w:i/>
                <w:strike w:val="0"/>
                <w:color w:val="000000"/>
                <w:sz w:val="24"/>
                <w:highlight w:val="none"/>
                <w:u w:val="none" w:color="auto"/>
              </w:rPr>
              <w:t>Huwa meħtieġ li, għall-fini tal-implimentazzjoni tar-Regolament XXX/XXX li jistabbilixxi Qafas ta' Risistemazzjoni tal-Unjoni, l-Istati Membri kollha jirreġistraw l-informazzjoni Eurodac dwar ċittadini nazzjonali ta' pajjiżi terzi jew persuni apolidi li għalihom beħsiebhom iwettqu proċedura ta' risistemazzjoni, skont l-Artikolu 10(2) ta' dak ir-Regolament.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L-Artikolu 10 tal-proposta għal regolament dwar ir-risistemazzjoni jipprevedi li l-Istati Membri jirreġistraw idata dwar il-persuni li beħsiebhom jirrisistemaw u li wara jaħżnuhom. Mhux speċifikat f'liema bażi ta' data dawn huma rreġistrati. Għalhekk qed jiġi propost li dawn jiġu rreġistrati direttament fil-Eurodac sabiex ikunu jistgħu jieħdu vantaġġ mill-garanziji offruti minn dan ir-Regolament u jkunu soġġetti għall-istess reġim bħad-data tal-benefiċjarji l-oħra ta' protezzjoni internazzjonali. Din ir-reġistrazzjoni se tagħmilha wkoll possibbli li jiġi determinat l-Istat Membru ta' risistemazzjoni u dan, sabiex jiġu kkontrollati l-movimenti sekondarji kif huwa invokat mill-Kummissjoni fil-proposta tagħha.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Louis Michel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4b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(4b)</w:t>
            </w:r>
            <w:r>
              <w:tab/>
            </w:r>
            <w:r>
              <w:rPr>
                <w:rFonts w:ascii="Times New Roman" w:eastAsia="Times New Roman" w:hAnsi="Times New Roman" w:cs="Times New Roman"/>
                <w:b/>
                <w:i/>
                <w:strike w:val="0"/>
                <w:color w:val="000000"/>
                <w:sz w:val="24"/>
                <w:highlight w:val="none"/>
                <w:u w:val="none" w:color="auto"/>
              </w:rPr>
              <w:t>Ir-reġistrazzjoni fil-Eurodac għandha l-għan li tiggarantixxi lil dawk il-persuni, li għalihom Stat Membru jkun bi ħsiebu jesegwixxi proċedura ta' risistemazzjoni, l-istess livell ta' protezzjoni u l-istess drittijiet bħal dawk applikabbli għall-applikanti u l-benefiċjarji tal-protezzjoni internazzjonali l-oħra fir-rigward tat-trattament tad-data tagħhom. Dan għandu jippermetti wkoll li l-Istati Membri jivverifikaw jekk ċittadin ta' pajjiż terz jew persuna apolida tkun diġà ġiet risistemati fi Stat Membru ieħor skont ir-Regolament XXX/XXX Rapport pożittiv b'hekk għandu jippermetti li jiġi determinat l-Istat Membru ta' risistemazzjoni u b'hekk li jiġu kkontrollati l-movimenti sekondarji potenzjali;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din l-emenda għandha l-għan li tispjega l-objettiv tar-reġistrazzjoni fil-Eurodac tad-data dwar il-persuni risistemati skont ir-Regolament XXX/XXX.</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(5)</w:t>
            </w:r>
            <w:r>
              <w:tab/>
            </w:r>
            <w:r>
              <w:rPr>
                <w:rFonts w:ascii="Times New Roman" w:eastAsia="Times New Roman" w:hAnsi="Times New Roman" w:cs="Times New Roman"/>
                <w:b/>
                <w:i/>
                <w:strike w:val="0"/>
                <w:color w:val="000000"/>
                <w:sz w:val="24"/>
                <w:highlight w:val="none"/>
                <w:u w:val="none" w:color="auto"/>
              </w:rPr>
              <w:t>Il-bijometriċi  jikkostitwixxu element importanti biex tkun stabbilita l-identità eżatta ta' dawn il-persuni.</w:t>
            </w:r>
            <w:r>
              <w:t xml:space="preserve"> </w:t>
            </w:r>
            <w:r>
              <w:rPr>
                <w:rFonts w:ascii="Times New Roman" w:eastAsia="Times New Roman" w:hAnsi="Times New Roman" w:cs="Times New Roman"/>
                <w:b/>
                <w:i/>
                <w:strike w:val="0"/>
                <w:color w:val="000000"/>
                <w:sz w:val="24"/>
                <w:highlight w:val="none"/>
                <w:u w:val="none" w:color="auto"/>
              </w:rPr>
              <w:t>Huwa</w:t>
            </w:r>
            <w:r>
              <w:t xml:space="preserve"> meħtieġ li </w:t>
            </w:r>
            <w:r>
              <w:rPr>
                <w:rFonts w:ascii="Times New Roman" w:eastAsia="Times New Roman" w:hAnsi="Times New Roman" w:cs="Times New Roman"/>
                <w:b/>
                <w:i/>
                <w:strike w:val="0"/>
                <w:color w:val="000000"/>
                <w:sz w:val="24"/>
                <w:highlight w:val="none"/>
                <w:u w:val="none" w:color="auto"/>
              </w:rPr>
              <w:t>titwaqqaf</w:t>
            </w:r>
            <w:r>
              <w:t xml:space="preserve"> sistema għat-tqabbil tad-data tal-marki tas-swaba’ tagħhom</w:t>
            </w:r>
            <w:r>
              <w:rPr>
                <w:rFonts w:ascii="Times New Roman" w:eastAsia="Times New Roman" w:hAnsi="Times New Roman" w:cs="Times New Roman"/>
                <w:b/>
                <w:i/>
                <w:strike w:val="0"/>
                <w:color w:val="000000"/>
                <w:sz w:val="24"/>
                <w:highlight w:val="none"/>
                <w:u w:val="none" w:color="auto"/>
              </w:rPr>
              <w:t xml:space="preserve">  </w:t>
            </w:r>
            <w:r>
              <w:t>u tax-xbiha tal-wiċċ .</w:t>
            </w:r>
          </w:p>
        </w:tc>
        <w:tc>
          <w:tcPr/>
          <w:p>
            <w:pPr>
              <w:pStyle w:val="Normal6"/>
            </w:pPr>
            <w:r>
              <w:rPr>
                <w:rFonts w:ascii="Times New Roman" w:eastAsia="Times New Roman" w:hAnsi="Times New Roman" w:cs="Times New Roman"/>
                <w:b/>
                <w:i/>
                <w:strike w:val="0"/>
                <w:color w:val="000000"/>
                <w:sz w:val="24"/>
                <w:highlight w:val="none"/>
                <w:u w:val="none" w:color="auto"/>
              </w:rPr>
              <w:t>5.</w:t>
            </w:r>
            <w:r>
              <w:tab/>
            </w:r>
            <w:r>
              <w:rPr>
                <w:rFonts w:ascii="Times New Roman" w:eastAsia="Times New Roman" w:hAnsi="Times New Roman" w:cs="Times New Roman"/>
                <w:b/>
                <w:i/>
                <w:strike w:val="0"/>
                <w:color w:val="000000"/>
                <w:sz w:val="24"/>
                <w:highlight w:val="none"/>
                <w:u w:val="none" w:color="auto"/>
              </w:rPr>
              <w:t>Biex jiġi żgurat livell għoli ta' preċiżjoni fl-identifikazzjoni ta' tali persuni,</w:t>
            </w:r>
            <w:r>
              <w:t xml:space="preserve"> </w:t>
            </w:r>
            <w:r>
              <w:rPr>
                <w:rFonts w:ascii="Times New Roman" w:eastAsia="Times New Roman" w:hAnsi="Times New Roman" w:cs="Times New Roman"/>
                <w:b/>
                <w:i/>
                <w:strike w:val="0"/>
                <w:color w:val="000000"/>
                <w:sz w:val="24"/>
                <w:highlight w:val="none"/>
                <w:u w:val="none" w:color="auto"/>
              </w:rPr>
              <w:t>huwa</w:t>
            </w:r>
            <w:r>
              <w:t xml:space="preserve"> meħtieġ li </w:t>
            </w:r>
            <w:r>
              <w:rPr>
                <w:rFonts w:ascii="Times New Roman" w:eastAsia="Times New Roman" w:hAnsi="Times New Roman" w:cs="Times New Roman"/>
                <w:b/>
                <w:i/>
                <w:strike w:val="0"/>
                <w:color w:val="000000"/>
                <w:sz w:val="24"/>
                <w:highlight w:val="none"/>
                <w:u w:val="none" w:color="auto"/>
              </w:rPr>
              <w:t>tiġi stabbilita</w:t>
            </w:r>
            <w:r>
              <w:t xml:space="preserve"> sistema għat-tqabbil tad-data tal-marki tas-swaba' tagħhom</w:t>
            </w:r>
            <w:r>
              <w:rPr>
                <w:rFonts w:ascii="Times New Roman" w:eastAsia="Times New Roman" w:hAnsi="Times New Roman" w:cs="Times New Roman"/>
                <w:b/>
                <w:i/>
                <w:strike w:val="0"/>
                <w:color w:val="000000"/>
                <w:sz w:val="24"/>
                <w:highlight w:val="none"/>
                <w:u w:val="none" w:color="auto"/>
              </w:rPr>
              <w:t xml:space="preserve"> </w:t>
            </w:r>
            <w:r>
              <w:t>u tax-xbiha tal-wiċċ .</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L-għan prinċipali tal-Eurodac huwa r-reġistrazzjoni u li jippermetti livell għoli ta' preċiżjoni fir-(ri)identifikazzjoni ta' persuni li jaqgħu taħt it-tliet kategoriji ta' dan ir-regolament. Għaldaqstant jenħtieġ li jiġi dikjarat b'mod ċar bħala waħda mill-premessi prinċipali fit-test.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(5)</w:t>
            </w:r>
            <w:r>
              <w:tab/>
            </w:r>
            <w:r>
              <w:rPr>
                <w:rFonts w:ascii="Times New Roman" w:eastAsia="Times New Roman" w:hAnsi="Times New Roman" w:cs="Times New Roman"/>
                <w:b/>
                <w:i/>
                <w:strike w:val="0"/>
                <w:color w:val="000000"/>
                <w:sz w:val="24"/>
                <w:highlight w:val="none"/>
                <w:u w:val="none" w:color="auto"/>
              </w:rPr>
              <w:t>Il-bijometriċi  jikkostitwixxu</w:t>
            </w:r>
            <w:r>
              <w:t xml:space="preserve"> element importanti biex </w:t>
            </w:r>
            <w:r>
              <w:rPr>
                <w:rFonts w:ascii="Times New Roman" w:eastAsia="Times New Roman" w:hAnsi="Times New Roman" w:cs="Times New Roman"/>
                <w:b/>
                <w:i/>
                <w:strike w:val="0"/>
                <w:color w:val="000000"/>
                <w:sz w:val="24"/>
                <w:highlight w:val="none"/>
                <w:u w:val="none" w:color="auto"/>
              </w:rPr>
              <w:t>tkun</w:t>
            </w:r>
            <w:r>
              <w:t xml:space="preserve"> stabbilita l-identità eżatta ta' dawn il-persuni. Huwa meħtieġ li </w:t>
            </w:r>
            <w:r>
              <w:rPr>
                <w:rFonts w:ascii="Times New Roman" w:eastAsia="Times New Roman" w:hAnsi="Times New Roman" w:cs="Times New Roman"/>
                <w:b/>
                <w:i/>
                <w:strike w:val="0"/>
                <w:color w:val="000000"/>
                <w:sz w:val="24"/>
                <w:highlight w:val="none"/>
                <w:u w:val="none" w:color="auto"/>
              </w:rPr>
              <w:t>titwaqqaf</w:t>
            </w:r>
            <w:r>
              <w:t xml:space="preserve"> sistema għat-tqabbil tad-data tal-marki tas-swaba’ tagħhom</w:t>
            </w:r>
            <w:r>
              <w:rPr>
                <w:rFonts w:ascii="Times New Roman" w:eastAsia="Times New Roman" w:hAnsi="Times New Roman" w:cs="Times New Roman"/>
                <w:b/>
                <w:i/>
                <w:strike w:val="0"/>
                <w:color w:val="000000"/>
                <w:sz w:val="24"/>
                <w:highlight w:val="none"/>
                <w:u w:val="none" w:color="auto"/>
              </w:rPr>
              <w:t xml:space="preserve">  u</w:t>
            </w:r>
            <w:r>
              <w:t xml:space="preserve"> tax-xbiha tal-wiċċ .</w:t>
            </w:r>
          </w:p>
        </w:tc>
        <w:tc>
          <w:tcPr/>
          <w:p>
            <w:pPr>
              <w:pStyle w:val="Normal6"/>
            </w:pPr>
            <w:r>
              <w:rPr>
                <w:rFonts w:ascii="Times New Roman" w:eastAsia="Times New Roman" w:hAnsi="Times New Roman" w:cs="Times New Roman"/>
                <w:b/>
                <w:i/>
                <w:strike w:val="0"/>
                <w:color w:val="000000"/>
                <w:sz w:val="24"/>
                <w:highlight w:val="none"/>
                <w:u w:val="none" w:color="auto"/>
              </w:rPr>
              <w:t>5.</w:t>
            </w:r>
            <w:r>
              <w:tab/>
            </w:r>
            <w:r>
              <w:rPr>
                <w:rFonts w:ascii="Times New Roman" w:eastAsia="Times New Roman" w:hAnsi="Times New Roman" w:cs="Times New Roman"/>
                <w:b/>
                <w:i/>
                <w:strike w:val="0"/>
                <w:color w:val="000000"/>
                <w:sz w:val="24"/>
                <w:highlight w:val="none"/>
                <w:u w:val="none" w:color="auto"/>
              </w:rPr>
              <w:t>Il-bijometrika tikkostitwixxi</w:t>
            </w:r>
            <w:r>
              <w:t xml:space="preserve"> element importanti biex </w:t>
            </w:r>
            <w:r>
              <w:rPr>
                <w:rFonts w:ascii="Times New Roman" w:eastAsia="Times New Roman" w:hAnsi="Times New Roman" w:cs="Times New Roman"/>
                <w:b/>
                <w:i/>
                <w:strike w:val="0"/>
                <w:color w:val="000000"/>
                <w:sz w:val="24"/>
                <w:highlight w:val="none"/>
                <w:u w:val="none" w:color="auto"/>
              </w:rPr>
              <w:t>tiġi</w:t>
            </w:r>
            <w:r>
              <w:t xml:space="preserve"> stabbilita l-identità eżatta ta' dawn il-persuni. Huwa meħtieġ li </w:t>
            </w:r>
            <w:r>
              <w:rPr>
                <w:rFonts w:ascii="Times New Roman" w:eastAsia="Times New Roman" w:hAnsi="Times New Roman" w:cs="Times New Roman"/>
                <w:b/>
                <w:i/>
                <w:strike w:val="0"/>
                <w:color w:val="000000"/>
                <w:sz w:val="24"/>
                <w:highlight w:val="none"/>
                <w:u w:val="none" w:color="auto"/>
              </w:rPr>
              <w:t>tiġi stabbilita</w:t>
            </w:r>
            <w:r>
              <w:t xml:space="preserve"> sistema għat-tqabbil tad-data tal-marki tas-swaba' tagħhom</w:t>
            </w:r>
            <w:r>
              <w:rPr>
                <w:rFonts w:ascii="Times New Roman" w:eastAsia="Times New Roman" w:hAnsi="Times New Roman" w:cs="Times New Roman"/>
                <w:b/>
                <w:i/>
                <w:strike w:val="0"/>
                <w:color w:val="000000"/>
                <w:sz w:val="24"/>
                <w:highlight w:val="none"/>
                <w:u w:val="none" w:color="auto"/>
              </w:rPr>
              <w:t>,</w:t>
            </w:r>
            <w:r>
              <w:t xml:space="preserve"> tax-xbiha tal-wiċċ </w:t>
            </w:r>
            <w:r>
              <w:rPr>
                <w:rFonts w:ascii="Times New Roman" w:eastAsia="Times New Roman" w:hAnsi="Times New Roman" w:cs="Times New Roman"/>
                <w:b/>
                <w:i/>
                <w:strike w:val="0"/>
                <w:color w:val="000000"/>
                <w:sz w:val="24"/>
                <w:highlight w:val="none"/>
                <w:u w:val="none" w:color="auto"/>
              </w:rPr>
              <w:t>jew it-tnejn li huma</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(6)</w:t>
            </w:r>
            <w:r>
              <w:tab/>
            </w:r>
            <w:r>
              <w:t xml:space="preserve">Għal dak </w:t>
            </w:r>
            <w:r>
              <w:rPr>
                <w:rFonts w:ascii="Times New Roman" w:eastAsia="Times New Roman" w:hAnsi="Times New Roman" w:cs="Times New Roman"/>
                <w:b/>
                <w:i/>
                <w:strike w:val="0"/>
                <w:color w:val="000000"/>
                <w:sz w:val="24"/>
                <w:highlight w:val="none"/>
                <w:u w:val="none" w:color="auto"/>
              </w:rPr>
              <w:t>il-għan</w:t>
            </w:r>
            <w:r>
              <w:t xml:space="preserve">, hemm bżonn li tiġi stabbilita sistema magħrufa bħala "Eurodac", li tikkonsisti minn Sistema Ċentrali, li </w:t>
            </w:r>
            <w:r>
              <w:rPr>
                <w:rFonts w:ascii="Times New Roman" w:eastAsia="Times New Roman" w:hAnsi="Times New Roman" w:cs="Times New Roman"/>
                <w:b/>
                <w:i/>
                <w:strike w:val="0"/>
                <w:color w:val="000000"/>
                <w:sz w:val="24"/>
                <w:highlight w:val="none"/>
                <w:u w:val="none" w:color="auto"/>
              </w:rPr>
              <w:t>għandha</w:t>
            </w:r>
            <w:r>
              <w:t xml:space="preserve"> tħaddem bażi tad-data ċentrali kompjuterizzata ta' data </w:t>
            </w:r>
            <w:r>
              <w:rPr>
                <w:rFonts w:ascii="Times New Roman" w:eastAsia="Times New Roman" w:hAnsi="Times New Roman" w:cs="Times New Roman"/>
                <w:b/>
                <w:i/>
                <w:strike w:val="0"/>
                <w:color w:val="000000"/>
                <w:sz w:val="24"/>
                <w:highlight w:val="none"/>
                <w:u w:val="none" w:color="auto"/>
              </w:rPr>
              <w:t>fuq marki</w:t>
            </w:r>
            <w:r>
              <w:t xml:space="preserve"> tas-swaba’</w:t>
            </w:r>
            <w:r>
              <w:rPr>
                <w:rFonts w:ascii="Times New Roman" w:eastAsia="Times New Roman" w:hAnsi="Times New Roman" w:cs="Times New Roman"/>
                <w:b/>
                <w:i/>
                <w:strike w:val="0"/>
                <w:color w:val="000000"/>
                <w:sz w:val="24"/>
                <w:highlight w:val="none"/>
                <w:u w:val="none" w:color="auto"/>
              </w:rPr>
              <w:t xml:space="preserve">  u</w:t>
            </w:r>
            <w:r>
              <w:t xml:space="preserve"> tax-xbiha tal-wiċċ , kif ukoll tal-mezzi elettroniċi ta' trażmissjoni bejn l-Istati Membri u s-Sistema Ċentrali, minn hawn 'il quddiem “l-Infrastruttura ta’ Komunikazzjoni”.</w:t>
            </w:r>
          </w:p>
        </w:tc>
        <w:tc>
          <w:tcPr/>
          <w:p>
            <w:pPr>
              <w:pStyle w:val="Normal6"/>
            </w:pPr>
            <w:r>
              <w:rPr>
                <w:rFonts w:ascii="Times New Roman" w:eastAsia="Times New Roman" w:hAnsi="Times New Roman" w:cs="Times New Roman"/>
                <w:b/>
                <w:i/>
                <w:strike w:val="0"/>
                <w:color w:val="000000"/>
                <w:sz w:val="24"/>
                <w:highlight w:val="none"/>
                <w:u w:val="none" w:color="auto"/>
              </w:rPr>
              <w:t>6.</w:t>
            </w:r>
            <w:r>
              <w:tab/>
            </w:r>
            <w:r>
              <w:t xml:space="preserve">Għal dak </w:t>
            </w:r>
            <w:r>
              <w:rPr>
                <w:rFonts w:ascii="Times New Roman" w:eastAsia="Times New Roman" w:hAnsi="Times New Roman" w:cs="Times New Roman"/>
                <w:b/>
                <w:i/>
                <w:strike w:val="0"/>
                <w:color w:val="000000"/>
                <w:sz w:val="24"/>
                <w:highlight w:val="none"/>
                <w:u w:val="none" w:color="auto"/>
              </w:rPr>
              <w:t>l-għan</w:t>
            </w:r>
            <w:r>
              <w:t>, hemm bżonn li tiġi stabbilita sistema magħrufa bħala "Eurodac", li tikkonsisti minn Sistema Ċentrali, li </w:t>
            </w:r>
            <w:r>
              <w:rPr>
                <w:rFonts w:ascii="Times New Roman" w:eastAsia="Times New Roman" w:hAnsi="Times New Roman" w:cs="Times New Roman"/>
                <w:b/>
                <w:i/>
                <w:strike w:val="0"/>
                <w:color w:val="000000"/>
                <w:sz w:val="24"/>
                <w:highlight w:val="none"/>
                <w:u w:val="none" w:color="auto"/>
              </w:rPr>
              <w:t>se</w:t>
            </w:r>
            <w:r>
              <w:t xml:space="preserve"> tħaddem bażi tad-data ċentrali kompjuterizzata ta' data </w:t>
            </w:r>
            <w:r>
              <w:rPr>
                <w:rFonts w:ascii="Times New Roman" w:eastAsia="Times New Roman" w:hAnsi="Times New Roman" w:cs="Times New Roman"/>
                <w:b/>
                <w:i/>
                <w:strike w:val="0"/>
                <w:color w:val="000000"/>
                <w:sz w:val="24"/>
                <w:highlight w:val="none"/>
                <w:u w:val="none" w:color="auto"/>
              </w:rPr>
              <w:t>tal-marki</w:t>
            </w:r>
            <w:r>
              <w:t xml:space="preserve"> tas-swaba'</w:t>
            </w:r>
            <w:r>
              <w:rPr>
                <w:rFonts w:ascii="Times New Roman" w:eastAsia="Times New Roman" w:hAnsi="Times New Roman" w:cs="Times New Roman"/>
                <w:b/>
                <w:i/>
                <w:strike w:val="0"/>
                <w:color w:val="000000"/>
                <w:sz w:val="24"/>
                <w:highlight w:val="none"/>
                <w:u w:val="none" w:color="auto"/>
              </w:rPr>
              <w:t>,</w:t>
            </w:r>
            <w:r>
              <w:t xml:space="preserve"> tax-xbiha tal-wiċċ </w:t>
            </w:r>
            <w:r>
              <w:rPr>
                <w:rFonts w:ascii="Times New Roman" w:eastAsia="Times New Roman" w:hAnsi="Times New Roman" w:cs="Times New Roman"/>
                <w:b/>
                <w:i/>
                <w:strike w:val="0"/>
                <w:color w:val="000000"/>
                <w:sz w:val="24"/>
                <w:highlight w:val="none"/>
                <w:u w:val="none" w:color="auto"/>
              </w:rPr>
              <w:t>jew it-tnejn li huma</w:t>
            </w:r>
            <w:r>
              <w:t>, kif ukoll tal-mezzi elettroniċi ta' trażmissjoni bejn l-Istati Membri u s-Sistema Ċentrali, minn hawn 'il quddiem "l-Infrastruttura ta’ Komunikazzjoni".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6a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(6a)</w:t>
            </w:r>
            <w:r>
              <w:tab/>
            </w:r>
            <w:r>
              <w:rPr>
                <w:rFonts w:ascii="Times New Roman" w:eastAsia="Times New Roman" w:hAnsi="Times New Roman" w:cs="Times New Roman"/>
                <w:b/>
                <w:i/>
                <w:strike w:val="0"/>
                <w:color w:val="000000"/>
                <w:sz w:val="24"/>
                <w:highlight w:val="none"/>
                <w:u w:val="none" w:color="auto"/>
              </w:rPr>
              <w:t>Jenħtieġ li l-Aġenzija Ewropea għat-Tmexxija Operattiva tas-Sistemi tal-IT Fuq Skala Kbira fl-Ispazju ta' Libertà, Sigurtà u Ġustizzja (ue-LISA) twettaq studju sabiex tiddetermina jekk jaqbilx li l-kombinazzjonijiet ta' identifikaturi bijometriċi tal-bażijiet ta' data differenti tal-UE fil-qasam tal-ĠAI jiġu armonizzati. Speċifikament, jekk jaqbilx li l-Eurodac tnaqqas l-identifikaturi għal erba marki tas-swaba u xbieha tal-wiċċ, kif inhu l-każ għas-sistema ta' dħul/ħruġ f'konformità mar-Regolament (UE) .../... tal-Parlament Ewropew u tal-Kunsill.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Jeħtieġ li l-kombinazzjonijiet ta' identifikaturi bijometriċi tal-bażijiet ta' data differenti tal-UE fil-qasam tal-ĠAI jiġu armonizzati.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(9)</w:t>
            </w:r>
            <w:r>
              <w:tab/>
            </w:r>
            <w:r>
              <w:rPr>
                <w:rFonts w:ascii="Times New Roman" w:eastAsia="Times New Roman" w:hAnsi="Times New Roman" w:cs="Times New Roman"/>
                <w:b/>
                <w:i/>
                <w:strike w:val="0"/>
                <w:color w:val="000000"/>
                <w:sz w:val="24"/>
                <w:highlight w:val="none"/>
                <w:u w:val="none" w:color="auto"/>
              </w:rPr>
              <w:t>Fl-2015, il-kriżi tar-refuġjati u l-migrazzjoni wrew l-isfidi li kienu qed jiffaċċjaw xi Stati Membri biex jieħdu l-marki tas-swaba’ ta’ ċittadini ta’ pajjiżi terzi li kienu qed jirrisjedu illegalment jew persuni bla stat li pruvaw jevitaw il-proċeduri għad-determinazzjoni tal-Istat Membru responsabbli għall-eżami ta' applikazzjoni għall-protezzjoni internazzjonali</w:t>
            </w:r>
            <w:r>
              <w:t>. Il-Komunikazzjoni tal-Kummissjoni tat-13 ta’ Mejju 2015, bit-titolu “Aġenda Ewropea dwar il-Migrazzjoni"</w:t>
            </w:r>
            <w:r>
              <w:rPr>
                <w:rStyle w:val="Sup"/>
              </w:rPr>
              <w:t>25</w:t>
            </w:r>
            <w:r>
              <w:t xml:space="preserve"> innutat li "L-Istati Membri jridu wkoll jimplimentaw b’mod sħiħ ir-regoli dwar it-teħid ta’ marki tas-swaba’ tal-migranti fil-fruntieri” u kompliet tipproponi li “Il-Kummissjoni se tesplora wkoll kif aktar identifikaturi bijometriċi jistgħu jintużaw permezz tas-sistema Eurodac (bħal ma hu l-użu ta’ tekniki ta’ rikonoxximent tal-wiċċ permezz ta’ ritratti diġitali)”.</w:t>
            </w:r>
          </w:p>
        </w:tc>
        <w:tc>
          <w:tcPr/>
          <w:p>
            <w:pPr>
              <w:pStyle w:val="Normal6"/>
            </w:pPr>
            <w:r>
              <w:rPr>
                <w:rFonts w:ascii="Times New Roman" w:eastAsia="Times New Roman" w:hAnsi="Times New Roman" w:cs="Times New Roman"/>
                <w:b/>
                <w:i/>
                <w:strike w:val="0"/>
                <w:color w:val="000000"/>
                <w:sz w:val="24"/>
                <w:highlight w:val="none"/>
                <w:u w:val="none" w:color="auto"/>
              </w:rPr>
              <w:t>9</w:t>
            </w:r>
            <w:r>
              <w:t>.</w:t>
            </w:r>
            <w:r>
              <w:tab/>
            </w:r>
            <w:r>
              <w:t>Il-Komunikazzjoni tal-Kummissjoni tat-13 ta' Mejju 2015, bit-titolu "Aġenda Ewropea dwar il-Migrazzjoni"</w:t>
            </w:r>
            <w:r>
              <w:rPr>
                <w:rStyle w:val="Sup"/>
              </w:rPr>
              <w:t>25</w:t>
            </w:r>
            <w:r>
              <w:t xml:space="preserve"> innutat li "L-Istati Membri jridu wkoll jimplimentaw b'mod sħiħ ir-regoli dwar it-teħid ta' marki tas-swaba' tal-migranti fil-fruntieri" u kompliet tipproponi li "Il-Kummissjoni se tesplora wkoll kif aktar identifikaturi bijometriċi jistgħu jintużaw permezz tas-sistema Eurodac (bħal ma hu l-użu ta' tekniki ta' rikonoxximent tal-wiċċ permezz ta' ritratti diġitali)".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25</w:t>
            </w:r>
            <w:r>
              <w:t xml:space="preserve"> </w:t>
            </w:r>
            <w:r>
              <w:rPr>
                <w:rFonts w:ascii="Times New Roman" w:eastAsia="Times New Roman" w:hAnsi="Times New Roman" w:cs="Times New Roman"/>
                <w:b/>
                <w:i/>
                <w:strike w:val="0"/>
                <w:color w:val="000000"/>
                <w:sz w:val="24"/>
                <w:highlight w:val="none"/>
                <w:u w:val="none" w:color="auto"/>
              </w:rPr>
              <w:t>COM(2015) 240</w:t>
            </w:r>
            <w:r>
              <w:t xml:space="preserve"> final, 13.5.2015</w:t>
            </w:r>
          </w:p>
        </w:tc>
        <w:tc>
          <w:tcPr/>
          <w:p>
            <w:pPr>
              <w:pStyle w:val="Normal6"/>
            </w:pPr>
            <w:r>
              <w:rPr>
                <w:rStyle w:val="Sup"/>
              </w:rPr>
              <w:t>25</w:t>
            </w:r>
            <w:r>
              <w:t xml:space="preserve"> </w:t>
            </w:r>
            <w:r>
              <w:rPr>
                <w:rFonts w:ascii="Times New Roman" w:eastAsia="Times New Roman" w:hAnsi="Times New Roman" w:cs="Times New Roman"/>
                <w:b/>
                <w:i/>
                <w:strike w:val="0"/>
                <w:color w:val="000000"/>
                <w:sz w:val="24"/>
                <w:highlight w:val="none"/>
                <w:u w:val="none" w:color="auto"/>
              </w:rPr>
              <w:t>COM(2015)240</w:t>
            </w:r>
            <w:r>
              <w:t> final, 13.5.2015</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(10)</w:t>
            </w:r>
            <w:r>
              <w:tab/>
            </w:r>
            <w:r>
              <w:t xml:space="preserve">Biex jgħin lill-Istati Membri jegħlbu l-isfidi relatati ma' nuqqas ta' konformità mal-proċess tat-teħid tal-marki tas-swaba', dan ir-Regolament </w:t>
            </w:r>
            <w:r>
              <w:rPr>
                <w:rFonts w:ascii="Times New Roman" w:eastAsia="Times New Roman" w:hAnsi="Times New Roman" w:cs="Times New Roman"/>
                <w:b/>
                <w:i/>
                <w:strike w:val="0"/>
                <w:color w:val="000000"/>
                <w:sz w:val="24"/>
                <w:highlight w:val="none"/>
                <w:u w:val="none" w:color="auto"/>
              </w:rPr>
              <w:t>jippermetti wkoll il-paragun tal-immaġni tal-wiċċ mingħajr il-marki tas-swaba’ bħala l-aħħar possibbiltà, fejn ikun impossibbli li jittieħdu l-marki tas-swaba’ ta’ persuni ċittadini ta’ pajjiż terz jew mingħajr stat minħabba li l-marki tas-swaba’ tiegħu jew tagħha huma danneġġati, b’mod intenzjonali jew le, jew amputati. L-Istati Membri jinħtieġ li jeżawrixxu l-isforzi tagħhom kollha biex jiżguraw li l-marki tas-swaba’ jkunu jistgħu jittieħdu mis-suġġett tad-data qabel ma jagħmlu paragun fejn jużaw ix-xbiha tal-wiċċ biss fejn in-nuqqas ta' konformità bażata fuq raġunijiet mhux</w:t>
            </w:r>
            <w:r>
              <w:t xml:space="preserve"> relatati </w:t>
            </w:r>
            <w:r>
              <w:rPr>
                <w:rFonts w:ascii="Times New Roman" w:eastAsia="Times New Roman" w:hAnsi="Times New Roman" w:cs="Times New Roman"/>
                <w:b/>
                <w:i/>
                <w:strike w:val="0"/>
                <w:color w:val="000000"/>
                <w:sz w:val="24"/>
                <w:highlight w:val="none"/>
                <w:u w:val="none" w:color="auto"/>
              </w:rPr>
              <w:t>mal-kundizzjonijiet tas-swaba' tal-individwu hija mogħtija. Meta jintużaw ix-xbihat tal-wiċċ flimkien mad-data tal-marki</w:t>
            </w:r>
            <w:r>
              <w:t xml:space="preserve"> tas-swaba'</w:t>
            </w:r>
            <w:r>
              <w:rPr>
                <w:rFonts w:ascii="Times New Roman" w:eastAsia="Times New Roman" w:hAnsi="Times New Roman" w:cs="Times New Roman"/>
                <w:b/>
                <w:i/>
                <w:strike w:val="0"/>
                <w:color w:val="000000"/>
                <w:sz w:val="24"/>
                <w:highlight w:val="none"/>
                <w:u w:val="none" w:color="auto"/>
              </w:rPr>
              <w:t>, dan jippermetti għal tnaqqis tal-marki tas-swaba' reġistrati filwaqt li jippermetti l-istess riżultat f'termini ta' preċiżjoni tal-identifikazzjoni</w:t>
            </w:r>
            <w:r>
              <w:t>.</w:t>
            </w:r>
          </w:p>
        </w:tc>
        <w:tc>
          <w:tcPr/>
          <w:p>
            <w:pPr>
              <w:pStyle w:val="Normal6"/>
            </w:pPr>
            <w:r>
              <w:rPr>
                <w:rFonts w:ascii="Times New Roman" w:eastAsia="Times New Roman" w:hAnsi="Times New Roman" w:cs="Times New Roman"/>
                <w:b/>
                <w:i/>
                <w:strike w:val="0"/>
                <w:color w:val="000000"/>
                <w:sz w:val="24"/>
                <w:highlight w:val="none"/>
                <w:u w:val="none" w:color="auto"/>
              </w:rPr>
              <w:t>10.</w:t>
            </w:r>
            <w:r>
              <w:tab/>
            </w:r>
            <w:r>
              <w:t xml:space="preserve">Biex jgħin lill-Istati Membri jegħlbu l-isfidi relatati ma' nuqqas ta' konformità mal-proċess tat-teħid tal-marki tas-swaba', dan ir-Regolament </w:t>
            </w:r>
            <w:r>
              <w:rPr>
                <w:rFonts w:ascii="Times New Roman" w:eastAsia="Times New Roman" w:hAnsi="Times New Roman" w:cs="Times New Roman"/>
                <w:b/>
                <w:i/>
                <w:strike w:val="0"/>
                <w:color w:val="000000"/>
                <w:sz w:val="24"/>
                <w:highlight w:val="none"/>
                <w:u w:val="none" w:color="auto"/>
              </w:rPr>
              <w:t>jenħtieġ li jiġi implimentat f'konformità mal-linji gwida stabbiliti mill-Aġenzija tal-Unjoni Ewropea għad-Drittijiet Fundamentali fid-Dokument ta' Fokus tagħha "L-implikazzjonijiet</w:t>
            </w:r>
            <w:r>
              <w:t xml:space="preserve"> relatati </w:t>
            </w:r>
            <w:r>
              <w:rPr>
                <w:rFonts w:ascii="Times New Roman" w:eastAsia="Times New Roman" w:hAnsi="Times New Roman" w:cs="Times New Roman"/>
                <w:b/>
                <w:i/>
                <w:strike w:val="0"/>
                <w:color w:val="000000"/>
                <w:sz w:val="24"/>
                <w:highlight w:val="none"/>
                <w:u w:val="none" w:color="auto"/>
              </w:rPr>
              <w:t>mad-drittijiet fundamentali tal-obbligu li jingħataw il-marki</w:t>
            </w:r>
            <w:r>
              <w:t xml:space="preserve"> tas-swaba'</w:t>
            </w:r>
            <w:r>
              <w:rPr>
                <w:rFonts w:ascii="Times New Roman" w:eastAsia="Times New Roman" w:hAnsi="Times New Roman" w:cs="Times New Roman"/>
                <w:b/>
                <w:i/>
                <w:strike w:val="0"/>
                <w:color w:val="000000"/>
                <w:sz w:val="24"/>
                <w:highlight w:val="none"/>
                <w:u w:val="none" w:color="auto"/>
              </w:rPr>
              <w:t xml:space="preserve"> għall-Eurodac" ("Fundamental rights implications of the obligation to provide fingerprints for Eurodac") ta' Mejju 2015</w:t>
            </w:r>
            <w:r>
              <w:t>.</w:t>
            </w:r>
            <w:r>
              <w:rPr>
                <w:rStyle w:val="Sup"/>
              </w:rPr>
              <w:t>1a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Style w:val="Sup"/>
              </w:rPr>
              <w:t>1a</w:t>
            </w:r>
            <w:r>
              <w:t xml:space="preserve"> </w:t>
            </w:r>
            <w:r>
              <w:rPr>
                <w:rFonts w:ascii="Times New Roman" w:eastAsia="Times New Roman" w:hAnsi="Times New Roman" w:cs="Times New Roman"/>
                <w:b/>
                <w:i/>
                <w:strike w:val="0"/>
                <w:color w:val="000000"/>
                <w:sz w:val="24"/>
                <w:highlight w:val="none"/>
                <w:u w:val="none" w:color="auto"/>
              </w:rPr>
              <w:t>http://fra.europa.eu/sites/default/files/fra_uploads/fra-2015-fingerprinting-focus-paper_en.pdf</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(10)</w:t>
            </w:r>
            <w:r>
              <w:tab/>
            </w:r>
            <w:r>
              <w:rPr>
                <w:rFonts w:ascii="Times New Roman" w:eastAsia="Times New Roman" w:hAnsi="Times New Roman" w:cs="Times New Roman"/>
                <w:b/>
                <w:i/>
                <w:strike w:val="0"/>
                <w:color w:val="000000"/>
                <w:sz w:val="24"/>
                <w:highlight w:val="none"/>
                <w:u w:val="none" w:color="auto"/>
              </w:rPr>
              <w:t>Biex jgħin lill-Istati Membri jegħlbu l-isfidi relatati ma' nuqqas ta' konformità mal-proċess tat-teħid tal-marki</w:t>
            </w:r>
            <w:r>
              <w:t xml:space="preserve"> tas-swaba'</w:t>
            </w:r>
            <w:r>
              <w:rPr>
                <w:rFonts w:ascii="Times New Roman" w:eastAsia="Times New Roman" w:hAnsi="Times New Roman" w:cs="Times New Roman"/>
                <w:b/>
                <w:i/>
                <w:strike w:val="0"/>
                <w:color w:val="000000"/>
                <w:sz w:val="24"/>
                <w:highlight w:val="none"/>
                <w:u w:val="none" w:color="auto"/>
              </w:rPr>
              <w:t>, dan ir-Regolament jippermetti wkoll il-paragun tal-immaġni tal-wiċċ mingħajr il-marki tas-swaba’ bħala l-aħħar possibbiltà</w:t>
            </w:r>
            <w:r>
              <w:t xml:space="preserve">, fejn ikun impossibbli li jittieħdu l-marki tas-swaba’ ta’ persuni ċittadini ta’ pajjiż terz jew </w:t>
            </w:r>
            <w:r>
              <w:rPr>
                <w:rFonts w:ascii="Times New Roman" w:eastAsia="Times New Roman" w:hAnsi="Times New Roman" w:cs="Times New Roman"/>
                <w:b/>
                <w:i/>
                <w:strike w:val="0"/>
                <w:color w:val="000000"/>
                <w:sz w:val="24"/>
                <w:highlight w:val="none"/>
                <w:u w:val="none" w:color="auto"/>
              </w:rPr>
              <w:t>mingħajr stat</w:t>
            </w:r>
            <w:r>
              <w:t xml:space="preserve"> minħabba li l-marki tas-swaba’ tiegħu jew tagħha huma danneġġati, b’mod intenzjonali jew le, jew amputati. L-Istati Membri </w:t>
            </w:r>
            <w:r>
              <w:rPr>
                <w:rFonts w:ascii="Times New Roman" w:eastAsia="Times New Roman" w:hAnsi="Times New Roman" w:cs="Times New Roman"/>
                <w:b/>
                <w:i/>
                <w:strike w:val="0"/>
                <w:color w:val="000000"/>
                <w:sz w:val="24"/>
                <w:highlight w:val="none"/>
                <w:u w:val="none" w:color="auto"/>
              </w:rPr>
              <w:t>jinħtieġ</w:t>
            </w:r>
            <w:r>
              <w:t xml:space="preserve"> li jeżawrixxu l-isforzi tagħhom kollha biex jiżguraw li l-marki tas-swaba’ jkunu jistgħu jittieħdu mis-suġġett tad-data qabel ma jagħmlu paragun fejn jużaw ix-xbiha tal-wiċċ biss</w:t>
            </w:r>
            <w:r>
              <w:rPr>
                <w:rFonts w:ascii="Times New Roman" w:eastAsia="Times New Roman" w:hAnsi="Times New Roman" w:cs="Times New Roman"/>
                <w:b/>
                <w:i/>
                <w:strike w:val="0"/>
                <w:color w:val="000000"/>
                <w:sz w:val="24"/>
                <w:highlight w:val="none"/>
                <w:u w:val="none" w:color="auto"/>
              </w:rPr>
              <w:t xml:space="preserve"> fejn in-nuqqas ta' konformità bażata fuq raġunijiet mhux relatati mal-kundizzjonijiet tas-swaba' tal-individwu hija mogħtija. Meta jintużaw ix-xbihat tal-wiċċ flimkien mad-data tal-marki tas-swaba', dan jippermetti għal tnaqqis tal-marki tas-swaba' reġistrati filwaqt li jippermetti l-istess riżultat f'termini ta' preċiżjoni tal-identifikazzjoni</w:t>
            </w:r>
            <w:r>
              <w:t>.</w:t>
            </w:r>
          </w:p>
        </w:tc>
        <w:tc>
          <w:tcPr/>
          <w:p>
            <w:pPr>
              <w:pStyle w:val="Normal6"/>
            </w:pPr>
            <w:r>
              <w:rPr>
                <w:rFonts w:ascii="Times New Roman" w:eastAsia="Times New Roman" w:hAnsi="Times New Roman" w:cs="Times New Roman"/>
                <w:b/>
                <w:i/>
                <w:strike w:val="0"/>
                <w:color w:val="000000"/>
                <w:sz w:val="24"/>
                <w:highlight w:val="none"/>
                <w:u w:val="none" w:color="auto"/>
              </w:rPr>
              <w:t>10.</w:t>
            </w:r>
            <w:r>
              <w:tab/>
            </w:r>
            <w:r>
              <w:rPr>
                <w:rFonts w:ascii="Times New Roman" w:eastAsia="Times New Roman" w:hAnsi="Times New Roman" w:cs="Times New Roman"/>
                <w:b/>
                <w:i/>
                <w:strike w:val="0"/>
                <w:color w:val="000000"/>
                <w:sz w:val="24"/>
                <w:highlight w:val="none"/>
                <w:u w:val="none" w:color="auto"/>
              </w:rPr>
              <w:t>Għall-finijiet ta' ksib ta' identifikazzjoni ta' preċiżjoni għolja, jenħtieġ li l-marki</w:t>
            </w:r>
            <w:r>
              <w:t xml:space="preserve"> tas-swaba'</w:t>
            </w:r>
            <w:r>
              <w:rPr>
                <w:rFonts w:ascii="Times New Roman" w:eastAsia="Times New Roman" w:hAnsi="Times New Roman" w:cs="Times New Roman"/>
                <w:b/>
                <w:i/>
                <w:strike w:val="0"/>
                <w:color w:val="000000"/>
                <w:sz w:val="24"/>
                <w:highlight w:val="none"/>
                <w:u w:val="none" w:color="auto"/>
              </w:rPr>
              <w:t xml:space="preserve"> jiġu dejjem preferuti fuq ix-xbihat tal-wiċċ. Biex jgħin lill-Istati Membri jegħlbu l-isfidi</w:t>
            </w:r>
            <w:r>
              <w:t xml:space="preserve">, fejn ikun impossibbli li jittieħdu l-marki tas-swaba' ta' persuni ċittadini ta' pajjiż terz jew </w:t>
            </w:r>
            <w:r>
              <w:rPr>
                <w:rFonts w:ascii="Times New Roman" w:eastAsia="Times New Roman" w:hAnsi="Times New Roman" w:cs="Times New Roman"/>
                <w:b/>
                <w:i/>
                <w:strike w:val="0"/>
                <w:color w:val="000000"/>
                <w:sz w:val="24"/>
                <w:highlight w:val="none"/>
                <w:u w:val="none" w:color="auto"/>
              </w:rPr>
              <w:t>ta' persuni apolidi</w:t>
            </w:r>
            <w:r>
              <w:t xml:space="preserve"> minħabba li l-marki tas-swaba' tiegħu jew tagħha huma danneġġati, b'mod intenzjonali jew le, jew amputati</w:t>
            </w:r>
            <w:r>
              <w:rPr>
                <w:rFonts w:ascii="Times New Roman" w:eastAsia="Times New Roman" w:hAnsi="Times New Roman" w:cs="Times New Roman"/>
                <w:b/>
                <w:i/>
                <w:strike w:val="0"/>
                <w:color w:val="000000"/>
                <w:sz w:val="24"/>
                <w:highlight w:val="none"/>
                <w:u w:val="none" w:color="auto"/>
              </w:rPr>
              <w:t>, dan ir-Regolament jenħtieġ li jippermetti wkoll ir-reġistrazzjoni u l-paragun tax-xbiha tal-wiċċ mingħajr il-marki tas-swaba'</w:t>
            </w:r>
            <w:r>
              <w:t xml:space="preserve">. L-Istati Membri </w:t>
            </w:r>
            <w:r>
              <w:rPr>
                <w:rFonts w:ascii="Times New Roman" w:eastAsia="Times New Roman" w:hAnsi="Times New Roman" w:cs="Times New Roman"/>
                <w:b/>
                <w:i/>
                <w:strike w:val="0"/>
                <w:color w:val="000000"/>
                <w:sz w:val="24"/>
                <w:highlight w:val="none"/>
                <w:u w:val="none" w:color="auto"/>
              </w:rPr>
              <w:t>jenħtieġ</w:t>
            </w:r>
            <w:r>
              <w:t xml:space="preserve"> li jeżawrixxu l-isforzi tagħhom kollha biex jiżguraw li l-marki tas-swaba' jkunu jistgħu jittieħdu mis-suġġett tad-data qabel ma jagħmlu paragun fejn jużaw ix-xbiha tal-wiċċ biss.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t xml:space="preserve">, </w:t>
      </w:r>
      <w:r>
        <w:t>Rachida Dati</w:t>
      </w:r>
      <w:r>
        <w:t xml:space="preserve">, </w:t>
      </w:r>
      <w:r>
        <w:t>Brice Hortefeux</w:t>
      </w:r>
      <w:r>
        <w:t xml:space="preserve">, </w:t>
      </w:r>
      <w:r>
        <w:t>Artis Pabriks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(10)</w:t>
            </w:r>
            <w:r>
              <w:tab/>
            </w:r>
            <w:r>
              <w:t xml:space="preserve">Biex jgħin lill-Istati Membri jegħlbu l-isfidi relatati ma' nuqqas ta' konformità mal-proċess tat-teħid tal-marki tas-swaba', dan ir-Regolament jippermetti wkoll il-paragun </w:t>
            </w:r>
            <w:r>
              <w:rPr>
                <w:rFonts w:ascii="Times New Roman" w:eastAsia="Times New Roman" w:hAnsi="Times New Roman" w:cs="Times New Roman"/>
                <w:b/>
                <w:i/>
                <w:strike w:val="0"/>
                <w:color w:val="000000"/>
                <w:sz w:val="24"/>
                <w:highlight w:val="none"/>
                <w:u w:val="none" w:color="auto"/>
              </w:rPr>
              <w:t>tal-immaġni</w:t>
            </w:r>
            <w:r>
              <w:t xml:space="preserve"> tal-wiċċ mingħajr il-marki tas-swaba’ bħala l-aħħar possibbiltà, fejn ikun impossibbli li jittieħdu l-marki tas-swaba’ ta’ persuni ċittadini ta’ pajjiż terz jew </w:t>
            </w:r>
            <w:r>
              <w:rPr>
                <w:rFonts w:ascii="Times New Roman" w:eastAsia="Times New Roman" w:hAnsi="Times New Roman" w:cs="Times New Roman"/>
                <w:b/>
                <w:i/>
                <w:strike w:val="0"/>
                <w:color w:val="000000"/>
                <w:sz w:val="24"/>
                <w:highlight w:val="none"/>
                <w:u w:val="none" w:color="auto"/>
              </w:rPr>
              <w:t>mingħajr stat</w:t>
            </w:r>
            <w:r>
              <w:t xml:space="preserve"> minħabba li l-marki tas-swaba’ tiegħu jew tagħha </w:t>
            </w:r>
            <w:r>
              <w:rPr>
                <w:rFonts w:ascii="Times New Roman" w:eastAsia="Times New Roman" w:hAnsi="Times New Roman" w:cs="Times New Roman"/>
                <w:b/>
                <w:i/>
                <w:strike w:val="0"/>
                <w:color w:val="000000"/>
                <w:sz w:val="24"/>
                <w:highlight w:val="none"/>
                <w:u w:val="none" w:color="auto"/>
              </w:rPr>
              <w:t>huma</w:t>
            </w:r>
            <w:r>
              <w:t xml:space="preserve"> danneġġati, b’mod intenzjonali jew le, jew amputati. L-Istati Membri </w:t>
            </w:r>
            <w:r>
              <w:rPr>
                <w:rFonts w:ascii="Times New Roman" w:eastAsia="Times New Roman" w:hAnsi="Times New Roman" w:cs="Times New Roman"/>
                <w:b/>
                <w:i/>
                <w:strike w:val="0"/>
                <w:color w:val="000000"/>
                <w:sz w:val="24"/>
                <w:highlight w:val="none"/>
                <w:u w:val="none" w:color="auto"/>
              </w:rPr>
              <w:t>jinħtieġ</w:t>
            </w:r>
            <w:r>
              <w:t xml:space="preserve"> li jeżawrixxu l-isforzi tagħhom kollha biex jiżguraw li l-marki tas-swaba’ jkunu jistgħu jittieħdu mis-suġġett tad-data qabel ma jagħmlu paragun fejn jużaw ix-xbiha tal-wiċċ biss fejn </w:t>
            </w:r>
            <w:r>
              <w:rPr>
                <w:rFonts w:ascii="Times New Roman" w:eastAsia="Times New Roman" w:hAnsi="Times New Roman" w:cs="Times New Roman"/>
                <w:b/>
                <w:i/>
                <w:strike w:val="0"/>
                <w:color w:val="000000"/>
                <w:sz w:val="24"/>
                <w:highlight w:val="none"/>
                <w:u w:val="none" w:color="auto"/>
              </w:rPr>
              <w:t>in-nuqqas</w:t>
            </w:r>
            <w:r>
              <w:t xml:space="preserve"> ta' konformità </w:t>
            </w:r>
            <w:r>
              <w:rPr>
                <w:rFonts w:ascii="Times New Roman" w:eastAsia="Times New Roman" w:hAnsi="Times New Roman" w:cs="Times New Roman"/>
                <w:b/>
                <w:i/>
                <w:strike w:val="0"/>
                <w:color w:val="000000"/>
                <w:sz w:val="24"/>
                <w:highlight w:val="none"/>
                <w:u w:val="none" w:color="auto"/>
              </w:rPr>
              <w:t>bażata</w:t>
            </w:r>
            <w:r>
              <w:t xml:space="preserve"> fuq raġunijiet mhux relatati mal-kundizzjonijiet tas-swaba' tal-individwu </w:t>
            </w:r>
            <w:r>
              <w:rPr>
                <w:rFonts w:ascii="Times New Roman" w:eastAsia="Times New Roman" w:hAnsi="Times New Roman" w:cs="Times New Roman"/>
                <w:b/>
                <w:i/>
                <w:strike w:val="0"/>
                <w:color w:val="000000"/>
                <w:sz w:val="24"/>
                <w:highlight w:val="none"/>
                <w:u w:val="none" w:color="auto"/>
              </w:rPr>
              <w:t>hija mogħtija</w:t>
            </w:r>
            <w:r>
              <w:t xml:space="preserve">. Meta jintużaw ix-xbihat tal-wiċċ flimkien mad-data tal-marki tas-swaba', </w:t>
            </w:r>
            <w:r>
              <w:rPr>
                <w:rFonts w:ascii="Times New Roman" w:eastAsia="Times New Roman" w:hAnsi="Times New Roman" w:cs="Times New Roman"/>
                <w:b/>
                <w:i/>
                <w:strike w:val="0"/>
                <w:color w:val="000000"/>
                <w:sz w:val="24"/>
                <w:highlight w:val="none"/>
                <w:u w:val="none" w:color="auto"/>
              </w:rPr>
              <w:t>dan jippermetti għal tnaqqis</w:t>
            </w:r>
            <w:r>
              <w:t xml:space="preserve"> tal-marki tas-swaba' reġistrati</w:t>
            </w:r>
            <w:r>
              <w:rPr>
                <w:rFonts w:ascii="Times New Roman" w:eastAsia="Times New Roman" w:hAnsi="Times New Roman" w:cs="Times New Roman"/>
                <w:b/>
                <w:i/>
                <w:strike w:val="0"/>
                <w:color w:val="000000"/>
                <w:sz w:val="24"/>
                <w:highlight w:val="none"/>
                <w:u w:val="none" w:color="auto"/>
              </w:rPr>
              <w:t xml:space="preserve"> filwaqt li</w:t>
            </w:r>
            <w:r>
              <w:t xml:space="preserve"> jippermetti l-istess riżultat f'termini ta' preċiżjoni tal-identifikazzjoni.</w:t>
            </w:r>
          </w:p>
        </w:tc>
        <w:tc>
          <w:tcPr/>
          <w:p>
            <w:pPr>
              <w:pStyle w:val="Normal6"/>
            </w:pPr>
            <w:r>
              <w:rPr>
                <w:rFonts w:ascii="Times New Roman" w:eastAsia="Times New Roman" w:hAnsi="Times New Roman" w:cs="Times New Roman"/>
                <w:b/>
                <w:i/>
                <w:strike w:val="0"/>
                <w:color w:val="000000"/>
                <w:sz w:val="24"/>
                <w:highlight w:val="none"/>
                <w:u w:val="none" w:color="auto"/>
              </w:rPr>
              <w:t>10.</w:t>
            </w:r>
            <w:r>
              <w:tab/>
            </w:r>
            <w:r>
              <w:t xml:space="preserve">Biex jgħin lill-Istati Membri jegħlbu l-isfidi relatati ma' nuqqas ta' konformità mal-proċess tat-teħid tal-marki tas-swaba', dan ir-Regolament jippermetti wkoll il-paragun </w:t>
            </w:r>
            <w:r>
              <w:rPr>
                <w:rFonts w:ascii="Times New Roman" w:eastAsia="Times New Roman" w:hAnsi="Times New Roman" w:cs="Times New Roman"/>
                <w:b/>
                <w:i/>
                <w:strike w:val="0"/>
                <w:color w:val="000000"/>
                <w:sz w:val="24"/>
                <w:highlight w:val="none"/>
                <w:u w:val="none" w:color="auto"/>
              </w:rPr>
              <w:t>tax-xbiha</w:t>
            </w:r>
            <w:r>
              <w:t xml:space="preserve"> tal-wiċċ mingħajr il-marki tas-swaba' bħala l-aħħar possibbiltà, fejn ikun impossibbli li jittieħdu l-marki tas-swaba' ta' persuni ċittadini ta' pajjiż terz jew </w:t>
            </w:r>
            <w:r>
              <w:rPr>
                <w:rFonts w:ascii="Times New Roman" w:eastAsia="Times New Roman" w:hAnsi="Times New Roman" w:cs="Times New Roman"/>
                <w:b/>
                <w:i/>
                <w:strike w:val="0"/>
                <w:color w:val="000000"/>
                <w:sz w:val="24"/>
                <w:highlight w:val="none"/>
                <w:u w:val="none" w:color="auto"/>
              </w:rPr>
              <w:t>apolidi</w:t>
            </w:r>
            <w:r>
              <w:t xml:space="preserve"> minħabba li l-marki tas-swaba' tiegħu jew tagħha </w:t>
            </w:r>
            <w:r>
              <w:rPr>
                <w:rFonts w:ascii="Times New Roman" w:eastAsia="Times New Roman" w:hAnsi="Times New Roman" w:cs="Times New Roman"/>
                <w:b/>
                <w:i/>
                <w:strike w:val="0"/>
                <w:color w:val="000000"/>
                <w:sz w:val="24"/>
                <w:highlight w:val="none"/>
                <w:u w:val="none" w:color="auto"/>
              </w:rPr>
              <w:t>jkunu</w:t>
            </w:r>
            <w:r>
              <w:t xml:space="preserve"> danneġġati, b'mod intenzjonali jew le, jew amputati. </w:t>
            </w:r>
            <w:r>
              <w:rPr>
                <w:rFonts w:ascii="Times New Roman" w:eastAsia="Times New Roman" w:hAnsi="Times New Roman" w:cs="Times New Roman"/>
                <w:b/>
                <w:i/>
                <w:strike w:val="0"/>
                <w:color w:val="000000"/>
                <w:sz w:val="24"/>
                <w:highlight w:val="none"/>
                <w:u w:val="none" w:color="auto"/>
              </w:rPr>
              <w:t xml:space="preserve">Jekk l-impossibilità fiżika li jingħataw il-marki tas-swaba' tkun ta' natura temporanja, jenħtieġ li dan jiġi mniżżel u l-proċess tat-teħid tal-marki tas-swaba' jenħtieġ li jsir aktar tard meta titreġġa l-integrità fiżika tal-marki tas-swaba'. </w:t>
            </w:r>
            <w:r>
              <w:t xml:space="preserve">L-Istati Membri </w:t>
            </w:r>
            <w:r>
              <w:rPr>
                <w:rFonts w:ascii="Times New Roman" w:eastAsia="Times New Roman" w:hAnsi="Times New Roman" w:cs="Times New Roman"/>
                <w:b/>
                <w:i/>
                <w:strike w:val="0"/>
                <w:color w:val="000000"/>
                <w:sz w:val="24"/>
                <w:highlight w:val="none"/>
                <w:u w:val="none" w:color="auto"/>
              </w:rPr>
              <w:t>jenħtieġ</w:t>
            </w:r>
            <w:r>
              <w:t xml:space="preserve"> li jeżawrixxu l-isforzi tagħhom kollha biex jiżguraw li l-marki tas-swaba' jkunu jistgħu jittieħdu mis-suġġett tad-data qabel ma jagħmlu paragun fejn jużaw ix-xbiha tal-wiċċ biss fejn </w:t>
            </w:r>
            <w:r>
              <w:rPr>
                <w:rFonts w:ascii="Times New Roman" w:eastAsia="Times New Roman" w:hAnsi="Times New Roman" w:cs="Times New Roman"/>
                <w:b/>
                <w:i/>
                <w:strike w:val="0"/>
                <w:color w:val="000000"/>
                <w:sz w:val="24"/>
                <w:highlight w:val="none"/>
                <w:u w:val="none" w:color="auto"/>
              </w:rPr>
              <w:t>tiġi mogħtija nuqqas</w:t>
            </w:r>
            <w:r>
              <w:t xml:space="preserve"> ta' konformità </w:t>
            </w:r>
            <w:r>
              <w:rPr>
                <w:rFonts w:ascii="Times New Roman" w:eastAsia="Times New Roman" w:hAnsi="Times New Roman" w:cs="Times New Roman"/>
                <w:b/>
                <w:i/>
                <w:strike w:val="0"/>
                <w:color w:val="000000"/>
                <w:sz w:val="24"/>
                <w:highlight w:val="none"/>
                <w:u w:val="none" w:color="auto"/>
              </w:rPr>
              <w:t>bbażata</w:t>
            </w:r>
            <w:r>
              <w:t xml:space="preserve"> fuq raġunijiet mhux relatati mal-kundizzjonijiet tas-swaba' tal-individwu . Meta jintużaw ix-xbihat tal-wiċċ </w:t>
            </w:r>
            <w:r>
              <w:rPr>
                <w:rFonts w:ascii="Times New Roman" w:eastAsia="Times New Roman" w:hAnsi="Times New Roman" w:cs="Times New Roman"/>
                <w:b/>
                <w:i/>
                <w:strike w:val="0"/>
                <w:color w:val="000000"/>
                <w:sz w:val="24"/>
                <w:highlight w:val="none"/>
                <w:u w:val="none" w:color="auto"/>
              </w:rPr>
              <w:t xml:space="preserve">b'riżoluzzjoni u kwalità tax-xbiha suffiċjenti fit-tqabbil bijometriku awtomatizzat </w:t>
            </w:r>
            <w:r>
              <w:t xml:space="preserve">flimkien mad-data tal-marki tas-swaba', </w:t>
            </w:r>
            <w:r>
              <w:rPr>
                <w:rFonts w:ascii="Times New Roman" w:eastAsia="Times New Roman" w:hAnsi="Times New Roman" w:cs="Times New Roman"/>
                <w:b/>
                <w:i/>
                <w:strike w:val="0"/>
                <w:color w:val="000000"/>
                <w:sz w:val="24"/>
                <w:highlight w:val="none"/>
                <w:u w:val="none" w:color="auto"/>
              </w:rPr>
              <w:t>suppost ikun possibbli li jitnaqqas l-għadd</w:t>
            </w:r>
            <w:r>
              <w:t xml:space="preserve"> tal-marki tas-swaba' reġistrati</w:t>
            </w:r>
            <w:r>
              <w:rPr>
                <w:rFonts w:ascii="Times New Roman" w:eastAsia="Times New Roman" w:hAnsi="Times New Roman" w:cs="Times New Roman"/>
                <w:b/>
                <w:i/>
                <w:strike w:val="0"/>
                <w:color w:val="000000"/>
                <w:sz w:val="24"/>
                <w:highlight w:val="none"/>
                <w:u w:val="none" w:color="auto"/>
              </w:rPr>
              <w:t>, dment li dan</w:t>
            </w:r>
            <w:r>
              <w:t xml:space="preserve"> jippermetti l-istess riżultat f'termini ta' preċiżjoni tal-identifikazzjoni.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(11)</w:t>
            </w:r>
            <w:r>
              <w:tab/>
            </w:r>
            <w:r>
              <w:rPr>
                <w:rFonts w:ascii="Times New Roman" w:eastAsia="Times New Roman" w:hAnsi="Times New Roman" w:cs="Times New Roman"/>
                <w:b/>
                <w:i/>
                <w:strike w:val="0"/>
                <w:color w:val="000000"/>
                <w:sz w:val="24"/>
                <w:highlight w:val="none"/>
                <w:u w:val="none" w:color="auto"/>
              </w:rPr>
              <w:t>Ir-ritorn ta’ ċittadini ta’ pajjiżi terzi li ma għandhomx id-dritt li joqogħdu fl-Unjoni, skont id-drittijiet fundamentali bħala prinċipji ġenerali tad-dritt tal-Unjoni kif ukoll tal-liġi internazzjonali, inklużi l-protezzjoni tar-refuġjati u l-obbligi tad-drittijiet tal-bniedem, u f’konformità mad-dispożizzjonijiet tad-Direttiva 2008/115/KE</w:t>
            </w:r>
            <w:r>
              <w:rPr>
                <w:rStyle w:val="SupBoldItalic"/>
              </w:rPr>
              <w:t>26</w:t>
            </w:r>
            <w:r>
              <w:rPr>
                <w:rFonts w:ascii="Times New Roman" w:eastAsia="Times New Roman" w:hAnsi="Times New Roman" w:cs="Times New Roman"/>
                <w:b/>
                <w:i/>
                <w:strike w:val="0"/>
                <w:color w:val="000000"/>
                <w:sz w:val="24"/>
                <w:highlight w:val="none"/>
                <w:u w:val="none" w:color="auto"/>
              </w:rPr>
              <w:t xml:space="preserve"> , huwa parti essenzjali tal-isforzi komprensivi biex jittrattaw il-migrazzjoni u, b'mod partikolari, biex inaqqsu u jiskoraġġixxu l-migrazzjoni irregolari. Biex tiżdied l-effettività tas-sistema tal-Unjoni biex jiġu ritornati ċittadini ta' pajjiżi terzi li qed jirrisjedu illegalment hija meħtieġa sistema biex tinżamm il-fiduċja pubblika fis-sistema tal-ażil u l-migrazzjoni tal-Unjoni, u jinħtieġ li timxi id f'id mal-isforzi biex jiġu protetti dawk li jetieġu protezzjoni.</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26</w:t>
            </w:r>
            <w:r>
              <w:t xml:space="preserve"> </w:t>
            </w:r>
            <w:r>
              <w:rPr>
                <w:rFonts w:ascii="Times New Roman" w:eastAsia="Times New Roman" w:hAnsi="Times New Roman" w:cs="Times New Roman"/>
                <w:b/>
                <w:i/>
                <w:strike w:val="0"/>
                <w:color w:val="000000"/>
                <w:sz w:val="24"/>
                <w:highlight w:val="none"/>
                <w:u w:val="none" w:color="auto"/>
              </w:rPr>
              <w:t>Id-Direttiva tal-Parlament Ewropew u tal-Kunsill, tas-16 ta’ Diċembru 2008, dwar standards u proċeduri komuni fl-Istati Membri għar-ritorn ta’ ċittadini ta’ pajjiżi terzi li jkunu qegħdin fil-pajjiż illegalment, ĠU L 348, 24,12,2008, p. 98.</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(11)</w:t>
            </w:r>
            <w:r>
              <w:tab/>
            </w:r>
            <w:r>
              <w:t xml:space="preserve">Ir-ritorn ta’ ċittadini ta’ pajjiżi terzi li ma għandhomx id-dritt li joqogħdu fl-Unjoni, skont id-drittijiet fundamentali bħala prinċipji ġenerali tad-dritt </w:t>
            </w:r>
            <w:r>
              <w:rPr>
                <w:rFonts w:ascii="Times New Roman" w:eastAsia="Times New Roman" w:hAnsi="Times New Roman" w:cs="Times New Roman"/>
                <w:b/>
                <w:i/>
                <w:strike w:val="0"/>
                <w:color w:val="000000"/>
                <w:sz w:val="24"/>
                <w:highlight w:val="none"/>
                <w:u w:val="none" w:color="auto"/>
              </w:rPr>
              <w:t>tal-Unjoni</w:t>
            </w:r>
            <w:r>
              <w:t xml:space="preserve"> kif ukoll </w:t>
            </w:r>
            <w:r>
              <w:rPr>
                <w:rFonts w:ascii="Times New Roman" w:eastAsia="Times New Roman" w:hAnsi="Times New Roman" w:cs="Times New Roman"/>
                <w:b/>
                <w:i/>
                <w:strike w:val="0"/>
                <w:color w:val="000000"/>
                <w:sz w:val="24"/>
                <w:highlight w:val="none"/>
                <w:u w:val="none" w:color="auto"/>
              </w:rPr>
              <w:t>tal-liġi</w:t>
            </w:r>
            <w:r>
              <w:t xml:space="preserve"> internazzjonali, inklużi l-protezzjoni tar-refuġjati u l-obbligi tad-drittijiet tal-bniedem, u f’konformità mad-dispożizzjonijiet tad-Direttiva 2008/115/KE</w:t>
            </w:r>
            <w:r>
              <w:rPr>
                <w:rStyle w:val="Sup"/>
              </w:rPr>
              <w:t>26</w:t>
            </w:r>
            <w:r>
              <w:rPr>
                <w:rFonts w:ascii="Times New Roman" w:eastAsia="Times New Roman" w:hAnsi="Times New Roman" w:cs="Times New Roman"/>
                <w:b/>
                <w:i/>
                <w:strike w:val="0"/>
                <w:color w:val="000000"/>
                <w:sz w:val="24"/>
                <w:highlight w:val="none"/>
                <w:u w:val="none" w:color="auto"/>
              </w:rPr>
              <w:t xml:space="preserve"> , huwa parti</w:t>
            </w:r>
            <w:r>
              <w:t xml:space="preserve"> essenzjali </w:t>
            </w:r>
            <w:r>
              <w:rPr>
                <w:rFonts w:ascii="Times New Roman" w:eastAsia="Times New Roman" w:hAnsi="Times New Roman" w:cs="Times New Roman"/>
                <w:b/>
                <w:i/>
                <w:strike w:val="0"/>
                <w:color w:val="000000"/>
                <w:sz w:val="24"/>
                <w:highlight w:val="none"/>
                <w:u w:val="none" w:color="auto"/>
              </w:rPr>
              <w:t>tal-isforzi komprensivi biex jittrattaw il-migrazzjoni u, b'mod partikolari, biex inaqqsu u jiskoraġġixxu</w:t>
            </w:r>
            <w:r>
              <w:t xml:space="preserve"> l-migrazzjoni irregolari. </w:t>
            </w:r>
            <w:r>
              <w:rPr>
                <w:rFonts w:ascii="Times New Roman" w:eastAsia="Times New Roman" w:hAnsi="Times New Roman" w:cs="Times New Roman"/>
                <w:b/>
                <w:i/>
                <w:strike w:val="0"/>
                <w:color w:val="000000"/>
                <w:sz w:val="24"/>
                <w:highlight w:val="none"/>
                <w:u w:val="none" w:color="auto"/>
              </w:rPr>
              <w:t>Biex</w:t>
            </w:r>
            <w:r>
              <w:t xml:space="preserve"> tiżdied l-effettività tas-sistema tal-Unjoni </w:t>
            </w:r>
            <w:r>
              <w:rPr>
                <w:rFonts w:ascii="Times New Roman" w:eastAsia="Times New Roman" w:hAnsi="Times New Roman" w:cs="Times New Roman"/>
                <w:b/>
                <w:i/>
                <w:strike w:val="0"/>
                <w:color w:val="000000"/>
                <w:sz w:val="24"/>
                <w:highlight w:val="none"/>
                <w:u w:val="none" w:color="auto"/>
              </w:rPr>
              <w:t>biex jiġu ritornati</w:t>
            </w:r>
            <w:r>
              <w:t xml:space="preserve"> ċittadini ta' pajjiżi terzi </w:t>
            </w:r>
            <w:r>
              <w:rPr>
                <w:rFonts w:ascii="Times New Roman" w:eastAsia="Times New Roman" w:hAnsi="Times New Roman" w:cs="Times New Roman"/>
                <w:b/>
                <w:i/>
                <w:strike w:val="0"/>
                <w:color w:val="000000"/>
                <w:sz w:val="24"/>
                <w:highlight w:val="none"/>
                <w:u w:val="none" w:color="auto"/>
              </w:rPr>
              <w:t>li qed jirrisjedu illegalment hija meħtieġa sistema biex</w:t>
            </w:r>
            <w:r>
              <w:t xml:space="preserve"> tinżamm il-fiduċja pubblika </w:t>
            </w:r>
            <w:r>
              <w:rPr>
                <w:rFonts w:ascii="Times New Roman" w:eastAsia="Times New Roman" w:hAnsi="Times New Roman" w:cs="Times New Roman"/>
                <w:b/>
                <w:i/>
                <w:strike w:val="0"/>
                <w:color w:val="000000"/>
                <w:sz w:val="24"/>
                <w:highlight w:val="none"/>
                <w:u w:val="none" w:color="auto"/>
              </w:rPr>
              <w:t>fis-sistema tal-ażil u l-migrazzjoni tal-Unjoni, u jinħtieġ li timxi id f'id mal-isforzi biex jiġu protetti dawk li jetieġu</w:t>
            </w:r>
            <w:r>
              <w:t xml:space="preserve"> protezzjoni.</w:t>
            </w:r>
          </w:p>
        </w:tc>
        <w:tc>
          <w:tcPr/>
          <w:p>
            <w:pPr>
              <w:pStyle w:val="Normal6"/>
            </w:pPr>
            <w:r>
              <w:rPr>
                <w:rFonts w:ascii="Times New Roman" w:eastAsia="Times New Roman" w:hAnsi="Times New Roman" w:cs="Times New Roman"/>
                <w:b/>
                <w:i/>
                <w:strike w:val="0"/>
                <w:color w:val="000000"/>
                <w:sz w:val="24"/>
                <w:highlight w:val="none"/>
                <w:u w:val="none" w:color="auto"/>
              </w:rPr>
              <w:t>11.</w:t>
            </w:r>
            <w:r>
              <w:tab/>
            </w:r>
            <w:r>
              <w:t xml:space="preserve">Ir-ritorn ta' ċittadini ta' pajjiżi terzi li ma għandhomx id-dritt li joqogħdu fl-Unjoni, skont id-drittijiet fundamentali bħala prinċipji ġenerali tad-dritt </w:t>
            </w:r>
            <w:r>
              <w:rPr>
                <w:rFonts w:ascii="Times New Roman" w:eastAsia="Times New Roman" w:hAnsi="Times New Roman" w:cs="Times New Roman"/>
                <w:b/>
                <w:i/>
                <w:strike w:val="0"/>
                <w:color w:val="000000"/>
                <w:sz w:val="24"/>
                <w:highlight w:val="none"/>
                <w:u w:val="none" w:color="auto"/>
              </w:rPr>
              <w:t>tal-UE</w:t>
            </w:r>
            <w:r>
              <w:t xml:space="preserve"> kif ukoll </w:t>
            </w:r>
            <w:r>
              <w:rPr>
                <w:rFonts w:ascii="Times New Roman" w:eastAsia="Times New Roman" w:hAnsi="Times New Roman" w:cs="Times New Roman"/>
                <w:b/>
                <w:i/>
                <w:strike w:val="0"/>
                <w:color w:val="000000"/>
                <w:sz w:val="24"/>
                <w:highlight w:val="none"/>
                <w:u w:val="none" w:color="auto"/>
              </w:rPr>
              <w:t>tad-dritt</w:t>
            </w:r>
            <w:r>
              <w:t xml:space="preserve"> internazzjonali, inklużi l-protezzjoni tar-refuġjati u l-obbligi tad-drittijiet tal-bniedem, u f'konformità mad-dispożizzjonijiet tad-Direttiva 2008/115/KE</w:t>
            </w:r>
            <w:r>
              <w:rPr>
                <w:rStyle w:val="Sup"/>
              </w:rPr>
              <w:t>26</w:t>
            </w:r>
            <w:r>
              <w:rPr>
                <w:rFonts w:ascii="Times New Roman" w:eastAsia="Times New Roman" w:hAnsi="Times New Roman" w:cs="Times New Roman"/>
                <w:b/>
                <w:i/>
                <w:strike w:val="0"/>
                <w:color w:val="000000"/>
                <w:sz w:val="24"/>
                <w:highlight w:val="none"/>
                <w:u w:val="none" w:color="auto"/>
              </w:rPr>
              <w:t>, huwa pedament</w:t>
            </w:r>
            <w:r>
              <w:t xml:space="preserve"> essenzjali </w:t>
            </w:r>
            <w:r>
              <w:rPr>
                <w:rFonts w:ascii="Times New Roman" w:eastAsia="Times New Roman" w:hAnsi="Times New Roman" w:cs="Times New Roman"/>
                <w:b/>
                <w:i/>
                <w:strike w:val="0"/>
                <w:color w:val="000000"/>
                <w:sz w:val="24"/>
                <w:highlight w:val="none"/>
                <w:u w:val="none" w:color="auto"/>
              </w:rPr>
              <w:t>ta' Sistema Ewropea Komuni tal-Asil ġusta u effiċjenti li jkollha wkoll l-iskop li tnaqqas u tiskoraġġixxi</w:t>
            </w:r>
            <w:r>
              <w:t xml:space="preserve"> l-migrazzjoni irregolari. </w:t>
            </w:r>
            <w:r>
              <w:rPr>
                <w:rFonts w:ascii="Times New Roman" w:eastAsia="Times New Roman" w:hAnsi="Times New Roman" w:cs="Times New Roman"/>
                <w:b/>
                <w:i/>
                <w:strike w:val="0"/>
                <w:color w:val="000000"/>
                <w:sz w:val="24"/>
                <w:highlight w:val="none"/>
                <w:u w:val="none" w:color="auto"/>
              </w:rPr>
              <w:t>Hu meħtieġ li</w:t>
            </w:r>
            <w:r>
              <w:t xml:space="preserve"> tiżdied l-effettività tas-sistema tal-Unjoni </w:t>
            </w:r>
            <w:r>
              <w:rPr>
                <w:rFonts w:ascii="Times New Roman" w:eastAsia="Times New Roman" w:hAnsi="Times New Roman" w:cs="Times New Roman"/>
                <w:b/>
                <w:i/>
                <w:strike w:val="0"/>
                <w:color w:val="000000"/>
                <w:sz w:val="24"/>
                <w:highlight w:val="none"/>
                <w:u w:val="none" w:color="auto"/>
              </w:rPr>
              <w:t>għar-ritorn ta'</w:t>
            </w:r>
            <w:r>
              <w:t xml:space="preserve"> ċittadini ta' pajjiżi terzi </w:t>
            </w:r>
            <w:r>
              <w:rPr>
                <w:rFonts w:ascii="Times New Roman" w:eastAsia="Times New Roman" w:hAnsi="Times New Roman" w:cs="Times New Roman"/>
                <w:b/>
                <w:i/>
                <w:strike w:val="0"/>
                <w:color w:val="000000"/>
                <w:sz w:val="24"/>
                <w:highlight w:val="none"/>
                <w:u w:val="none" w:color="auto"/>
              </w:rPr>
              <w:t>b'residenza illegali sabiex</w:t>
            </w:r>
            <w:r>
              <w:t xml:space="preserve"> tinżamm il-fiduċja pubblika </w:t>
            </w:r>
            <w:r>
              <w:rPr>
                <w:rFonts w:ascii="Times New Roman" w:eastAsia="Times New Roman" w:hAnsi="Times New Roman" w:cs="Times New Roman"/>
                <w:b/>
                <w:i/>
                <w:strike w:val="0"/>
                <w:color w:val="000000"/>
                <w:sz w:val="24"/>
                <w:highlight w:val="none"/>
                <w:u w:val="none" w:color="auto"/>
              </w:rPr>
              <w:t>fis-Sistema Ewropea Komuni tal-Asil, li hija fundamentali sabiex jinżamm l-obbligu ta' protezzjoni ta' dawk fi bżonn ta'</w:t>
            </w:r>
            <w:r>
              <w:t xml:space="preserve"> protezzjoni.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26</w:t>
            </w:r>
            <w:r>
              <w:t xml:space="preserve"> </w:t>
            </w:r>
            <w:r>
              <w:t xml:space="preserve">Id-Direttiva tal-Parlament Ewropew u tal-Kunsill, tas-16 ta’ Diċembru 2008, dwar standards u proċeduri komuni fl-Istati Membri għar-ritorn ta’ ċittadini ta’ pajjiżi terzi li jkunu qegħdin fil-pajjiż illegalment, ĠU L 348, </w:t>
            </w:r>
            <w:r>
              <w:rPr>
                <w:rFonts w:ascii="Times New Roman" w:eastAsia="Times New Roman" w:hAnsi="Times New Roman" w:cs="Times New Roman"/>
                <w:b/>
                <w:i/>
                <w:strike w:val="0"/>
                <w:color w:val="000000"/>
                <w:sz w:val="24"/>
                <w:highlight w:val="none"/>
                <w:u w:val="none" w:color="auto"/>
              </w:rPr>
              <w:t>24,12,2008</w:t>
            </w:r>
            <w:r>
              <w:t>, p. 98.</w:t>
            </w:r>
          </w:p>
        </w:tc>
        <w:tc>
          <w:tcPr/>
          <w:p>
            <w:pPr>
              <w:pStyle w:val="Normal6"/>
            </w:pPr>
            <w:r>
              <w:rPr>
                <w:rStyle w:val="Sup"/>
              </w:rPr>
              <w:t>26</w:t>
            </w:r>
            <w:r>
              <w:t xml:space="preserve"> </w:t>
            </w:r>
            <w:r>
              <w:t xml:space="preserve">Id-Direttiva tal-Parlament Ewropew u tal-Kunsill, tas-16 ta' Diċembru 2008, dwar standards u proċeduri komuni fl-Istati Membri għar-ritorn ta' ċittadini ta' pajjiżi terzi li jkunu qegħdin fil-pajjiż illegalment, ĠU L 348, </w:t>
            </w:r>
            <w:r>
              <w:rPr>
                <w:rFonts w:ascii="Times New Roman" w:eastAsia="Times New Roman" w:hAnsi="Times New Roman" w:cs="Times New Roman"/>
                <w:b/>
                <w:i/>
                <w:strike w:val="0"/>
                <w:color w:val="000000"/>
                <w:sz w:val="24"/>
                <w:highlight w:val="none"/>
                <w:u w:val="none" w:color="auto"/>
              </w:rPr>
              <w:t>24.12.2008</w:t>
            </w:r>
            <w:r>
              <w:t>, p. 98.</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(11)</w:t>
            </w:r>
            <w:r>
              <w:tab/>
            </w:r>
            <w:r>
              <w:t>Ir-ritorn ta’ ċittadini ta’ pajjiżi terzi li ma għandhomx id-dritt li joqogħdu fl-Unjoni, skont id-drittijiet fundamentali bħala prinċipji ġenerali tad-dritt tal-Unjoni kif ukoll tal-liġi internazzjonali, inklużi l-protezzjoni tar-refuġjati u l-obbligi tad-drittijiet tal-bniedem, u f’konformità mad-dispożizzjonijiet tad-Direttiva 2008/115/KE</w:t>
            </w:r>
            <w:r>
              <w:rPr>
                <w:rStyle w:val="Sup"/>
              </w:rPr>
              <w:t>26</w:t>
            </w:r>
            <w:r>
              <w:rPr>
                <w:rFonts w:ascii="Times New Roman" w:eastAsia="Times New Roman" w:hAnsi="Times New Roman" w:cs="Times New Roman"/>
                <w:b/>
                <w:i/>
                <w:strike w:val="0"/>
                <w:color w:val="000000"/>
                <w:sz w:val="24"/>
                <w:highlight w:val="none"/>
                <w:u w:val="none" w:color="auto"/>
              </w:rPr>
              <w:t xml:space="preserve"> </w:t>
            </w:r>
            <w:r>
              <w:t xml:space="preserve">, huwa parti essenzjali tal-isforzi komprensivi biex jittrattaw il-migrazzjoni u, b'mod partikolari, biex inaqqsu u jiskoraġġixxu l-migrazzjoni irregolari. Biex tiżdied l-effettività tas-sistema tal-Unjoni biex jiġu ritornati ċittadini ta' pajjiżi terzi li qed jirrisjedu illegalment hija meħtieġa sistema biex tinżamm il-fiduċja pubblika fis-sistema </w:t>
            </w:r>
            <w:r>
              <w:rPr>
                <w:rFonts w:ascii="Times New Roman" w:eastAsia="Times New Roman" w:hAnsi="Times New Roman" w:cs="Times New Roman"/>
                <w:b/>
                <w:i/>
                <w:strike w:val="0"/>
                <w:color w:val="000000"/>
                <w:sz w:val="24"/>
                <w:highlight w:val="none"/>
                <w:u w:val="none" w:color="auto"/>
              </w:rPr>
              <w:t>tal-ażil</w:t>
            </w:r>
            <w:r>
              <w:t xml:space="preserve"> u l-migrazzjoni tal-Unjoni, u </w:t>
            </w:r>
            <w:r>
              <w:rPr>
                <w:rFonts w:ascii="Times New Roman" w:eastAsia="Times New Roman" w:hAnsi="Times New Roman" w:cs="Times New Roman"/>
                <w:b/>
                <w:i/>
                <w:strike w:val="0"/>
                <w:color w:val="000000"/>
                <w:sz w:val="24"/>
                <w:highlight w:val="none"/>
                <w:u w:val="none" w:color="auto"/>
              </w:rPr>
              <w:t>jinħtieġ li timxi id f'id mal-isforzi</w:t>
            </w:r>
            <w:r>
              <w:t xml:space="preserve"> biex jiġu protetti dawk li </w:t>
            </w:r>
            <w:r>
              <w:rPr>
                <w:rFonts w:ascii="Times New Roman" w:eastAsia="Times New Roman" w:hAnsi="Times New Roman" w:cs="Times New Roman"/>
                <w:b/>
                <w:i/>
                <w:strike w:val="0"/>
                <w:color w:val="000000"/>
                <w:sz w:val="24"/>
                <w:highlight w:val="none"/>
                <w:u w:val="none" w:color="auto"/>
              </w:rPr>
              <w:t>jetieġu protezzjoni</w:t>
            </w:r>
            <w:r>
              <w:t>.</w:t>
            </w:r>
          </w:p>
        </w:tc>
        <w:tc>
          <w:tcPr/>
          <w:p>
            <w:pPr>
              <w:pStyle w:val="Normal6"/>
            </w:pPr>
            <w:r>
              <w:t>(11)</w:t>
            </w:r>
            <w:r>
              <w:tab/>
            </w:r>
            <w:r>
              <w:t>Ir-ritorn ta’ ċittadini ta’ pajjiżi terzi li ma għandhomx id-dritt li joqogħdu fl-Unjoni, skont id-drittijiet fundamentali bħala prinċipji ġenerali tad-dritt tal-Unjoni kif ukoll tal-liġi internazzjonali, inklużi l-protezzjoni tar-refuġjati u l-obbligi tad-drittijiet tal-bniedem, u f’konformità mad-dispożizzjonijiet tad-Direttiva 2008/115/KE</w:t>
            </w:r>
            <w:r>
              <w:rPr>
                <w:rStyle w:val="Sup"/>
              </w:rPr>
              <w:t>26</w:t>
            </w:r>
            <w:r>
              <w:t>, huwa parti essenzjali tal-isforzi komprensivi biex jittrattaw il-migrazzjoni u, b'mod partikolari, biex inaqqsu u jiskoraġġixxu l-migrazzjoni irregolari. Biex tiżdied l-effettività tas-sistema tal-Unjoni biex jiġu ritornati</w:t>
            </w:r>
            <w:r>
              <w:rPr>
                <w:rFonts w:ascii="Times New Roman" w:eastAsia="Times New Roman" w:hAnsi="Times New Roman" w:cs="Times New Roman"/>
                <w:b/>
                <w:i/>
                <w:strike w:val="0"/>
                <w:color w:val="000000"/>
                <w:sz w:val="24"/>
                <w:highlight w:val="none"/>
                <w:u w:val="none" w:color="auto"/>
              </w:rPr>
              <w:t xml:space="preserve"> sistematikament</w:t>
            </w:r>
            <w:r>
              <w:t xml:space="preserve"> ċittadini ta' pajjiżi terzi li qed jirrisjedu illegalment hija meħtieġa sistema biex tinżamm il-fiduċja pubblika fis-sistema </w:t>
            </w:r>
            <w:r>
              <w:rPr>
                <w:rFonts w:ascii="Times New Roman" w:eastAsia="Times New Roman" w:hAnsi="Times New Roman" w:cs="Times New Roman"/>
                <w:b/>
                <w:i/>
                <w:strike w:val="0"/>
                <w:color w:val="000000"/>
                <w:sz w:val="24"/>
                <w:highlight w:val="none"/>
                <w:u w:val="none" w:color="auto"/>
              </w:rPr>
              <w:t>tal-asil</w:t>
            </w:r>
            <w:r>
              <w:t xml:space="preserve"> u l-migrazzjoni tal-Unjoni, u </w:t>
            </w:r>
            <w:r>
              <w:rPr>
                <w:rFonts w:ascii="Times New Roman" w:eastAsia="Times New Roman" w:hAnsi="Times New Roman" w:cs="Times New Roman"/>
                <w:b/>
                <w:i/>
                <w:strike w:val="0"/>
                <w:color w:val="000000"/>
                <w:sz w:val="24"/>
                <w:highlight w:val="none"/>
                <w:u w:val="none" w:color="auto"/>
              </w:rPr>
              <w:t>din trid tkun inseparabbli mill-isforzi</w:t>
            </w:r>
            <w:r>
              <w:t xml:space="preserve"> biex jiġu protetti dawk li </w:t>
            </w:r>
            <w:r>
              <w:rPr>
                <w:rFonts w:ascii="Times New Roman" w:eastAsia="Times New Roman" w:hAnsi="Times New Roman" w:cs="Times New Roman"/>
                <w:b/>
                <w:i/>
                <w:strike w:val="0"/>
                <w:color w:val="000000"/>
                <w:sz w:val="24"/>
                <w:highlight w:val="none"/>
                <w:u w:val="none" w:color="auto"/>
              </w:rPr>
              <w:t>jeħtieġu l-protezzjoni u huma fost l-ewwel li jġarrbu l-immigrazzjoni illegali</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26</w:t>
            </w:r>
            <w:r>
              <w:t xml:space="preserve"> </w:t>
            </w:r>
            <w:r>
              <w:t>Id-Direttiva tal-Parlament Ewropew u tal-Kunsill, tas-16 ta’ Diċembru 2008, dwar standards u proċeduri komuni fl-Istati Membri għar-ritorn ta’ ċittadini ta’ pajjiżi terzi li jkunu qegħdin fil-pajjiż illegalment, ĠU L 348, 24,12,2008, p. 98.</w:t>
            </w:r>
          </w:p>
        </w:tc>
        <w:tc>
          <w:tcPr/>
          <w:p>
            <w:pPr>
              <w:pStyle w:val="Normal6"/>
            </w:pPr>
            <w:r>
              <w:rPr>
                <w:rStyle w:val="Sup"/>
              </w:rPr>
              <w:t>26</w:t>
            </w:r>
            <w:r>
              <w:t xml:space="preserve"> </w:t>
            </w:r>
            <w:r>
              <w:t>Id-Direttiva tal-Parlament Ewropew u tal-Kunsill, tas-16 ta’ Diċembru 2008, dwar standards u proċeduri komuni fl-Istati Membri għar-ritorn ta’ ċittadini ta’ pajjiżi terzi li jkunu qegħdin fil-pajjiż illegalment, ĠU L 348, 24,12,2008, p. 98.</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Ir-rata ta' implimentazzjoni tar-ritorni taċ-ċittadini ta' pajjiż terz hija inkredibilment baxxa (għal Franza, minn 1 % skont il-Qorti tal-Awdituri sa 10 % skont is-Servizz Ekumeniku ta' Għajnuna - CIMADE). Il-politika dwar l-asil konsegwentement għandha tkun aktar ibbilanċjata u bbażata fuq żewġ pilastri inseparabbli: riċeviment taċ-ċittadini eliġibbli għall-protezzjoni internazzjonali imma ritorn sistematiku u rapidu ta' dawn li mhumiex. Id-dgħjufija strutturali ta' dan it-tieni pilastru huwa wieħed mill-muturi li jsostnu n-nuqqas ta' fiduċja tal-popli Ewropej fir-rigward tal-immigrazzjoni. Fost l-ewwel nies li jsofru minn dan in-nuqqas ta' fiduċja mifrux hemm iċ-ċittadini eliġibbli għal protezzjoni internazzjonali. Għalhekk jenħtieġ li l-kwistjoni tas-sistematiċita tar-ritorni u n-natura inseparabbli tagħhom mill-isforzi provduti għar-riċeviment tiġi trattata aħjar.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(11)</w:t>
            </w:r>
            <w:r>
              <w:tab/>
            </w:r>
            <w:r>
              <w:t xml:space="preserve">Ir-ritorn ta’ ċittadini ta’ pajjiżi terzi li ma għandhomx id-dritt li joqogħdu fl-Unjoni, skont id-drittijiet fundamentali bħala prinċipji ġenerali tad-dritt tal-Unjoni kif ukoll tal-liġi internazzjonali, </w:t>
            </w:r>
            <w:r>
              <w:rPr>
                <w:rFonts w:ascii="Times New Roman" w:eastAsia="Times New Roman" w:hAnsi="Times New Roman" w:cs="Times New Roman"/>
                <w:b/>
                <w:i/>
                <w:strike w:val="0"/>
                <w:color w:val="000000"/>
                <w:sz w:val="24"/>
                <w:highlight w:val="none"/>
                <w:u w:val="none" w:color="auto"/>
              </w:rPr>
              <w:t>inklużi l-protezzjoni</w:t>
            </w:r>
            <w:r>
              <w:t xml:space="preserve"> tar-refuġjati u </w:t>
            </w:r>
            <w:r>
              <w:rPr>
                <w:rFonts w:ascii="Times New Roman" w:eastAsia="Times New Roman" w:hAnsi="Times New Roman" w:cs="Times New Roman"/>
                <w:b/>
                <w:i/>
                <w:strike w:val="0"/>
                <w:color w:val="000000"/>
                <w:sz w:val="24"/>
                <w:highlight w:val="none"/>
                <w:u w:val="none" w:color="auto"/>
              </w:rPr>
              <w:t xml:space="preserve">l-obbligi </w:t>
            </w:r>
            <w:r>
              <w:t>tad-drittijiet tal-bniedem, u f’konformità mad-dispożizzjonijiet tad-Direttiva 2008/115/KE</w:t>
            </w:r>
            <w:r>
              <w:rPr>
                <w:rStyle w:val="Sup"/>
              </w:rPr>
              <w:t>26</w:t>
            </w:r>
            <w:r>
              <w:rPr>
                <w:rFonts w:ascii="Times New Roman" w:eastAsia="Times New Roman" w:hAnsi="Times New Roman" w:cs="Times New Roman"/>
                <w:b/>
                <w:i/>
                <w:strike w:val="0"/>
                <w:color w:val="000000"/>
                <w:sz w:val="24"/>
                <w:highlight w:val="none"/>
                <w:u w:val="none" w:color="auto"/>
              </w:rPr>
              <w:t xml:space="preserve"> </w:t>
            </w:r>
            <w:r>
              <w:t xml:space="preserve">, huwa parti essenzjali tal-isforzi komprensivi biex jittrattaw il-migrazzjoni u, b'mod partikolari, biex inaqqsu u jiskoraġġixxu l-migrazzjoni irregolari. Biex tiżdied l-effettività tas-sistema tal-Unjoni biex jiġu ritornati ċittadini ta' pajjiżi terzi li qed jirrisjedu illegalment hija meħtieġa sistema biex tinżamm il-fiduċja pubblika fis-sistema </w:t>
            </w:r>
            <w:r>
              <w:rPr>
                <w:rFonts w:ascii="Times New Roman" w:eastAsia="Times New Roman" w:hAnsi="Times New Roman" w:cs="Times New Roman"/>
                <w:b/>
                <w:i/>
                <w:strike w:val="0"/>
                <w:color w:val="000000"/>
                <w:sz w:val="24"/>
                <w:highlight w:val="none"/>
                <w:u w:val="none" w:color="auto"/>
              </w:rPr>
              <w:t>tal-ażil</w:t>
            </w:r>
            <w:r>
              <w:t xml:space="preserve"> u l-migrazzjoni tal-Unjoni, u jinħtieġ li timxi id f'id mal-isforzi biex jiġu protetti dawk li jetieġu protezzjoni.</w:t>
            </w:r>
          </w:p>
        </w:tc>
        <w:tc>
          <w:tcPr/>
          <w:p>
            <w:pPr>
              <w:pStyle w:val="Normal6"/>
            </w:pPr>
            <w:r>
              <w:t>(11)</w:t>
            </w:r>
            <w:r>
              <w:tab/>
            </w:r>
            <w:r>
              <w:t xml:space="preserve">Ir-ritorn ta’ ċittadini ta’ pajjiżi terzi li ma għandhomx id-dritt li joqogħdu fl-Unjoni, skont id-drittijiet fundamentali bħala prinċipji ġenerali tad-dritt tal-Unjoni kif ukoll tal-liġi internazzjonali, </w:t>
            </w:r>
            <w:r>
              <w:rPr>
                <w:rFonts w:ascii="Times New Roman" w:eastAsia="Times New Roman" w:hAnsi="Times New Roman" w:cs="Times New Roman"/>
                <w:b/>
                <w:i/>
                <w:strike w:val="0"/>
                <w:color w:val="000000"/>
                <w:sz w:val="24"/>
                <w:highlight w:val="none"/>
                <w:u w:val="none" w:color="auto"/>
              </w:rPr>
              <w:t>notevolemtn l-obbligi fil-qasam tan-non-refoulement, tal-protezzjoni</w:t>
            </w:r>
            <w:r>
              <w:t xml:space="preserve"> tar-refuġjati u tad-drittijiet tal-bniedem, u f’konformità mad-dispożizzjonijiet tad-Direttiva 2008/115/KE</w:t>
            </w:r>
            <w:r>
              <w:rPr>
                <w:rStyle w:val="Sup"/>
              </w:rPr>
              <w:t>26</w:t>
            </w:r>
            <w:r>
              <w:t xml:space="preserve">, huwa parti essenzjali tal-isforzi komprensivi biex jittrattaw il-migrazzjoni u, b'mod partikolari, biex inaqqsu u jiskoraġġixxu l-migrazzjoni irregolari. Biex tiżdied l-effettività tas-sistema tal-Unjoni biex jiġu ritornati ċittadini ta' pajjiżi terzi li qed jirrisjedu illegalment hija meħtieġa sistema biex tinżamm il-fiduċja pubblika fis-sistema </w:t>
            </w:r>
            <w:r>
              <w:rPr>
                <w:rFonts w:ascii="Times New Roman" w:eastAsia="Times New Roman" w:hAnsi="Times New Roman" w:cs="Times New Roman"/>
                <w:b/>
                <w:i/>
                <w:strike w:val="0"/>
                <w:color w:val="000000"/>
                <w:sz w:val="24"/>
                <w:highlight w:val="none"/>
                <w:u w:val="none" w:color="auto"/>
              </w:rPr>
              <w:t>tal-asil</w:t>
            </w:r>
            <w:r>
              <w:t xml:space="preserve"> u l-migrazzjoni tal-Unjoni, u jinħtieġ li timxi id f'id mal-isforzi biex jiġu protetti dawk li jetieġu protezzjoni.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26</w:t>
            </w:r>
            <w:r>
              <w:t xml:space="preserve"> </w:t>
            </w:r>
            <w:r>
              <w:t>Id-Direttiva tal-Parlament Ewropew u tal-Kunsill, tas-16 ta’ Diċembru 2008, dwar standards u proċeduri komuni fl-Istati Membri għar-ritorn ta’ ċittadini ta’ pajjiżi terzi li jkunu qegħdin fil-pajjiż illegalment, ĠU L 348, 24,12,2008, p. 98.</w:t>
            </w:r>
          </w:p>
        </w:tc>
        <w:tc>
          <w:tcPr/>
          <w:p>
            <w:pPr>
              <w:pStyle w:val="Normal6"/>
            </w:pPr>
            <w:r>
              <w:rPr>
                <w:rStyle w:val="Sup"/>
              </w:rPr>
              <w:t>26</w:t>
            </w:r>
            <w:r>
              <w:t xml:space="preserve"> </w:t>
            </w:r>
            <w:r>
              <w:t>Id-Direttiva tal-Parlament Ewropew u tal-Kunsill, tas-16 ta’ Diċembru 2008, dwar standards u proċeduri komuni fl-Istati Membri għar-ritorn ta’ ċittadini ta’ pajjiżi terzi li jkunu qegħdin fil-pajjiż illegalment, ĠU L 348, 24,12,2008, p. 98.</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Josef Weidenholzer</w:t>
      </w:r>
      <w:r>
        <w:t xml:space="preserve">, </w:t>
      </w:r>
      <w:r>
        <w:t>Josef Weidenholzer</w:t>
      </w:r>
      <w:r>
        <w:t xml:space="preserve">, </w:t>
      </w:r>
      <w:r>
        <w:t>Vilija Blinkevičiūtė</w:t>
      </w:r>
      <w:r>
        <w:t xml:space="preserve">, </w:t>
      </w:r>
      <w:r>
        <w:t>Péter Niedermüller</w:t>
      </w:r>
      <w:r>
        <w:t xml:space="preserve">, </w:t>
      </w:r>
      <w:r>
        <w:t>Maria Grapini</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(11)</w:t>
            </w:r>
            <w:r>
              <w:tab/>
            </w:r>
            <w:r>
              <w:t xml:space="preserve">Ir-ritorn ta’ ċittadini ta’ pajjiżi terzi li ma għandhomx id-dritt li </w:t>
            </w:r>
            <w:r>
              <w:rPr>
                <w:rFonts w:ascii="Times New Roman" w:eastAsia="Times New Roman" w:hAnsi="Times New Roman" w:cs="Times New Roman"/>
                <w:b/>
                <w:i/>
                <w:strike w:val="0"/>
                <w:color w:val="000000"/>
                <w:sz w:val="24"/>
                <w:highlight w:val="none"/>
                <w:u w:val="none" w:color="auto"/>
              </w:rPr>
              <w:t>joqogħdu</w:t>
            </w:r>
            <w:r>
              <w:t xml:space="preserve"> fl-Unjoni, skont id-drittijiet fundamentali bħala prinċipji ġenerali tad-dritt tal-Unjoni kif ukoll </w:t>
            </w:r>
            <w:r>
              <w:rPr>
                <w:rFonts w:ascii="Times New Roman" w:eastAsia="Times New Roman" w:hAnsi="Times New Roman" w:cs="Times New Roman"/>
                <w:b/>
                <w:i/>
                <w:strike w:val="0"/>
                <w:color w:val="000000"/>
                <w:sz w:val="24"/>
                <w:highlight w:val="none"/>
                <w:u w:val="none" w:color="auto"/>
              </w:rPr>
              <w:t>tal-liġi</w:t>
            </w:r>
            <w:r>
              <w:t xml:space="preserve"> internazzjonali, inklużi l-protezzjoni tar-refuġjati u l-obbligi tad-drittijiet tal-bniedem, u f’konformità mad-dispożizzjonijiet tad-Direttiva 2008/115/KE</w:t>
            </w:r>
            <w:r>
              <w:rPr>
                <w:rStyle w:val="Sup"/>
              </w:rPr>
              <w:t>26</w:t>
            </w:r>
            <w:r>
              <w:rPr>
                <w:rFonts w:ascii="Times New Roman" w:eastAsia="Times New Roman" w:hAnsi="Times New Roman" w:cs="Times New Roman"/>
                <w:b/>
                <w:i/>
                <w:strike w:val="0"/>
                <w:color w:val="000000"/>
                <w:sz w:val="24"/>
                <w:highlight w:val="none"/>
                <w:u w:val="none" w:color="auto"/>
              </w:rPr>
              <w:t xml:space="preserve"> </w:t>
            </w:r>
            <w:r>
              <w:t xml:space="preserve">, huwa parti essenzjali tal-isforzi komprensivi biex </w:t>
            </w:r>
            <w:r>
              <w:rPr>
                <w:rFonts w:ascii="Times New Roman" w:eastAsia="Times New Roman" w:hAnsi="Times New Roman" w:cs="Times New Roman"/>
                <w:b/>
                <w:i/>
                <w:strike w:val="0"/>
                <w:color w:val="000000"/>
                <w:sz w:val="24"/>
                <w:highlight w:val="none"/>
                <w:u w:val="none" w:color="auto"/>
              </w:rPr>
              <w:t>jittrattaw</w:t>
            </w:r>
            <w:r>
              <w:t xml:space="preserve"> il-migrazzjoni u, b'mod partikolari, biex inaqqsu u jiskoraġġixxu l-migrazzjoni irregolari. Biex tiżdied </w:t>
            </w:r>
            <w:r>
              <w:rPr>
                <w:rFonts w:ascii="Times New Roman" w:eastAsia="Times New Roman" w:hAnsi="Times New Roman" w:cs="Times New Roman"/>
                <w:b/>
                <w:i/>
                <w:strike w:val="0"/>
                <w:color w:val="000000"/>
                <w:sz w:val="24"/>
                <w:highlight w:val="none"/>
                <w:u w:val="none" w:color="auto"/>
              </w:rPr>
              <w:t>l-effettività</w:t>
            </w:r>
            <w:r>
              <w:t xml:space="preserve"> tas-sistema tal-Unjoni biex jiġu ritornati ċittadini ta' pajjiżi terzi li qed jirrisjedu illegalment hija meħtieġa sistema biex tinżamm il-fiduċja pubblika fis-sistema </w:t>
            </w:r>
            <w:r>
              <w:rPr>
                <w:rFonts w:ascii="Times New Roman" w:eastAsia="Times New Roman" w:hAnsi="Times New Roman" w:cs="Times New Roman"/>
                <w:b/>
                <w:i/>
                <w:strike w:val="0"/>
                <w:color w:val="000000"/>
                <w:sz w:val="24"/>
                <w:highlight w:val="none"/>
                <w:u w:val="none" w:color="auto"/>
              </w:rPr>
              <w:t>tal-ażil</w:t>
            </w:r>
            <w:r>
              <w:t xml:space="preserve"> u l-migrazzjoni </w:t>
            </w:r>
            <w:r>
              <w:rPr>
                <w:rFonts w:ascii="Times New Roman" w:eastAsia="Times New Roman" w:hAnsi="Times New Roman" w:cs="Times New Roman"/>
                <w:b/>
                <w:i/>
                <w:strike w:val="0"/>
                <w:color w:val="000000"/>
                <w:sz w:val="24"/>
                <w:highlight w:val="none"/>
                <w:u w:val="none" w:color="auto"/>
              </w:rPr>
              <w:t>tal-Unjoni, u jinħtieġ</w:t>
            </w:r>
            <w:r>
              <w:t xml:space="preserve"> li timxi id f'id mal-isforzi biex jiġu protetti dawk li </w:t>
            </w:r>
            <w:r>
              <w:rPr>
                <w:rFonts w:ascii="Times New Roman" w:eastAsia="Times New Roman" w:hAnsi="Times New Roman" w:cs="Times New Roman"/>
                <w:b/>
                <w:i/>
                <w:strike w:val="0"/>
                <w:color w:val="000000"/>
                <w:sz w:val="24"/>
                <w:highlight w:val="none"/>
                <w:u w:val="none" w:color="auto"/>
              </w:rPr>
              <w:t>jetieġu</w:t>
            </w:r>
            <w:r>
              <w:t xml:space="preserve"> protezzjoni.</w:t>
            </w:r>
          </w:p>
        </w:tc>
        <w:tc>
          <w:tcPr/>
          <w:p>
            <w:pPr>
              <w:pStyle w:val="Normal6"/>
            </w:pPr>
            <w:r>
              <w:rPr>
                <w:rFonts w:ascii="Times New Roman" w:eastAsia="Times New Roman" w:hAnsi="Times New Roman" w:cs="Times New Roman"/>
                <w:b/>
                <w:i/>
                <w:strike w:val="0"/>
                <w:color w:val="000000"/>
                <w:sz w:val="24"/>
                <w:highlight w:val="none"/>
                <w:u w:val="none" w:color="auto"/>
              </w:rPr>
              <w:t>11.</w:t>
            </w:r>
            <w:r>
              <w:tab/>
            </w:r>
            <w:r>
              <w:t>Ir-ritorn ta' ċittadini ta' pajjiżi terzi li ma għandhomx id-dritt li </w:t>
            </w:r>
            <w:r>
              <w:rPr>
                <w:rFonts w:ascii="Times New Roman" w:eastAsia="Times New Roman" w:hAnsi="Times New Roman" w:cs="Times New Roman"/>
                <w:b/>
                <w:i/>
                <w:strike w:val="0"/>
                <w:color w:val="000000"/>
                <w:sz w:val="24"/>
                <w:highlight w:val="none"/>
                <w:u w:val="none" w:color="auto"/>
              </w:rPr>
              <w:t>jirrisjedu</w:t>
            </w:r>
            <w:r>
              <w:t xml:space="preserve"> fl-Unjoni, skont id-drittijiet fundamentali bħala prinċipji ġenerali tad-dritt tal-Unjoni kif ukoll </w:t>
            </w:r>
            <w:r>
              <w:rPr>
                <w:rFonts w:ascii="Times New Roman" w:eastAsia="Times New Roman" w:hAnsi="Times New Roman" w:cs="Times New Roman"/>
                <w:b/>
                <w:i/>
                <w:strike w:val="0"/>
                <w:color w:val="000000"/>
                <w:sz w:val="24"/>
                <w:highlight w:val="none"/>
                <w:u w:val="none" w:color="auto"/>
              </w:rPr>
              <w:t>tad-dritt</w:t>
            </w:r>
            <w:r>
              <w:t xml:space="preserve"> internazzjonali, inklużi l-protezzjoni tar-refuġjati u l-obbligi tad-drittijiet tal-bniedem, u f'konformità mad-dispożizzjonijiet tad-Direttiva 2008/115/KE</w:t>
            </w:r>
            <w:r>
              <w:rPr>
                <w:rStyle w:val="Sup"/>
              </w:rPr>
              <w:t>26</w:t>
            </w:r>
            <w:r>
              <w:t>, huwa parti essenzjali tal-isforzi komprensivi biex </w:t>
            </w:r>
            <w:r>
              <w:rPr>
                <w:rFonts w:ascii="Times New Roman" w:eastAsia="Times New Roman" w:hAnsi="Times New Roman" w:cs="Times New Roman"/>
                <w:b/>
                <w:i/>
                <w:strike w:val="0"/>
                <w:color w:val="000000"/>
                <w:sz w:val="24"/>
                <w:highlight w:val="none"/>
                <w:u w:val="none" w:color="auto"/>
              </w:rPr>
              <w:t>jindirizzaw</w:t>
            </w:r>
            <w:r>
              <w:t xml:space="preserve"> il-migrazzjoni u, b'mod partikolari, biex inaqqsu u jiskoraġġixxu l-migrazzjoni irregolari. Biex tiżdied </w:t>
            </w:r>
            <w:r>
              <w:rPr>
                <w:rFonts w:ascii="Times New Roman" w:eastAsia="Times New Roman" w:hAnsi="Times New Roman" w:cs="Times New Roman"/>
                <w:b/>
                <w:i/>
                <w:strike w:val="0"/>
                <w:color w:val="000000"/>
                <w:sz w:val="24"/>
                <w:highlight w:val="none"/>
                <w:u w:val="none" w:color="auto"/>
              </w:rPr>
              <w:t>l-effikaċja</w:t>
            </w:r>
            <w:r>
              <w:t xml:space="preserve"> tas-sistema tal-Unjoni biex jiġu ritornati ċittadini ta' pajjiżi terzi li qed jirrisjedu illegalment hija meħtieġa sistema biex tinżamm il-fiduċja pubblika fis-sistema </w:t>
            </w:r>
            <w:r>
              <w:rPr>
                <w:rFonts w:ascii="Times New Roman" w:eastAsia="Times New Roman" w:hAnsi="Times New Roman" w:cs="Times New Roman"/>
                <w:b/>
                <w:i/>
                <w:strike w:val="0"/>
                <w:color w:val="000000"/>
                <w:sz w:val="24"/>
                <w:highlight w:val="none"/>
                <w:u w:val="none" w:color="auto"/>
              </w:rPr>
              <w:t>tal-asil</w:t>
            </w:r>
            <w:r>
              <w:t xml:space="preserve"> u l-migrazzjoni </w:t>
            </w:r>
            <w:r>
              <w:rPr>
                <w:rFonts w:ascii="Times New Roman" w:eastAsia="Times New Roman" w:hAnsi="Times New Roman" w:cs="Times New Roman"/>
                <w:b/>
                <w:i/>
                <w:strike w:val="0"/>
                <w:color w:val="000000"/>
                <w:sz w:val="24"/>
                <w:highlight w:val="none"/>
                <w:u w:val="none" w:color="auto"/>
              </w:rPr>
              <w:t>tal-UE, u jenħtieġ</w:t>
            </w:r>
            <w:r>
              <w:t xml:space="preserve"> li timxi id f'id mal-isforzi biex jiġu protetti dawk li </w:t>
            </w:r>
            <w:r>
              <w:rPr>
                <w:rFonts w:ascii="Times New Roman" w:eastAsia="Times New Roman" w:hAnsi="Times New Roman" w:cs="Times New Roman"/>
                <w:b/>
                <w:i/>
                <w:strike w:val="0"/>
                <w:color w:val="000000"/>
                <w:sz w:val="24"/>
                <w:highlight w:val="none"/>
                <w:u w:val="none" w:color="auto"/>
              </w:rPr>
              <w:t>jeħtieġu</w:t>
            </w:r>
            <w:r>
              <w:t xml:space="preserve"> protezzjoni.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26</w:t>
            </w:r>
            <w:r>
              <w:t xml:space="preserve"> </w:t>
            </w:r>
            <w:r>
              <w:t xml:space="preserve">Id-Direttiva tal-Parlament Ewropew u tal-Kunsill, tas-16 ta’ Diċembru 2008, dwar standards u proċeduri komuni fl-Istati Membri għar-ritorn ta’ ċittadini ta’ pajjiżi terzi li jkunu qegħdin fil-pajjiż illegalment, ĠU L 348, </w:t>
            </w:r>
            <w:r>
              <w:rPr>
                <w:rFonts w:ascii="Times New Roman" w:eastAsia="Times New Roman" w:hAnsi="Times New Roman" w:cs="Times New Roman"/>
                <w:b/>
                <w:i/>
                <w:strike w:val="0"/>
                <w:color w:val="000000"/>
                <w:sz w:val="24"/>
                <w:highlight w:val="none"/>
                <w:u w:val="none" w:color="auto"/>
              </w:rPr>
              <w:t>24,12,2008</w:t>
            </w:r>
            <w:r>
              <w:t>, p. 98.</w:t>
            </w:r>
          </w:p>
        </w:tc>
        <w:tc>
          <w:tcPr/>
          <w:p>
            <w:pPr>
              <w:pStyle w:val="Normal6"/>
            </w:pPr>
            <w:r>
              <w:rPr>
                <w:rStyle w:val="Sup"/>
              </w:rPr>
              <w:t>26</w:t>
            </w:r>
            <w:r>
              <w:t xml:space="preserve"> </w:t>
            </w:r>
            <w:r>
              <w:t xml:space="preserve">Id-Direttiva tal-Parlament Ewropew u tal-Kunsill, tas-16 ta' Diċembru 2008, dwar standards u proċeduri komuni fl-Istati Membri għar-ritorn ta' ċittadini ta' pajjiżi terzi li jkunu qegħdin fil-pajjiż illegalment, ĠU L 348, </w:t>
            </w:r>
            <w:r>
              <w:rPr>
                <w:rFonts w:ascii="Times New Roman" w:eastAsia="Times New Roman" w:hAnsi="Times New Roman" w:cs="Times New Roman"/>
                <w:b/>
                <w:i/>
                <w:strike w:val="0"/>
                <w:color w:val="000000"/>
                <w:sz w:val="24"/>
                <w:highlight w:val="none"/>
                <w:u w:val="none" w:color="auto"/>
              </w:rPr>
              <w:t>24.12.2008</w:t>
            </w:r>
            <w:r>
              <w:t>, p. 98.</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11a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(11a)</w:t>
            </w:r>
            <w:r>
              <w:tab/>
            </w:r>
            <w:r>
              <w:rPr>
                <w:rFonts w:ascii="Times New Roman" w:eastAsia="Times New Roman" w:hAnsi="Times New Roman" w:cs="Times New Roman"/>
                <w:b/>
                <w:i/>
                <w:strike w:val="0"/>
                <w:color w:val="000000"/>
                <w:sz w:val="24"/>
                <w:highlight w:val="none"/>
                <w:u w:val="none" w:color="auto"/>
              </w:rPr>
              <w:t>Sabiex tiżdied il-kooperazzjoni bejn l-Istati Membri fil-ġestjoni tal-migrazzjoni irregolari, iċ-ċittadini li jirrisjedu illegalment, minflok in-numru tal-applikazzjoni għall-asil, għandhom iżidu l-isem tal-miżura ta' tkeċċija meħuda mill-Istat Membru li daħħal id-data fil-Eurodac.</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Jeżistu diversi miżuri ta' tkeċċija ta' persuni li jirrisjedu b’mod irregolari. Pereżempju: ir-ritorn volontarju, l-ordni ta’ tkeċċija mit-territorju, l-ordni ta’ akkumpanjament, ir-rifjut tad-dħul, it-tkeċċija,...  Kull miżura fiha proċeduri u skadenzi differenti ta' applikazzjoni. Għalhekk huwa importanti li Stat Membru jkun jista' jkun jaf bil-miżuri ta' tkeċċija meħuda fil-konfront ta' ċittadin li jirrisjedi illegalment min-naħa ta’ Stat Membru ieħor u għalhekk titjieb il-kooperazzjoni tagħhom.</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(12)</w:t>
            </w:r>
            <w:r>
              <w:tab/>
            </w:r>
            <w:r>
              <w:rPr>
                <w:rFonts w:ascii="Times New Roman" w:eastAsia="Times New Roman" w:hAnsi="Times New Roman" w:cs="Times New Roman"/>
                <w:b/>
                <w:i/>
                <w:strike w:val="0"/>
                <w:color w:val="000000"/>
                <w:sz w:val="24"/>
                <w:highlight w:val="none"/>
                <w:u w:val="none" w:color="auto"/>
              </w:rPr>
              <w:t>L-awtoritajiet nazzjonali fl-Istati Membri jesperjenzaw diffikultajiet fl-identifikazzjoni ta’ ċittadini ta’ pajjiżi terzi li qed jirrisjedu illegalment li jużaw mezzi frodulenti biex jevitaw li jiġu identifikati u biex ifixklu l-proċeduri ta’ dokumentazzjoni mill-ġdid fid-dawl ta' ritorn u riammissjoni. Huwa għalhekk essenzjali li jiġi żgurat li informazzjoni dwar ċittadini ta’ pajjiż terz jew persuni bla stat li jinstabu li qed jirrisjedu illegalment fl-UE tinġabar u tiġi trażmessa lill-Eurodac u tiġi mqabbla ma' dik miġbura u trażmessa għall-finijiet biex tiġi stabbilita l-identità ta' applikanti għall-protezzjoni internazzjonali u ċittadini ta' pajjiżi terzi maqbuda f'relazzjoni ma' qsim illegali tal-fruntieri esterni tal-Unjoni, sabiex jiġu faċilitati l-identifikazzjoni u r-ridokumentazzjoni tagħhom u biex jiġu żgurati r-ritorn u r-riammissjoni tagħhom, u biex jitnaqqas il-frodi tal-identità. Dan jinħtieġ li jikkontribwixxi wkoll għat-tnaqqis tat-tul tal-proċeduri amministrattivi meħtieġa biex jiġi żgurat ir-ritorn u r-riammissjoni ta’ ċittadini ta’ pajjiż terz li qed jirrissjedu illegalment, inkluż il-perjodu li fih jistgħu jinżammu f’detenzjoni amministrattiva waqt li qed jistennew li jiġu mkeċċija. Jinħtieġ li jippermetti wkoll l-identifikazzjoni ta’ pajjiżi terzi ta’ tranżitu, fejn ċittadini ta’ pajjiż terz residenti illegalment jistgħu jiġu riammessi.</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Maria Grapini</w:t>
      </w:r>
      <w:r>
        <w:t xml:space="preserve">, </w:t>
      </w:r>
      <w:r>
        <w:t>Juan Fernando López Aguilar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(12)</w:t>
            </w:r>
            <w:r>
              <w:tab/>
            </w:r>
            <w:r>
              <w:rPr>
                <w:rFonts w:ascii="Times New Roman" w:eastAsia="Times New Roman" w:hAnsi="Times New Roman" w:cs="Times New Roman"/>
                <w:b/>
                <w:i/>
                <w:strike w:val="0"/>
                <w:color w:val="000000"/>
                <w:sz w:val="24"/>
                <w:highlight w:val="none"/>
                <w:u w:val="none" w:color="auto"/>
              </w:rPr>
              <w:t xml:space="preserve">L-awtoritajiet nazzjonali fl-Istati Membri jesperjenzaw diffikultajiet fl-identifikazzjoni ta’ ċittadini ta’ pajjiżi terzi li qed jirrisjedu illegalment li jużaw mezzi frodulenti biex jevitaw li jiġu identifikati u biex ifixklu l-proċeduri ta’ dokumentazzjoni mill-ġdid fid-dawl ta' ritorn u riammissjoni. Huwa għalhekk </w:t>
            </w:r>
            <w:r>
              <w:t xml:space="preserve">essenzjali li jiġi żgurat li informazzjoni dwar ċittadini ta’ pajjiż terz jew persuni </w:t>
            </w:r>
            <w:r>
              <w:rPr>
                <w:rFonts w:ascii="Times New Roman" w:eastAsia="Times New Roman" w:hAnsi="Times New Roman" w:cs="Times New Roman"/>
                <w:b/>
                <w:i/>
                <w:strike w:val="0"/>
                <w:color w:val="000000"/>
                <w:sz w:val="24"/>
                <w:highlight w:val="none"/>
                <w:u w:val="none" w:color="auto"/>
              </w:rPr>
              <w:t>bla stat</w:t>
            </w:r>
            <w:r>
              <w:t xml:space="preserve"> li jinstabu li qed jirrisjedu illegalment fl-UE tinġabar u tiġi trażmessa lill-Eurodac u tiġi mqabbla ma' dik miġbura u trażmessa għall-finijiet </w:t>
            </w:r>
            <w:r>
              <w:rPr>
                <w:rFonts w:ascii="Times New Roman" w:eastAsia="Times New Roman" w:hAnsi="Times New Roman" w:cs="Times New Roman"/>
                <w:b/>
                <w:i/>
                <w:strike w:val="0"/>
                <w:color w:val="000000"/>
                <w:sz w:val="24"/>
                <w:highlight w:val="none"/>
                <w:u w:val="none" w:color="auto"/>
              </w:rPr>
              <w:t>biex</w:t>
            </w:r>
            <w:r>
              <w:t xml:space="preserve"> tiġi stabbilita l-identità ta' applikanti għall-protezzjoni internazzjonali u ċittadini ta' pajjiżi terzi maqbuda </w:t>
            </w:r>
            <w:r>
              <w:rPr>
                <w:rFonts w:ascii="Times New Roman" w:eastAsia="Times New Roman" w:hAnsi="Times New Roman" w:cs="Times New Roman"/>
                <w:b/>
                <w:i/>
                <w:strike w:val="0"/>
                <w:color w:val="000000"/>
                <w:sz w:val="24"/>
                <w:highlight w:val="none"/>
                <w:u w:val="none" w:color="auto"/>
              </w:rPr>
              <w:t>f'relazzjoni</w:t>
            </w:r>
            <w:r>
              <w:t xml:space="preserve"> ma' qsim illegali tal-fruntieri esterni </w:t>
            </w:r>
            <w:r>
              <w:rPr>
                <w:rFonts w:ascii="Times New Roman" w:eastAsia="Times New Roman" w:hAnsi="Times New Roman" w:cs="Times New Roman"/>
                <w:b/>
                <w:i/>
                <w:strike w:val="0"/>
                <w:color w:val="000000"/>
                <w:sz w:val="24"/>
                <w:highlight w:val="none"/>
                <w:u w:val="none" w:color="auto"/>
              </w:rPr>
              <w:t>tal-Unjoni</w:t>
            </w:r>
            <w:r>
              <w:t xml:space="preserve">, sabiex jiġu faċilitati l-identifikazzjoni u r-ridokumentazzjoni tagħhom u biex jiġu żgurati r-ritorn u r-riammissjoni tagħhom, u biex jitnaqqas il-frodi tal-identità. Dan </w:t>
            </w:r>
            <w:r>
              <w:rPr>
                <w:rFonts w:ascii="Times New Roman" w:eastAsia="Times New Roman" w:hAnsi="Times New Roman" w:cs="Times New Roman"/>
                <w:b/>
                <w:i/>
                <w:strike w:val="0"/>
                <w:color w:val="000000"/>
                <w:sz w:val="24"/>
                <w:highlight w:val="none"/>
                <w:u w:val="none" w:color="auto"/>
              </w:rPr>
              <w:t>jinħtieġ</w:t>
            </w:r>
            <w:r>
              <w:t xml:space="preserve"> li jikkontribwixxi wkoll għat-tnaqqis tat-tul tal-proċeduri amministrattivi meħtieġa biex jiġi żgurat ir-ritorn u r-riammissjoni ta’ ċittadini ta’ pajjiż terz li qed jirrissjedu illegalment, inkluż il-perjodu li fih jistgħu jinżammu f’detenzjoni amministrattiva waqt li qed jistennew li jiġu mkeċċija. </w:t>
            </w:r>
            <w:r>
              <w:rPr>
                <w:rFonts w:ascii="Times New Roman" w:eastAsia="Times New Roman" w:hAnsi="Times New Roman" w:cs="Times New Roman"/>
                <w:b/>
                <w:i/>
                <w:strike w:val="0"/>
                <w:color w:val="000000"/>
                <w:sz w:val="24"/>
                <w:highlight w:val="none"/>
                <w:u w:val="none" w:color="auto"/>
              </w:rPr>
              <w:t>Jinħtieġ</w:t>
            </w:r>
            <w:r>
              <w:t xml:space="preserve"> li jippermetti wkoll l-identifikazzjoni ta’ pajjiżi terzi ta’ tranżitu, fejn ċittadini ta’ pajjiż terz residenti illegalment jistgħu jiġu riammessi.</w:t>
            </w:r>
          </w:p>
        </w:tc>
        <w:tc>
          <w:tcPr/>
          <w:p>
            <w:pPr>
              <w:pStyle w:val="Normal6"/>
            </w:pPr>
            <w:r>
              <w:rPr>
                <w:rFonts w:ascii="Times New Roman" w:eastAsia="Times New Roman" w:hAnsi="Times New Roman" w:cs="Times New Roman"/>
                <w:b/>
                <w:i/>
                <w:strike w:val="0"/>
                <w:color w:val="000000"/>
                <w:sz w:val="24"/>
                <w:highlight w:val="none"/>
                <w:u w:val="none" w:color="auto"/>
              </w:rPr>
              <w:t>12.</w:t>
            </w:r>
            <w:r>
              <w:tab/>
            </w:r>
            <w:r>
              <w:rPr>
                <w:rFonts w:ascii="Times New Roman" w:eastAsia="Times New Roman" w:hAnsi="Times New Roman" w:cs="Times New Roman"/>
                <w:b/>
                <w:i/>
                <w:strike w:val="0"/>
                <w:color w:val="000000"/>
                <w:sz w:val="24"/>
                <w:highlight w:val="none"/>
                <w:u w:val="none" w:color="auto"/>
              </w:rPr>
              <w:t xml:space="preserve">Huwa </w:t>
            </w:r>
            <w:r>
              <w:t>essenzjali li jiġi żgurat li informazzjoni dwar ċittadini ta' pajjiż terz jew persuni </w:t>
            </w:r>
            <w:r>
              <w:rPr>
                <w:rFonts w:ascii="Times New Roman" w:eastAsia="Times New Roman" w:hAnsi="Times New Roman" w:cs="Times New Roman"/>
                <w:b/>
                <w:i/>
                <w:strike w:val="0"/>
                <w:color w:val="000000"/>
                <w:sz w:val="24"/>
                <w:highlight w:val="none"/>
                <w:u w:val="none" w:color="auto"/>
              </w:rPr>
              <w:t>apolidi</w:t>
            </w:r>
            <w:r>
              <w:t xml:space="preserve"> li jinstabu li qed jirrisjedu illegalment fl-UE tinġabar u tiġi trażmessa lill-Eurodac u tiġi mqabbla ma' dik miġbura u trażmessa għall-finijiet </w:t>
            </w:r>
            <w:r>
              <w:rPr>
                <w:rFonts w:ascii="Times New Roman" w:eastAsia="Times New Roman" w:hAnsi="Times New Roman" w:cs="Times New Roman"/>
                <w:b/>
                <w:i/>
                <w:strike w:val="0"/>
                <w:color w:val="000000"/>
                <w:sz w:val="24"/>
                <w:highlight w:val="none"/>
                <w:u w:val="none" w:color="auto"/>
              </w:rPr>
              <w:t>li</w:t>
            </w:r>
            <w:r>
              <w:t xml:space="preserve"> tiġi stabbilita l-identità ta' applikanti għall-protezzjoni internazzjonali u ċittadini ta' pajjiżi terzi maqbuda </w:t>
            </w:r>
            <w:r>
              <w:rPr>
                <w:rFonts w:ascii="Times New Roman" w:eastAsia="Times New Roman" w:hAnsi="Times New Roman" w:cs="Times New Roman"/>
                <w:b/>
                <w:i/>
                <w:strike w:val="0"/>
                <w:color w:val="000000"/>
                <w:sz w:val="24"/>
                <w:highlight w:val="none"/>
                <w:u w:val="none" w:color="auto"/>
              </w:rPr>
              <w:t>b'rabta</w:t>
            </w:r>
            <w:r>
              <w:t xml:space="preserve"> ma' qsim illegali tal-fruntieri esterni </w:t>
            </w:r>
            <w:r>
              <w:rPr>
                <w:rFonts w:ascii="Times New Roman" w:eastAsia="Times New Roman" w:hAnsi="Times New Roman" w:cs="Times New Roman"/>
                <w:b/>
                <w:i/>
                <w:strike w:val="0"/>
                <w:color w:val="000000"/>
                <w:sz w:val="24"/>
                <w:highlight w:val="none"/>
                <w:u w:val="none" w:color="auto"/>
              </w:rPr>
              <w:t>tal-UE</w:t>
            </w:r>
            <w:r>
              <w:t xml:space="preserve">, sabiex jiġu faċilitati l-identifikazzjoni u r-ridokumentazzjoni tagħhom u biex jiġu żgurati r-ritorn u r-riammissjoni tagħhom, u biex jitnaqqas il-frodi tal-identità. Dan </w:t>
            </w:r>
            <w:r>
              <w:rPr>
                <w:rFonts w:ascii="Times New Roman" w:eastAsia="Times New Roman" w:hAnsi="Times New Roman" w:cs="Times New Roman"/>
                <w:b/>
                <w:i/>
                <w:strike w:val="0"/>
                <w:color w:val="000000"/>
                <w:sz w:val="24"/>
                <w:highlight w:val="none"/>
                <w:u w:val="none" w:color="auto"/>
              </w:rPr>
              <w:t>jenħtieġ</w:t>
            </w:r>
            <w:r>
              <w:t xml:space="preserve"> li jikkontribwixxi wkoll għat-tnaqqis tat-tul tal-proċeduri amministrattivi meħtieġa biex jiġi żgurat ir-ritorn u r-riammissjoni ta' ċittadini ta' pajjiż terz li qed jirrissjedu illegalment, inkluż il-perjodu li fih jistgħu jinżammu f'detenzjoni amministrattiva waqt li qed jistennew li jiġu mkeċċija. </w:t>
            </w:r>
            <w:r>
              <w:rPr>
                <w:rFonts w:ascii="Times New Roman" w:eastAsia="Times New Roman" w:hAnsi="Times New Roman" w:cs="Times New Roman"/>
                <w:b/>
                <w:i/>
                <w:strike w:val="0"/>
                <w:color w:val="000000"/>
                <w:sz w:val="24"/>
                <w:highlight w:val="none"/>
                <w:u w:val="none" w:color="auto"/>
              </w:rPr>
              <w:t>Jenħtieġ</w:t>
            </w:r>
            <w:r>
              <w:t xml:space="preserve"> li jippermetti wkoll l-identifikazzjoni ta' pajjiżi terzi ta' tranżitu, fejn ċittadini ta' pajjiż terz residenti illegalment jistgħu jiġu riammessi.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Carlos Coelho</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(12)</w:t>
            </w:r>
            <w:r>
              <w:tab/>
            </w:r>
            <w:r>
              <w:t xml:space="preserve">L-awtoritajiet nazzjonali fl-Istati Membri jesperjenzaw diffikultajiet fl-identifikazzjoni ta’ ċittadini ta’ pajjiżi terzi li qed jirrisjedu illegalment li jużaw mezzi frodulenti biex jevitaw li jiġu identifikati u biex ifixklu l-proċeduri ta’ dokumentazzjoni mill-ġdid fid-dawl </w:t>
            </w:r>
            <w:r>
              <w:rPr>
                <w:rFonts w:ascii="Times New Roman" w:eastAsia="Times New Roman" w:hAnsi="Times New Roman" w:cs="Times New Roman"/>
                <w:b/>
                <w:i/>
                <w:strike w:val="0"/>
                <w:color w:val="000000"/>
                <w:sz w:val="24"/>
                <w:highlight w:val="none"/>
                <w:u w:val="none" w:color="auto"/>
              </w:rPr>
              <w:t>ta' ritorn u riammissjoni</w:t>
            </w:r>
            <w:r>
              <w:t xml:space="preserve">. Huwa għalhekk essenzjali li jiġi żgurat li informazzjoni dwar ċittadini ta’ pajjiż terz jew persuni </w:t>
            </w:r>
            <w:r>
              <w:rPr>
                <w:rFonts w:ascii="Times New Roman" w:eastAsia="Times New Roman" w:hAnsi="Times New Roman" w:cs="Times New Roman"/>
                <w:b/>
                <w:i/>
                <w:strike w:val="0"/>
                <w:color w:val="000000"/>
                <w:sz w:val="24"/>
                <w:highlight w:val="none"/>
                <w:u w:val="none" w:color="auto"/>
              </w:rPr>
              <w:t>bla stat</w:t>
            </w:r>
            <w:r>
              <w:t xml:space="preserve"> li jinstabu li qed jirrisjedu illegalment fl-UE tinġabar u tiġi trażmessa lill-Eurodac u tiġi mqabbla ma' dik miġbura u trażmessa għall-finijiet </w:t>
            </w:r>
            <w:r>
              <w:rPr>
                <w:rFonts w:ascii="Times New Roman" w:eastAsia="Times New Roman" w:hAnsi="Times New Roman" w:cs="Times New Roman"/>
                <w:b/>
                <w:i/>
                <w:strike w:val="0"/>
                <w:color w:val="000000"/>
                <w:sz w:val="24"/>
                <w:highlight w:val="none"/>
                <w:u w:val="none" w:color="auto"/>
              </w:rPr>
              <w:t>biex</w:t>
            </w:r>
            <w:r>
              <w:t xml:space="preserve"> tiġi stabbilita l-identità ta' applikanti għall-protezzjoni internazzjonali u ċittadini ta' pajjiżi terzi maqbuda </w:t>
            </w:r>
            <w:r>
              <w:rPr>
                <w:rFonts w:ascii="Times New Roman" w:eastAsia="Times New Roman" w:hAnsi="Times New Roman" w:cs="Times New Roman"/>
                <w:b/>
                <w:i/>
                <w:strike w:val="0"/>
                <w:color w:val="000000"/>
                <w:sz w:val="24"/>
                <w:highlight w:val="none"/>
                <w:u w:val="none" w:color="auto"/>
              </w:rPr>
              <w:t>f'relazzjoni</w:t>
            </w:r>
            <w:r>
              <w:t xml:space="preserve"> ma' qsim illegali tal-fruntieri esterni tal-Unjoni, sabiex jiġu faċilitati l-identifikazzjoni u r-ridokumentazzjoni tagħhom u biex jiġu żgurati r-ritorn u r-riammissjoni tagħhom, u biex jitnaqqas il-frodi tal-identità. Dan </w:t>
            </w:r>
            <w:r>
              <w:rPr>
                <w:rFonts w:ascii="Times New Roman" w:eastAsia="Times New Roman" w:hAnsi="Times New Roman" w:cs="Times New Roman"/>
                <w:b/>
                <w:i/>
                <w:strike w:val="0"/>
                <w:color w:val="000000"/>
                <w:sz w:val="24"/>
                <w:highlight w:val="none"/>
                <w:u w:val="none" w:color="auto"/>
              </w:rPr>
              <w:t>jinħtieġ</w:t>
            </w:r>
            <w:r>
              <w:t xml:space="preserve"> li jikkontribwixxi wkoll għat-tnaqqis tat-tul tal-proċeduri amministrattivi meħtieġa biex jiġi żgurat ir-ritorn u r-riammissjoni ta’ ċittadini ta’ pajjiż terz li qed jirrissjedu illegalment, inkluż il-perjodu li fih jistgħu jinżammu f’detenzjoni amministrattiva waqt li qed jistennew li jiġu mkeċċija. </w:t>
            </w:r>
            <w:r>
              <w:rPr>
                <w:rFonts w:ascii="Times New Roman" w:eastAsia="Times New Roman" w:hAnsi="Times New Roman" w:cs="Times New Roman"/>
                <w:b/>
                <w:i/>
                <w:strike w:val="0"/>
                <w:color w:val="000000"/>
                <w:sz w:val="24"/>
                <w:highlight w:val="none"/>
                <w:u w:val="none" w:color="auto"/>
              </w:rPr>
              <w:t>Jinħtieġ</w:t>
            </w:r>
            <w:r>
              <w:t xml:space="preserve"> li jippermetti wkoll l-identifikazzjoni ta’ pajjiżi terzi ta’ tranżitu, fejn ċittadini ta’ pajjiż terz residenti illegalment jistgħu jiġu riammessi.</w:t>
            </w:r>
          </w:p>
        </w:tc>
        <w:tc>
          <w:tcPr/>
          <w:p>
            <w:pPr>
              <w:pStyle w:val="Normal6"/>
            </w:pPr>
            <w:r>
              <w:rPr>
                <w:rFonts w:ascii="Times New Roman" w:eastAsia="Times New Roman" w:hAnsi="Times New Roman" w:cs="Times New Roman"/>
                <w:b/>
                <w:i/>
                <w:strike w:val="0"/>
                <w:color w:val="000000"/>
                <w:sz w:val="24"/>
                <w:highlight w:val="none"/>
                <w:u w:val="none" w:color="auto"/>
              </w:rPr>
              <w:t>12.</w:t>
            </w:r>
            <w:r>
              <w:tab/>
            </w:r>
            <w:r>
              <w:t xml:space="preserve">L-awtoritajiet nazzjonali fl-Istati Membri jesperjenzaw diffikultajiet fl-identifikazzjoni ta' ċittadini ta' pajjiżi terzi li qed jirrisjedu illegalment li jużaw mezzi frodulenti biex jevitaw li jiġu identifikati u biex ifixklu l-proċeduri ta' dokumentazzjoni mill-ġdid fid-dawl </w:t>
            </w:r>
            <w:r>
              <w:rPr>
                <w:rFonts w:ascii="Times New Roman" w:eastAsia="Times New Roman" w:hAnsi="Times New Roman" w:cs="Times New Roman"/>
                <w:b/>
                <w:i/>
                <w:strike w:val="0"/>
                <w:color w:val="000000"/>
                <w:sz w:val="24"/>
                <w:highlight w:val="none"/>
                <w:u w:val="none" w:color="auto"/>
              </w:rPr>
              <w:t>tar-ritorn u r-riammissjoni tagħhom</w:t>
            </w:r>
            <w:r>
              <w:t xml:space="preserve">. Huwa għalhekk essenzjali li jiġi żgurat li informazzjoni dwar ċittadini ta' pajjiż terz jew persuni </w:t>
            </w:r>
            <w:r>
              <w:rPr>
                <w:rFonts w:ascii="Times New Roman" w:eastAsia="Times New Roman" w:hAnsi="Times New Roman" w:cs="Times New Roman"/>
                <w:b/>
                <w:i/>
                <w:strike w:val="0"/>
                <w:color w:val="000000"/>
                <w:sz w:val="24"/>
                <w:highlight w:val="none"/>
                <w:u w:val="none" w:color="auto"/>
              </w:rPr>
              <w:t>apolidi</w:t>
            </w:r>
            <w:r>
              <w:t xml:space="preserve"> li jinstabu li qed jirrisjedu illegalment fl-UE tinġabar u tiġi trażmessa lill-Eurodac u tiġi mqabbla ma' dik miġbura u trażmessa għall-finijiet </w:t>
            </w:r>
            <w:r>
              <w:rPr>
                <w:rFonts w:ascii="Times New Roman" w:eastAsia="Times New Roman" w:hAnsi="Times New Roman" w:cs="Times New Roman"/>
                <w:b/>
                <w:i/>
                <w:strike w:val="0"/>
                <w:color w:val="000000"/>
                <w:sz w:val="24"/>
                <w:highlight w:val="none"/>
                <w:u w:val="none" w:color="auto"/>
              </w:rPr>
              <w:t>li</w:t>
            </w:r>
            <w:r>
              <w:t xml:space="preserve"> tiġi stabbilita l-identità ta' applikanti għall-protezzjoni internazzjonali u ċittadini ta' pajjiżi terzi maqbuda </w:t>
            </w:r>
            <w:r>
              <w:rPr>
                <w:rFonts w:ascii="Times New Roman" w:eastAsia="Times New Roman" w:hAnsi="Times New Roman" w:cs="Times New Roman"/>
                <w:b/>
                <w:i/>
                <w:strike w:val="0"/>
                <w:color w:val="000000"/>
                <w:sz w:val="24"/>
                <w:highlight w:val="none"/>
                <w:u w:val="none" w:color="auto"/>
              </w:rPr>
              <w:t>b'rabta</w:t>
            </w:r>
            <w:r>
              <w:t xml:space="preserve"> ma' qsim illegali tal-fruntieri esterni tal-Unjoni, sabiex jiġu faċilitati l-identifikazzjoni u r-ridokumentazzjoni tagħhom u biex jiġu żgurati r-ritorn u r-riammissjoni tagħhom, u biex jitnaqqas il-frodi tal-identità. Dan </w:t>
            </w:r>
            <w:r>
              <w:rPr>
                <w:rFonts w:ascii="Times New Roman" w:eastAsia="Times New Roman" w:hAnsi="Times New Roman" w:cs="Times New Roman"/>
                <w:b/>
                <w:i/>
                <w:strike w:val="0"/>
                <w:color w:val="000000"/>
                <w:sz w:val="24"/>
                <w:highlight w:val="none"/>
                <w:u w:val="none" w:color="auto"/>
              </w:rPr>
              <w:t>jenħtieġ</w:t>
            </w:r>
            <w:r>
              <w:t xml:space="preserve"> li jikkontribwixxi wkoll għat-tnaqqis tat-tul tal-proċeduri amministrattivi meħtieġa biex jiġi żgurat ir-ritorn u r-riammissjoni ta' ċittadini ta' pajjiż terz li qed jirrissjedu illegalment, inkluż il-perjodu li fih jistgħu jinżammu f'detenzjoni amministrattiva waqt li qed jistennew li jiġu mkeċċija. </w:t>
            </w:r>
            <w:r>
              <w:rPr>
                <w:rFonts w:ascii="Times New Roman" w:eastAsia="Times New Roman" w:hAnsi="Times New Roman" w:cs="Times New Roman"/>
                <w:b/>
                <w:i/>
                <w:strike w:val="0"/>
                <w:color w:val="000000"/>
                <w:sz w:val="24"/>
                <w:highlight w:val="none"/>
                <w:u w:val="none" w:color="auto"/>
              </w:rPr>
              <w:t>Jenħtieġ</w:t>
            </w:r>
            <w:r>
              <w:t xml:space="preserve"> li jippermetti wkoll l-identifikazzjoni ta' pajjiżi terzi ta' tranżitu, fejn ċittadini ta' pajjiż terz residenti illegalment jistgħu jiġu riammessi. </w:t>
            </w:r>
            <w:r>
              <w:rPr>
                <w:rFonts w:ascii="Times New Roman" w:eastAsia="Times New Roman" w:hAnsi="Times New Roman" w:cs="Times New Roman"/>
                <w:b/>
                <w:i/>
                <w:strike w:val="0"/>
                <w:color w:val="000000"/>
                <w:sz w:val="24"/>
                <w:highlight w:val="none"/>
                <w:u w:val="none" w:color="auto"/>
              </w:rPr>
              <w:t>Dan huwa mingħajr preġudizzju għas-Sistema ta' Informazzjoni ta' Schengen (SIS), li tibqa' s-sistema fundamentali li tiżgura l-kooperazzjoni u l-iskambju ta' informazzjoni meta jseħħ ir-ritorn.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Sylvia-Yvonne Kaufmann</w:t>
      </w:r>
      <w:r>
        <w:t xml:space="preserve">, </w:t>
      </w:r>
      <w:r>
        <w:t>Vilija Blinkevičiūtė</w:t>
      </w:r>
      <w:r>
        <w:t xml:space="preserve">, </w:t>
      </w:r>
      <w:r>
        <w:t>Sylvia-Yvonne Kaufmann</w:t>
      </w:r>
      <w:r>
        <w:t xml:space="preserve">, </w:t>
      </w:r>
      <w:r>
        <w:t>Sylvia-Yvonne Kaufmann</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12a.</w:t>
            </w:r>
            <w:r>
              <w:tab/>
            </w:r>
            <w:r>
              <w:rPr>
                <w:rFonts w:ascii="Times New Roman" w:eastAsia="Times New Roman" w:hAnsi="Times New Roman" w:cs="Times New Roman"/>
                <w:b/>
                <w:i/>
                <w:strike w:val="0"/>
                <w:color w:val="000000"/>
                <w:sz w:val="24"/>
                <w:highlight w:val="none"/>
                <w:u w:val="none" w:color="auto"/>
              </w:rPr>
              <w:t>Jenħtieġ li l-Istati Membri jkollhom l-iskadenza raġonevoli ta' 15-il jum minn meta tinqabeż ir-residenza awtorizzata qabel ma jissodisfaw l-obbligi tagħhom skont dan ir-Regolament dwar it-tqabbil, il-ġbir u t-trażmissjoni ta' data tal-marki tas-swaba' u tax-xbieha tal-wiċċ ta' ċittadini terzi li qed joqgħodu illegalment li daħlu permezz tal-qsim irregolari tal-fruntiera esterna taż-żona Schengen.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marbuta direttament mal-Artikolu 14 tal-proposta tal-Kummissjoni. L-estensjoni tal-kamp ta' applikazzjoni biex jinkludi "ċittadini ta' pajjiżi terzi jew persuni apolidi li jinsabu qed jirrisjedu illegalment fi Stat Membru" trid tiġi akkumpanjata minn salvagwardji jekk persuna tkun daħlet illegalment fl-UE u tkun eċċediet iż-żjara tagħha bi ftit jiem għal raġunijiet li jistgħu ma jkunux intenzjonali.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12a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(12a)</w:t>
            </w:r>
            <w:r>
              <w:tab/>
            </w:r>
            <w:r>
              <w:rPr>
                <w:rFonts w:ascii="Times New Roman" w:eastAsia="Times New Roman" w:hAnsi="Times New Roman" w:cs="Times New Roman"/>
                <w:b/>
                <w:i/>
                <w:strike w:val="0"/>
                <w:color w:val="000000"/>
                <w:sz w:val="24"/>
                <w:highlight w:val="none"/>
                <w:u w:val="none" w:color="auto"/>
              </w:rPr>
              <w:t>Għaċ-ċittadini ta' pajjiżi terzi li jirrisjedu illegalment iżda li jkunu daħlu billi qasmu legalment il-fruntiera esterna taż-żona Schengen, l-Istati Membri jistgħu jħallu skadenza ta' 15-il jum ta' qbiż tas-soġġorn awtorizzat qabel ma jissodisfaw l-obbligi tagħhom li jirriżultaw mill-Artikolu 14.</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(13)</w:t>
            </w:r>
            <w:r>
              <w:tab/>
            </w:r>
            <w:r>
              <w:rPr>
                <w:rFonts w:ascii="Times New Roman" w:eastAsia="Times New Roman" w:hAnsi="Times New Roman" w:cs="Times New Roman"/>
                <w:b/>
                <w:i/>
                <w:strike w:val="0"/>
                <w:color w:val="000000"/>
                <w:sz w:val="24"/>
                <w:highlight w:val="none"/>
                <w:u w:val="none" w:color="auto"/>
              </w:rPr>
              <w:t>Fil-Konklużjonijiet tiegħu tat-8 ta’ Ottubru 2015 dwar il-futur tal-politika tar-ritorn, il-Kunsill approva l-inizjattiva mħabbra mill-Kummissjoni biex jesplora estensjoni tal-ambitu u l-iskop tal-Eurodac biex jippermetti l-użu ta' data għall-fini tar-ritorn</w:t>
            </w:r>
            <w:r>
              <w:rPr>
                <w:rStyle w:val="SupBoldItalic"/>
              </w:rPr>
              <w:t>27</w:t>
            </w:r>
            <w:r>
              <w:rPr>
                <w:rFonts w:ascii="Times New Roman" w:eastAsia="Times New Roman" w:hAnsi="Times New Roman" w:cs="Times New Roman"/>
                <w:b/>
                <w:i/>
                <w:strike w:val="0"/>
                <w:color w:val="000000"/>
                <w:sz w:val="24"/>
                <w:highlight w:val="none"/>
                <w:u w:val="none" w:color="auto"/>
              </w:rPr>
              <w:t xml:space="preserve"> . L-Istati Membri jinħtieġ li jkollhom l-għodod neċessarja għad-dispożizzjoni tagħhom biex ikunu jistgħu jaqbdu l-migrazzjoni illegali u l-movimenti sekondarji ta' ċittadini ta' pajjiżi terzi li qed jirrisjedu fl-Unjoni illegalment. Għaldaqstant, id-data fil-Eurodac jinħtieġ li tkun disponibbli, suġġetta għall-kundizzjonijiet stabbiliti f’dan ir-Regolament, biex tiġi mqabbla mill-awtoritajiet maħtura tal-Istati Membri.</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27</w:t>
            </w:r>
            <w:r>
              <w:t xml:space="preserve"> </w:t>
            </w:r>
            <w:r>
              <w:rPr>
                <w:rFonts w:ascii="Times New Roman" w:eastAsia="Times New Roman" w:hAnsi="Times New Roman" w:cs="Times New Roman"/>
                <w:b/>
                <w:i/>
                <w:strike w:val="0"/>
                <w:color w:val="000000"/>
                <w:sz w:val="24"/>
                <w:highlight w:val="none"/>
                <w:u w:val="none" w:color="auto"/>
              </w:rPr>
              <w:t>Pjan ta' Azzjoni tal-UE dwar ir-ritorn, COM(2015) 453 final.</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Josef Weidenholzer</w:t>
      </w:r>
      <w:r>
        <w:t xml:space="preserve">, </w:t>
      </w:r>
      <w:r>
        <w:t>Vilija Blinkevičiūtė</w:t>
      </w:r>
      <w:r>
        <w:t xml:space="preserve">, </w:t>
      </w:r>
      <w:r>
        <w:t>Péter Niedermüller</w:t>
      </w:r>
      <w:r>
        <w:t xml:space="preserve">, </w:t>
      </w:r>
      <w:r>
        <w:t>Kati Piri</w:t>
      </w:r>
      <w:r>
        <w:t xml:space="preserve">, </w:t>
      </w:r>
      <w:r>
        <w:t>Maria Grapini</w:t>
      </w:r>
      <w:r>
        <w:t xml:space="preserve">, </w:t>
      </w:r>
      <w:r>
        <w:t>Juan Fernando López Aguilar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(13)</w:t>
            </w:r>
            <w:r>
              <w:tab/>
            </w:r>
            <w:r>
              <w:t xml:space="preserve">Fil-Konklużjonijiet tiegħu tat-8 ta’ Ottubru 2015 dwar il-futur tal-politika tar-ritorn, il-Kunsill approva l-inizjattiva mħabbra mill-Kummissjoni biex jesplora estensjoni </w:t>
            </w:r>
            <w:r>
              <w:rPr>
                <w:rFonts w:ascii="Times New Roman" w:eastAsia="Times New Roman" w:hAnsi="Times New Roman" w:cs="Times New Roman"/>
                <w:b/>
                <w:i/>
                <w:strike w:val="0"/>
                <w:color w:val="000000"/>
                <w:sz w:val="24"/>
                <w:highlight w:val="none"/>
                <w:u w:val="none" w:color="auto"/>
              </w:rPr>
              <w:t>tal-ambitu</w:t>
            </w:r>
            <w:r>
              <w:t xml:space="preserve"> u l-iskop tal-Eurodac biex jippermetti l-użu ta' data għall-fini tar-ritorn</w:t>
            </w:r>
            <w:r>
              <w:rPr>
                <w:rStyle w:val="Sup"/>
              </w:rPr>
              <w:t>27</w:t>
            </w:r>
            <w:r>
              <w:rPr>
                <w:rFonts w:ascii="Times New Roman" w:eastAsia="Times New Roman" w:hAnsi="Times New Roman" w:cs="Times New Roman"/>
                <w:b/>
                <w:i/>
                <w:strike w:val="0"/>
                <w:color w:val="000000"/>
                <w:sz w:val="24"/>
                <w:highlight w:val="none"/>
                <w:u w:val="none" w:color="auto"/>
              </w:rPr>
              <w:t xml:space="preserve"> </w:t>
            </w:r>
            <w:r>
              <w:t xml:space="preserve">. L-Istati Membri </w:t>
            </w:r>
            <w:r>
              <w:rPr>
                <w:rFonts w:ascii="Times New Roman" w:eastAsia="Times New Roman" w:hAnsi="Times New Roman" w:cs="Times New Roman"/>
                <w:b/>
                <w:i/>
                <w:strike w:val="0"/>
                <w:color w:val="000000"/>
                <w:sz w:val="24"/>
                <w:highlight w:val="none"/>
                <w:u w:val="none" w:color="auto"/>
              </w:rPr>
              <w:t>jinħtieġ</w:t>
            </w:r>
            <w:r>
              <w:t xml:space="preserve"> li jkollhom l-għodod </w:t>
            </w:r>
            <w:r>
              <w:rPr>
                <w:rFonts w:ascii="Times New Roman" w:eastAsia="Times New Roman" w:hAnsi="Times New Roman" w:cs="Times New Roman"/>
                <w:b/>
                <w:i/>
                <w:strike w:val="0"/>
                <w:color w:val="000000"/>
                <w:sz w:val="24"/>
                <w:highlight w:val="none"/>
                <w:u w:val="none" w:color="auto"/>
              </w:rPr>
              <w:t>neċessarja</w:t>
            </w:r>
            <w:r>
              <w:t xml:space="preserve"> għad-dispożizzjoni tagħhom biex ikunu jistgħu jaqbdu l-migrazzjoni illegali</w:t>
            </w:r>
            <w:r>
              <w:rPr>
                <w:rFonts w:ascii="Times New Roman" w:eastAsia="Times New Roman" w:hAnsi="Times New Roman" w:cs="Times New Roman"/>
                <w:b/>
                <w:i/>
                <w:strike w:val="0"/>
                <w:color w:val="000000"/>
                <w:sz w:val="24"/>
                <w:highlight w:val="none"/>
                <w:u w:val="none" w:color="auto"/>
              </w:rPr>
              <w:t xml:space="preserve"> u l-movimenti sekondarji ta' ċittadini ta' pajjiżi terzi li qed jirrisjedu fl-Unjoni illegalment. Għaldaqstant, id-data fil-Eurodac jinħtieġ li tkun disponibbli, suġġetta għall-kundizzjonijiet stabbiliti f’dan ir-Regolament, biex tiġi mqabbla mill-awtoritajiet maħtura tal-Istati Membri</w:t>
            </w:r>
            <w:r>
              <w:t>.</w:t>
            </w:r>
          </w:p>
        </w:tc>
        <w:tc>
          <w:tcPr/>
          <w:p>
            <w:pPr>
              <w:pStyle w:val="Normal6"/>
            </w:pPr>
            <w:r>
              <w:rPr>
                <w:rFonts w:ascii="Times New Roman" w:eastAsia="Times New Roman" w:hAnsi="Times New Roman" w:cs="Times New Roman"/>
                <w:b/>
                <w:i/>
                <w:strike w:val="0"/>
                <w:color w:val="000000"/>
                <w:sz w:val="24"/>
                <w:highlight w:val="none"/>
                <w:u w:val="none" w:color="auto"/>
              </w:rPr>
              <w:t>13.</w:t>
            </w:r>
            <w:r>
              <w:tab/>
            </w:r>
            <w:r>
              <w:t xml:space="preserve">Fil-Konklużjonijiet tiegħu tat-8 ta' Ottubru 2015 dwar il-futur tal-politika tar-ritorn, il-Kunsill approva l-inizjattiva mħabbra mill-Kummissjoni biex jesplora estensjoni </w:t>
            </w:r>
            <w:r>
              <w:rPr>
                <w:rFonts w:ascii="Times New Roman" w:eastAsia="Times New Roman" w:hAnsi="Times New Roman" w:cs="Times New Roman"/>
                <w:b/>
                <w:i/>
                <w:strike w:val="0"/>
                <w:color w:val="000000"/>
                <w:sz w:val="24"/>
                <w:highlight w:val="none"/>
                <w:u w:val="none" w:color="auto"/>
              </w:rPr>
              <w:t>tal-kamp ta' applikazzjoni</w:t>
            </w:r>
            <w:r>
              <w:t xml:space="preserve"> u l-iskop tal-Eurodac biex jippermetti l-użu ta' data għall-fini tar-ritorn</w:t>
            </w:r>
            <w:r>
              <w:rPr>
                <w:rStyle w:val="Sup"/>
              </w:rPr>
              <w:t>27</w:t>
            </w:r>
            <w:r>
              <w:t xml:space="preserve">. L-Istati Membri </w:t>
            </w:r>
            <w:r>
              <w:rPr>
                <w:rFonts w:ascii="Times New Roman" w:eastAsia="Times New Roman" w:hAnsi="Times New Roman" w:cs="Times New Roman"/>
                <w:b/>
                <w:i/>
                <w:strike w:val="0"/>
                <w:color w:val="000000"/>
                <w:sz w:val="24"/>
                <w:highlight w:val="none"/>
                <w:u w:val="none" w:color="auto"/>
              </w:rPr>
              <w:t>jenħtieġ</w:t>
            </w:r>
            <w:r>
              <w:t xml:space="preserve"> li jkollhom l-għodod </w:t>
            </w:r>
            <w:r>
              <w:rPr>
                <w:rFonts w:ascii="Times New Roman" w:eastAsia="Times New Roman" w:hAnsi="Times New Roman" w:cs="Times New Roman"/>
                <w:b/>
                <w:i/>
                <w:strike w:val="0"/>
                <w:color w:val="000000"/>
                <w:sz w:val="24"/>
                <w:highlight w:val="none"/>
                <w:u w:val="none" w:color="auto"/>
              </w:rPr>
              <w:t>meħtieġa</w:t>
            </w:r>
            <w:r>
              <w:t xml:space="preserve"> għad-dispożizzjoni tagħhom biex ikunu jistgħu jaqbdu l-migrazzjoni illegali.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27</w:t>
            </w:r>
            <w:r>
              <w:t xml:space="preserve"> </w:t>
            </w:r>
            <w:r>
              <w:t>Pjan ta' Azzjoni tal-UE dwar ir-ritorn, COM(2015) 453 final.</w:t>
            </w:r>
          </w:p>
        </w:tc>
        <w:tc>
          <w:tcPr/>
          <w:p>
            <w:pPr>
              <w:pStyle w:val="Normal6"/>
            </w:pPr>
            <w:r>
              <w:rPr>
                <w:rStyle w:val="Sup"/>
              </w:rPr>
              <w:t>27</w:t>
            </w:r>
            <w:r>
              <w:t xml:space="preserve"> </w:t>
            </w:r>
            <w:r>
              <w:t>Pjan ta' Azzjoni tal-UE dwar ir-ritorn, COM(2015) 453 final.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Carlos Coelho</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(13)</w:t>
            </w:r>
            <w:r>
              <w:tab/>
            </w:r>
            <w:r>
              <w:t xml:space="preserve">Fil-Konklużjonijiet tiegħu tat-8 ta’ Ottubru 2015 dwar il-futur tal-politika tar-ritorn, il-Kunsill approva l-inizjattiva mħabbra mill-Kummissjoni biex jesplora estensjoni </w:t>
            </w:r>
            <w:r>
              <w:rPr>
                <w:rFonts w:ascii="Times New Roman" w:eastAsia="Times New Roman" w:hAnsi="Times New Roman" w:cs="Times New Roman"/>
                <w:b/>
                <w:i/>
                <w:strike w:val="0"/>
                <w:color w:val="000000"/>
                <w:sz w:val="24"/>
                <w:highlight w:val="none"/>
                <w:u w:val="none" w:color="auto"/>
              </w:rPr>
              <w:t>tal-ambitu</w:t>
            </w:r>
            <w:r>
              <w:t xml:space="preserve"> u l-iskop tal-Eurodac biex jippermetti l-użu ta' data </w:t>
            </w:r>
            <w:r>
              <w:rPr>
                <w:rFonts w:ascii="Times New Roman" w:eastAsia="Times New Roman" w:hAnsi="Times New Roman" w:cs="Times New Roman"/>
                <w:b/>
                <w:i/>
                <w:strike w:val="0"/>
                <w:color w:val="000000"/>
                <w:sz w:val="24"/>
                <w:highlight w:val="none"/>
                <w:u w:val="none" w:color="auto"/>
              </w:rPr>
              <w:t>għall-fini</w:t>
            </w:r>
            <w:r>
              <w:t xml:space="preserve"> tar-ritorn</w:t>
            </w:r>
            <w:r>
              <w:rPr>
                <w:rStyle w:val="Sup"/>
              </w:rPr>
              <w:t>27</w:t>
            </w:r>
            <w:r>
              <w:rPr>
                <w:rFonts w:ascii="Times New Roman" w:eastAsia="Times New Roman" w:hAnsi="Times New Roman" w:cs="Times New Roman"/>
                <w:b/>
                <w:i/>
                <w:strike w:val="0"/>
                <w:color w:val="000000"/>
                <w:sz w:val="24"/>
                <w:highlight w:val="none"/>
                <w:u w:val="none" w:color="auto"/>
              </w:rPr>
              <w:t xml:space="preserve"> </w:t>
            </w:r>
            <w:r>
              <w:t xml:space="preserve">. L-Istati Membri </w:t>
            </w:r>
            <w:r>
              <w:rPr>
                <w:rFonts w:ascii="Times New Roman" w:eastAsia="Times New Roman" w:hAnsi="Times New Roman" w:cs="Times New Roman"/>
                <w:b/>
                <w:i/>
                <w:strike w:val="0"/>
                <w:color w:val="000000"/>
                <w:sz w:val="24"/>
                <w:highlight w:val="none"/>
                <w:u w:val="none" w:color="auto"/>
              </w:rPr>
              <w:t>jinħtieġ</w:t>
            </w:r>
            <w:r>
              <w:t xml:space="preserve"> li jkollhom l-għodod </w:t>
            </w:r>
            <w:r>
              <w:rPr>
                <w:rFonts w:ascii="Times New Roman" w:eastAsia="Times New Roman" w:hAnsi="Times New Roman" w:cs="Times New Roman"/>
                <w:b/>
                <w:i/>
                <w:strike w:val="0"/>
                <w:color w:val="000000"/>
                <w:sz w:val="24"/>
                <w:highlight w:val="none"/>
                <w:u w:val="none" w:color="auto"/>
              </w:rPr>
              <w:t>neċessarja</w:t>
            </w:r>
            <w:r>
              <w:t xml:space="preserve"> għad-dispożizzjoni tagħhom biex ikunu jistgħu jaqbdu l-migrazzjoni illegali u l-movimenti sekondarji ta' ċittadini ta' pajjiżi terzi li qed jirrisjedu fl-Unjoni illegalment. Għaldaqstant, id-data fil-Eurodac </w:t>
            </w:r>
            <w:r>
              <w:rPr>
                <w:rFonts w:ascii="Times New Roman" w:eastAsia="Times New Roman" w:hAnsi="Times New Roman" w:cs="Times New Roman"/>
                <w:b/>
                <w:i/>
                <w:strike w:val="0"/>
                <w:color w:val="000000"/>
                <w:sz w:val="24"/>
                <w:highlight w:val="none"/>
                <w:u w:val="none" w:color="auto"/>
              </w:rPr>
              <w:t>jinħtieġ</w:t>
            </w:r>
            <w:r>
              <w:t xml:space="preserve"> li tkun disponibbli, suġġetta għall-kundizzjonijiet stabbiliti f’dan ir-Regolament, biex tiġi mqabbla mill-awtoritajiet maħtura tal-Istati Membri.</w:t>
            </w:r>
          </w:p>
        </w:tc>
        <w:tc>
          <w:tcPr/>
          <w:p>
            <w:pPr>
              <w:pStyle w:val="Normal6"/>
            </w:pPr>
            <w:r>
              <w:rPr>
                <w:rFonts w:ascii="Times New Roman" w:eastAsia="Times New Roman" w:hAnsi="Times New Roman" w:cs="Times New Roman"/>
                <w:b/>
                <w:i/>
                <w:strike w:val="0"/>
                <w:color w:val="000000"/>
                <w:sz w:val="24"/>
                <w:highlight w:val="none"/>
                <w:u w:val="none" w:color="auto"/>
              </w:rPr>
              <w:t>13.</w:t>
            </w:r>
            <w:r>
              <w:tab/>
            </w:r>
            <w:r>
              <w:t xml:space="preserve">Fil-Konklużjonijiet tiegħu tat-8 ta' Ottubru 2015 dwar il-futur tal-politika tar-ritorn, il-Kunsill approva l-inizjattiva mħabbra mill-Kummissjoni biex jesplora estensjoni </w:t>
            </w:r>
            <w:r>
              <w:rPr>
                <w:rFonts w:ascii="Times New Roman" w:eastAsia="Times New Roman" w:hAnsi="Times New Roman" w:cs="Times New Roman"/>
                <w:b/>
                <w:i/>
                <w:strike w:val="0"/>
                <w:color w:val="000000"/>
                <w:sz w:val="24"/>
                <w:highlight w:val="none"/>
                <w:u w:val="none" w:color="auto"/>
              </w:rPr>
              <w:t>tal-kamp ta' applikazzjoni</w:t>
            </w:r>
            <w:r>
              <w:t xml:space="preserve"> u l-iskop tal-Eurodac biex jippermetti l-użu ta' data </w:t>
            </w:r>
            <w:r>
              <w:rPr>
                <w:rFonts w:ascii="Times New Roman" w:eastAsia="Times New Roman" w:hAnsi="Times New Roman" w:cs="Times New Roman"/>
                <w:b/>
                <w:i/>
                <w:strike w:val="0"/>
                <w:color w:val="000000"/>
                <w:sz w:val="24"/>
                <w:highlight w:val="none"/>
                <w:u w:val="none" w:color="auto"/>
              </w:rPr>
              <w:t>għall-finijiet</w:t>
            </w:r>
            <w:r>
              <w:t xml:space="preserve"> tar-ritorn</w:t>
            </w:r>
            <w:r>
              <w:rPr>
                <w:rStyle w:val="Sup"/>
              </w:rPr>
              <w:t>27</w:t>
            </w:r>
            <w:r>
              <w:t xml:space="preserve">. L-Istati Membri </w:t>
            </w:r>
            <w:r>
              <w:rPr>
                <w:rFonts w:ascii="Times New Roman" w:eastAsia="Times New Roman" w:hAnsi="Times New Roman" w:cs="Times New Roman"/>
                <w:b/>
                <w:i/>
                <w:strike w:val="0"/>
                <w:color w:val="000000"/>
                <w:sz w:val="24"/>
                <w:highlight w:val="none"/>
                <w:u w:val="none" w:color="auto"/>
              </w:rPr>
              <w:t>jenħtieġ</w:t>
            </w:r>
            <w:r>
              <w:t xml:space="preserve"> li jkollhom l-għodod </w:t>
            </w:r>
            <w:r>
              <w:rPr>
                <w:rFonts w:ascii="Times New Roman" w:eastAsia="Times New Roman" w:hAnsi="Times New Roman" w:cs="Times New Roman"/>
                <w:b/>
                <w:i/>
                <w:strike w:val="0"/>
                <w:color w:val="000000"/>
                <w:sz w:val="24"/>
                <w:highlight w:val="none"/>
                <w:u w:val="none" w:color="auto"/>
              </w:rPr>
              <w:t>meħtieġa</w:t>
            </w:r>
            <w:r>
              <w:t xml:space="preserve"> għad-dispożizzjoni tagħhom biex ikunu jistgħu jaqbdu l-migrazzjoni illegali u l-movimenti sekondarji</w:t>
            </w:r>
            <w:r>
              <w:rPr>
                <w:rFonts w:ascii="Times New Roman" w:eastAsia="Times New Roman" w:hAnsi="Times New Roman" w:cs="Times New Roman"/>
                <w:b/>
                <w:i/>
                <w:strike w:val="0"/>
                <w:color w:val="000000"/>
                <w:sz w:val="24"/>
                <w:highlight w:val="none"/>
                <w:u w:val="none" w:color="auto"/>
              </w:rPr>
              <w:t xml:space="preserve"> mill-identifikazzjoni</w:t>
            </w:r>
            <w:r>
              <w:t xml:space="preserve"> ta' ċittadini ta' pajjiżi terzi li qed jirrisjedu fl-Unjoni illegalment. Għaldaqstant, id-data fil-Eurodac </w:t>
            </w:r>
            <w:r>
              <w:rPr>
                <w:rFonts w:ascii="Times New Roman" w:eastAsia="Times New Roman" w:hAnsi="Times New Roman" w:cs="Times New Roman"/>
                <w:b/>
                <w:i/>
                <w:strike w:val="0"/>
                <w:color w:val="000000"/>
                <w:sz w:val="24"/>
                <w:highlight w:val="none"/>
                <w:u w:val="none" w:color="auto"/>
              </w:rPr>
              <w:t>jenħtieġ</w:t>
            </w:r>
            <w:r>
              <w:t xml:space="preserve"> li tkun disponibbli, suġġetta għall-kundizzjonijiet stabbiliti f'dan ir-Regolament, biex tiġi mqabbla mill-awtoritajiet maħtura tal-Istati Membri.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27</w:t>
            </w:r>
            <w:r>
              <w:t xml:space="preserve"> </w:t>
            </w:r>
            <w:r>
              <w:t>Pjan ta' Azzjoni tal-UE dwar ir-ritorn, COM(2015) 453 final.</w:t>
            </w:r>
          </w:p>
        </w:tc>
        <w:tc>
          <w:tcPr/>
          <w:p>
            <w:pPr>
              <w:pStyle w:val="Normal6"/>
            </w:pPr>
            <w:r>
              <w:rPr>
                <w:rStyle w:val="Sup"/>
              </w:rPr>
              <w:t>27</w:t>
            </w:r>
            <w:r>
              <w:t xml:space="preserve"> </w:t>
            </w:r>
            <w:r>
              <w:t>Pjan ta' Azzjoni tal-UE dwar ir-ritorn, COM(2015) 453 final.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(13)</w:t>
            </w:r>
            <w:r>
              <w:tab/>
            </w:r>
            <w:r>
              <w:t xml:space="preserve">Fil-Konklużjonijiet tiegħu tat-8 ta’ Ottubru 2015 dwar il-futur tal-politika tar-ritorn, il-Kunsill approva l-inizjattiva mħabbra mill-Kummissjoni biex jesplora estensjoni </w:t>
            </w:r>
            <w:r>
              <w:rPr>
                <w:rFonts w:ascii="Times New Roman" w:eastAsia="Times New Roman" w:hAnsi="Times New Roman" w:cs="Times New Roman"/>
                <w:b/>
                <w:i/>
                <w:strike w:val="0"/>
                <w:color w:val="000000"/>
                <w:sz w:val="24"/>
                <w:highlight w:val="none"/>
                <w:u w:val="none" w:color="auto"/>
              </w:rPr>
              <w:t>tal-ambitu</w:t>
            </w:r>
            <w:r>
              <w:t xml:space="preserve"> u l-iskop tal-Eurodac biex jippermetti l-użu ta' data </w:t>
            </w:r>
            <w:r>
              <w:rPr>
                <w:rFonts w:ascii="Times New Roman" w:eastAsia="Times New Roman" w:hAnsi="Times New Roman" w:cs="Times New Roman"/>
                <w:b/>
                <w:i/>
                <w:strike w:val="0"/>
                <w:color w:val="000000"/>
                <w:sz w:val="24"/>
                <w:highlight w:val="none"/>
                <w:u w:val="none" w:color="auto"/>
              </w:rPr>
              <w:t>għall-fini</w:t>
            </w:r>
            <w:r>
              <w:t xml:space="preserve"> tar-ritorn</w:t>
            </w:r>
            <w:r>
              <w:rPr>
                <w:rStyle w:val="Sup"/>
              </w:rPr>
              <w:t>27</w:t>
            </w:r>
            <w:r>
              <w:rPr>
                <w:rFonts w:ascii="Times New Roman" w:eastAsia="Times New Roman" w:hAnsi="Times New Roman" w:cs="Times New Roman"/>
                <w:b/>
                <w:i/>
                <w:strike w:val="0"/>
                <w:color w:val="000000"/>
                <w:sz w:val="24"/>
                <w:highlight w:val="none"/>
                <w:u w:val="none" w:color="auto"/>
              </w:rPr>
              <w:t xml:space="preserve"> </w:t>
            </w:r>
            <w:r>
              <w:t xml:space="preserve">. L-Istati Membri </w:t>
            </w:r>
            <w:r>
              <w:rPr>
                <w:rFonts w:ascii="Times New Roman" w:eastAsia="Times New Roman" w:hAnsi="Times New Roman" w:cs="Times New Roman"/>
                <w:b/>
                <w:i/>
                <w:strike w:val="0"/>
                <w:color w:val="000000"/>
                <w:sz w:val="24"/>
                <w:highlight w:val="none"/>
                <w:u w:val="none" w:color="auto"/>
              </w:rPr>
              <w:t>jinħtieġ</w:t>
            </w:r>
            <w:r>
              <w:t xml:space="preserve"> li jkollhom l-għodod </w:t>
            </w:r>
            <w:r>
              <w:rPr>
                <w:rFonts w:ascii="Times New Roman" w:eastAsia="Times New Roman" w:hAnsi="Times New Roman" w:cs="Times New Roman"/>
                <w:b/>
                <w:i/>
                <w:strike w:val="0"/>
                <w:color w:val="000000"/>
                <w:sz w:val="24"/>
                <w:highlight w:val="none"/>
                <w:u w:val="none" w:color="auto"/>
              </w:rPr>
              <w:t>neċessarja</w:t>
            </w:r>
            <w:r>
              <w:t xml:space="preserve"> għad-dispożizzjoni tagħhom biex ikunu jistgħu jaqbdu l-migrazzjoni illegali u l-movimenti sekondarji ta' ċittadini ta' pajjiżi terzi li qed jirrisjedu fl-Unjoni illegalment. Għaldaqstant, id-data fil-Eurodac </w:t>
            </w:r>
            <w:r>
              <w:rPr>
                <w:rFonts w:ascii="Times New Roman" w:eastAsia="Times New Roman" w:hAnsi="Times New Roman" w:cs="Times New Roman"/>
                <w:b/>
                <w:i/>
                <w:strike w:val="0"/>
                <w:color w:val="000000"/>
                <w:sz w:val="24"/>
                <w:highlight w:val="none"/>
                <w:u w:val="none" w:color="auto"/>
              </w:rPr>
              <w:t>jinħtieġ</w:t>
            </w:r>
            <w:r>
              <w:t xml:space="preserve"> li tkun disponibbli, suġġetta għall-kundizzjonijiet stabbiliti f’dan ir-Regolament, biex tiġi mqabbla mill-awtoritajiet maħtura tal-Istati Membri.</w:t>
            </w:r>
          </w:p>
        </w:tc>
        <w:tc>
          <w:tcPr/>
          <w:p>
            <w:pPr>
              <w:pStyle w:val="Normal6"/>
            </w:pPr>
            <w:r>
              <w:rPr>
                <w:rFonts w:ascii="Times New Roman" w:eastAsia="Times New Roman" w:hAnsi="Times New Roman" w:cs="Times New Roman"/>
                <w:b/>
                <w:i/>
                <w:strike w:val="0"/>
                <w:color w:val="000000"/>
                <w:sz w:val="24"/>
                <w:highlight w:val="none"/>
                <w:u w:val="none" w:color="auto"/>
              </w:rPr>
              <w:t>13.</w:t>
            </w:r>
            <w:r>
              <w:tab/>
            </w:r>
            <w:r>
              <w:t xml:space="preserve">Fil-Konklużjonijiet tiegħu tat-8 ta' Ottubru 2015 dwar il-futur tal-politika tar-ritorn, il-Kunsill approva l-inizjattiva mħabbra mill-Kummissjoni biex jesplora estensjoni </w:t>
            </w:r>
            <w:r>
              <w:rPr>
                <w:rFonts w:ascii="Times New Roman" w:eastAsia="Times New Roman" w:hAnsi="Times New Roman" w:cs="Times New Roman"/>
                <w:b/>
                <w:i/>
                <w:strike w:val="0"/>
                <w:color w:val="000000"/>
                <w:sz w:val="24"/>
                <w:highlight w:val="none"/>
                <w:u w:val="none" w:color="auto"/>
              </w:rPr>
              <w:t>tal-kamp ta' applikazzjoni</w:t>
            </w:r>
            <w:r>
              <w:t xml:space="preserve"> u l-iskop tal-Eurodac biex jippermetti l-użu ta' data </w:t>
            </w:r>
            <w:r>
              <w:rPr>
                <w:rFonts w:ascii="Times New Roman" w:eastAsia="Times New Roman" w:hAnsi="Times New Roman" w:cs="Times New Roman"/>
                <w:b/>
                <w:i/>
                <w:strike w:val="0"/>
                <w:color w:val="000000"/>
                <w:sz w:val="24"/>
                <w:highlight w:val="none"/>
                <w:u w:val="none" w:color="auto"/>
              </w:rPr>
              <w:t>għall-finijiet</w:t>
            </w:r>
            <w:r>
              <w:t xml:space="preserve"> tar-ritorn</w:t>
            </w:r>
            <w:r>
              <w:rPr>
                <w:rStyle w:val="Sup"/>
              </w:rPr>
              <w:t>27</w:t>
            </w:r>
            <w:r>
              <w:t xml:space="preserve">. L-Istati Membri </w:t>
            </w:r>
            <w:r>
              <w:rPr>
                <w:rFonts w:ascii="Times New Roman" w:eastAsia="Times New Roman" w:hAnsi="Times New Roman" w:cs="Times New Roman"/>
                <w:b/>
                <w:i/>
                <w:strike w:val="0"/>
                <w:color w:val="000000"/>
                <w:sz w:val="24"/>
                <w:highlight w:val="none"/>
                <w:u w:val="none" w:color="auto"/>
              </w:rPr>
              <w:t>jenħtieġ</w:t>
            </w:r>
            <w:r>
              <w:t xml:space="preserve"> li jkollhom l-għodod </w:t>
            </w:r>
            <w:r>
              <w:rPr>
                <w:rFonts w:ascii="Times New Roman" w:eastAsia="Times New Roman" w:hAnsi="Times New Roman" w:cs="Times New Roman"/>
                <w:b/>
                <w:i/>
                <w:strike w:val="0"/>
                <w:color w:val="000000"/>
                <w:sz w:val="24"/>
                <w:highlight w:val="none"/>
                <w:u w:val="none" w:color="auto"/>
              </w:rPr>
              <w:t>meħtieġa</w:t>
            </w:r>
            <w:r>
              <w:t xml:space="preserve"> għad-dispożizzjoni tagħhom biex ikunu jistgħu jaqbdu l-migrazzjoni illegali u l-movimenti sekondarji ta' ċittadini ta' pajjiżi terzi </w:t>
            </w:r>
            <w:r>
              <w:rPr>
                <w:rFonts w:ascii="Times New Roman" w:eastAsia="Times New Roman" w:hAnsi="Times New Roman" w:cs="Times New Roman"/>
                <w:b/>
                <w:i/>
                <w:strike w:val="0"/>
                <w:color w:val="000000"/>
                <w:sz w:val="24"/>
                <w:highlight w:val="none"/>
                <w:u w:val="none" w:color="auto"/>
              </w:rPr>
              <w:t xml:space="preserve">jew persuni apolidi </w:t>
            </w:r>
            <w:r>
              <w:t xml:space="preserve">li qed jirrisjedu fl-Unjoni illegalment. Għaldaqstant, id-data fil-Eurodac </w:t>
            </w:r>
            <w:r>
              <w:rPr>
                <w:rFonts w:ascii="Times New Roman" w:eastAsia="Times New Roman" w:hAnsi="Times New Roman" w:cs="Times New Roman"/>
                <w:b/>
                <w:i/>
                <w:strike w:val="0"/>
                <w:color w:val="000000"/>
                <w:sz w:val="24"/>
                <w:highlight w:val="none"/>
                <w:u w:val="none" w:color="auto"/>
              </w:rPr>
              <w:t>jenħtieġ</w:t>
            </w:r>
            <w:r>
              <w:t xml:space="preserve"> li tkun disponibbli, suġġetta għall-kundizzjonijiet stabbiliti f'dan ir-Regolament, biex tiġi mqabbla mill-awtoritajiet maħtura tal-Istati Membri.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27</w:t>
            </w:r>
            <w:r>
              <w:t xml:space="preserve"> </w:t>
            </w:r>
            <w:r>
              <w:t>Pjan ta' Azzjoni tal-UE dwar ir-ritorn, COM(2015) 453 final.</w:t>
            </w:r>
          </w:p>
        </w:tc>
        <w:tc>
          <w:tcPr/>
          <w:p>
            <w:pPr>
              <w:pStyle w:val="Normal6"/>
            </w:pPr>
            <w:r>
              <w:rPr>
                <w:rStyle w:val="Sup"/>
              </w:rPr>
              <w:t>27</w:t>
            </w:r>
            <w:r>
              <w:t xml:space="preserve"> </w:t>
            </w:r>
            <w:r>
              <w:t>Pjan ta' Azzjoni tal-UE dwar ir-ritorn, COM(2015) 453 final.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 Maria Corazza Bildt</w:t>
      </w:r>
      <w:r>
        <w:t xml:space="preserve">, </w:t>
      </w:r>
      <w:r>
        <w:t>Damiano Zoffoli</w:t>
      </w:r>
      <w:r>
        <w:t xml:space="preserve">, </w:t>
      </w:r>
      <w:r>
        <w:t>Barbara Matera</w:t>
      </w:r>
      <w:r>
        <w:t xml:space="preserve">, </w:t>
      </w:r>
      <w:r>
        <w:t>Petras Auštrevičius</w:t>
      </w:r>
      <w:r>
        <w:t xml:space="preserve">, </w:t>
      </w:r>
      <w:r>
        <w:t>Beatriz Becerra Basterrechea</w:t>
      </w:r>
      <w:r>
        <w:t xml:space="preserve">, </w:t>
      </w:r>
      <w:r>
        <w:t>Hilde Vautmans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(14)</w:t>
            </w:r>
            <w:r>
              <w:tab/>
            </w:r>
            <w:r>
              <w:t xml:space="preserve">Il-Komunikazzjoni tal-Kummissjoni dwar Sistemi tal-Informazzjoni aktar </w:t>
            </w:r>
            <w:r>
              <w:rPr>
                <w:rFonts w:ascii="Times New Roman" w:eastAsia="Times New Roman" w:hAnsi="Times New Roman" w:cs="Times New Roman"/>
                <w:b/>
                <w:i/>
                <w:strike w:val="0"/>
                <w:color w:val="000000"/>
                <w:sz w:val="24"/>
                <w:highlight w:val="none"/>
                <w:u w:val="none" w:color="auto"/>
              </w:rPr>
              <w:t>Qawwija</w:t>
            </w:r>
            <w:r>
              <w:t xml:space="preserve"> u aktar Intelliġenti għall-Fruntieri u s-Sigurtà</w:t>
            </w:r>
            <w:r>
              <w:rPr>
                <w:rStyle w:val="Sup"/>
              </w:rPr>
              <w:t>28</w:t>
            </w:r>
            <w:r>
              <w:t xml:space="preserve"> </w:t>
            </w:r>
            <w:r>
              <w:rPr>
                <w:rFonts w:ascii="Times New Roman" w:eastAsia="Times New Roman" w:hAnsi="Times New Roman" w:cs="Times New Roman"/>
                <w:b/>
                <w:i/>
                <w:strike w:val="0"/>
                <w:color w:val="000000"/>
                <w:sz w:val="24"/>
                <w:highlight w:val="none"/>
                <w:u w:val="none" w:color="auto"/>
              </w:rPr>
              <w:t>tisħaq dwar il-ħtieġa</w:t>
            </w:r>
            <w:r>
              <w:t xml:space="preserve"> li tittejjeb l-interoperabbiltà tas-sistemi tal-informazzjoni bħala objettiv fit-tul, kif identifikat ukoll mill-Kunsill Ewropew u mill-Kunsill. Il-Komunikazzjoni tipproponi li twaqqaf Grupp ta’ Esperti dwar is-Sistemi tal-Informazzjoni u l-Interoperabbiltà biex tkun ittrattata l-fattibbiltà legali u teknika tal-kisba tal-interoperabbiltà tas-sistemi tal-informazzjoni </w:t>
            </w:r>
            <w:r>
              <w:rPr>
                <w:rFonts w:ascii="Times New Roman" w:eastAsia="Times New Roman" w:hAnsi="Times New Roman" w:cs="Times New Roman"/>
                <w:b/>
                <w:i/>
                <w:strike w:val="0"/>
                <w:color w:val="000000"/>
                <w:sz w:val="24"/>
                <w:highlight w:val="none"/>
                <w:u w:val="none" w:color="auto"/>
              </w:rPr>
              <w:t>għall-fruntieri u s-sigurtà. Dan il-grupp jinħtieġ li jevalwa n-neċessità u l-proporzjonalità biex tiġi stabbilita</w:t>
            </w:r>
            <w:r>
              <w:t xml:space="preserve"> l-interoperabbiltà </w:t>
            </w:r>
            <w:r>
              <w:rPr>
                <w:rFonts w:ascii="Times New Roman" w:eastAsia="Times New Roman" w:hAnsi="Times New Roman" w:cs="Times New Roman"/>
                <w:b/>
                <w:i/>
                <w:strike w:val="0"/>
                <w:color w:val="000000"/>
                <w:sz w:val="24"/>
                <w:highlight w:val="none"/>
                <w:u w:val="none" w:color="auto"/>
              </w:rPr>
              <w:t>tas-Sistemi tal-Informazzjoni</w:t>
            </w:r>
            <w:r>
              <w:t xml:space="preserve"> ta’ Schengen (</w:t>
            </w:r>
            <w:r>
              <w:rPr>
                <w:rFonts w:ascii="Times New Roman" w:eastAsia="Times New Roman" w:hAnsi="Times New Roman" w:cs="Times New Roman"/>
                <w:b/>
                <w:i/>
                <w:strike w:val="0"/>
                <w:color w:val="000000"/>
                <w:sz w:val="24"/>
                <w:highlight w:val="none"/>
                <w:u w:val="none" w:color="auto"/>
              </w:rPr>
              <w:t>Schengen Information Systems , SIS</w:t>
            </w:r>
            <w:r>
              <w:t xml:space="preserve">) </w:t>
            </w:r>
            <w:r>
              <w:rPr>
                <w:rFonts w:ascii="Times New Roman" w:eastAsia="Times New Roman" w:hAnsi="Times New Roman" w:cs="Times New Roman"/>
                <w:b/>
                <w:i/>
                <w:strike w:val="0"/>
                <w:color w:val="000000"/>
                <w:sz w:val="24"/>
                <w:highlight w:val="none"/>
                <w:u w:val="none" w:color="auto"/>
              </w:rPr>
              <w:t>u s-Sistemi tal-Informazzjoni dwar il-Visa (Visa Information Systems, VIS), u jeżamina jekk hemmx bżonn li jiġi rivedut il-qafas legali għall-aċċess għall-infurzar tal-liġi għall-EURODAC</w:t>
            </w:r>
            <w:r>
              <w:t>.</w:t>
            </w:r>
          </w:p>
        </w:tc>
        <w:tc>
          <w:tcPr/>
          <w:p>
            <w:pPr>
              <w:pStyle w:val="Normal6"/>
            </w:pPr>
            <w:r>
              <w:rPr>
                <w:rFonts w:ascii="Times New Roman" w:eastAsia="Times New Roman" w:hAnsi="Times New Roman" w:cs="Times New Roman"/>
                <w:b/>
                <w:i/>
                <w:strike w:val="0"/>
                <w:color w:val="000000"/>
                <w:sz w:val="24"/>
                <w:highlight w:val="none"/>
                <w:u w:val="none" w:color="auto"/>
              </w:rPr>
              <w:t>14.</w:t>
            </w:r>
            <w:r>
              <w:tab/>
            </w:r>
            <w:r>
              <w:t xml:space="preserve">Il-Komunikazzjoni tal-Kummissjoni dwar Sistemi tal-Informazzjoni aktar </w:t>
            </w:r>
            <w:r>
              <w:rPr>
                <w:rFonts w:ascii="Times New Roman" w:eastAsia="Times New Roman" w:hAnsi="Times New Roman" w:cs="Times New Roman"/>
                <w:b/>
                <w:i/>
                <w:strike w:val="0"/>
                <w:color w:val="000000"/>
                <w:sz w:val="24"/>
                <w:highlight w:val="none"/>
                <w:u w:val="none" w:color="auto"/>
              </w:rPr>
              <w:t>b'Saħħithom</w:t>
            </w:r>
            <w:r>
              <w:t xml:space="preserve"> u aktar Intelliġenti għall-Fruntieri u s-Sigurtà</w:t>
            </w:r>
            <w:r>
              <w:rPr>
                <w:rStyle w:val="Sup"/>
              </w:rPr>
              <w:t>28</w:t>
            </w:r>
            <w:r>
              <w:t xml:space="preserve"> </w:t>
            </w:r>
            <w:r>
              <w:rPr>
                <w:rFonts w:ascii="Times New Roman" w:eastAsia="Times New Roman" w:hAnsi="Times New Roman" w:cs="Times New Roman"/>
                <w:b/>
                <w:i/>
                <w:strike w:val="0"/>
                <w:color w:val="000000"/>
                <w:sz w:val="24"/>
                <w:highlight w:val="none"/>
                <w:u w:val="none" w:color="auto"/>
              </w:rPr>
              <w:t>tenfasizza l-ħtieġa</w:t>
            </w:r>
            <w:r>
              <w:t xml:space="preserve"> li tittejjeb l-interoperabbiltà tas-sistemi tal-informazzjoni bħala objettiv fit-tul, kif identifikat ukoll mill-Kunsill Ewropew u mill-Kunsill. Il-Komunikazzjoni tipproponi li twaqqaf Grupp ta’ Esperti dwar is-Sistemi tal-Informazzjoni u l-Interoperabbiltà biex tkun ittrattata l-fattibbiltà legali u teknika tal-kisba tal-interoperabbiltà tas-sistemi tal-informazzjoni </w:t>
            </w:r>
            <w:r>
              <w:rPr>
                <w:rFonts w:ascii="Times New Roman" w:eastAsia="Times New Roman" w:hAnsi="Times New Roman" w:cs="Times New Roman"/>
                <w:b/>
                <w:i/>
                <w:strike w:val="0"/>
                <w:color w:val="000000"/>
                <w:sz w:val="24"/>
                <w:highlight w:val="none"/>
                <w:u w:val="none" w:color="auto"/>
              </w:rPr>
              <w:t>u teżamina jekk hemmx il-ħtieġa ta' reviżjoni tal-qafas legali għall-aċċess għall-infurzar tal-liġi għall-Eurodac. Jenħtieġ li jiġu żviluppati soluzzjonijiet teknoloġiċi sabiex tiġi żgurata</w:t>
            </w:r>
            <w:r>
              <w:t xml:space="preserve"> l-interoperabbiltà </w:t>
            </w:r>
            <w:r>
              <w:rPr>
                <w:rFonts w:ascii="Times New Roman" w:eastAsia="Times New Roman" w:hAnsi="Times New Roman" w:cs="Times New Roman"/>
                <w:b/>
                <w:i/>
                <w:strike w:val="0"/>
                <w:color w:val="000000"/>
                <w:sz w:val="24"/>
                <w:highlight w:val="none"/>
                <w:u w:val="none" w:color="auto"/>
              </w:rPr>
              <w:t>tal-Eurodac mas-Sistema ta' Informazzjoni</w:t>
            </w:r>
            <w:r>
              <w:t xml:space="preserve"> ta' Schengen (</w:t>
            </w:r>
            <w:r>
              <w:rPr>
                <w:rFonts w:ascii="Times New Roman" w:eastAsia="Times New Roman" w:hAnsi="Times New Roman" w:cs="Times New Roman"/>
                <w:b/>
                <w:i/>
                <w:strike w:val="0"/>
                <w:color w:val="000000"/>
                <w:sz w:val="24"/>
                <w:highlight w:val="none"/>
                <w:u w:val="none" w:color="auto"/>
              </w:rPr>
              <w:t>SIS), is-Sistema ta' Informazzjoni dwar il-Viża (VIS), l-Europol u s-Sistema ta' Dħul/Ħruġ (EES</w:t>
            </w:r>
            <w:r>
              <w:t xml:space="preserve">) </w:t>
            </w:r>
            <w:r>
              <w:rPr>
                <w:rFonts w:ascii="Times New Roman" w:eastAsia="Times New Roman" w:hAnsi="Times New Roman" w:cs="Times New Roman"/>
                <w:b/>
                <w:i/>
                <w:strike w:val="0"/>
                <w:color w:val="000000"/>
                <w:sz w:val="24"/>
                <w:highlight w:val="none"/>
                <w:u w:val="none" w:color="auto"/>
              </w:rPr>
              <w:t>sabiex tittejjeb il-kooperazzjoni effettiva fost l-Istati Membri fl-immaniġġjar tal-fruntieri esterni u l-ġlieda kontra l-kriminalità serja. Jekk data addizzjonali tal-minuri tiġi inkluża f'verżjoni futura tal-Eurodac, l-Istati Membri jenħtieġ ukoll li jniżżlu r-rabtiet familjari sabiex jiffaċilitaw ir-riunifikazzjoni tal-familji u jitraċċaw tfal mitlufa</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28</w:t>
            </w:r>
            <w:r>
              <w:t xml:space="preserve"> </w:t>
            </w:r>
            <w:r>
              <w:t>COM(2016) 205 finali</w:t>
            </w:r>
          </w:p>
        </w:tc>
        <w:tc>
          <w:tcPr/>
          <w:p>
            <w:pPr>
              <w:pStyle w:val="Normal6"/>
            </w:pPr>
            <w:r>
              <w:rPr>
                <w:rStyle w:val="Sup"/>
              </w:rPr>
              <w:t>28</w:t>
            </w:r>
            <w:r>
              <w:t xml:space="preserve"> </w:t>
            </w:r>
            <w:r>
              <w:t>COM(2016) 205 finali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t xml:space="preserve">, </w:t>
      </w:r>
      <w:r>
        <w:t>Jeroen Lenaers</w:t>
      </w:r>
      <w:r>
        <w:t xml:space="preserve">, </w:t>
      </w:r>
      <w:r>
        <w:t>Heinz K. Becker</w:t>
      </w:r>
      <w:r>
        <w:t xml:space="preserve">, </w:t>
      </w:r>
      <w:r>
        <w:t>Brice Hortefeux</w:t>
      </w:r>
      <w:r>
        <w:t xml:space="preserve">, </w:t>
      </w:r>
      <w:r>
        <w:t>Mariya Gabriel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13a.</w:t>
            </w:r>
            <w:r>
              <w:tab/>
            </w:r>
            <w:r>
              <w:rPr>
                <w:rFonts w:ascii="Times New Roman" w:eastAsia="Times New Roman" w:hAnsi="Times New Roman" w:cs="Times New Roman"/>
                <w:b/>
                <w:i/>
                <w:strike w:val="0"/>
                <w:color w:val="000000"/>
                <w:sz w:val="24"/>
                <w:highlight w:val="none"/>
                <w:u w:val="none" w:color="auto"/>
              </w:rPr>
              <w:t>L-Aġenzija Ewropea għall-Gwardja tal-Fruntiera u tal-Kosta, kif stabbilita mir-Regolament 2016/1624 tal-Parlament Ewropew u tal-Kunsill</w:t>
            </w:r>
            <w:r>
              <w:rPr>
                <w:rStyle w:val="SupBoldItalic"/>
              </w:rPr>
              <w:t>1a</w:t>
            </w:r>
            <w:r>
              <w:rPr>
                <w:rFonts w:ascii="Times New Roman" w:eastAsia="Times New Roman" w:hAnsi="Times New Roman" w:cs="Times New Roman"/>
                <w:b/>
                <w:i/>
                <w:strike w:val="0"/>
                <w:color w:val="000000"/>
                <w:sz w:val="24"/>
                <w:highlight w:val="none"/>
                <w:u w:val="none" w:color="auto"/>
              </w:rPr>
              <w:t xml:space="preserve"> , għandha rwol fundamentali fl-isforzi tal-UE għall-ġestjoni aħjar tal-fruntieri esterni, il-prevenzjoni tal-immigrazzjoni irregolari u l-movimenti sekondarji. Konsegwentement, l-Aġenzija Ewropea għall-Gwardja tal-Fruntiera u tal-Kosta jenħtieġ li tingħata aċċess għad-data tal-Eurodac sabiex tkun tista' tagħmel analiżijiet tar-riskju tal-ogħla standards possibbli u tgħin lill-Istati Membri f'kompiti relatati mar-ritorn. L-ipproċessar ta' dawn id-data jenħtieġ li jitwettaq b'konformità mal-miżuri ta' salvagwardja tal-protezzjoni tad-data previsti fir-Regolament (UE) 2016/1624.</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Style w:val="SupBoldItalic"/>
              </w:rPr>
              <w:t>1a</w:t>
            </w:r>
            <w:r>
              <w:t xml:space="preserve"> </w:t>
            </w:r>
            <w:r>
              <w:rPr>
                <w:rFonts w:ascii="Times New Roman" w:eastAsia="Times New Roman" w:hAnsi="Times New Roman" w:cs="Times New Roman"/>
                <w:b/>
                <w:i/>
                <w:strike w:val="0"/>
                <w:color w:val="000000"/>
                <w:sz w:val="24"/>
                <w:highlight w:val="none"/>
                <w:u w:val="none" w:color="auto"/>
              </w:rPr>
              <w:t>Regolament (UE) 2016/1624 tal-Parlament Ewropew u tal-Kunsill tal-14 ta' Settembru 2016 dwar il-Gwardja Ewropea tal-Fruntiera u tal-Kosta u li jemenda r-Regolament (UE) 2016/399 tal-Parlament Ewropew u tal-Kunsill u li jħassar ir-Regolament (KE) Nru 63/2007 tal-Parlament Ewropew u tal-Kunsill, ir-Regolament tal-Kunsill (KE) Nru2 007/2004 u d-Deċiżjoni tal-Kunsill 2005/267/KE (ĠU L 251, 16.9.2016, p. 1).</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tikkorrispondi mar-rwol il-ġdid li assuma l-Eurodac, li jidher fil-paragrafu (b) tal-Artikolu 1. Il-Eurodac issa għandu jassisti fil-kontroll tal-immigrazzjoni illegali u l-moviment sekondarju. Fil-mandat il-ġdid tagħha, l-Aġenzija Ewropea għall-Gwardja tal-Fruntiera u tal-Kosta li nħolqot issa wkoll għandha dan il-kompitu. L-għoti ta' aċċess lill-Gwardja Ewropea tal-Fruntiera u tal-Kosta għandu jiżgura li l-potenzjal il-ġdid tal-Eurodac jiġi sfruttat bis-sħiħ.</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t xml:space="preserve">, </w:t>
      </w:r>
      <w:r>
        <w:t>Rachida Dati</w:t>
      </w:r>
      <w:r>
        <w:t xml:space="preserve">, </w:t>
      </w:r>
      <w:r>
        <w:t>Brice Hortefeux</w:t>
      </w:r>
      <w:r>
        <w:t xml:space="preserve">, </w:t>
      </w:r>
      <w:r>
        <w:t>Mariya Gabriel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13b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(13 b)</w:t>
            </w:r>
            <w:r>
              <w:tab/>
            </w:r>
            <w:r>
              <w:rPr>
                <w:rFonts w:ascii="Times New Roman" w:eastAsia="Times New Roman" w:hAnsi="Times New Roman" w:cs="Times New Roman"/>
                <w:b/>
                <w:i/>
                <w:strike w:val="0"/>
                <w:color w:val="000000"/>
                <w:sz w:val="24"/>
                <w:highlight w:val="none"/>
                <w:u w:val="none" w:color="auto"/>
              </w:rPr>
              <w:t>Bħala wieħed mill-kompiti prinċipali tal-Aġenzija Ewropea għall-Gwardja tal-Fruntiera u tal-Kosta u l-Aġenzija tal-Unjoni Ewropea għall-Asil futura, stabbilita f'dan ir-Regolament, hemm it-teħid u t-trażmissjoni tad-data bijometrika. L-Aġenzija Ewropea għall-Gwardja tal-Fruntiera u tal-Kosta u l-Aġenzija tal-Unjoni Ewropea għall-Asil jenħtieġ li jingħataw interfaċċja proprja sabiex ma jibqgħux dipendenti fuq l-infrastruttura nazzjonali. Fit-tul, dawn l-interfaċċji jistgħu jintużaw bħala interfaċċja tat-tiftix unika, kif deskritt fil-Komunikazzjoni tal-Kummissjoni tas-6 ta' April 2016 intitolata "Sistemi ta' Informazzjoni aktar b'Saħħithom u aktar Intelliġenti għall-Fruntieri u s-Sigurtà"</w:t>
            </w:r>
            <w:r>
              <w:rPr>
                <w:rStyle w:val="SupBoldItalic"/>
              </w:rPr>
              <w:t>1a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Style w:val="SupBoldItalic"/>
              </w:rPr>
              <w:t>1a</w:t>
            </w:r>
            <w:r>
              <w:t xml:space="preserve"> </w:t>
            </w:r>
            <w:r>
              <w:rPr>
                <w:rFonts w:ascii="Times New Roman" w:eastAsia="Times New Roman" w:hAnsi="Times New Roman" w:cs="Times New Roman"/>
                <w:b/>
                <w:i/>
                <w:strike w:val="0"/>
                <w:color w:val="000000"/>
                <w:sz w:val="24"/>
                <w:highlight w:val="none"/>
                <w:u w:val="none" w:color="auto"/>
              </w:rPr>
              <w:t>COM(2016) 205 final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għandha tnaqqas id-dipendenza tal-Aġenzija fuq l-infrastruttura nazzjonali li tista' tkun piż reali għall-ħidma ta' kuljum tal-aġenziji, peress li mhux kull infrastruttura nazzjonali hija tal-ogħla standards.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(14)</w:t>
            </w:r>
            <w:r>
              <w:tab/>
            </w:r>
            <w:r>
              <w:rPr>
                <w:rFonts w:ascii="Times New Roman" w:eastAsia="Times New Roman" w:hAnsi="Times New Roman" w:cs="Times New Roman"/>
                <w:b/>
                <w:i/>
                <w:strike w:val="0"/>
                <w:color w:val="000000"/>
                <w:sz w:val="24"/>
                <w:highlight w:val="none"/>
                <w:u w:val="none" w:color="auto"/>
              </w:rPr>
              <w:t>Il-Komunikazzjoni</w:t>
            </w:r>
            <w:r>
              <w:t xml:space="preserve"> tal-Kummissjoni dwar Sistemi </w:t>
            </w:r>
            <w:r>
              <w:rPr>
                <w:rFonts w:ascii="Times New Roman" w:eastAsia="Times New Roman" w:hAnsi="Times New Roman" w:cs="Times New Roman"/>
                <w:b/>
                <w:i/>
                <w:strike w:val="0"/>
                <w:color w:val="000000"/>
                <w:sz w:val="24"/>
                <w:highlight w:val="none"/>
                <w:u w:val="none" w:color="auto"/>
              </w:rPr>
              <w:t>tal-Informazzjoni</w:t>
            </w:r>
            <w:r>
              <w:t xml:space="preserve"> aktar </w:t>
            </w:r>
            <w:r>
              <w:rPr>
                <w:rFonts w:ascii="Times New Roman" w:eastAsia="Times New Roman" w:hAnsi="Times New Roman" w:cs="Times New Roman"/>
                <w:b/>
                <w:i/>
                <w:strike w:val="0"/>
                <w:color w:val="000000"/>
                <w:sz w:val="24"/>
                <w:highlight w:val="none"/>
                <w:u w:val="none" w:color="auto"/>
              </w:rPr>
              <w:t>Qawwija</w:t>
            </w:r>
            <w:r>
              <w:t xml:space="preserve"> u aktar Intelliġenti għall-Fruntieri u s-Sigurtà</w:t>
            </w:r>
            <w:r>
              <w:rPr>
                <w:rStyle w:val="Sup"/>
              </w:rPr>
              <w:t>28</w:t>
            </w:r>
            <w:r>
              <w:t xml:space="preserve"> </w:t>
            </w:r>
            <w:r>
              <w:rPr>
                <w:rFonts w:ascii="Times New Roman" w:eastAsia="Times New Roman" w:hAnsi="Times New Roman" w:cs="Times New Roman"/>
                <w:b/>
                <w:i/>
                <w:strike w:val="0"/>
                <w:color w:val="000000"/>
                <w:sz w:val="24"/>
                <w:highlight w:val="none"/>
                <w:u w:val="none" w:color="auto"/>
              </w:rPr>
              <w:t>tisħaq dwar</w:t>
            </w:r>
            <w:r>
              <w:t xml:space="preserve"> il-ħtieġa li tittejjeb l-interoperabbiltà tas-sistemi tal-informazzjoni bħala objettiv fit-tul, kif identifikat ukoll mill-Kunsill Ewropew u mill-Kunsill</w:t>
            </w:r>
            <w:r>
              <w:rPr>
                <w:rFonts w:ascii="Times New Roman" w:eastAsia="Times New Roman" w:hAnsi="Times New Roman" w:cs="Times New Roman"/>
                <w:b/>
                <w:i/>
                <w:strike w:val="0"/>
                <w:color w:val="000000"/>
                <w:sz w:val="24"/>
                <w:highlight w:val="none"/>
                <w:u w:val="none" w:color="auto"/>
              </w:rPr>
              <w:t>. Il-Komunikazzjoni tipproponi li twaqqaf</w:t>
            </w:r>
            <w:r>
              <w:t xml:space="preserve"> Grupp ta’ Esperti dwar is-Sistemi tal-Informazzjoni u l-Interoperabbiltà biex tkun ittrattata l-fattibbiltà legali u teknika tal-kisba tal-interoperabbiltà tas-sistemi tal-informazzjoni għall-fruntieri u s-sigurtà</w:t>
            </w:r>
            <w:r>
              <w:rPr>
                <w:rFonts w:ascii="Times New Roman" w:eastAsia="Times New Roman" w:hAnsi="Times New Roman" w:cs="Times New Roman"/>
                <w:b/>
                <w:i/>
                <w:strike w:val="0"/>
                <w:color w:val="000000"/>
                <w:sz w:val="24"/>
                <w:highlight w:val="none"/>
                <w:u w:val="none" w:color="auto"/>
              </w:rPr>
              <w:t xml:space="preserve">. </w:t>
            </w:r>
            <w:r>
              <w:rPr>
                <w:rFonts w:ascii="Times New Roman" w:eastAsia="Times New Roman" w:hAnsi="Times New Roman" w:cs="Times New Roman"/>
                <w:b/>
                <w:i/>
                <w:strike w:val="0"/>
                <w:color w:val="000000"/>
                <w:sz w:val="24"/>
                <w:highlight w:val="none"/>
                <w:u w:val="none" w:color="auto"/>
              </w:rPr>
              <w:t>Dan</w:t>
            </w:r>
            <w:r>
              <w:t xml:space="preserve"> il-grupp </w:t>
            </w:r>
            <w:r>
              <w:rPr>
                <w:rFonts w:ascii="Times New Roman" w:eastAsia="Times New Roman" w:hAnsi="Times New Roman" w:cs="Times New Roman"/>
                <w:b/>
                <w:i/>
                <w:strike w:val="0"/>
                <w:color w:val="000000"/>
                <w:sz w:val="24"/>
                <w:highlight w:val="none"/>
                <w:u w:val="none" w:color="auto"/>
              </w:rPr>
              <w:t>jinħtieġ li jevalwa n-neċessità</w:t>
            </w:r>
            <w:r>
              <w:t xml:space="preserve"> u l-proporzjonalità biex tiġi stabbilita l-interoperabbiltà </w:t>
            </w:r>
            <w:r>
              <w:rPr>
                <w:rFonts w:ascii="Times New Roman" w:eastAsia="Times New Roman" w:hAnsi="Times New Roman" w:cs="Times New Roman"/>
                <w:b/>
                <w:i/>
                <w:strike w:val="0"/>
                <w:color w:val="000000"/>
                <w:sz w:val="24"/>
                <w:highlight w:val="none"/>
                <w:u w:val="none" w:color="auto"/>
              </w:rPr>
              <w:t>tas-Sistemi</w:t>
            </w:r>
            <w:r>
              <w:t xml:space="preserve"> tal-Informazzjoni ta’ Schengen (</w:t>
            </w:r>
            <w:r>
              <w:rPr>
                <w:rFonts w:ascii="Times New Roman" w:eastAsia="Times New Roman" w:hAnsi="Times New Roman" w:cs="Times New Roman"/>
                <w:b/>
                <w:i/>
                <w:strike w:val="0"/>
                <w:color w:val="000000"/>
                <w:sz w:val="24"/>
                <w:highlight w:val="none"/>
                <w:u w:val="none" w:color="auto"/>
              </w:rPr>
              <w:t>Schengen Information Systems , SIS) u s-Sistemi</w:t>
            </w:r>
            <w:r>
              <w:t xml:space="preserve"> tal-Informazzjoni dwar </w:t>
            </w:r>
            <w:r>
              <w:rPr>
                <w:rFonts w:ascii="Times New Roman" w:eastAsia="Times New Roman" w:hAnsi="Times New Roman" w:cs="Times New Roman"/>
                <w:b/>
                <w:i/>
                <w:strike w:val="0"/>
                <w:color w:val="000000"/>
                <w:sz w:val="24"/>
                <w:highlight w:val="none"/>
                <w:u w:val="none" w:color="auto"/>
              </w:rPr>
              <w:t xml:space="preserve">il-Visa (Visa Information Systems, </w:t>
            </w:r>
            <w:r>
              <w:t>VIS),</w:t>
            </w:r>
            <w:r>
              <w:rPr>
                <w:rFonts w:ascii="Times New Roman" w:eastAsia="Times New Roman" w:hAnsi="Times New Roman" w:cs="Times New Roman"/>
                <w:b/>
                <w:i/>
                <w:strike w:val="0"/>
                <w:color w:val="000000"/>
                <w:sz w:val="24"/>
                <w:highlight w:val="none"/>
                <w:u w:val="none" w:color="auto"/>
              </w:rPr>
              <w:t xml:space="preserve"> u jeżamina jekk hemmx bżonn li jiġi rivedut il-qafas legali għall-aċċess għall-infurzar tal-liġi għall-EURODAC</w:t>
            </w:r>
            <w:r>
              <w:t>.</w:t>
            </w:r>
          </w:p>
        </w:tc>
        <w:tc>
          <w:tcPr/>
          <w:p>
            <w:pPr>
              <w:pStyle w:val="Normal6"/>
            </w:pPr>
            <w:r>
              <w:rPr>
                <w:rFonts w:ascii="Times New Roman" w:eastAsia="Times New Roman" w:hAnsi="Times New Roman" w:cs="Times New Roman"/>
                <w:b/>
                <w:i/>
                <w:strike w:val="0"/>
                <w:color w:val="000000"/>
                <w:sz w:val="24"/>
                <w:highlight w:val="none"/>
                <w:u w:val="none" w:color="auto"/>
              </w:rPr>
              <w:t>14.</w:t>
            </w:r>
            <w:r>
              <w:tab/>
            </w:r>
            <w:r>
              <w:rPr>
                <w:rFonts w:ascii="Times New Roman" w:eastAsia="Times New Roman" w:hAnsi="Times New Roman" w:cs="Times New Roman"/>
                <w:b/>
                <w:i/>
                <w:strike w:val="0"/>
                <w:color w:val="000000"/>
                <w:sz w:val="24"/>
                <w:highlight w:val="none"/>
                <w:u w:val="none" w:color="auto"/>
              </w:rPr>
              <w:t>F'konformità mal-Komunikazzjoni</w:t>
            </w:r>
            <w:r>
              <w:t xml:space="preserve"> tal-Kummissjoni dwar Sistemi </w:t>
            </w:r>
            <w:r>
              <w:rPr>
                <w:rFonts w:ascii="Times New Roman" w:eastAsia="Times New Roman" w:hAnsi="Times New Roman" w:cs="Times New Roman"/>
                <w:b/>
                <w:i/>
                <w:strike w:val="0"/>
                <w:color w:val="000000"/>
                <w:sz w:val="24"/>
                <w:highlight w:val="none"/>
                <w:u w:val="none" w:color="auto"/>
              </w:rPr>
              <w:t>ta' Informazzjoni</w:t>
            </w:r>
            <w:r>
              <w:t xml:space="preserve"> aktar </w:t>
            </w:r>
            <w:r>
              <w:rPr>
                <w:rFonts w:ascii="Times New Roman" w:eastAsia="Times New Roman" w:hAnsi="Times New Roman" w:cs="Times New Roman"/>
                <w:b/>
                <w:i/>
                <w:strike w:val="0"/>
                <w:color w:val="000000"/>
                <w:sz w:val="24"/>
                <w:highlight w:val="none"/>
                <w:u w:val="none" w:color="auto"/>
              </w:rPr>
              <w:t>b'Saħħithom</w:t>
            </w:r>
            <w:r>
              <w:t xml:space="preserve"> u aktar Intelliġenti għall-Fruntieri u s-Sigurtà</w:t>
            </w:r>
            <w:r>
              <w:rPr>
                <w:rStyle w:val="Sup"/>
              </w:rPr>
              <w:t>28</w:t>
            </w:r>
            <w:r>
              <w:t xml:space="preserve"> </w:t>
            </w:r>
            <w:r>
              <w:rPr>
                <w:rFonts w:ascii="Times New Roman" w:eastAsia="Times New Roman" w:hAnsi="Times New Roman" w:cs="Times New Roman"/>
                <w:b/>
                <w:i/>
                <w:strike w:val="0"/>
                <w:color w:val="000000"/>
                <w:sz w:val="24"/>
                <w:highlight w:val="none"/>
                <w:u w:val="none" w:color="auto"/>
              </w:rPr>
              <w:t>li enfasizzat</w:t>
            </w:r>
            <w:r>
              <w:t xml:space="preserve"> il-ħtieġa li tittejjeb l-interoperabbiltà tas-sistemi tal-informazzjoni bħala objettiv fit-tul, kif identifikat ukoll mill-Kunsill Ewropew u mill-Kunsill</w:t>
            </w:r>
            <w:r>
              <w:rPr>
                <w:rFonts w:ascii="Times New Roman" w:eastAsia="Times New Roman" w:hAnsi="Times New Roman" w:cs="Times New Roman"/>
                <w:b/>
                <w:i/>
                <w:strike w:val="0"/>
                <w:color w:val="000000"/>
                <w:sz w:val="24"/>
                <w:highlight w:val="none"/>
                <w:u w:val="none" w:color="auto"/>
              </w:rPr>
              <w:t>, il-Kummissjoni stabbiliet</w:t>
            </w:r>
            <w:r>
              <w:t xml:space="preserve"> Grupp ta' Esperti dwar is-Sistemi tal-Informazzjoni u l-Interoperabbiltà biex tkun ittrattata l-fattibbiltà legali u teknika tal-kisba tal-interoperabbiltà tas-sistemi tal-informazzjoni għall-fruntieri u s-sigurtà</w:t>
            </w:r>
            <w:r>
              <w:rPr>
                <w:rFonts w:ascii="Times New Roman" w:eastAsia="Times New Roman" w:hAnsi="Times New Roman" w:cs="Times New Roman"/>
                <w:b/>
                <w:i/>
                <w:strike w:val="0"/>
                <w:color w:val="000000"/>
                <w:sz w:val="24"/>
                <w:highlight w:val="none"/>
                <w:u w:val="none" w:color="auto"/>
              </w:rPr>
              <w:t xml:space="preserve"> bl-għan prinċipali li tittejjeb il-kwalità tas-servizz li l-bażijiet tad-data tal-UE jfornu lill-utenti tagħhom, bħal aċċess aħjar, aktar sempliċi u aktar rapidu għall-informazzjoni rilevanti kollha li fihom u l-garanzija ta' data ta' kwalità għolja. Għalhekk, dan</w:t>
            </w:r>
            <w:r>
              <w:t xml:space="preserve"> il-grupp </w:t>
            </w:r>
            <w:r>
              <w:rPr>
                <w:rFonts w:ascii="Times New Roman" w:eastAsia="Times New Roman" w:hAnsi="Times New Roman" w:cs="Times New Roman"/>
                <w:b/>
                <w:i/>
                <w:strike w:val="0"/>
                <w:color w:val="000000"/>
                <w:sz w:val="24"/>
                <w:highlight w:val="none"/>
                <w:u w:val="none" w:color="auto"/>
              </w:rPr>
              <w:t>jenħtieġ li jivvaluta l-ħtieġa</w:t>
            </w:r>
            <w:r>
              <w:t xml:space="preserve"> u l-proporzjonalità biex tiġi stabbilita l-interoperabbiltà </w:t>
            </w:r>
            <w:r>
              <w:rPr>
                <w:rFonts w:ascii="Times New Roman" w:eastAsia="Times New Roman" w:hAnsi="Times New Roman" w:cs="Times New Roman"/>
                <w:b/>
                <w:i/>
                <w:strike w:val="0"/>
                <w:color w:val="000000"/>
                <w:sz w:val="24"/>
                <w:highlight w:val="none"/>
                <w:u w:val="none" w:color="auto"/>
              </w:rPr>
              <w:t>bejn is-sistemi tal-informazzjoni tal-UE bħas-Sistema</w:t>
            </w:r>
            <w:r>
              <w:t xml:space="preserve"> tal-Informazzjoni ta' Schengen (</w:t>
            </w:r>
            <w:r>
              <w:rPr>
                <w:rFonts w:ascii="Times New Roman" w:eastAsia="Times New Roman" w:hAnsi="Times New Roman" w:cs="Times New Roman"/>
                <w:b/>
                <w:i/>
                <w:strike w:val="0"/>
                <w:color w:val="000000"/>
                <w:sz w:val="24"/>
                <w:highlight w:val="none"/>
                <w:u w:val="none" w:color="auto"/>
              </w:rPr>
              <w:t>SIS) u s-Sistema</w:t>
            </w:r>
            <w:r>
              <w:t xml:space="preserve"> tal-Informazzjoni dwar </w:t>
            </w:r>
            <w:r>
              <w:rPr>
                <w:rFonts w:ascii="Times New Roman" w:eastAsia="Times New Roman" w:hAnsi="Times New Roman" w:cs="Times New Roman"/>
                <w:b/>
                <w:i/>
                <w:strike w:val="0"/>
                <w:color w:val="000000"/>
                <w:sz w:val="24"/>
                <w:highlight w:val="none"/>
                <w:u w:val="none" w:color="auto"/>
              </w:rPr>
              <w:t>il-Viża (</w:t>
            </w:r>
            <w:r>
              <w:t>VIS),</w:t>
            </w:r>
            <w:r>
              <w:rPr>
                <w:rFonts w:ascii="Times New Roman" w:eastAsia="Times New Roman" w:hAnsi="Times New Roman" w:cs="Times New Roman"/>
                <w:b/>
                <w:i/>
                <w:strike w:val="0"/>
                <w:color w:val="000000"/>
                <w:sz w:val="24"/>
                <w:highlight w:val="none"/>
                <w:u w:val="none" w:color="auto"/>
              </w:rPr>
              <w:t> l-Eurodac u sistemi ġodda ta' informazzjoni rilevanti oħra li qed jiġu żviluppati bħalissa</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28</w:t>
            </w:r>
            <w:r>
              <w:t xml:space="preserve"> </w:t>
            </w:r>
            <w:r>
              <w:t xml:space="preserve">COM(2016) 205 </w:t>
            </w:r>
            <w:r>
              <w:rPr>
                <w:rFonts w:ascii="Times New Roman" w:eastAsia="Times New Roman" w:hAnsi="Times New Roman" w:cs="Times New Roman"/>
                <w:b/>
                <w:i/>
                <w:strike w:val="0"/>
                <w:color w:val="000000"/>
                <w:sz w:val="24"/>
                <w:highlight w:val="none"/>
                <w:u w:val="none" w:color="auto"/>
              </w:rPr>
              <w:t>finali</w:t>
            </w:r>
          </w:p>
        </w:tc>
        <w:tc>
          <w:tcPr/>
          <w:p>
            <w:pPr>
              <w:pStyle w:val="Normal6"/>
            </w:pPr>
            <w:r>
              <w:rPr>
                <w:rStyle w:val="Sup"/>
              </w:rPr>
              <w:t>28</w:t>
            </w:r>
            <w:r>
              <w:t xml:space="preserve"> </w:t>
            </w:r>
            <w:r>
              <w:t xml:space="preserve">COM(2016) 205 </w:t>
            </w:r>
            <w:r>
              <w:rPr>
                <w:rFonts w:ascii="Times New Roman" w:eastAsia="Times New Roman" w:hAnsi="Times New Roman" w:cs="Times New Roman"/>
                <w:b/>
                <w:i/>
                <w:strike w:val="0"/>
                <w:color w:val="000000"/>
                <w:sz w:val="24"/>
                <w:highlight w:val="none"/>
                <w:u w:val="none" w:color="auto"/>
              </w:rPr>
              <w:t>final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Kinga Gál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(14)</w:t>
            </w:r>
            <w:r>
              <w:tab/>
            </w:r>
            <w:r>
              <w:t xml:space="preserve">Il-Komunikazzjoni tal-Kummissjoni dwar Sistemi tal-Informazzjoni aktar </w:t>
            </w:r>
            <w:r>
              <w:rPr>
                <w:rFonts w:ascii="Times New Roman" w:eastAsia="Times New Roman" w:hAnsi="Times New Roman" w:cs="Times New Roman"/>
                <w:b/>
                <w:i/>
                <w:strike w:val="0"/>
                <w:color w:val="000000"/>
                <w:sz w:val="24"/>
                <w:highlight w:val="none"/>
                <w:u w:val="none" w:color="auto"/>
              </w:rPr>
              <w:t>Qawwija</w:t>
            </w:r>
            <w:r>
              <w:t xml:space="preserve"> u aktar Intelliġenti għall-Fruntieri u s-Sigurtà</w:t>
            </w:r>
            <w:r>
              <w:rPr>
                <w:rStyle w:val="Sup"/>
              </w:rPr>
              <w:t>28</w:t>
            </w:r>
            <w:r>
              <w:t xml:space="preserve"> </w:t>
            </w:r>
            <w:r>
              <w:rPr>
                <w:rFonts w:ascii="Times New Roman" w:eastAsia="Times New Roman" w:hAnsi="Times New Roman" w:cs="Times New Roman"/>
                <w:b/>
                <w:i/>
                <w:strike w:val="0"/>
                <w:color w:val="000000"/>
                <w:sz w:val="24"/>
                <w:highlight w:val="none"/>
                <w:u w:val="none" w:color="auto"/>
              </w:rPr>
              <w:t>tisħaq dwar il-ħtieġa</w:t>
            </w:r>
            <w:r>
              <w:t xml:space="preserve"> li tittejjeb l-interoperabbiltà tas-sistemi tal-informazzjoni bħala objettiv fit-tul, kif identifikat ukoll mill-Kunsill Ewropew u mill-Kunsill. Il-Komunikazzjoni tipproponi li </w:t>
            </w:r>
            <w:r>
              <w:rPr>
                <w:rFonts w:ascii="Times New Roman" w:eastAsia="Times New Roman" w:hAnsi="Times New Roman" w:cs="Times New Roman"/>
                <w:b/>
                <w:i/>
                <w:strike w:val="0"/>
                <w:color w:val="000000"/>
                <w:sz w:val="24"/>
                <w:highlight w:val="none"/>
                <w:u w:val="none" w:color="auto"/>
              </w:rPr>
              <w:t>twaqqaf</w:t>
            </w:r>
            <w:r>
              <w:t xml:space="preserve"> Grupp ta’ Esperti dwar is-Sistemi tal-Informazzjoni u l-Interoperabbiltà biex tkun ittrattata l-fattibbiltà legali u teknika tal-kisba tal-interoperabbiltà tas-sistemi tal-informazzjoni </w:t>
            </w:r>
            <w:r>
              <w:rPr>
                <w:rFonts w:ascii="Times New Roman" w:eastAsia="Times New Roman" w:hAnsi="Times New Roman" w:cs="Times New Roman"/>
                <w:b/>
                <w:i/>
                <w:strike w:val="0"/>
                <w:color w:val="000000"/>
                <w:sz w:val="24"/>
                <w:highlight w:val="none"/>
                <w:u w:val="none" w:color="auto"/>
              </w:rPr>
              <w:t>għall-fruntieri u s-sigurtà. Dan il-grupp jinħtieġ li jevalwa n-neċessità u l-proporzjonalità biex tiġi stabbilita</w:t>
            </w:r>
            <w:r>
              <w:t xml:space="preserve"> l-interoperabbiltà </w:t>
            </w:r>
            <w:r>
              <w:rPr>
                <w:rFonts w:ascii="Times New Roman" w:eastAsia="Times New Roman" w:hAnsi="Times New Roman" w:cs="Times New Roman"/>
                <w:b/>
                <w:i/>
                <w:strike w:val="0"/>
                <w:color w:val="000000"/>
                <w:sz w:val="24"/>
                <w:highlight w:val="none"/>
                <w:u w:val="none" w:color="auto"/>
              </w:rPr>
              <w:t>tas-Sistemi tal-Informazzjoni</w:t>
            </w:r>
            <w:r>
              <w:t xml:space="preserve"> ta’ Schengen (</w:t>
            </w:r>
            <w:r>
              <w:rPr>
                <w:rFonts w:ascii="Times New Roman" w:eastAsia="Times New Roman" w:hAnsi="Times New Roman" w:cs="Times New Roman"/>
                <w:b/>
                <w:i/>
                <w:strike w:val="0"/>
                <w:color w:val="000000"/>
                <w:sz w:val="24"/>
                <w:highlight w:val="none"/>
                <w:u w:val="none" w:color="auto"/>
              </w:rPr>
              <w:t xml:space="preserve">Schengen Information Systems , </w:t>
            </w:r>
            <w:r>
              <w:t>SIS)</w:t>
            </w:r>
            <w:r>
              <w:rPr>
                <w:rFonts w:ascii="Times New Roman" w:eastAsia="Times New Roman" w:hAnsi="Times New Roman" w:cs="Times New Roman"/>
                <w:b/>
                <w:i/>
                <w:strike w:val="0"/>
                <w:color w:val="000000"/>
                <w:sz w:val="24"/>
                <w:highlight w:val="none"/>
                <w:u w:val="none" w:color="auto"/>
              </w:rPr>
              <w:t xml:space="preserve"> u s-Sistemi tal-Informazzjoni dwar il-Visa (Visa Information Systems, VIS</w:t>
            </w:r>
            <w:r>
              <w:t>)</w:t>
            </w:r>
            <w:r>
              <w:rPr>
                <w:rFonts w:ascii="Times New Roman" w:eastAsia="Times New Roman" w:hAnsi="Times New Roman" w:cs="Times New Roman"/>
                <w:b/>
                <w:i/>
                <w:strike w:val="0"/>
                <w:color w:val="000000"/>
                <w:sz w:val="24"/>
                <w:highlight w:val="none"/>
                <w:u w:val="none" w:color="auto"/>
              </w:rPr>
              <w:t>, u jeżamina jekk hemmx bżonn li jiġi rivedut il-qafas legali għall-aċċess għall-infurzar tal-liġi għall-EURODAC</w:t>
            </w:r>
            <w:r>
              <w:t>.</w:t>
            </w:r>
          </w:p>
        </w:tc>
        <w:tc>
          <w:tcPr/>
          <w:p>
            <w:pPr>
              <w:pStyle w:val="Normal6"/>
            </w:pPr>
            <w:r>
              <w:rPr>
                <w:rFonts w:ascii="Times New Roman" w:eastAsia="Times New Roman" w:hAnsi="Times New Roman" w:cs="Times New Roman"/>
                <w:b/>
                <w:i/>
                <w:strike w:val="0"/>
                <w:color w:val="000000"/>
                <w:sz w:val="24"/>
                <w:highlight w:val="none"/>
                <w:u w:val="none" w:color="auto"/>
              </w:rPr>
              <w:t>14.</w:t>
            </w:r>
            <w:r>
              <w:tab/>
            </w:r>
            <w:r>
              <w:t>Il-Komunikazzjoni tal-Kummissjoni dwar Sistemi tal-Informazzjoni aktar </w:t>
            </w:r>
            <w:r>
              <w:rPr>
                <w:rFonts w:ascii="Times New Roman" w:eastAsia="Times New Roman" w:hAnsi="Times New Roman" w:cs="Times New Roman"/>
                <w:b/>
                <w:i/>
                <w:strike w:val="0"/>
                <w:color w:val="000000"/>
                <w:sz w:val="24"/>
                <w:highlight w:val="none"/>
                <w:u w:val="none" w:color="auto"/>
              </w:rPr>
              <w:t>b'Saħħithom</w:t>
            </w:r>
            <w:r>
              <w:t xml:space="preserve"> u aktar Intelliġenti għall-Fruntieri u s-Sigurtà</w:t>
            </w:r>
            <w:r>
              <w:rPr>
                <w:rStyle w:val="Sup"/>
              </w:rPr>
              <w:t>28</w:t>
            </w:r>
            <w:r>
              <w:t xml:space="preserve"> </w:t>
            </w:r>
            <w:r>
              <w:rPr>
                <w:rFonts w:ascii="Times New Roman" w:eastAsia="Times New Roman" w:hAnsi="Times New Roman" w:cs="Times New Roman"/>
                <w:b/>
                <w:i/>
                <w:strike w:val="0"/>
                <w:color w:val="000000"/>
                <w:sz w:val="24"/>
                <w:highlight w:val="none"/>
                <w:u w:val="none" w:color="auto"/>
              </w:rPr>
              <w:t>tenfasizza l-ħtieġa</w:t>
            </w:r>
            <w:r>
              <w:t xml:space="preserve"> li tittejjeb l-interoperabbiltà tas-sistemi tal-informazzjoni bħala objettiv fit-tul, kif identifikat ukoll mill-Kunsill Ewropew u mill-Kunsill. Il-Komunikazzjoni tipproponi li </w:t>
            </w:r>
            <w:r>
              <w:rPr>
                <w:rFonts w:ascii="Times New Roman" w:eastAsia="Times New Roman" w:hAnsi="Times New Roman" w:cs="Times New Roman"/>
                <w:b/>
                <w:i/>
                <w:strike w:val="0"/>
                <w:color w:val="000000"/>
                <w:sz w:val="24"/>
                <w:highlight w:val="none"/>
                <w:u w:val="none" w:color="auto"/>
              </w:rPr>
              <w:t>tistabbilixxi</w:t>
            </w:r>
            <w:r>
              <w:t xml:space="preserve"> Grupp ta' Esperti dwar is-Sistemi tal-Informazzjoni u l-Interoperabbiltà biex tkun ittrattata l-fattibbiltà legali u teknika tal-kisba tal-interoperabbiltà tas-sistemi tal-informazzjoni </w:t>
            </w:r>
            <w:r>
              <w:rPr>
                <w:rFonts w:ascii="Times New Roman" w:eastAsia="Times New Roman" w:hAnsi="Times New Roman" w:cs="Times New Roman"/>
                <w:b/>
                <w:i/>
                <w:strike w:val="0"/>
                <w:color w:val="000000"/>
                <w:sz w:val="24"/>
                <w:highlight w:val="none"/>
                <w:u w:val="none" w:color="auto"/>
              </w:rPr>
              <w:t>u teżamina jekk hemmx il-ħtieġa ta' reviżjoni tal-qafas legali għall-aċċess għall-infurzar tal-liġi għall-Eurodac. Jenħtieġ li jiġu żviluppati soluzzjonijiet teknoloġiċi sabiex tiġi żgurata</w:t>
            </w:r>
            <w:r>
              <w:t xml:space="preserve"> l-interoperabbiltà </w:t>
            </w:r>
            <w:r>
              <w:rPr>
                <w:rFonts w:ascii="Times New Roman" w:eastAsia="Times New Roman" w:hAnsi="Times New Roman" w:cs="Times New Roman"/>
                <w:b/>
                <w:i/>
                <w:strike w:val="0"/>
                <w:color w:val="000000"/>
                <w:sz w:val="24"/>
                <w:highlight w:val="none"/>
                <w:u w:val="none" w:color="auto"/>
              </w:rPr>
              <w:t>tal-Eurodac mas-Sistema ta' Informazzjoni</w:t>
            </w:r>
            <w:r>
              <w:t xml:space="preserve"> ta' Schengen (SIS)</w:t>
            </w:r>
            <w:r>
              <w:rPr>
                <w:rFonts w:ascii="Times New Roman" w:eastAsia="Times New Roman" w:hAnsi="Times New Roman" w:cs="Times New Roman"/>
                <w:b/>
                <w:i/>
                <w:strike w:val="0"/>
                <w:color w:val="000000"/>
                <w:sz w:val="24"/>
                <w:highlight w:val="none"/>
                <w:u w:val="none" w:color="auto"/>
              </w:rPr>
              <w:t>, is-Sistema ta' Informazzjoni dwar il-Viża (VIS), l-Europol u s-Sistema ta' Dħul/Ħruġ (EES</w:t>
            </w:r>
            <w:r>
              <w:t>)</w:t>
            </w:r>
            <w:r>
              <w:rPr>
                <w:rFonts w:ascii="Times New Roman" w:eastAsia="Times New Roman" w:hAnsi="Times New Roman" w:cs="Times New Roman"/>
                <w:b/>
                <w:i/>
                <w:strike w:val="0"/>
                <w:color w:val="000000"/>
                <w:sz w:val="24"/>
                <w:highlight w:val="none"/>
                <w:u w:val="none" w:color="auto"/>
              </w:rPr>
              <w:t xml:space="preserve"> sabiex tittejjeb il-kooperazzjoni effettiva fost l-Istati Membri fl-immaniġġjar tal-fruntieri esterni u l-ġlieda kontra l-kriminalità serja</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28</w:t>
            </w:r>
            <w:r>
              <w:t xml:space="preserve"> </w:t>
            </w:r>
            <w:r>
              <w:t xml:space="preserve">COM(2016) 205 </w:t>
            </w:r>
            <w:r>
              <w:rPr>
                <w:rFonts w:ascii="Times New Roman" w:eastAsia="Times New Roman" w:hAnsi="Times New Roman" w:cs="Times New Roman"/>
                <w:b/>
                <w:i/>
                <w:strike w:val="0"/>
                <w:color w:val="000000"/>
                <w:sz w:val="24"/>
                <w:highlight w:val="none"/>
                <w:u w:val="none" w:color="auto"/>
              </w:rPr>
              <w:t>finali</w:t>
            </w:r>
          </w:p>
        </w:tc>
        <w:tc>
          <w:tcPr/>
          <w:p>
            <w:pPr>
              <w:pStyle w:val="Normal6"/>
            </w:pPr>
            <w:r>
              <w:rPr>
                <w:rStyle w:val="Sup"/>
              </w:rPr>
              <w:t>28</w:t>
            </w:r>
            <w:r>
              <w:t xml:space="preserve"> </w:t>
            </w:r>
            <w:r>
              <w:t>COM(2016) 205 </w:t>
            </w:r>
            <w:r>
              <w:rPr>
                <w:rFonts w:ascii="Times New Roman" w:eastAsia="Times New Roman" w:hAnsi="Times New Roman" w:cs="Times New Roman"/>
                <w:b/>
                <w:i/>
                <w:strike w:val="0"/>
                <w:color w:val="000000"/>
                <w:sz w:val="24"/>
                <w:highlight w:val="none"/>
                <w:u w:val="none" w:color="auto"/>
              </w:rPr>
              <w:t>final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Petr Ježek</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(14)</w:t>
            </w:r>
            <w:r>
              <w:tab/>
            </w:r>
            <w:r>
              <w:t>Il-Komunikazzjoni tal-Kummissjoni dwar Sistemi tal-Informazzjoni aktar Qawwija u aktar Intelliġenti għall-Fruntieri u s-Sigurtà</w:t>
            </w:r>
            <w:r>
              <w:rPr>
                <w:rStyle w:val="Sup"/>
              </w:rPr>
              <w:t>28</w:t>
            </w:r>
            <w:r>
              <w:t xml:space="preserve"> tisħaq dwar il-ħtieġa li tittejjeb l-interoperabbiltà tas-sistemi tal-informazzjoni bħala objettiv fit-tul, kif identifikat ukoll mill-Kunsill Ewropew u mill-Kunsill. Il-Komunikazzjoni tipproponi li twaqqaf Grupp ta’ Esperti dwar is-Sistemi tal-Informazzjoni u l-Interoperabbiltà biex tkun ittrattata l-fattibbiltà legali u teknika tal-kisba tal-interoperabbiltà tas-sistemi tal-informazzjoni għall-fruntieri u s-sigurtà. </w:t>
            </w:r>
            <w:r>
              <w:rPr>
                <w:rFonts w:ascii="Times New Roman" w:eastAsia="Times New Roman" w:hAnsi="Times New Roman" w:cs="Times New Roman"/>
                <w:b/>
                <w:i/>
                <w:strike w:val="0"/>
                <w:color w:val="000000"/>
                <w:sz w:val="24"/>
                <w:highlight w:val="none"/>
                <w:u w:val="none" w:color="auto"/>
              </w:rPr>
              <w:t>Dan</w:t>
            </w:r>
            <w:r>
              <w:t xml:space="preserve"> il-grupp </w:t>
            </w:r>
            <w:r>
              <w:rPr>
                <w:rFonts w:ascii="Times New Roman" w:eastAsia="Times New Roman" w:hAnsi="Times New Roman" w:cs="Times New Roman"/>
                <w:b/>
                <w:i/>
                <w:strike w:val="0"/>
                <w:color w:val="000000"/>
                <w:sz w:val="24"/>
                <w:highlight w:val="none"/>
                <w:u w:val="none" w:color="auto"/>
              </w:rPr>
              <w:t xml:space="preserve">jinħtieġ li </w:t>
            </w:r>
            <w:r>
              <w:t>jevalwa n-neċessità u l-proporzjonalità biex tiġi stabbilita l-interoperabbiltà tas-Sistemi tal-Informazzjoni ta’ Schengen (Schengen Information Systems , SIS) u s-Sistemi tal-Informazzjoni dwar il-Visa (Visa Information Systems, VIS), u jeżamina jekk hemmx bżonn li jiġi rivedut il-qafas legali għall-aċċess għall-infurzar tal-liġi għall-EURODAC.</w:t>
            </w:r>
          </w:p>
        </w:tc>
        <w:tc>
          <w:tcPr/>
          <w:p>
            <w:pPr>
              <w:pStyle w:val="Normal6"/>
            </w:pPr>
            <w:r>
              <w:t>(14)</w:t>
            </w:r>
            <w:r>
              <w:tab/>
            </w:r>
            <w:r>
              <w:t>Il-Komunikazzjoni tal-Kummissjoni dwar Sistemi tal-Informazzjoni aktar Qawwija u aktar Intelliġenti għall-Fruntieri u s-Sigurtà</w:t>
            </w:r>
            <w:r>
              <w:rPr>
                <w:rStyle w:val="Sup"/>
              </w:rPr>
              <w:t>28</w:t>
            </w:r>
            <w:r>
              <w:t xml:space="preserve"> tisħaq dwar il-ħtieġa li tittejjeb l-interoperabbiltà tas-sistemi tal-informazzjoni bħala objettiv fit-tul, kif identifikat ukoll mill-Kunsill Ewropew u mill-Kunsill. Il-Komunikazzjoni tipproponi li twaqqaf Grupp ta’ Esperti dwar is-Sistemi tal-Informazzjoni u l-Interoperabbiltà biex tkun ittrattata l-fattibbiltà legali u teknika tal-kisba tal-interoperabbiltà tas-sistemi tal-informazzjoni għall-fruntieri u s-sigurtà. </w:t>
            </w:r>
            <w:r>
              <w:rPr>
                <w:rFonts w:ascii="Times New Roman" w:eastAsia="Times New Roman" w:hAnsi="Times New Roman" w:cs="Times New Roman"/>
                <w:b/>
                <w:i/>
                <w:strike w:val="0"/>
                <w:color w:val="000000"/>
                <w:sz w:val="24"/>
                <w:highlight w:val="none"/>
                <w:u w:val="none" w:color="auto"/>
              </w:rPr>
              <w:t>Jenħtieġ li dan</w:t>
            </w:r>
            <w:r>
              <w:t xml:space="preserve"> il-grupp jevalwa n-neċessità u l-proporzjonalità biex tiġi stabbilita l-interoperabbiltà tas-Sistemi tal-Informazzjoni ta’ Schengen (Schengen Information Systems , SIS)</w:t>
            </w:r>
            <w:r>
              <w:rPr>
                <w:rFonts w:ascii="Times New Roman" w:eastAsia="Times New Roman" w:hAnsi="Times New Roman" w:cs="Times New Roman"/>
                <w:b/>
                <w:i/>
                <w:strike w:val="0"/>
                <w:color w:val="000000"/>
                <w:sz w:val="24"/>
                <w:highlight w:val="none"/>
                <w:u w:val="none" w:color="auto"/>
              </w:rPr>
              <w:t>, is-Sistema ta' Dħul/Ħrug</w:t>
            </w:r>
            <w:r>
              <w:t xml:space="preserve"> u s-Sistemi tal-Informazzjoni dwar il-Visa (Visa Information Systems, VIS), u jeżamina jekk hemmx bżonn li jiġi rivedut il-qafas legali għall-aċċess għall-infurzar tal-liġi għall-EURODAC.</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28</w:t>
            </w:r>
            <w:r>
              <w:t xml:space="preserve"> </w:t>
            </w:r>
            <w:r>
              <w:t xml:space="preserve">COM(2016) 205 </w:t>
            </w:r>
            <w:r>
              <w:rPr>
                <w:rFonts w:ascii="Times New Roman" w:eastAsia="Times New Roman" w:hAnsi="Times New Roman" w:cs="Times New Roman"/>
                <w:b/>
                <w:i/>
                <w:strike w:val="0"/>
                <w:color w:val="000000"/>
                <w:sz w:val="24"/>
                <w:highlight w:val="none"/>
                <w:u w:val="none" w:color="auto"/>
              </w:rPr>
              <w:t>finali</w:t>
            </w:r>
          </w:p>
        </w:tc>
        <w:tc>
          <w:tcPr/>
          <w:p>
            <w:pPr>
              <w:pStyle w:val="Normal6"/>
            </w:pPr>
            <w:r>
              <w:rPr>
                <w:rStyle w:val="Sup"/>
              </w:rPr>
              <w:t>28</w:t>
            </w:r>
            <w:r>
              <w:t xml:space="preserve"> </w:t>
            </w:r>
            <w:r>
              <w:t xml:space="preserve">COM(2016) 205 </w:t>
            </w:r>
            <w:r>
              <w:rPr>
                <w:rFonts w:ascii="Times New Roman" w:eastAsia="Times New Roman" w:hAnsi="Times New Roman" w:cs="Times New Roman"/>
                <w:b/>
                <w:i/>
                <w:strike w:val="0"/>
                <w:color w:val="000000"/>
                <w:sz w:val="24"/>
                <w:highlight w:val="none"/>
                <w:u w:val="none" w:color="auto"/>
              </w:rPr>
              <w:t>final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Petr Ježek</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14a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(14a)</w:t>
            </w:r>
            <w:r>
              <w:tab/>
            </w:r>
            <w:r>
              <w:rPr>
                <w:rFonts w:ascii="Times New Roman" w:eastAsia="Times New Roman" w:hAnsi="Times New Roman" w:cs="Times New Roman"/>
                <w:b/>
                <w:i/>
                <w:strike w:val="0"/>
                <w:color w:val="000000"/>
                <w:sz w:val="24"/>
                <w:highlight w:val="none"/>
                <w:u w:val="none" w:color="auto"/>
              </w:rPr>
              <w:t>L-eu-LISA tistabbilixxi mezz sikur ta' komunikazzjoni bejn is-Sistema Ċentrali tal-EES u dik tal-Eurodac biex tippermetti l-interoperabilità bejn iż-żewġ sistemi. Konnessjoni bejn iż-żewġ sistemi hija neċessarja sabiex id-data bijometriċi dwar ċittadin ta' pajjiż terz irreġistrati fl-EES ikunu jistgħu jiġu ttrasferiti lejn il-Eurodac peress li r-reġistrazzjoni ta' dawn id-data bijometriċi hija prevista minn dan ir-Regolament.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L-EES se jkollha l-objettiv li tirreġistra d-data ta' dħul u ta' ħruġ taċ-ċittadini terzi li jidħlu fiż-żona Schengen għal soġġorn qasir u li tissenjala kull qbiż tas-soġġorn awtorizzat. Ċittadin ta' pajjiż terz wara li jkun qabeż l-iskadenza tas-soġġorn tiegħu jsib ruħu jirrisjedi illegalment u jkollu għalhekk jiġi rreġistrat fil-Eurodac f'konformità mal-Artikolu 14. L-interoperabilità bejn iż-żewġ sistemi tagħmilha possibbli li Stat Membru jevita li jkollu jirriċerka dwar dawn il-persuni fit-territorju tiegħu u d-duplikazzjonijiet.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Carlos Coelho</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14a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14a.</w:t>
            </w:r>
            <w:r>
              <w:tab/>
            </w:r>
            <w:r>
              <w:rPr>
                <w:rFonts w:ascii="Times New Roman" w:eastAsia="Times New Roman" w:hAnsi="Times New Roman" w:cs="Times New Roman"/>
                <w:b/>
                <w:i/>
                <w:strike w:val="0"/>
                <w:color w:val="000000"/>
                <w:sz w:val="24"/>
                <w:highlight w:val="none"/>
                <w:u w:val="none" w:color="auto"/>
              </w:rPr>
              <w:t>Il-proposta tal-Kummissjoni</w:t>
            </w:r>
            <w:r>
              <w:rPr>
                <w:rStyle w:val="SupBoldItalic"/>
              </w:rPr>
              <w:t>1a</w:t>
            </w:r>
            <w:r>
              <w:rPr>
                <w:rFonts w:ascii="Times New Roman" w:eastAsia="Times New Roman" w:hAnsi="Times New Roman" w:cs="Times New Roman"/>
                <w:b/>
                <w:i/>
                <w:strike w:val="0"/>
                <w:color w:val="000000"/>
                <w:sz w:val="24"/>
                <w:highlight w:val="none"/>
                <w:u w:val="none" w:color="auto"/>
              </w:rPr>
              <w:t xml:space="preserve"> li temenda s-SIS fil-qasam tal-kontrolli tal-fruntieri tiftaħ il-possibbiltà li l-użu tat-tiftix bil-marki tas-swaba' fis-SIS jagħmel immedjatament disponibbli l-identità u l-istatus ta' ċittadini ta' pajjiżi terzi soġġetti għal deċiżjonijiet ta' ritorn. Jenħtieġ li l-Istati Membri jistabbilixxu bl-aktar mod preċiż possibbli l-punti ta' kuntatt li jiġġestixxu t-tqabbil tal-Eurodac u l-punti ta' kuntatt nazzjonali li jiġġestixxu informazzjoni supplementari fis-SIS.</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Style w:val="SupBoldItalic"/>
              </w:rPr>
              <w:t>1a</w:t>
            </w:r>
            <w:r>
              <w:t xml:space="preserve"> </w:t>
            </w:r>
            <w:r>
              <w:rPr>
                <w:rFonts w:ascii="Times New Roman" w:eastAsia="Times New Roman" w:hAnsi="Times New Roman" w:cs="Times New Roman"/>
                <w:b/>
                <w:i/>
                <w:strike w:val="0"/>
                <w:color w:val="000000"/>
                <w:sz w:val="24"/>
                <w:highlight w:val="none"/>
                <w:u w:val="none" w:color="auto"/>
              </w:rPr>
              <w:t>COM 2016(882) final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Tirriżulta mill-Premessa 14 u tirreferi għal proposta mressqa wara din ir-riformulazzjoni.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t xml:space="preserve">, </w:t>
      </w:r>
      <w:r>
        <w:t>Rachida Dati</w:t>
      </w:r>
      <w:r>
        <w:t xml:space="preserve">, </w:t>
      </w:r>
      <w:r>
        <w:t>Brice Hortefeux</w:t>
      </w:r>
      <w:r>
        <w:t xml:space="preserve">, </w:t>
      </w:r>
      <w:r>
        <w:t>Mariya Gabriel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14a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14a.</w:t>
            </w:r>
            <w:r>
              <w:tab/>
            </w:r>
            <w:r>
              <w:rPr>
                <w:rFonts w:ascii="Times New Roman" w:eastAsia="Times New Roman" w:hAnsi="Times New Roman" w:cs="Times New Roman"/>
                <w:b/>
                <w:i/>
                <w:strike w:val="0"/>
                <w:color w:val="000000"/>
                <w:sz w:val="24"/>
                <w:highlight w:val="none"/>
                <w:u w:val="none" w:color="auto"/>
              </w:rPr>
              <w:t>Il-Grupp ta' Esperti ta' Livell Għoli dwar is-Sistemi ta' Informazzjoni u l-Interoperabbiltà huwa mistenni li jippreżenta r-riżultati tiegħu fir-rebbiegħa 2017. Dawk ir-riżultati jaf ikunu rilevanti għall-iżvilupp tal-Eurodac. Meta dan ikun il-każ, l-aħjar prerekwiżiti legali u tekniċi possibbli jenħtieġ li jiġu stabbiliti għal interoperabbiltà potenzjali tal-Eurodac ma' sistemi ta' informazzjoni oħra għall-fruntieri u s-sigurtà.</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tikkorrispondi mal-premessa l-ġdida nru. 14 tar-riformulazzjoni u tesprimi r-rieda tal-awtur li jistabbilixxi s-sisien legali u tekniċi ta' interoperabbiltà potenzjali tal-Eurodac ma' bażijiet tad-data oħrajn.</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t xml:space="preserve">, </w:t>
      </w:r>
      <w:r>
        <w:t>Jeroen Lenaers</w:t>
      </w:r>
      <w:r>
        <w:t xml:space="preserve">, </w:t>
      </w:r>
      <w:r>
        <w:t>Rachida Dati</w:t>
      </w:r>
      <w:r>
        <w:t xml:space="preserve">, </w:t>
      </w:r>
      <w:r>
        <w:t>Brice Hortefeux</w:t>
      </w:r>
      <w:r>
        <w:t xml:space="preserve">, </w:t>
      </w:r>
      <w:r>
        <w:t>Mariya Gabriel</w:t>
      </w:r>
      <w:r>
        <w:t xml:space="preserve">, </w:t>
      </w:r>
      <w:r>
        <w:t>Artis Pabriks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(15)</w:t>
            </w:r>
            <w:r>
              <w:tab/>
            </w:r>
            <w:r>
              <w:t xml:space="preserve">Huwa essenzjali li, fil-ġlieda kontra r-reati terroristiċi u reati serji oħra, l-awtoritajiet tal-infurzar tal-liġi jkollhom l-informazzjoni l-aktar sħiħa u aġġornata jekk iridu jwettqu l-kompiti tagħhom. L-informazzjoni miżmuma fil-Eurodac hija meħtieġa għall-finijiet tal-prevenzjoni, </w:t>
            </w:r>
            <w:r>
              <w:rPr>
                <w:rFonts w:ascii="Times New Roman" w:eastAsia="Times New Roman" w:hAnsi="Times New Roman" w:cs="Times New Roman"/>
                <w:b/>
                <w:i/>
                <w:strike w:val="0"/>
                <w:color w:val="000000"/>
                <w:sz w:val="24"/>
                <w:highlight w:val="none"/>
                <w:u w:val="none" w:color="auto"/>
              </w:rPr>
              <w:t>ir-rintraċċar jew l-investigazzjoni</w:t>
            </w:r>
            <w:r>
              <w:t xml:space="preserve"> ta’ reati terroristiċi kif imsemmi </w:t>
            </w:r>
            <w:r>
              <w:rPr>
                <w:rFonts w:ascii="Times New Roman" w:eastAsia="Times New Roman" w:hAnsi="Times New Roman" w:cs="Times New Roman"/>
                <w:b/>
                <w:i/>
                <w:strike w:val="0"/>
                <w:color w:val="000000"/>
                <w:sz w:val="24"/>
                <w:highlight w:val="none"/>
                <w:u w:val="none" w:color="auto"/>
              </w:rPr>
              <w:t>fid-Deċiżjoni</w:t>
            </w:r>
            <w:r>
              <w:t xml:space="preserve"> Kwadru tal-Kunsill 2002/475/ĠAI jew ta’ reati serji oħra kif imsemmi fid-Deċiżjoni Kwadru 2002/584/ĠAI . Għaldaqstant, id-data fil-Eurodac </w:t>
            </w:r>
            <w:r>
              <w:rPr>
                <w:rFonts w:ascii="Times New Roman" w:eastAsia="Times New Roman" w:hAnsi="Times New Roman" w:cs="Times New Roman"/>
                <w:b/>
                <w:i/>
                <w:strike w:val="0"/>
                <w:color w:val="000000"/>
                <w:sz w:val="24"/>
                <w:highlight w:val="none"/>
                <w:u w:val="none" w:color="auto"/>
              </w:rPr>
              <w:t>għandha</w:t>
            </w:r>
            <w:r>
              <w:t xml:space="preserve"> tkun disponibbli, </w:t>
            </w:r>
            <w:r>
              <w:rPr>
                <w:rFonts w:ascii="Times New Roman" w:eastAsia="Times New Roman" w:hAnsi="Times New Roman" w:cs="Times New Roman"/>
                <w:b/>
                <w:i/>
                <w:strike w:val="0"/>
                <w:color w:val="000000"/>
                <w:sz w:val="24"/>
                <w:highlight w:val="none"/>
                <w:u w:val="none" w:color="auto"/>
              </w:rPr>
              <w:t>suġġetta</w:t>
            </w:r>
            <w:r>
              <w:t xml:space="preserve"> għall-kondizzjonijiet stabbiliti f’dan ir-Regolament, biex tiġi mqabbla mill-awtoritajiet maħtura tal-Istati Membri u mill-Uffiċċju Ewropew tal-Pulizija (Europol).</w:t>
            </w:r>
            <w:r>
              <w:rPr>
                <w:rStyle w:val="SupBoldItalic"/>
              </w:rPr>
              <w:t>29</w:t>
            </w:r>
            <w:r>
              <w:rPr>
                <w:rFonts w:ascii="Times New Roman" w:eastAsia="Times New Roman" w:hAnsi="Times New Roman" w:cs="Times New Roman"/>
                <w:b/>
                <w:i/>
                <w:strike w:val="0"/>
                <w:color w:val="000000"/>
                <w:sz w:val="24"/>
                <w:highlight w:val="none"/>
                <w:u w:val="none" w:color="auto"/>
              </w:rPr>
              <w:t xml:space="preserve"> </w:t>
            </w:r>
            <w:r>
              <w:rPr>
                <w:rStyle w:val="SupBoldItalic"/>
              </w:rPr>
              <w:t>30</w:t>
            </w:r>
          </w:p>
        </w:tc>
        <w:tc>
          <w:tcPr/>
          <w:p>
            <w:pPr>
              <w:pStyle w:val="Normal6"/>
            </w:pPr>
            <w:r>
              <w:rPr>
                <w:rFonts w:ascii="Times New Roman" w:eastAsia="Times New Roman" w:hAnsi="Times New Roman" w:cs="Times New Roman"/>
                <w:b/>
                <w:i/>
                <w:strike w:val="0"/>
                <w:color w:val="000000"/>
                <w:sz w:val="24"/>
                <w:highlight w:val="none"/>
                <w:u w:val="none" w:color="auto"/>
              </w:rPr>
              <w:t>15.</w:t>
            </w:r>
            <w:r>
              <w:tab/>
            </w:r>
            <w:r>
              <w:t>Huwa essenzjali li, fil-ġlieda kontra r-reati terroristiċi u reati serji oħra, l-awtoritajiet tal-infurzar tal-liġi jkollhom l-informazzjoni l-aktar sħiħa u aġġornata jekk iridu jwettqu l-kompiti tagħhom. L-informazzjoni miżmuma fil-Eurodac hija meħtieġa għall-finijiet tal-prevenzjoni, </w:t>
            </w:r>
            <w:r>
              <w:rPr>
                <w:rFonts w:ascii="Times New Roman" w:eastAsia="Times New Roman" w:hAnsi="Times New Roman" w:cs="Times New Roman"/>
                <w:b/>
                <w:i/>
                <w:strike w:val="0"/>
                <w:color w:val="000000"/>
                <w:sz w:val="24"/>
                <w:highlight w:val="none"/>
                <w:u w:val="none" w:color="auto"/>
              </w:rPr>
              <w:t>d-detezzjoni, l-investigazzjoni jew il-prosekuzzjoni</w:t>
            </w:r>
            <w:r>
              <w:t xml:space="preserve"> ta' reati terroristiċi kif imsemmi </w:t>
            </w:r>
            <w:r>
              <w:rPr>
                <w:rFonts w:ascii="Times New Roman" w:eastAsia="Times New Roman" w:hAnsi="Times New Roman" w:cs="Times New Roman"/>
                <w:b/>
                <w:i/>
                <w:strike w:val="0"/>
                <w:color w:val="000000"/>
                <w:sz w:val="24"/>
                <w:highlight w:val="none"/>
                <w:u w:val="none" w:color="auto"/>
              </w:rPr>
              <w:t>fid-Direttiva (UE) 2017/... tal-Parlament Ewropew u tal-Kunsill [dwar il-ġlieda kontra t-terroriżmu u li tissostitwixxi d-Deċiżjoni</w:t>
            </w:r>
            <w:r>
              <w:t xml:space="preserve"> Kwadru tal-Kunsill 2002/475/ĠAI </w:t>
            </w:r>
            <w:r>
              <w:rPr>
                <w:rFonts w:ascii="Times New Roman" w:eastAsia="Times New Roman" w:hAnsi="Times New Roman" w:cs="Times New Roman"/>
                <w:b/>
                <w:i/>
                <w:strike w:val="0"/>
                <w:color w:val="000000"/>
                <w:sz w:val="24"/>
                <w:highlight w:val="none"/>
                <w:u w:val="none" w:color="auto"/>
              </w:rPr>
              <w:t xml:space="preserve">u temenda d-Deċiżjoni tal-Kunsill 2005/671/ĠAI] </w:t>
            </w:r>
            <w:r>
              <w:t xml:space="preserve">jew ta' reati serji oħra kif imsemmi fid-Deċiżjoni Kwadru 2002/584/ĠAI . Għaldaqstant, id-data fil-Eurodac </w:t>
            </w:r>
            <w:r>
              <w:rPr>
                <w:rFonts w:ascii="Times New Roman" w:eastAsia="Times New Roman" w:hAnsi="Times New Roman" w:cs="Times New Roman"/>
                <w:b/>
                <w:i/>
                <w:strike w:val="0"/>
                <w:color w:val="000000"/>
                <w:sz w:val="24"/>
                <w:highlight w:val="none"/>
                <w:u w:val="none" w:color="auto"/>
              </w:rPr>
              <w:t>jenħtieġ li</w:t>
            </w:r>
            <w:r>
              <w:t xml:space="preserve"> tkun disponibbli, </w:t>
            </w:r>
            <w:r>
              <w:rPr>
                <w:rFonts w:ascii="Times New Roman" w:eastAsia="Times New Roman" w:hAnsi="Times New Roman" w:cs="Times New Roman"/>
                <w:b/>
                <w:i/>
                <w:strike w:val="0"/>
                <w:color w:val="000000"/>
                <w:sz w:val="24"/>
                <w:highlight w:val="none"/>
                <w:u w:val="none" w:color="auto"/>
              </w:rPr>
              <w:t>soġġetta</w:t>
            </w:r>
            <w:r>
              <w:t xml:space="preserve"> għall-kondizzjonijiet stabbiliti f'dan ir-Regolament, biex tiġi mqabbla mill-awtoritajiet maħtura tal-Istati Membri u mill-Uffiċċju Ewropew tal-Pulizija (Europol).</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29</w:t>
            </w:r>
            <w:r>
              <w:t xml:space="preserve"> </w:t>
            </w:r>
            <w:r>
              <w:rPr>
                <w:rFonts w:ascii="Times New Roman" w:eastAsia="Times New Roman" w:hAnsi="Times New Roman" w:cs="Times New Roman"/>
                <w:b/>
                <w:i/>
                <w:strike w:val="0"/>
                <w:color w:val="000000"/>
                <w:sz w:val="24"/>
                <w:highlight w:val="none"/>
                <w:u w:val="none" w:color="auto"/>
              </w:rPr>
              <w:t>THIS FOOTNOTE IS MISSING. THANK YOU FOR USING ANOTHER LANGUAGE.</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30</w:t>
            </w:r>
            <w:r>
              <w:t xml:space="preserve"> </w:t>
            </w:r>
            <w:r>
              <w:rPr>
                <w:rFonts w:ascii="Times New Roman" w:eastAsia="Times New Roman" w:hAnsi="Times New Roman" w:cs="Times New Roman"/>
                <w:b/>
                <w:i/>
                <w:strike w:val="0"/>
                <w:color w:val="000000"/>
                <w:sz w:val="24"/>
                <w:highlight w:val="none"/>
                <w:u w:val="none" w:color="auto"/>
              </w:rPr>
              <w:t>THIS FOOTNOTE IS MISSING. THANK YOU FOR USING ANOTHER LANGUAGE.</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Dispożizzjonijiet tad-Deċiżjoni Qafas 2002/475/ĠAI ġew integrati fid-direttiva l-ġdida dwar il-ġlieda kontra t-terroriżmu, ivvutata fil-Parlament Ewropew fis-16 ta' Frar 2017.</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(19)</w:t>
            </w:r>
            <w:r>
              <w:tab/>
            </w:r>
            <w:r>
              <w:t xml:space="preserve">It-talbiet għal tqabbil ta’ data tal-Eurodac min-naħa tal-Europol </w:t>
            </w:r>
            <w:r>
              <w:rPr>
                <w:rFonts w:ascii="Times New Roman" w:eastAsia="Times New Roman" w:hAnsi="Times New Roman" w:cs="Times New Roman"/>
                <w:b/>
                <w:i/>
                <w:strike w:val="0"/>
                <w:color w:val="000000"/>
                <w:sz w:val="24"/>
                <w:highlight w:val="none"/>
                <w:u w:val="none" w:color="auto"/>
              </w:rPr>
              <w:t>għandhom ikunu aċċettati</w:t>
            </w:r>
            <w:r>
              <w:t xml:space="preserve"> permessi biss f'każijiet speċifiċi, f'ċirkustanzi speċifiċi u b'kondizzjonijiet stretti.</w:t>
            </w:r>
          </w:p>
        </w:tc>
        <w:tc>
          <w:tcPr/>
          <w:p>
            <w:pPr>
              <w:pStyle w:val="Normal6"/>
            </w:pPr>
            <w:r>
              <w:rPr>
                <w:rFonts w:ascii="Times New Roman" w:eastAsia="Times New Roman" w:hAnsi="Times New Roman" w:cs="Times New Roman"/>
                <w:b/>
                <w:i/>
                <w:strike w:val="0"/>
                <w:color w:val="000000"/>
                <w:sz w:val="24"/>
                <w:highlight w:val="none"/>
                <w:u w:val="none" w:color="auto"/>
              </w:rPr>
              <w:t>19.</w:t>
            </w:r>
            <w:r>
              <w:tab/>
            </w:r>
            <w:r>
              <w:t xml:space="preserve">It-talbiet għal tqabbil ta' data tal-Eurodac min-naħa tal-Europol </w:t>
            </w:r>
            <w:r>
              <w:rPr>
                <w:rFonts w:ascii="Times New Roman" w:eastAsia="Times New Roman" w:hAnsi="Times New Roman" w:cs="Times New Roman"/>
                <w:b/>
                <w:i/>
                <w:strike w:val="0"/>
                <w:color w:val="000000"/>
                <w:sz w:val="24"/>
                <w:highlight w:val="none"/>
                <w:u w:val="none" w:color="auto"/>
              </w:rPr>
              <w:t>jenħtieġ li jiġu</w:t>
            </w:r>
            <w:r>
              <w:t xml:space="preserve"> permessi biss f'każijiet speċifiċi, f'ċirkustanzi speċifiċi u b'kondizzjonijiet stretti</w:t>
            </w:r>
            <w:r>
              <w:rPr>
                <w:rFonts w:ascii="Times New Roman" w:eastAsia="Times New Roman" w:hAnsi="Times New Roman" w:cs="Times New Roman"/>
                <w:b/>
                <w:i/>
                <w:strike w:val="0"/>
                <w:color w:val="000000"/>
                <w:sz w:val="24"/>
                <w:highlight w:val="none"/>
                <w:u w:val="none" w:color="auto"/>
              </w:rPr>
              <w:t>, f'konformità mal-prinċipji ta' neċessità u proporzjonalità minquxa fl-Artikolu 52(1) tal-Karta tad-Drittijiet Fundamentali tal-Unjoni Ewropea u kif interpretati mill-ġurisprudenza tal-Qorti tal-Ġustizzja tal-Unjoni Ewropea</w:t>
            </w:r>
            <w:r>
              <w:rPr>
                <w:rStyle w:val="SupBoldItalic"/>
              </w:rPr>
              <w:t>1a</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Style w:val="SupBoldItalic"/>
              </w:rPr>
              <w:t>1a</w:t>
            </w:r>
            <w:r>
              <w:t xml:space="preserve"> </w:t>
            </w:r>
            <w:r>
              <w:rPr>
                <w:rFonts w:ascii="Times New Roman" w:eastAsia="Times New Roman" w:hAnsi="Times New Roman" w:cs="Times New Roman"/>
                <w:b/>
                <w:i/>
                <w:strike w:val="0"/>
                <w:color w:val="000000"/>
                <w:sz w:val="24"/>
                <w:highlight w:val="none"/>
                <w:u w:val="none" w:color="auto"/>
              </w:rPr>
              <w:t>QtĠ-UE, Kawżi Magħquda C-293/12 u C-594/12, Digital Rights Ireland Ltd u Seitlinger et al., Sentenza tal-Qorti (Awla Manja) tat-8 ta' April 2014. QtĠ-UE, Kawżi Magħquda C-203/15 u C-698/15, Tele2 Sverige AB v. Post-och telestyrelsen u Segretarju tal-Istat għall-Intern v. Tom Watson et al., Sentenza tal-Qorti (Awla Manja) tal-21 ta' Diċembru 2016.</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F'konformità mal-Artikolu 104 tar-Regoli ta' Proċedura, din l-emenda hija meħtieġa peress li hija marbuta b'mod intrinsiku mal-emendi l-oħra ammissibli relatati mal-iskopijiet tal-Eurodac (Artikolu 1), li jintroduċu referenzi għall-konformità mal-prinċipji ta' neċessità u proporzjonalità skont l-Artikolu 52(1) tal-Karta u l-ġurisprudenza rilevanti tal-QtĠ-UE.</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(20)</w:t>
            </w:r>
            <w:r>
              <w:tab/>
            </w:r>
            <w:r>
              <w:t xml:space="preserve">Ladarba l-Eurodac kien oriġinalment stabbilit sabiex jiffaċilita l-applikazzjoni tal-Konvenzjoni ta' Dublin, l-aċċess għall-Eurodac għall-finijiet tal-prevenzjoni, </w:t>
            </w:r>
            <w:r>
              <w:rPr>
                <w:rFonts w:ascii="Times New Roman" w:eastAsia="Times New Roman" w:hAnsi="Times New Roman" w:cs="Times New Roman"/>
                <w:b/>
                <w:i/>
                <w:strike w:val="0"/>
                <w:color w:val="000000"/>
                <w:sz w:val="24"/>
                <w:highlight w:val="none"/>
                <w:u w:val="none" w:color="auto"/>
              </w:rPr>
              <w:t>ir-rintraċċar</w:t>
            </w:r>
            <w:r>
              <w:t xml:space="preserve"> jew l-investigazzjoni ta' reati terroristiċi jew ta’ reati serji oħra tikkostitwixxi bidla fl-iskop oriġinali tal-Eurodac, li tinterferixxi </w:t>
            </w:r>
            <w:r>
              <w:rPr>
                <w:rFonts w:ascii="Times New Roman" w:eastAsia="Times New Roman" w:hAnsi="Times New Roman" w:cs="Times New Roman"/>
                <w:b/>
                <w:i/>
                <w:strike w:val="0"/>
                <w:color w:val="000000"/>
                <w:sz w:val="24"/>
                <w:highlight w:val="none"/>
                <w:u w:val="none" w:color="auto"/>
              </w:rPr>
              <w:t>fid-dritt</w:t>
            </w:r>
            <w:r>
              <w:t xml:space="preserve"> fundamentali għar-rispett tal-ħajja privata tal-individwi li d-data personali tagħhom tkun ipproċessata fil-Eurodac.</w:t>
            </w:r>
            <w:r>
              <w:rPr>
                <w:rFonts w:ascii="Times New Roman" w:eastAsia="Times New Roman" w:hAnsi="Times New Roman" w:cs="Times New Roman"/>
                <w:b/>
                <w:i/>
                <w:strike w:val="0"/>
                <w:color w:val="000000"/>
                <w:sz w:val="24"/>
                <w:highlight w:val="none"/>
                <w:u w:val="none" w:color="auto"/>
              </w:rPr>
              <w:t xml:space="preserve">  </w:t>
            </w:r>
            <w:r>
              <w:t>F’konformità mar-rekwiżiti tal-Artikolu 52(1) tal-Karta tad-Drittijiet Fundamentali tal-Unjoni Ewropea,</w:t>
            </w:r>
            <w:r>
              <w:rPr>
                <w:rFonts w:ascii="Times New Roman" w:eastAsia="Times New Roman" w:hAnsi="Times New Roman" w:cs="Times New Roman"/>
                <w:b/>
                <w:i/>
                <w:strike w:val="0"/>
                <w:color w:val="000000"/>
                <w:sz w:val="24"/>
                <w:highlight w:val="none"/>
                <w:u w:val="none" w:color="auto"/>
              </w:rPr>
              <w:t>  kull</w:t>
            </w:r>
            <w:r>
              <w:t xml:space="preserve"> interferenza bħal din għandha tkun konformi mal-liġi, li għandha tkun ifformulata bi preċiżjoni suffiċjenti sabiex tippermetti lill-individwi </w:t>
            </w:r>
            <w:r>
              <w:rPr>
                <w:rFonts w:ascii="Times New Roman" w:eastAsia="Times New Roman" w:hAnsi="Times New Roman" w:cs="Times New Roman"/>
                <w:b/>
                <w:i/>
                <w:strike w:val="0"/>
                <w:color w:val="000000"/>
                <w:sz w:val="24"/>
                <w:highlight w:val="none"/>
                <w:u w:val="none" w:color="auto"/>
              </w:rPr>
              <w:t xml:space="preserve">li </w:t>
            </w:r>
            <w:r>
              <w:t xml:space="preserve">jaġġustaw il-kondotta tagħhom u li għandha tipproteġi lill-individwi </w:t>
            </w:r>
            <w:r>
              <w:rPr>
                <w:rFonts w:ascii="Times New Roman" w:eastAsia="Times New Roman" w:hAnsi="Times New Roman" w:cs="Times New Roman"/>
                <w:b/>
                <w:i/>
                <w:strike w:val="0"/>
                <w:color w:val="000000"/>
                <w:sz w:val="24"/>
                <w:highlight w:val="none"/>
                <w:u w:val="none" w:color="auto"/>
              </w:rPr>
              <w:t>kontra l-arbitrarjetà</w:t>
            </w:r>
            <w:r>
              <w:t xml:space="preserve"> u tindika b’ċarezza suffiċjenti l-marġini ta’ diskrezzjoni mogħtija lill-awtoritajiet kompetenti u l-mod tal-eżerċizzju tagħha. Kull interferenza </w:t>
            </w:r>
            <w:r>
              <w:rPr>
                <w:rFonts w:ascii="Times New Roman" w:eastAsia="Times New Roman" w:hAnsi="Times New Roman" w:cs="Times New Roman"/>
                <w:b/>
                <w:i/>
                <w:strike w:val="0"/>
                <w:color w:val="000000"/>
                <w:sz w:val="24"/>
                <w:highlight w:val="none"/>
                <w:u w:val="none" w:color="auto"/>
              </w:rPr>
              <w:t>għandha</w:t>
            </w:r>
            <w:r>
              <w:t xml:space="preserve"> tkun meħtieġa</w:t>
            </w:r>
            <w:r>
              <w:rPr>
                <w:rFonts w:ascii="Times New Roman" w:eastAsia="Times New Roman" w:hAnsi="Times New Roman" w:cs="Times New Roman"/>
                <w:b/>
                <w:i/>
                <w:strike w:val="0"/>
                <w:color w:val="000000"/>
                <w:sz w:val="24"/>
                <w:highlight w:val="none"/>
                <w:u w:val="none" w:color="auto"/>
              </w:rPr>
              <w:t xml:space="preserve">  biex b’mod ġenwin tilħaq għan ta’</w:t>
            </w:r>
            <w:r>
              <w:t xml:space="preserve"> interess </w:t>
            </w:r>
            <w:r>
              <w:rPr>
                <w:rFonts w:ascii="Times New Roman" w:eastAsia="Times New Roman" w:hAnsi="Times New Roman" w:cs="Times New Roman"/>
                <w:b/>
                <w:i/>
                <w:strike w:val="0"/>
                <w:color w:val="000000"/>
                <w:sz w:val="24"/>
                <w:highlight w:val="none"/>
                <w:u w:val="none" w:color="auto"/>
              </w:rPr>
              <w:t>ġenerali u proporzjonata</w:t>
            </w:r>
            <w:r>
              <w:t xml:space="preserve"> għall-għan leġittimu li hija timmira li tikseb.</w:t>
            </w:r>
          </w:p>
        </w:tc>
        <w:tc>
          <w:tcPr/>
          <w:p>
            <w:pPr>
              <w:pStyle w:val="Normal6"/>
            </w:pPr>
            <w:r>
              <w:rPr>
                <w:rFonts w:ascii="Times New Roman" w:eastAsia="Times New Roman" w:hAnsi="Times New Roman" w:cs="Times New Roman"/>
                <w:b/>
                <w:i/>
                <w:strike w:val="0"/>
                <w:color w:val="000000"/>
                <w:sz w:val="24"/>
                <w:highlight w:val="none"/>
                <w:u w:val="none" w:color="auto"/>
              </w:rPr>
              <w:t>20.</w:t>
            </w:r>
            <w:r>
              <w:tab/>
            </w:r>
            <w:r>
              <w:t>Ladarba l-Eurodac kien oriġinalment stabbilit sabiex jiffaċilita l-applikazzjoni tal-Konvenzjoni ta' Dublin, l-aċċess għall-Eurodac għall-finijiet tal-prevenzjoni, </w:t>
            </w:r>
            <w:r>
              <w:rPr>
                <w:rFonts w:ascii="Times New Roman" w:eastAsia="Times New Roman" w:hAnsi="Times New Roman" w:cs="Times New Roman"/>
                <w:b/>
                <w:i/>
                <w:strike w:val="0"/>
                <w:color w:val="000000"/>
                <w:sz w:val="24"/>
                <w:highlight w:val="none"/>
                <w:u w:val="none" w:color="auto"/>
              </w:rPr>
              <w:t>id-detezzjoni</w:t>
            </w:r>
            <w:r>
              <w:t xml:space="preserve"> jew l-investigazzjoni ta' reati terroristiċi jew ta' reati serji oħra tikkostitwixxi bidla fl-iskop oriġinali tal-Eurodac, li tinterferixxi </w:t>
            </w:r>
            <w:r>
              <w:rPr>
                <w:rFonts w:ascii="Times New Roman" w:eastAsia="Times New Roman" w:hAnsi="Times New Roman" w:cs="Times New Roman"/>
                <w:b/>
                <w:i/>
                <w:strike w:val="0"/>
                <w:color w:val="000000"/>
                <w:sz w:val="24"/>
                <w:highlight w:val="none"/>
                <w:u w:val="none" w:color="auto"/>
              </w:rPr>
              <w:t>mad-dritt</w:t>
            </w:r>
            <w:r>
              <w:t xml:space="preserve"> fundamentali għar-rispett tal-ħajja privata tal-individwi li d-data personali tagħhom tkun ipproċessata fil-Eurodac. F'konformità mar-rekwiżiti tal-Artikolu 52(1) tal-Karta tad-Drittijiet Fundamentali tal-Unjoni Ewropea,</w:t>
            </w:r>
            <w:r>
              <w:rPr>
                <w:rFonts w:ascii="Times New Roman" w:eastAsia="Times New Roman" w:hAnsi="Times New Roman" w:cs="Times New Roman"/>
                <w:b/>
                <w:i/>
                <w:strike w:val="0"/>
                <w:color w:val="000000"/>
                <w:sz w:val="24"/>
                <w:highlight w:val="none"/>
                <w:u w:val="none" w:color="auto"/>
              </w:rPr>
              <w:t xml:space="preserve"> kwalunkwe</w:t>
            </w:r>
            <w:r>
              <w:t xml:space="preserve"> interferenza bħal din għandha tkun konformi mal-liġi, li għandha tkun ifformulata bi preċiżjoni suffiċjenti sabiex tippermetti lill-individwi jaġġustaw il-kondotta tagħhom u li għandha tipproteġi lill-individwi </w:t>
            </w:r>
            <w:r>
              <w:rPr>
                <w:rFonts w:ascii="Times New Roman" w:eastAsia="Times New Roman" w:hAnsi="Times New Roman" w:cs="Times New Roman"/>
                <w:b/>
                <w:i/>
                <w:strike w:val="0"/>
                <w:color w:val="000000"/>
                <w:sz w:val="24"/>
                <w:highlight w:val="none"/>
                <w:u w:val="none" w:color="auto"/>
              </w:rPr>
              <w:t>mill-arbitrarjetà</w:t>
            </w:r>
            <w:r>
              <w:t xml:space="preserve"> u tindika b’ċarezza suffiċjenti l-marġini ta' diskrezzjoni mogħtija lill-awtoritajiet kompetenti u l-mod tal-eżerċizzju tagħha. Kull interferenza </w:t>
            </w:r>
            <w:r>
              <w:rPr>
                <w:rFonts w:ascii="Times New Roman" w:eastAsia="Times New Roman" w:hAnsi="Times New Roman" w:cs="Times New Roman"/>
                <w:b/>
                <w:i/>
                <w:strike w:val="0"/>
                <w:color w:val="000000"/>
                <w:sz w:val="24"/>
                <w:highlight w:val="none"/>
                <w:u w:val="none" w:color="auto"/>
              </w:rPr>
              <w:t>jenħtieġ li</w:t>
            </w:r>
            <w:r>
              <w:t xml:space="preserve"> tkun meħtieġa</w:t>
            </w:r>
            <w:r>
              <w:rPr>
                <w:rFonts w:ascii="Times New Roman" w:eastAsia="Times New Roman" w:hAnsi="Times New Roman" w:cs="Times New Roman"/>
                <w:b/>
                <w:i/>
                <w:strike w:val="0"/>
                <w:color w:val="000000"/>
                <w:sz w:val="24"/>
                <w:highlight w:val="none"/>
                <w:u w:val="none" w:color="auto"/>
              </w:rPr>
              <w:t xml:space="preserve"> f'soċjetà demokratika sabiex tipproteġi</w:t>
            </w:r>
            <w:r>
              <w:t xml:space="preserve"> interess </w:t>
            </w:r>
            <w:r>
              <w:rPr>
                <w:rFonts w:ascii="Times New Roman" w:eastAsia="Times New Roman" w:hAnsi="Times New Roman" w:cs="Times New Roman"/>
                <w:b/>
                <w:i/>
                <w:strike w:val="0"/>
                <w:color w:val="000000"/>
                <w:sz w:val="24"/>
                <w:highlight w:val="none"/>
                <w:u w:val="none" w:color="auto"/>
              </w:rPr>
              <w:t>leġittimu u proporzjonat u proporzjonali</w:t>
            </w:r>
            <w:r>
              <w:t xml:space="preserve"> għall-għan leġittimu li hija timmira li tikseb.</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Il-Kummissjoni ħassret id-diċitura standard mill-Artikolu 8 tal-KEDB fil-proposta tagħha. Din l-emenda żżomm dik id-diċitura, kif minquxa fil-KEDB u kif interpretata fil-ġurisprudenza tal-QtĠ-UE.</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t xml:space="preserve">, </w:t>
      </w:r>
      <w:r>
        <w:t>Jeroen Lenaers</w:t>
      </w:r>
      <w:r>
        <w:t xml:space="preserve">, </w:t>
      </w:r>
      <w:r>
        <w:t>Rachida Dati</w:t>
      </w:r>
      <w:r>
        <w:t xml:space="preserve">, </w:t>
      </w:r>
      <w:r>
        <w:t>Artis Pabriks</w:t>
      </w:r>
      <w:r>
        <w:t xml:space="preserve">, </w:t>
      </w:r>
      <w:r>
        <w:t>Jeroen Lenaers</w:t>
      </w:r>
      <w:r>
        <w:t xml:space="preserve">, </w:t>
      </w:r>
      <w:r>
        <w:t>Artis Pabriks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(20)</w:t>
            </w:r>
            <w:r>
              <w:tab/>
            </w:r>
            <w:r>
              <w:t xml:space="preserve">Ladarba l-Eurodac kien oriġinalment stabbilit sabiex jiffaċilita l-applikazzjoni tal-Konvenzjoni ta' Dublin, l-aċċess għall-Eurodac għall-finijiet tal-prevenzjoni, </w:t>
            </w:r>
            <w:r>
              <w:rPr>
                <w:rFonts w:ascii="Times New Roman" w:eastAsia="Times New Roman" w:hAnsi="Times New Roman" w:cs="Times New Roman"/>
                <w:b/>
                <w:i/>
                <w:strike w:val="0"/>
                <w:color w:val="000000"/>
                <w:sz w:val="24"/>
                <w:highlight w:val="none"/>
                <w:u w:val="none" w:color="auto"/>
              </w:rPr>
              <w:t>ir-rintraċċar jew l-investigazzjoni</w:t>
            </w:r>
            <w:r>
              <w:t xml:space="preserve"> ta' reati terroristiċi jew ta’ reati serji oħra tikkostitwixxi </w:t>
            </w:r>
            <w:r>
              <w:rPr>
                <w:rFonts w:ascii="Times New Roman" w:eastAsia="Times New Roman" w:hAnsi="Times New Roman" w:cs="Times New Roman"/>
                <w:b/>
                <w:i/>
                <w:strike w:val="0"/>
                <w:color w:val="000000"/>
                <w:sz w:val="24"/>
                <w:highlight w:val="none"/>
                <w:u w:val="none" w:color="auto"/>
              </w:rPr>
              <w:t>bidla</w:t>
            </w:r>
            <w:r>
              <w:t xml:space="preserve"> fl-iskop oriġinali tal-Eurodac</w:t>
            </w:r>
            <w:r>
              <w:rPr>
                <w:rFonts w:ascii="Times New Roman" w:eastAsia="Times New Roman" w:hAnsi="Times New Roman" w:cs="Times New Roman"/>
                <w:b/>
                <w:i/>
                <w:strike w:val="0"/>
                <w:color w:val="000000"/>
                <w:sz w:val="24"/>
                <w:highlight w:val="none"/>
                <w:u w:val="none" w:color="auto"/>
              </w:rPr>
              <w:t>, li tinterferixxi fid-dritt</w:t>
            </w:r>
            <w:r>
              <w:t xml:space="preserve"> fundamentali </w:t>
            </w:r>
            <w:r>
              <w:rPr>
                <w:rFonts w:ascii="Times New Roman" w:eastAsia="Times New Roman" w:hAnsi="Times New Roman" w:cs="Times New Roman"/>
                <w:b/>
                <w:i/>
                <w:strike w:val="0"/>
                <w:color w:val="000000"/>
                <w:sz w:val="24"/>
                <w:highlight w:val="none"/>
                <w:u w:val="none" w:color="auto"/>
              </w:rPr>
              <w:t>għar-rispett</w:t>
            </w:r>
            <w:r>
              <w:t xml:space="preserve"> tal-ħajja privata tal-individwi li d-data personali tagħhom </w:t>
            </w:r>
            <w:r>
              <w:rPr>
                <w:rFonts w:ascii="Times New Roman" w:eastAsia="Times New Roman" w:hAnsi="Times New Roman" w:cs="Times New Roman"/>
                <w:b/>
                <w:i/>
                <w:strike w:val="0"/>
                <w:color w:val="000000"/>
                <w:sz w:val="24"/>
                <w:highlight w:val="none"/>
                <w:u w:val="none" w:color="auto"/>
              </w:rPr>
              <w:t>tkun ipproċessata</w:t>
            </w:r>
            <w:r>
              <w:t xml:space="preserve"> fil-Eurodac</w:t>
            </w:r>
            <w:r>
              <w:rPr>
                <w:rFonts w:ascii="Times New Roman" w:eastAsia="Times New Roman" w:hAnsi="Times New Roman" w:cs="Times New Roman"/>
                <w:b/>
                <w:i/>
                <w:strike w:val="0"/>
                <w:color w:val="000000"/>
                <w:sz w:val="24"/>
                <w:highlight w:val="none"/>
                <w:u w:val="none" w:color="auto"/>
              </w:rPr>
              <w:t>.  F’konformità mar-rekwiżiti tal-Artikolu 52(1) tal-Karta tad-Drittijiet Fundamentali tal-Unjoni Ewropea,  kull interferenza bħal din għandha</w:t>
            </w:r>
            <w:r>
              <w:t xml:space="preserve"> tkun konformi mal-liġi, li </w:t>
            </w:r>
            <w:r>
              <w:rPr>
                <w:rFonts w:ascii="Times New Roman" w:eastAsia="Times New Roman" w:hAnsi="Times New Roman" w:cs="Times New Roman"/>
                <w:b/>
                <w:i/>
                <w:strike w:val="0"/>
                <w:color w:val="000000"/>
                <w:sz w:val="24"/>
                <w:highlight w:val="none"/>
                <w:u w:val="none" w:color="auto"/>
              </w:rPr>
              <w:t>għandha</w:t>
            </w:r>
            <w:r>
              <w:t xml:space="preserve"> tkun ifformulata bi preċiżjoni suffiċjenti sabiex tippermetti lill-individwi </w:t>
            </w:r>
            <w:r>
              <w:rPr>
                <w:rFonts w:ascii="Times New Roman" w:eastAsia="Times New Roman" w:hAnsi="Times New Roman" w:cs="Times New Roman"/>
                <w:b/>
                <w:i/>
                <w:strike w:val="0"/>
                <w:color w:val="000000"/>
                <w:sz w:val="24"/>
                <w:highlight w:val="none"/>
                <w:u w:val="none" w:color="auto"/>
              </w:rPr>
              <w:t xml:space="preserve">li </w:t>
            </w:r>
            <w:r>
              <w:t xml:space="preserve">jaġġustaw il-kondotta tagħhom u li għandha tipproteġi lill-individwi kontra l-arbitrarjetà u tindika b’ċarezza suffiċjenti l-marġini ta’ diskrezzjoni mogħtija lill-awtoritajiet kompetenti u l-mod tal-eżerċizzju tagħha. </w:t>
            </w:r>
            <w:r>
              <w:rPr>
                <w:rFonts w:ascii="Times New Roman" w:eastAsia="Times New Roman" w:hAnsi="Times New Roman" w:cs="Times New Roman"/>
                <w:b/>
                <w:i/>
                <w:strike w:val="0"/>
                <w:color w:val="000000"/>
                <w:sz w:val="24"/>
                <w:highlight w:val="none"/>
                <w:u w:val="none" w:color="auto"/>
              </w:rPr>
              <w:t>Kull</w:t>
            </w:r>
            <w:r>
              <w:t xml:space="preserve"> interferenza </w:t>
            </w:r>
            <w:r>
              <w:rPr>
                <w:rFonts w:ascii="Times New Roman" w:eastAsia="Times New Roman" w:hAnsi="Times New Roman" w:cs="Times New Roman"/>
                <w:b/>
                <w:i/>
                <w:strike w:val="0"/>
                <w:color w:val="000000"/>
                <w:sz w:val="24"/>
                <w:highlight w:val="none"/>
                <w:u w:val="none" w:color="auto"/>
              </w:rPr>
              <w:t>għandha</w:t>
            </w:r>
            <w:r>
              <w:t xml:space="preserve"> tkun meħtieġa</w:t>
            </w:r>
            <w:r>
              <w:rPr>
                <w:rFonts w:ascii="Times New Roman" w:eastAsia="Times New Roman" w:hAnsi="Times New Roman" w:cs="Times New Roman"/>
                <w:b/>
                <w:i/>
                <w:strike w:val="0"/>
                <w:color w:val="000000"/>
                <w:sz w:val="24"/>
                <w:highlight w:val="none"/>
                <w:u w:val="none" w:color="auto"/>
              </w:rPr>
              <w:t xml:space="preserve">  biex b’mod ġenwin</w:t>
            </w:r>
            <w:r>
              <w:t xml:space="preserve"> tilħaq għan ta’ interess ġenerali u proporzjonata għall-għan leġittimu li hija timmira li tikseb.</w:t>
            </w:r>
          </w:p>
        </w:tc>
        <w:tc>
          <w:tcPr/>
          <w:p>
            <w:pPr>
              <w:pStyle w:val="Normal6"/>
            </w:pPr>
            <w:r>
              <w:rPr>
                <w:rFonts w:ascii="Times New Roman" w:eastAsia="Times New Roman" w:hAnsi="Times New Roman" w:cs="Times New Roman"/>
                <w:b/>
                <w:i/>
                <w:strike w:val="0"/>
                <w:color w:val="000000"/>
                <w:sz w:val="24"/>
                <w:highlight w:val="none"/>
                <w:u w:val="none" w:color="auto"/>
              </w:rPr>
              <w:t>20.</w:t>
            </w:r>
            <w:r>
              <w:tab/>
            </w:r>
            <w:r>
              <w:t>Ladarba l-Eurodac kien oriġinalment stabbilit sabiex jiffaċilita l-applikazzjoni tal-Konvenzjoni ta' Dublin, l-aċċess għall-Eurodac għall-finijiet tal-prevenzjoni, </w:t>
            </w:r>
            <w:r>
              <w:rPr>
                <w:rFonts w:ascii="Times New Roman" w:eastAsia="Times New Roman" w:hAnsi="Times New Roman" w:cs="Times New Roman"/>
                <w:b/>
                <w:i/>
                <w:strike w:val="0"/>
                <w:color w:val="000000"/>
                <w:sz w:val="24"/>
                <w:highlight w:val="none"/>
                <w:u w:val="none" w:color="auto"/>
              </w:rPr>
              <w:t>id-detezzjoni, l-investigazzjoni jew il-prosekuzzjoni</w:t>
            </w:r>
            <w:r>
              <w:t xml:space="preserve"> ta' reati terroristiċi jew ta' reati serji oħra tikkostitwixxi </w:t>
            </w:r>
            <w:r>
              <w:rPr>
                <w:rFonts w:ascii="Times New Roman" w:eastAsia="Times New Roman" w:hAnsi="Times New Roman" w:cs="Times New Roman"/>
                <w:b/>
                <w:i/>
                <w:strike w:val="0"/>
                <w:color w:val="000000"/>
                <w:sz w:val="24"/>
                <w:highlight w:val="none"/>
                <w:u w:val="none" w:color="auto"/>
              </w:rPr>
              <w:t>żvilupp ulterjuri</w:t>
            </w:r>
            <w:r>
              <w:t xml:space="preserve"> fl-iskop oriġinali tal-Eurodac</w:t>
            </w:r>
            <w:r>
              <w:rPr>
                <w:rFonts w:ascii="Times New Roman" w:eastAsia="Times New Roman" w:hAnsi="Times New Roman" w:cs="Times New Roman"/>
                <w:b/>
                <w:i/>
                <w:strike w:val="0"/>
                <w:color w:val="000000"/>
                <w:sz w:val="24"/>
                <w:highlight w:val="none"/>
                <w:u w:val="none" w:color="auto"/>
              </w:rPr>
              <w:t>. F'konformità mar-rekwiżiti tal-Artikolu 52(1) tal-Karta tad-Drittijiet Fundamentali tal-Unjoni Ewropea, kwalunkwe interferenza mad-dritt</w:t>
            </w:r>
            <w:r>
              <w:t xml:space="preserve"> fundamentali </w:t>
            </w:r>
            <w:r>
              <w:rPr>
                <w:rFonts w:ascii="Times New Roman" w:eastAsia="Times New Roman" w:hAnsi="Times New Roman" w:cs="Times New Roman"/>
                <w:b/>
                <w:i/>
                <w:strike w:val="0"/>
                <w:color w:val="000000"/>
                <w:sz w:val="24"/>
                <w:highlight w:val="none"/>
                <w:u w:val="none" w:color="auto"/>
              </w:rPr>
              <w:t>tar-rispett</w:t>
            </w:r>
            <w:r>
              <w:t xml:space="preserve"> tal-ħajja privata tal-individwi li d-data personali tagħhom </w:t>
            </w:r>
            <w:r>
              <w:rPr>
                <w:rFonts w:ascii="Times New Roman" w:eastAsia="Times New Roman" w:hAnsi="Times New Roman" w:cs="Times New Roman"/>
                <w:b/>
                <w:i/>
                <w:strike w:val="0"/>
                <w:color w:val="000000"/>
                <w:sz w:val="24"/>
                <w:highlight w:val="none"/>
                <w:u w:val="none" w:color="auto"/>
              </w:rPr>
              <w:t>jkunu proċessati</w:t>
            </w:r>
            <w:r>
              <w:t xml:space="preserve"> fil-Eurodac</w:t>
            </w:r>
            <w:r>
              <w:rPr>
                <w:rFonts w:ascii="Times New Roman" w:eastAsia="Times New Roman" w:hAnsi="Times New Roman" w:cs="Times New Roman"/>
                <w:b/>
                <w:i/>
                <w:strike w:val="0"/>
                <w:color w:val="000000"/>
                <w:sz w:val="24"/>
                <w:highlight w:val="none"/>
                <w:u w:val="none" w:color="auto"/>
              </w:rPr>
              <w:t xml:space="preserve"> trid</w:t>
            </w:r>
            <w:r>
              <w:t xml:space="preserve"> tkun konformi mal-liġi, li </w:t>
            </w:r>
            <w:r>
              <w:rPr>
                <w:rFonts w:ascii="Times New Roman" w:eastAsia="Times New Roman" w:hAnsi="Times New Roman" w:cs="Times New Roman"/>
                <w:b/>
                <w:i/>
                <w:strike w:val="0"/>
                <w:color w:val="000000"/>
                <w:sz w:val="24"/>
                <w:highlight w:val="none"/>
                <w:u w:val="none" w:color="auto"/>
              </w:rPr>
              <w:t>trid</w:t>
            </w:r>
            <w:r>
              <w:t xml:space="preserve"> tkun ifformulata bi preċiżjoni suffiċjenti sabiex tippermetti lill-individwi jaġġustaw il-kondotta tagħhom u li għandha tipproteġi lill-individwi kontra l-arbitrarjetà u tindika b'ċarezza suffiċjenti l-marġini ta' diskrezzjoni mogħtija lill-awtoritajiet kompetenti u l-mod tal-eżerċizzju tagħha. </w:t>
            </w:r>
            <w:r>
              <w:rPr>
                <w:rFonts w:ascii="Times New Roman" w:eastAsia="Times New Roman" w:hAnsi="Times New Roman" w:cs="Times New Roman"/>
                <w:b/>
                <w:i/>
                <w:strike w:val="0"/>
                <w:color w:val="000000"/>
                <w:sz w:val="24"/>
                <w:highlight w:val="none"/>
                <w:u w:val="none" w:color="auto"/>
              </w:rPr>
              <w:t>Kwalunkwe</w:t>
            </w:r>
            <w:r>
              <w:t xml:space="preserve"> interferenza </w:t>
            </w:r>
            <w:r>
              <w:rPr>
                <w:rFonts w:ascii="Times New Roman" w:eastAsia="Times New Roman" w:hAnsi="Times New Roman" w:cs="Times New Roman"/>
                <w:b/>
                <w:i/>
                <w:strike w:val="0"/>
                <w:color w:val="000000"/>
                <w:sz w:val="24"/>
                <w:highlight w:val="none"/>
                <w:u w:val="none" w:color="auto"/>
              </w:rPr>
              <w:t>trid</w:t>
            </w:r>
            <w:r>
              <w:t xml:space="preserve"> tkun meħtieġa</w:t>
            </w:r>
            <w:r>
              <w:rPr>
                <w:rFonts w:ascii="Times New Roman" w:eastAsia="Times New Roman" w:hAnsi="Times New Roman" w:cs="Times New Roman"/>
                <w:b/>
                <w:i/>
                <w:strike w:val="0"/>
                <w:color w:val="000000"/>
                <w:sz w:val="24"/>
                <w:highlight w:val="none"/>
                <w:u w:val="none" w:color="auto"/>
              </w:rPr>
              <w:t xml:space="preserve"> biex ġenwinament</w:t>
            </w:r>
            <w:r>
              <w:t xml:space="preserve"> tilħaq għan ta' interess ġenerali u proporzjonata għall-għan leġittimu li hija timmira li tikseb.</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marbuta mal-Emenda lill-Artikolu 1(1)(c).</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(22)</w:t>
            </w:r>
            <w:r>
              <w:tab/>
            </w:r>
            <w:r>
              <w:t>Dan ir-Regolament jistabbilixxi wkoll il-kundizzjonijiet li taħthom għandhom jiġu permessi talbiet għat-tqabbil ta’ data</w:t>
            </w:r>
            <w:r>
              <w:rPr>
                <w:rFonts w:ascii="Times New Roman" w:eastAsia="Times New Roman" w:hAnsi="Times New Roman" w:cs="Times New Roman"/>
                <w:b/>
                <w:i/>
                <w:strike w:val="0"/>
                <w:color w:val="000000"/>
                <w:sz w:val="24"/>
                <w:highlight w:val="none"/>
                <w:u w:val="none" w:color="auto"/>
              </w:rPr>
              <w:t xml:space="preserve"> ta’ marki tas-swaba’</w:t>
            </w:r>
            <w:r>
              <w:t xml:space="preserve"> mad-data tal-Eurodac għall-finijiet tal-prevenzjoni, </w:t>
            </w:r>
            <w:r>
              <w:rPr>
                <w:rFonts w:ascii="Times New Roman" w:eastAsia="Times New Roman" w:hAnsi="Times New Roman" w:cs="Times New Roman"/>
                <w:b/>
                <w:i/>
                <w:strike w:val="0"/>
                <w:color w:val="000000"/>
                <w:sz w:val="24"/>
                <w:highlight w:val="none"/>
                <w:u w:val="none" w:color="auto"/>
              </w:rPr>
              <w:t>ir-rintraċċar</w:t>
            </w:r>
            <w:r>
              <w:t xml:space="preserve"> jew l-investigazzjoni ta’ reati terroristiċi jew reati serji oħra u s-salvagwardji meħtieġa biex tiġi żgurata l-protezzjoni tad-dritt fundamentali tar-rispett għall-ħajja privata tal-individwi li tiġi pproċessata d-data personali tagħhom fil-Eurodac. Ir-rigorożità ta’ dawk il-kundizzjonijiet tirrifletti l-fatt li l-bażi tad-data tal-Eurodac tirreġistra data ta’ marki tas-swaba’ ta’ persuni li ma jkunux preżunti li kkommettew reat serju</w:t>
            </w:r>
            <w:r>
              <w:rPr>
                <w:rFonts w:ascii="Times New Roman" w:eastAsia="Times New Roman" w:hAnsi="Times New Roman" w:cs="Times New Roman"/>
                <w:b/>
                <w:i/>
                <w:strike w:val="0"/>
                <w:color w:val="000000"/>
                <w:sz w:val="24"/>
                <w:highlight w:val="none"/>
                <w:u w:val="none" w:color="auto"/>
              </w:rPr>
              <w:t xml:space="preserve"> jew reat marbut mat-terroriżmu</w:t>
            </w:r>
            <w:r>
              <w:t>.</w:t>
            </w:r>
          </w:p>
        </w:tc>
        <w:tc>
          <w:tcPr/>
          <w:p>
            <w:pPr>
              <w:pStyle w:val="Normal6"/>
            </w:pPr>
            <w:r>
              <w:rPr>
                <w:rFonts w:ascii="Times New Roman" w:eastAsia="Times New Roman" w:hAnsi="Times New Roman" w:cs="Times New Roman"/>
                <w:b/>
                <w:i/>
                <w:strike w:val="0"/>
                <w:color w:val="000000"/>
                <w:sz w:val="24"/>
                <w:highlight w:val="none"/>
                <w:u w:val="none" w:color="auto"/>
              </w:rPr>
              <w:t>22.</w:t>
            </w:r>
            <w:r>
              <w:tab/>
            </w:r>
            <w:r>
              <w:t>Dan ir-Regolament jistabbilixxi wkoll il-kundizzjonijiet li taħthom għandhom jiġu permessi talbiet għat-tqabbil ta' data</w:t>
            </w:r>
            <w:r>
              <w:rPr>
                <w:rFonts w:ascii="Times New Roman" w:eastAsia="Times New Roman" w:hAnsi="Times New Roman" w:cs="Times New Roman"/>
                <w:b/>
                <w:i/>
                <w:strike w:val="0"/>
                <w:color w:val="000000"/>
                <w:sz w:val="24"/>
                <w:highlight w:val="none"/>
                <w:u w:val="none" w:color="auto"/>
              </w:rPr>
              <w:t xml:space="preserve"> tal-marki tas-swaba', ta' xbiha tal-wiċċ u data alfanumerika</w:t>
            </w:r>
            <w:r>
              <w:t xml:space="preserve"> mad-data tal-Eurodac għall-finijiet tal-prevenzjoni, </w:t>
            </w:r>
            <w:r>
              <w:rPr>
                <w:rFonts w:ascii="Times New Roman" w:eastAsia="Times New Roman" w:hAnsi="Times New Roman" w:cs="Times New Roman"/>
                <w:b/>
                <w:i/>
                <w:strike w:val="0"/>
                <w:color w:val="000000"/>
                <w:sz w:val="24"/>
                <w:highlight w:val="none"/>
                <w:u w:val="none" w:color="auto"/>
              </w:rPr>
              <w:t>id-detezzjoni</w:t>
            </w:r>
            <w:r>
              <w:t xml:space="preserve"> jew l-investigazzjoni ta' reati terroristiċi jew reati serji oħra u s-salvagwardji meħtieġa biex tiġi żgurata l-protezzjoni tad-dritt fundamentali tar-rispett għall-ħajja privata tal-individwi li tiġi pproċessata d-data personali tagħhom fil-Eurodac. Ir-rigorożità ta' dawk il-kundizzjonijiet tirrifletti l-fatt li l-bażi tad-data tal-Eurodac tirreġistra data ta' marki tas-swaba'</w:t>
            </w:r>
            <w:r>
              <w:rPr>
                <w:rFonts w:ascii="Times New Roman" w:eastAsia="Times New Roman" w:hAnsi="Times New Roman" w:cs="Times New Roman"/>
                <w:b/>
                <w:i/>
                <w:strike w:val="0"/>
                <w:color w:val="000000"/>
                <w:sz w:val="24"/>
                <w:highlight w:val="none"/>
                <w:u w:val="none" w:color="auto"/>
              </w:rPr>
              <w:t>, ta' xbiha tal-wiċċ u data alfanumerika</w:t>
            </w:r>
            <w:r>
              <w:t xml:space="preserve"> ta' persuni li ma jkunux preżunti li kkommettew reat </w:t>
            </w:r>
            <w:r>
              <w:rPr>
                <w:rFonts w:ascii="Times New Roman" w:eastAsia="Times New Roman" w:hAnsi="Times New Roman" w:cs="Times New Roman"/>
                <w:b/>
                <w:i/>
                <w:strike w:val="0"/>
                <w:color w:val="000000"/>
                <w:sz w:val="24"/>
                <w:highlight w:val="none"/>
                <w:u w:val="none" w:color="auto"/>
              </w:rPr>
              <w:t xml:space="preserve">marbut mat-terroriżmu jew reat </w:t>
            </w:r>
            <w:r>
              <w:t>serju</w:t>
            </w:r>
            <w:r>
              <w:rPr>
                <w:rFonts w:ascii="Times New Roman" w:eastAsia="Times New Roman" w:hAnsi="Times New Roman" w:cs="Times New Roman"/>
                <w:b/>
                <w:i/>
                <w:strike w:val="0"/>
                <w:color w:val="000000"/>
                <w:sz w:val="24"/>
                <w:highlight w:val="none"/>
                <w:u w:val="none" w:color="auto"/>
              </w:rPr>
              <w:t>. Minkejja li paraguni bbażati fuq data tal-marki tas-swaba' u tax-xbiha ta-lwiċċ jirriżultaw f'riżultati ta' tiftix ta' preċiżjoni akbar, huwa rikonoxxut li l-awtoritajiet tal-infurzar tal-liġi u l-Europol mhux dejjem ikollhom fil-pussess tagħhom id-data tal-marki tas-swaba' u tax-xbiha tal-wiċċ tal-persuni suspettati u tal-vittmi li l-każijiet tagħhom ikunu qed jinvestigaw, u dan jista' jtellef mill-abbiltà tagħhom li jqabblu l-marki tas-swaba' u x-xbihat tal-wiċċ f'bażijiet tad-data bħall-Eurodac. Sabiex isir kontribut ulterjuri għall-investigazzjonijiet ta' dawk l-awtoritajiet u tal-Europol, jenħtieġ li f'tali każijiet tiftixiet ibbażati fuq data alfanumerika jiġu permessi fil-Eurodac, b'mod partikolari meta dawk l-awtoritajiet u l-Europol ikollhom fil-pussess tagħhom provi dwar il-persuna suspettata kriminalment jew id-dettalji personali jew id-dokumenti tal-identità tal-vittma</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Under the proposal, national law enforcement authorities and Europol cannot request comparison with specific alphanumeric data, which is highly detrimental to investigations, especially in the counter-terrorism field, trying to establish the places and dates of entry in the EU of suspects for which a used identity is known, but no fingerprint is available. In this context, and given that Art.1.1(c) of the proposal, extends its scope of Eurodac to law enforcement purposes, it would be essential for national law enforcement authorities and Europol to have access to all data contained in Eurodac in order to properly carry out their tasks.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(23)</w:t>
            </w:r>
            <w:r>
              <w:tab/>
            </w:r>
            <w:r>
              <w:t xml:space="preserve">Sabiex jiġi żgurat trattament ugwali għall-applikanti kollha u għall-benefiċjarji tal-protezzjoni internazzjonali, kif ukoll sabiex tiġi żgurata konsistenza mal-acquis attwali tal-UE dwar </w:t>
            </w:r>
            <w:r>
              <w:rPr>
                <w:rFonts w:ascii="Times New Roman" w:eastAsia="Times New Roman" w:hAnsi="Times New Roman" w:cs="Times New Roman"/>
                <w:b/>
                <w:i/>
                <w:strike w:val="0"/>
                <w:color w:val="000000"/>
                <w:sz w:val="24"/>
                <w:highlight w:val="none"/>
                <w:u w:val="none" w:color="auto"/>
              </w:rPr>
              <w:t>l-ażil</w:t>
            </w:r>
            <w:r>
              <w:t>, b’mod partikolari mad-Direttiva 2011/95/UE tal-Parlament Ewropew u tal-Kunsill</w:t>
            </w:r>
            <w:r>
              <w:rPr>
                <w:rFonts w:ascii="Times New Roman" w:eastAsia="Times New Roman" w:hAnsi="Times New Roman" w:cs="Times New Roman"/>
                <w:b/>
                <w:i/>
                <w:strike w:val="0"/>
                <w:color w:val="000000"/>
                <w:sz w:val="24"/>
                <w:highlight w:val="none"/>
                <w:u w:val="none" w:color="auto"/>
              </w:rPr>
              <w:t xml:space="preserve"> u r-Regolament</w:t>
            </w:r>
            <w:r>
              <w:t xml:space="preserve"> (UE) Nru […/…] dan ir-Regolament</w:t>
            </w:r>
            <w:r>
              <w:rPr>
                <w:rFonts w:ascii="Times New Roman" w:eastAsia="Times New Roman" w:hAnsi="Times New Roman" w:cs="Times New Roman"/>
                <w:b/>
                <w:i/>
                <w:strike w:val="0"/>
                <w:color w:val="000000"/>
                <w:sz w:val="24"/>
                <w:highlight w:val="none"/>
                <w:u w:val="none" w:color="auto"/>
              </w:rPr>
              <w:t xml:space="preserve">  </w:t>
            </w:r>
            <w:r>
              <w:t>jinkludi</w:t>
            </w:r>
            <w:r>
              <w:rPr>
                <w:rFonts w:ascii="Times New Roman" w:eastAsia="Times New Roman" w:hAnsi="Times New Roman" w:cs="Times New Roman"/>
                <w:b/>
                <w:i/>
                <w:strike w:val="0"/>
                <w:color w:val="000000"/>
                <w:sz w:val="24"/>
                <w:highlight w:val="none"/>
                <w:u w:val="none" w:color="auto"/>
              </w:rPr>
              <w:t xml:space="preserve">  </w:t>
            </w:r>
            <w:r>
              <w:t xml:space="preserve">applikanti għal protezzjoni sussidjarja u persuni li huma eliġibbli għal protezzjoni </w:t>
            </w:r>
            <w:r>
              <w:rPr>
                <w:rFonts w:ascii="Times New Roman" w:eastAsia="Times New Roman" w:hAnsi="Times New Roman" w:cs="Times New Roman"/>
                <w:b/>
                <w:i/>
                <w:strike w:val="0"/>
                <w:color w:val="000000"/>
                <w:sz w:val="24"/>
                <w:highlight w:val="none"/>
                <w:u w:val="none" w:color="auto"/>
              </w:rPr>
              <w:t xml:space="preserve">sussidjarja  fl-iskop tiegħu  </w:t>
            </w:r>
            <w:r>
              <w:t>.</w:t>
            </w:r>
            <w:r>
              <w:rPr>
                <w:rStyle w:val="Sup"/>
              </w:rPr>
              <w:t>32</w:t>
            </w:r>
          </w:p>
        </w:tc>
        <w:tc>
          <w:tcPr/>
          <w:p>
            <w:pPr>
              <w:pStyle w:val="Normal6"/>
            </w:pPr>
            <w:r>
              <w:t>(23)</w:t>
            </w:r>
            <w:r>
              <w:tab/>
            </w:r>
            <w:r>
              <w:t xml:space="preserve">Sabiex jiġi żgurat trattament ugwali għall-applikanti kollha u għall-benefiċjarji tal-protezzjoni internazzjonali, kif ukoll sabiex tiġi żgurata konsistenza mal-acquis attwali tal-UE dwar </w:t>
            </w:r>
            <w:r>
              <w:rPr>
                <w:rFonts w:ascii="Times New Roman" w:eastAsia="Times New Roman" w:hAnsi="Times New Roman" w:cs="Times New Roman"/>
                <w:b/>
                <w:i/>
                <w:strike w:val="0"/>
                <w:color w:val="000000"/>
                <w:sz w:val="24"/>
                <w:highlight w:val="none"/>
                <w:u w:val="none" w:color="auto"/>
              </w:rPr>
              <w:t>l-asil</w:t>
            </w:r>
            <w:r>
              <w:t>, b’mod partikolari mad-Direttiva 2011/95/UE tal-Parlament Ewropew u tal-Kunsill</w:t>
            </w:r>
            <w:r>
              <w:rPr>
                <w:rStyle w:val="SupBoldItalic"/>
              </w:rPr>
              <w:t>32</w:t>
            </w:r>
            <w:r>
              <w:rPr>
                <w:rFonts w:ascii="Times New Roman" w:eastAsia="Times New Roman" w:hAnsi="Times New Roman" w:cs="Times New Roman"/>
                <w:b/>
                <w:i/>
                <w:strike w:val="0"/>
                <w:color w:val="000000"/>
                <w:sz w:val="24"/>
                <w:highlight w:val="none"/>
                <w:u w:val="none" w:color="auto"/>
              </w:rPr>
              <w:t>, mar-Regolament XXX/XXX li jistabbilixxi Qafas ta' Risistemazzjoni tal-Unjoni, kif ukoll mar-REgolament</w:t>
            </w:r>
            <w:r>
              <w:t xml:space="preserve"> (UE) Nru […/…]</w:t>
            </w:r>
            <w:r>
              <w:rPr>
                <w:rFonts w:ascii="Times New Roman" w:eastAsia="Times New Roman" w:hAnsi="Times New Roman" w:cs="Times New Roman"/>
                <w:b/>
                <w:i/>
                <w:strike w:val="0"/>
                <w:color w:val="000000"/>
                <w:sz w:val="24"/>
                <w:highlight w:val="none"/>
                <w:u w:val="none" w:color="auto"/>
              </w:rPr>
              <w:t>,</w:t>
            </w:r>
            <w:r>
              <w:t xml:space="preserve"> dan ir-Regolament</w:t>
            </w:r>
            <w:r>
              <w:rPr>
                <w:rFonts w:ascii="Times New Roman" w:eastAsia="Times New Roman" w:hAnsi="Times New Roman" w:cs="Times New Roman"/>
                <w:b/>
                <w:i/>
                <w:strike w:val="0"/>
                <w:color w:val="000000"/>
                <w:sz w:val="24"/>
                <w:highlight w:val="none"/>
                <w:u w:val="none" w:color="auto"/>
              </w:rPr>
              <w:t xml:space="preserve"> fil-kamp ta' applikazzjoni tiegħu </w:t>
            </w:r>
            <w:r>
              <w:t>jinkludi</w:t>
            </w:r>
            <w:r>
              <w:rPr>
                <w:rFonts w:ascii="Times New Roman" w:eastAsia="Times New Roman" w:hAnsi="Times New Roman" w:cs="Times New Roman"/>
                <w:b/>
                <w:i/>
                <w:strike w:val="0"/>
                <w:color w:val="000000"/>
                <w:sz w:val="24"/>
                <w:highlight w:val="none"/>
                <w:u w:val="none" w:color="auto"/>
              </w:rPr>
              <w:t xml:space="preserve"> </w:t>
            </w:r>
            <w:r>
              <w:t xml:space="preserve">applikanti għal protezzjoni sussidjarja u persuni li huma eliġibbli </w:t>
            </w:r>
            <w:r>
              <w:rPr>
                <w:rFonts w:ascii="Times New Roman" w:eastAsia="Times New Roman" w:hAnsi="Times New Roman" w:cs="Times New Roman"/>
                <w:b/>
                <w:i/>
                <w:strike w:val="0"/>
                <w:color w:val="000000"/>
                <w:sz w:val="24"/>
                <w:highlight w:val="none"/>
                <w:u w:val="none" w:color="auto"/>
              </w:rPr>
              <w:t xml:space="preserve">għall-protezzjoni sussidjarja kif ukoll il-persuni li huma eliġibbli </w:t>
            </w:r>
            <w:r>
              <w:t xml:space="preserve">għal protezzjoni </w:t>
            </w:r>
            <w:r>
              <w:rPr>
                <w:rFonts w:ascii="Times New Roman" w:eastAsia="Times New Roman" w:hAnsi="Times New Roman" w:cs="Times New Roman"/>
                <w:b/>
                <w:i/>
                <w:strike w:val="0"/>
                <w:color w:val="000000"/>
                <w:sz w:val="24"/>
                <w:highlight w:val="none"/>
                <w:u w:val="none" w:color="auto"/>
              </w:rPr>
              <w:t>internazzjonali skont ir-risistemazzjoni f'konformità mar-Regolament XXX/XXX</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32</w:t>
            </w:r>
            <w:r>
              <w:t xml:space="preserve"> </w:t>
            </w:r>
            <w:r>
              <w:rPr>
                <w:rFonts w:ascii="Times New Roman" w:eastAsia="Times New Roman" w:hAnsi="Times New Roman" w:cs="Times New Roman"/>
                <w:b/>
                <w:i/>
                <w:strike w:val="0"/>
                <w:color w:val="000000"/>
                <w:sz w:val="24"/>
                <w:highlight w:val="none"/>
                <w:u w:val="none" w:color="auto"/>
              </w:rPr>
              <w:t>THIS FOOTNOTE IS MISSING. THANK YOU FOR USING ANOTHER LANGUAGE</w:t>
            </w:r>
            <w:r>
              <w:t>.</w:t>
            </w:r>
          </w:p>
        </w:tc>
        <w:tc>
          <w:tcPr/>
          <w:p>
            <w:pPr>
              <w:pStyle w:val="Normal6"/>
            </w:pPr>
            <w:r>
              <w:rPr>
                <w:rStyle w:val="SupBoldItalic"/>
              </w:rPr>
              <w:t>32</w:t>
            </w:r>
            <w:r>
              <w:t xml:space="preserve"> </w:t>
            </w:r>
            <w:r>
              <w:rPr>
                <w:rFonts w:ascii="Times New Roman" w:eastAsia="Times New Roman" w:hAnsi="Times New Roman" w:cs="Times New Roman"/>
                <w:b/>
                <w:i/>
                <w:strike w:val="0"/>
                <w:color w:val="000000"/>
                <w:sz w:val="24"/>
                <w:highlight w:val="none"/>
                <w:u w:val="none" w:color="auto"/>
              </w:rPr>
              <w:t>Id-Direttiva 2011/95/UE tal-Parlament Ewropew u tal-Kunsill tat-13 ta' Diċembru 2011 dwar standards għall-kwalifika ta' ċittadini nazzjonali ta' pajjiżi terzi jew persuni apolidi bħala benefiċjarji ta' protezzjoni internazzjonali, għal stat uniformi għar-rifuġjati jew għal persuni eliġibbli għal protezzjoni sussidjarja, u għall-kontenut tal-protezzjoni mogħtija (ĠU L 337, 20.12.2011, p. 9)</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din l-emenda għandha l-għan li żżid referenza għar-regolament futur li jistabbilixxi qafas tal-Unjoni għar-risistemazzjoni billi tipproponi li fil-kamp ta' applikazzjoni tal-Eurodac jiddaħħlu l-persuni li għalihom l-Istati Membri bi ħsiebhom jesegwixxu proċedura ta' risistemazzjoni f'konformità ma' dak ir-Regolament.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Gérard Deprez</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(24)</w:t>
            </w:r>
            <w:r>
              <w:tab/>
            </w:r>
            <w:r>
              <w:t xml:space="preserve">Hemm bżonn ukoll li l-Istati Membri jkunu mitluba </w:t>
            </w:r>
            <w:r>
              <w:rPr>
                <w:rFonts w:ascii="Times New Roman" w:eastAsia="Times New Roman" w:hAnsi="Times New Roman" w:cs="Times New Roman"/>
                <w:b/>
                <w:i/>
                <w:strike w:val="0"/>
                <w:color w:val="000000"/>
                <w:sz w:val="24"/>
                <w:highlight w:val="none"/>
                <w:u w:val="none" w:color="auto"/>
              </w:rPr>
              <w:t xml:space="preserve">li </w:t>
            </w:r>
            <w:r>
              <w:t xml:space="preserve">jieħdu u jittrażmettu fil-pront id-data </w:t>
            </w:r>
            <w:r>
              <w:rPr>
                <w:rFonts w:ascii="Times New Roman" w:eastAsia="Times New Roman" w:hAnsi="Times New Roman" w:cs="Times New Roman"/>
                <w:b/>
                <w:i/>
                <w:strike w:val="0"/>
                <w:color w:val="000000"/>
                <w:sz w:val="24"/>
                <w:highlight w:val="none"/>
                <w:u w:val="none" w:color="auto"/>
              </w:rPr>
              <w:t>dwar il-marki tas-swaba’</w:t>
            </w:r>
            <w:r>
              <w:t xml:space="preserve"> ta' kull applikant għall-protezzjoni internazzjonali u ta' kull ċittadin ta’ pajjiż terz jew persuna apolida li jinqabdu b'konnessjoni ma' qsim irregolari ta' fruntieri esterni ta' Stat Membru</w:t>
            </w:r>
            <w:r>
              <w:rPr>
                <w:rFonts w:ascii="Times New Roman" w:eastAsia="Times New Roman" w:hAnsi="Times New Roman" w:cs="Times New Roman"/>
                <w:b/>
                <w:i/>
                <w:strike w:val="0"/>
                <w:color w:val="000000"/>
                <w:sz w:val="24"/>
                <w:highlight w:val="none"/>
                <w:u w:val="none" w:color="auto"/>
              </w:rPr>
              <w:t xml:space="preserve">  </w:t>
            </w:r>
            <w:r>
              <w:t>jew jekk jinstabu li qed jirrisjedu illegalment fi Stat Membru</w:t>
            </w:r>
            <w:r>
              <w:rPr>
                <w:rFonts w:ascii="Times New Roman" w:eastAsia="Times New Roman" w:hAnsi="Times New Roman" w:cs="Times New Roman"/>
                <w:b/>
                <w:i/>
                <w:strike w:val="0"/>
                <w:color w:val="000000"/>
                <w:sz w:val="24"/>
                <w:highlight w:val="none"/>
                <w:u w:val="none" w:color="auto"/>
              </w:rPr>
              <w:t xml:space="preserve">  </w:t>
            </w:r>
            <w:r>
              <w:t>, jekk ikunu minn</w:t>
            </w:r>
            <w:r>
              <w:rPr>
                <w:rFonts w:ascii="Times New Roman" w:eastAsia="Times New Roman" w:hAnsi="Times New Roman" w:cs="Times New Roman"/>
                <w:b/>
                <w:i/>
                <w:strike w:val="0"/>
                <w:color w:val="000000"/>
                <w:sz w:val="24"/>
                <w:highlight w:val="none"/>
                <w:u w:val="none" w:color="auto"/>
              </w:rPr>
              <w:t xml:space="preserve">  </w:t>
            </w:r>
            <w:r>
              <w:t>sitt snin ‘il fuq</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(24)</w:t>
            </w:r>
            <w:r>
              <w:tab/>
            </w:r>
            <w:r>
              <w:t xml:space="preserve">Hemm bżonn ukoll li l-Istati Membri jkunu mitluba jieħdu u jittrażmettu fil-pront id-data </w:t>
            </w:r>
            <w:r>
              <w:rPr>
                <w:rFonts w:ascii="Times New Roman" w:eastAsia="Times New Roman" w:hAnsi="Times New Roman" w:cs="Times New Roman"/>
                <w:b/>
                <w:i/>
                <w:strike w:val="0"/>
                <w:color w:val="000000"/>
                <w:sz w:val="24"/>
                <w:highlight w:val="none"/>
                <w:u w:val="none" w:color="auto"/>
              </w:rPr>
              <w:t>bijometriċi</w:t>
            </w:r>
            <w:r>
              <w:t xml:space="preserve"> ta' kull applikant għall-protezzjoni internazzjonali</w:t>
            </w:r>
            <w:r>
              <w:rPr>
                <w:rFonts w:ascii="Times New Roman" w:eastAsia="Times New Roman" w:hAnsi="Times New Roman" w:cs="Times New Roman"/>
                <w:b/>
                <w:i/>
                <w:strike w:val="0"/>
                <w:color w:val="000000"/>
                <w:sz w:val="24"/>
                <w:highlight w:val="none"/>
                <w:u w:val="none" w:color="auto"/>
              </w:rPr>
              <w:t>, ta' kull ċittadin ta' pajjiż terz jew persuna apolida li għalihom l-Istati Membri jkunu bi ħsiebhom jesegwixxu proċedura ta' risistemazzjoni b'konformita mar-Regolament XXX/XXX</w:t>
            </w:r>
            <w:r>
              <w:t xml:space="preserve"> u ta' kull ċittadin ta' pajjiż terz jew persuna apolida li jinqabdu b'konnessjoni ma' qsim irregolari ta' fruntieri esterni ta' Stat Membru</w:t>
            </w:r>
            <w:r>
              <w:rPr>
                <w:rFonts w:ascii="Times New Roman" w:eastAsia="Times New Roman" w:hAnsi="Times New Roman" w:cs="Times New Roman"/>
                <w:b/>
                <w:i/>
                <w:strike w:val="0"/>
                <w:color w:val="000000"/>
                <w:sz w:val="24"/>
                <w:highlight w:val="none"/>
                <w:u w:val="none" w:color="auto"/>
              </w:rPr>
              <w:t xml:space="preserve"> </w:t>
            </w:r>
            <w:r>
              <w:t>jew jekk jinstabu li qed jirrisjedu illegalment fi Stat Membru</w:t>
            </w:r>
            <w:r>
              <w:rPr>
                <w:rFonts w:ascii="Times New Roman" w:eastAsia="Times New Roman" w:hAnsi="Times New Roman" w:cs="Times New Roman"/>
                <w:b/>
                <w:i/>
                <w:strike w:val="0"/>
                <w:color w:val="000000"/>
                <w:sz w:val="24"/>
                <w:highlight w:val="none"/>
                <w:u w:val="none" w:color="auto"/>
              </w:rPr>
              <w:t xml:space="preserve"> </w:t>
            </w:r>
            <w:r>
              <w:t>, jekk ikunu minn</w:t>
            </w:r>
            <w:r>
              <w:rPr>
                <w:rFonts w:ascii="Times New Roman" w:eastAsia="Times New Roman" w:hAnsi="Times New Roman" w:cs="Times New Roman"/>
                <w:b/>
                <w:i/>
                <w:strike w:val="0"/>
                <w:color w:val="000000"/>
                <w:sz w:val="24"/>
                <w:highlight w:val="none"/>
                <w:u w:val="none" w:color="auto"/>
              </w:rPr>
              <w:t xml:space="preserve"> </w:t>
            </w:r>
            <w:r>
              <w:t>sitt snin ‘il fuq</w:t>
            </w:r>
            <w:r>
              <w:rPr>
                <w:rFonts w:ascii="Times New Roman" w:eastAsia="Times New Roman" w:hAnsi="Times New Roman" w:cs="Times New Roman"/>
                <w:b/>
                <w:i/>
                <w:strike w:val="0"/>
                <w:color w:val="000000"/>
                <w:sz w:val="24"/>
                <w:highlight w:val="none"/>
                <w:u w:val="none" w:color="auto"/>
              </w:rPr>
              <w:t xml:space="preserve"> </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din l-emenda għandha l-għan li tagħmel referenza għall-persuni li għalihom l-Istati Membri bi ħsiebhom jesegwixxu proċedura ta' risistemazzjoni peress li qed jiġi propost li dawn il-persuni jiddaħħlu fil-kamp ta' applikazzjoni ta' dan ir-Regolament.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(24)</w:t>
            </w:r>
            <w:r>
              <w:tab/>
            </w:r>
            <w:r>
              <w:t>Hemm bżonn ukoll li l-Istati Membri jkunu mitluba li jieħdu u jittrażmettu fil-pront id-data dwar il-marki tas-swaba’ ta' kull applikant għall-protezzjoni internazzjonali u ta' kull ċittadin ta’ pajjiż terz jew persuna apolida li jinqabdu b'konnessjoni ma' qsim irregolari ta' fruntieri esterni ta' Stat Membru</w:t>
            </w:r>
            <w:r>
              <w:rPr>
                <w:rFonts w:ascii="Times New Roman" w:eastAsia="Times New Roman" w:hAnsi="Times New Roman" w:cs="Times New Roman"/>
                <w:b/>
                <w:i/>
                <w:strike w:val="0"/>
                <w:color w:val="000000"/>
                <w:sz w:val="24"/>
                <w:highlight w:val="none"/>
                <w:u w:val="none" w:color="auto"/>
              </w:rPr>
              <w:t xml:space="preserve">  jew jekk jinstabu li qed jirrisjedu illegalment fi Stat Membru  , jekk ikunu minn  </w:t>
            </w:r>
            <w:r>
              <w:t>sitt snin ‘il fuq</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rPr>
                <w:rFonts w:ascii="Times New Roman" w:eastAsia="Times New Roman" w:hAnsi="Times New Roman" w:cs="Times New Roman"/>
                <w:b/>
                <w:i/>
                <w:strike w:val="0"/>
                <w:color w:val="000000"/>
                <w:sz w:val="24"/>
                <w:highlight w:val="none"/>
                <w:u w:val="none" w:color="auto"/>
              </w:rPr>
              <w:t>24.</w:t>
            </w:r>
            <w:r>
              <w:tab/>
            </w:r>
            <w:r>
              <w:t>Hemm bżonn ukoll li l-Istati Membri jkunu mitluba li jieħdu u jittrażmettu fil-pront id-data dwar il-marki tas-swaba' ta' kull applikant għall-protezzjoni internazzjonali u ta' kull ċittadin ta' pajjiż terz jew persuna apolida li jinqabdu b'konnessjoni ma' qsim irregolari ta' fruntieri esterni ta' Stat Membru</w:t>
            </w:r>
            <w:r>
              <w:rPr>
                <w:rFonts w:ascii="Times New Roman" w:eastAsia="Times New Roman" w:hAnsi="Times New Roman" w:cs="Times New Roman"/>
                <w:b/>
                <w:i/>
                <w:strike w:val="0"/>
                <w:color w:val="000000"/>
                <w:sz w:val="24"/>
                <w:highlight w:val="none"/>
                <w:u w:val="none" w:color="auto"/>
              </w:rPr>
              <w:t xml:space="preserve">, jekk ikollhom minn </w:t>
            </w:r>
            <w:r>
              <w:t>sitt snin 'il fuq.</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(24)</w:t>
            </w:r>
            <w:r>
              <w:tab/>
            </w:r>
            <w:r>
              <w:t xml:space="preserve">Hemm bżonn ukoll li l-Istati Membri </w:t>
            </w:r>
            <w:r>
              <w:rPr>
                <w:rFonts w:ascii="Times New Roman" w:eastAsia="Times New Roman" w:hAnsi="Times New Roman" w:cs="Times New Roman"/>
                <w:b/>
                <w:i/>
                <w:strike w:val="0"/>
                <w:color w:val="000000"/>
                <w:sz w:val="24"/>
                <w:highlight w:val="none"/>
                <w:u w:val="none" w:color="auto"/>
              </w:rPr>
              <w:t>jkunu mitluba li</w:t>
            </w:r>
            <w:r>
              <w:t xml:space="preserve"> jieħdu u jittrażmettu fil-pront id-data dwar il-marki tas-swaba’ ta' kull applikant għall-protezzjoni internazzjonali u ta' kull ċittadin ta’ pajjiż terz jew persuna apolida li </w:t>
            </w:r>
            <w:r>
              <w:rPr>
                <w:rFonts w:ascii="Times New Roman" w:eastAsia="Times New Roman" w:hAnsi="Times New Roman" w:cs="Times New Roman"/>
                <w:b/>
                <w:i/>
                <w:strike w:val="0"/>
                <w:color w:val="000000"/>
                <w:sz w:val="24"/>
                <w:highlight w:val="none"/>
                <w:u w:val="none" w:color="auto"/>
              </w:rPr>
              <w:t>jinqabdu</w:t>
            </w:r>
            <w:r>
              <w:t xml:space="preserve"> b'konnessjoni ma' qsim irregolari ta' fruntieri esterni ta' Stat Membru</w:t>
            </w:r>
            <w:r>
              <w:rPr>
                <w:rFonts w:ascii="Times New Roman" w:eastAsia="Times New Roman" w:hAnsi="Times New Roman" w:cs="Times New Roman"/>
                <w:b/>
                <w:i/>
                <w:strike w:val="0"/>
                <w:color w:val="000000"/>
                <w:sz w:val="24"/>
                <w:highlight w:val="none"/>
                <w:u w:val="none" w:color="auto"/>
              </w:rPr>
              <w:t xml:space="preserve">  </w:t>
            </w:r>
            <w:r>
              <w:t xml:space="preserve">jew jekk </w:t>
            </w:r>
            <w:r>
              <w:rPr>
                <w:rFonts w:ascii="Times New Roman" w:eastAsia="Times New Roman" w:hAnsi="Times New Roman" w:cs="Times New Roman"/>
                <w:b/>
                <w:i/>
                <w:strike w:val="0"/>
                <w:color w:val="000000"/>
                <w:sz w:val="24"/>
                <w:highlight w:val="none"/>
                <w:u w:val="none" w:color="auto"/>
              </w:rPr>
              <w:t>jinstabu</w:t>
            </w:r>
            <w:r>
              <w:t xml:space="preserve"> li qed </w:t>
            </w:r>
            <w:r>
              <w:rPr>
                <w:rFonts w:ascii="Times New Roman" w:eastAsia="Times New Roman" w:hAnsi="Times New Roman" w:cs="Times New Roman"/>
                <w:b/>
                <w:i/>
                <w:strike w:val="0"/>
                <w:color w:val="000000"/>
                <w:sz w:val="24"/>
                <w:highlight w:val="none"/>
                <w:u w:val="none" w:color="auto"/>
              </w:rPr>
              <w:t>jirrisjedu</w:t>
            </w:r>
            <w:r>
              <w:t xml:space="preserve"> illegalment fi Stat Membru</w:t>
            </w:r>
            <w:r>
              <w:rPr>
                <w:rFonts w:ascii="Times New Roman" w:eastAsia="Times New Roman" w:hAnsi="Times New Roman" w:cs="Times New Roman"/>
                <w:b/>
                <w:i/>
                <w:strike w:val="0"/>
                <w:color w:val="000000"/>
                <w:sz w:val="24"/>
                <w:highlight w:val="none"/>
                <w:u w:val="none" w:color="auto"/>
              </w:rPr>
              <w:t>  , jekk ikunu minn  </w:t>
            </w:r>
            <w:r>
              <w:t>sitt snin ‘il fuq</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rPr>
                <w:rFonts w:ascii="Times New Roman" w:eastAsia="Times New Roman" w:hAnsi="Times New Roman" w:cs="Times New Roman"/>
                <w:b/>
                <w:i/>
                <w:strike w:val="0"/>
                <w:color w:val="000000"/>
                <w:sz w:val="24"/>
                <w:highlight w:val="none"/>
                <w:u w:val="none" w:color="auto"/>
              </w:rPr>
              <w:t>24.</w:t>
            </w:r>
            <w:r>
              <w:tab/>
            </w:r>
            <w:r>
              <w:t xml:space="preserve">Hemm bżonn ukoll li l-Istati Membri </w:t>
            </w:r>
            <w:r>
              <w:rPr>
                <w:rFonts w:ascii="Times New Roman" w:eastAsia="Times New Roman" w:hAnsi="Times New Roman" w:cs="Times New Roman"/>
                <w:b/>
                <w:i/>
                <w:strike w:val="0"/>
                <w:color w:val="000000"/>
                <w:sz w:val="24"/>
                <w:highlight w:val="none"/>
                <w:u w:val="none" w:color="auto"/>
              </w:rPr>
              <w:t>jintalbu</w:t>
            </w:r>
            <w:r>
              <w:t xml:space="preserve"> jieħdu u jittrażmettu fil-pront id-data dwar il-marki tas-swaba' </w:t>
            </w:r>
            <w:r>
              <w:rPr>
                <w:rFonts w:ascii="Times New Roman" w:eastAsia="Times New Roman" w:hAnsi="Times New Roman" w:cs="Times New Roman"/>
                <w:b/>
                <w:i/>
                <w:strike w:val="0"/>
                <w:color w:val="000000"/>
                <w:sz w:val="24"/>
                <w:highlight w:val="none"/>
                <w:u w:val="none" w:color="auto"/>
              </w:rPr>
              <w:t xml:space="preserve">u dwar ix-xbiha tal-wiċċ </w:t>
            </w:r>
            <w:r>
              <w:t xml:space="preserve">ta' kull applikant għall-protezzjoni internazzjonali u ta' kull ċittadin ta' pajjiż terz jew persuna apolida li </w:t>
            </w:r>
            <w:r>
              <w:rPr>
                <w:rFonts w:ascii="Times New Roman" w:eastAsia="Times New Roman" w:hAnsi="Times New Roman" w:cs="Times New Roman"/>
                <w:b/>
                <w:i/>
                <w:strike w:val="0"/>
                <w:color w:val="000000"/>
                <w:sz w:val="24"/>
                <w:highlight w:val="none"/>
                <w:u w:val="none" w:color="auto"/>
              </w:rPr>
              <w:t>jinqabad</w:t>
            </w:r>
            <w:r>
              <w:t xml:space="preserve"> b'konnessjoni ma' qsim irregolari ta' fruntieri esterni ta' Stat Membru</w:t>
            </w:r>
            <w:r>
              <w:rPr>
                <w:rFonts w:ascii="Times New Roman" w:eastAsia="Times New Roman" w:hAnsi="Times New Roman" w:cs="Times New Roman"/>
                <w:b/>
                <w:i/>
                <w:strike w:val="0"/>
                <w:color w:val="000000"/>
                <w:sz w:val="24"/>
                <w:highlight w:val="none"/>
                <w:u w:val="none" w:color="auto"/>
              </w:rPr>
              <w:t xml:space="preserve"> </w:t>
            </w:r>
            <w:r>
              <w:t xml:space="preserve">jew jekk </w:t>
            </w:r>
            <w:r>
              <w:rPr>
                <w:rFonts w:ascii="Times New Roman" w:eastAsia="Times New Roman" w:hAnsi="Times New Roman" w:cs="Times New Roman"/>
                <w:b/>
                <w:i/>
                <w:strike w:val="0"/>
                <w:color w:val="000000"/>
                <w:sz w:val="24"/>
                <w:highlight w:val="none"/>
                <w:u w:val="none" w:color="auto"/>
              </w:rPr>
              <w:t>jinstab</w:t>
            </w:r>
            <w:r>
              <w:t xml:space="preserve"> li qed </w:t>
            </w:r>
            <w:r>
              <w:rPr>
                <w:rFonts w:ascii="Times New Roman" w:eastAsia="Times New Roman" w:hAnsi="Times New Roman" w:cs="Times New Roman"/>
                <w:b/>
                <w:i/>
                <w:strike w:val="0"/>
                <w:color w:val="000000"/>
                <w:sz w:val="24"/>
                <w:highlight w:val="none"/>
                <w:u w:val="none" w:color="auto"/>
              </w:rPr>
              <w:t>jirrisjedi</w:t>
            </w:r>
            <w:r>
              <w:t xml:space="preserve"> illegalment fi Stat Membru</w:t>
            </w:r>
            <w:r>
              <w:rPr>
                <w:rFonts w:ascii="Times New Roman" w:eastAsia="Times New Roman" w:hAnsi="Times New Roman" w:cs="Times New Roman"/>
                <w:b/>
                <w:i/>
                <w:strike w:val="0"/>
                <w:color w:val="000000"/>
                <w:sz w:val="24"/>
                <w:highlight w:val="none"/>
                <w:u w:val="none" w:color="auto"/>
              </w:rPr>
              <w:t xml:space="preserve">, jekk ikollu minn </w:t>
            </w:r>
            <w:r>
              <w:t>sitt snin ‘il fuq.</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Korrezzjoni tal-proposta tal-Kummissjoni li ma żżidx fil-postijiet kollha meħtieġa kemm "il-marki tas-swaba" kif ukoll "ix-xbiha tal-wiċċ", b'dan konformi mal-obbligu ġenerali tat-teħid tal-marki tas-swaba' u x-xbiha tal-wiċċ kif imsemmi fl-Artikolu 2.</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(25)</w:t>
            </w:r>
            <w:r>
              <w:tab/>
            </w:r>
            <w:r>
              <w:t xml:space="preserve">Fid-dawl tat-tisħiħ tal-protezzjoni </w:t>
            </w:r>
            <w:r>
              <w:rPr>
                <w:rFonts w:ascii="Times New Roman" w:eastAsia="Times New Roman" w:hAnsi="Times New Roman" w:cs="Times New Roman"/>
                <w:b/>
                <w:i/>
                <w:strike w:val="0"/>
                <w:color w:val="000000"/>
                <w:sz w:val="24"/>
                <w:highlight w:val="none"/>
                <w:u w:val="none" w:color="auto"/>
              </w:rPr>
              <w:t>ta’</w:t>
            </w:r>
            <w:r>
              <w:t xml:space="preserve"> minuri mhux akkumpanjati li għadhom ma applikawx għal protezzjoni internazzjonali u dawk it-tfal li </w:t>
            </w:r>
            <w:r>
              <w:rPr>
                <w:rFonts w:ascii="Times New Roman" w:eastAsia="Times New Roman" w:hAnsi="Times New Roman" w:cs="Times New Roman"/>
                <w:b/>
                <w:i/>
                <w:strike w:val="0"/>
                <w:color w:val="000000"/>
                <w:sz w:val="24"/>
                <w:highlight w:val="none"/>
                <w:u w:val="none" w:color="auto"/>
              </w:rPr>
              <w:t>jistgħu</w:t>
            </w:r>
            <w:r>
              <w:t xml:space="preserve"> jiġu separati mill-familji tagħhom, huwa meħtieġ ukoll li jittieħdu marki tas-swaba’ u xbiha tal-wiċċ għall-ħażna fis-Sistema Ċentrali biex jgħinu jistabbilixxu l-identità </w:t>
            </w:r>
            <w:r>
              <w:rPr>
                <w:rFonts w:ascii="Times New Roman" w:eastAsia="Times New Roman" w:hAnsi="Times New Roman" w:cs="Times New Roman"/>
                <w:b/>
                <w:i/>
                <w:strike w:val="0"/>
                <w:color w:val="000000"/>
                <w:sz w:val="24"/>
                <w:highlight w:val="none"/>
                <w:u w:val="none" w:color="auto"/>
              </w:rPr>
              <w:t>tat-tfal</w:t>
            </w:r>
            <w:r>
              <w:t xml:space="preserve"> u jassistu lill-Istat Membru biex jitraċċa </w:t>
            </w:r>
            <w:r>
              <w:rPr>
                <w:rFonts w:ascii="Times New Roman" w:eastAsia="Times New Roman" w:hAnsi="Times New Roman" w:cs="Times New Roman"/>
                <w:b/>
                <w:i/>
                <w:strike w:val="0"/>
                <w:color w:val="000000"/>
                <w:sz w:val="24"/>
                <w:highlight w:val="none"/>
                <w:u w:val="none" w:color="auto"/>
              </w:rPr>
              <w:t>kull rabta jew familjari</w:t>
            </w:r>
            <w:r>
              <w:t xml:space="preserve"> li jista’ jkollhom ma’ Stat Membru ieħor. Li jiġu stabbiliti rabtiet familjari huwa </w:t>
            </w:r>
            <w:r>
              <w:rPr>
                <w:rFonts w:ascii="Times New Roman" w:eastAsia="Times New Roman" w:hAnsi="Times New Roman" w:cs="Times New Roman"/>
                <w:b/>
                <w:i/>
                <w:strike w:val="0"/>
                <w:color w:val="000000"/>
                <w:sz w:val="24"/>
                <w:highlight w:val="none"/>
                <w:u w:val="none" w:color="auto"/>
              </w:rPr>
              <w:t>elementi</w:t>
            </w:r>
            <w:r>
              <w:t xml:space="preserve"> ewlieni </w:t>
            </w:r>
            <w:r>
              <w:rPr>
                <w:rFonts w:ascii="Times New Roman" w:eastAsia="Times New Roman" w:hAnsi="Times New Roman" w:cs="Times New Roman"/>
                <w:b/>
                <w:i/>
                <w:strike w:val="0"/>
                <w:color w:val="000000"/>
                <w:sz w:val="24"/>
                <w:highlight w:val="none"/>
                <w:u w:val="none" w:color="auto"/>
              </w:rPr>
              <w:t>fir-restawrar ta’ unità</w:t>
            </w:r>
            <w:r>
              <w:t xml:space="preserve"> familjari u jrid ikun marbut mill-qrib mad-determinazzjoni tal-aħjar interessi tat-tfal u eventwalment </w:t>
            </w:r>
            <w:r>
              <w:rPr>
                <w:rFonts w:ascii="Times New Roman" w:eastAsia="Times New Roman" w:hAnsi="Times New Roman" w:cs="Times New Roman"/>
                <w:b/>
                <w:i/>
                <w:strike w:val="0"/>
                <w:color w:val="000000"/>
                <w:sz w:val="24"/>
                <w:highlight w:val="none"/>
                <w:u w:val="none" w:color="auto"/>
              </w:rPr>
              <w:t>tad-determinazzjoni</w:t>
            </w:r>
            <w:r>
              <w:t xml:space="preserve"> ta’ soluzzjoni fit-tul.</w:t>
            </w:r>
          </w:p>
        </w:tc>
        <w:tc>
          <w:tcPr/>
          <w:p>
            <w:pPr>
              <w:pStyle w:val="Normal6"/>
            </w:pPr>
            <w:r>
              <w:rPr>
                <w:rFonts w:ascii="Times New Roman" w:eastAsia="Times New Roman" w:hAnsi="Times New Roman" w:cs="Times New Roman"/>
                <w:b/>
                <w:i/>
                <w:strike w:val="0"/>
                <w:color w:val="000000"/>
                <w:sz w:val="24"/>
                <w:highlight w:val="none"/>
                <w:u w:val="none" w:color="auto"/>
              </w:rPr>
              <w:t>25.</w:t>
            </w:r>
            <w:r>
              <w:tab/>
            </w:r>
            <w:r>
              <w:t xml:space="preserve">Fid-dawl tat-tisħiħ tal-protezzjoni </w:t>
            </w:r>
            <w:r>
              <w:rPr>
                <w:rFonts w:ascii="Times New Roman" w:eastAsia="Times New Roman" w:hAnsi="Times New Roman" w:cs="Times New Roman"/>
                <w:b/>
                <w:i/>
                <w:strike w:val="0"/>
                <w:color w:val="000000"/>
                <w:sz w:val="24"/>
                <w:highlight w:val="none"/>
                <w:u w:val="none" w:color="auto"/>
              </w:rPr>
              <w:t>tat-tfal migranti u rifuġjati, fosthom</w:t>
            </w:r>
            <w:r>
              <w:t xml:space="preserve"> minuri mhux akkumpanjati li għadhom ma applikawx għal protezzjoni internazzjonali u dawk it-tfal li </w:t>
            </w:r>
            <w:r>
              <w:rPr>
                <w:rFonts w:ascii="Times New Roman" w:eastAsia="Times New Roman" w:hAnsi="Times New Roman" w:cs="Times New Roman"/>
                <w:b/>
                <w:i/>
                <w:strike w:val="0"/>
                <w:color w:val="000000"/>
                <w:sz w:val="24"/>
                <w:highlight w:val="none"/>
                <w:u w:val="none" w:color="auto"/>
              </w:rPr>
              <w:t>jaf</w:t>
            </w:r>
            <w:r>
              <w:t xml:space="preserve"> jiġu separati mill-familji tagħhom, huwa meħtieġ ukoll li jittieħdu marki tas-swaba' u xbiha tal-wiċċ għall-ħażna fis-Sistema Ċentrali</w:t>
            </w:r>
            <w:r>
              <w:rPr>
                <w:rFonts w:ascii="Times New Roman" w:eastAsia="Times New Roman" w:hAnsi="Times New Roman" w:cs="Times New Roman"/>
                <w:b/>
                <w:i/>
                <w:strike w:val="0"/>
                <w:color w:val="000000"/>
                <w:sz w:val="24"/>
                <w:highlight w:val="none"/>
                <w:u w:val="none" w:color="auto"/>
              </w:rPr>
              <w:t xml:space="preserve"> sakemm jilħqu l-età ta' 18</w:t>
            </w:r>
            <w:r>
              <w:t xml:space="preserve"> biex jgħinu </w:t>
            </w:r>
            <w:r>
              <w:rPr>
                <w:rFonts w:ascii="Times New Roman" w:eastAsia="Times New Roman" w:hAnsi="Times New Roman" w:cs="Times New Roman"/>
                <w:b/>
                <w:i/>
                <w:strike w:val="0"/>
                <w:color w:val="000000"/>
                <w:sz w:val="24"/>
                <w:highlight w:val="none"/>
                <w:u w:val="none" w:color="auto"/>
              </w:rPr>
              <w:t xml:space="preserve">biex </w:t>
            </w:r>
            <w:r>
              <w:t xml:space="preserve">jistabbilixxu l-identità </w:t>
            </w:r>
            <w:r>
              <w:rPr>
                <w:rFonts w:ascii="Times New Roman" w:eastAsia="Times New Roman" w:hAnsi="Times New Roman" w:cs="Times New Roman"/>
                <w:b/>
                <w:i/>
                <w:strike w:val="0"/>
                <w:color w:val="000000"/>
                <w:sz w:val="24"/>
                <w:highlight w:val="none"/>
                <w:u w:val="none" w:color="auto"/>
              </w:rPr>
              <w:t>tagħhom</w:t>
            </w:r>
            <w:r>
              <w:t xml:space="preserve"> u jassistu lill-Istat Membru biex jitraċċa </w:t>
            </w:r>
            <w:r>
              <w:rPr>
                <w:rFonts w:ascii="Times New Roman" w:eastAsia="Times New Roman" w:hAnsi="Times New Roman" w:cs="Times New Roman"/>
                <w:b/>
                <w:i/>
                <w:strike w:val="0"/>
                <w:color w:val="000000"/>
                <w:sz w:val="24"/>
                <w:highlight w:val="none"/>
                <w:u w:val="none" w:color="auto"/>
              </w:rPr>
              <w:t>kwalunkwe familja jew rabta</w:t>
            </w:r>
            <w:r>
              <w:t xml:space="preserve"> li jista' jkollhom ma' Stat Membru ieħor. </w:t>
            </w:r>
            <w:r>
              <w:rPr>
                <w:rFonts w:ascii="Times New Roman" w:eastAsia="Times New Roman" w:hAnsi="Times New Roman" w:cs="Times New Roman"/>
                <w:b/>
                <w:i/>
                <w:strike w:val="0"/>
                <w:color w:val="000000"/>
                <w:sz w:val="24"/>
                <w:highlight w:val="none"/>
                <w:u w:val="none" w:color="auto"/>
              </w:rPr>
              <w:t xml:space="preserve">Id-data tal-marki tas-swaba' u tax-xbiha tal-wiċċ jenħtieġ li jittieħdu għal dan l-iskop espliċitu, u jenħtieġ li jiġu pproċessati u użati kif jixraq. </w:t>
            </w:r>
            <w:r>
              <w:t xml:space="preserve">Li jiġu stabbiliti rabtiet familjari huwa </w:t>
            </w:r>
            <w:r>
              <w:rPr>
                <w:rFonts w:ascii="Times New Roman" w:eastAsia="Times New Roman" w:hAnsi="Times New Roman" w:cs="Times New Roman"/>
                <w:b/>
                <w:i/>
                <w:strike w:val="0"/>
                <w:color w:val="000000"/>
                <w:sz w:val="24"/>
                <w:highlight w:val="none"/>
                <w:u w:val="none" w:color="auto"/>
              </w:rPr>
              <w:t>element</w:t>
            </w:r>
            <w:r>
              <w:t xml:space="preserve"> ewlieni </w:t>
            </w:r>
            <w:r>
              <w:rPr>
                <w:rFonts w:ascii="Times New Roman" w:eastAsia="Times New Roman" w:hAnsi="Times New Roman" w:cs="Times New Roman"/>
                <w:b/>
                <w:i/>
                <w:strike w:val="0"/>
                <w:color w:val="000000"/>
                <w:sz w:val="24"/>
                <w:highlight w:val="none"/>
                <w:u w:val="none" w:color="auto"/>
              </w:rPr>
              <w:t>fir-restawr tal-unità</w:t>
            </w:r>
            <w:r>
              <w:t xml:space="preserve"> familjari u jrid ikun marbut mill-qrib mad-determinazzjoni tal-aħjar interessi tat-tfal u eventwalment </w:t>
            </w:r>
            <w:r>
              <w:rPr>
                <w:rFonts w:ascii="Times New Roman" w:eastAsia="Times New Roman" w:hAnsi="Times New Roman" w:cs="Times New Roman"/>
                <w:b/>
                <w:i/>
                <w:strike w:val="0"/>
                <w:color w:val="000000"/>
                <w:sz w:val="24"/>
                <w:highlight w:val="none"/>
                <w:u w:val="none" w:color="auto"/>
              </w:rPr>
              <w:t>mad-determinazzjoni</w:t>
            </w:r>
            <w:r>
              <w:t xml:space="preserve"> ta' soluzzjoni fit-tul. </w:t>
            </w:r>
            <w:r>
              <w:rPr>
                <w:rFonts w:ascii="Times New Roman" w:eastAsia="Times New Roman" w:hAnsi="Times New Roman" w:cs="Times New Roman"/>
                <w:b/>
                <w:i/>
                <w:strike w:val="0"/>
                <w:color w:val="000000"/>
                <w:sz w:val="24"/>
                <w:highlight w:val="none"/>
                <w:u w:val="none" w:color="auto"/>
              </w:rPr>
              <w:t>Proċeduri ta' identifikazzjoni mtejba għat-tfal nieqsa se jgħinu lill-Istati Membri jiggarantixxu li l-protezzjoni xierqa tat-tfal tiġi żgurata. Għal dan l-għan, malli l-Istati Membri jidentifikaw tfal nieqsa jew tfal li jkunu vittmi ta' kriminalità, jenħtieġ li minnufih jikkuntattjaw lill-awtoritajiet nazzjonali għall-protezzjoni tat-tfal u jwettqu valutazzjoni tal-ħtiġijiet bil-ħsieb li tinstab soluzzjoni dejjiema għat-tifel/tifla skont l-aħjar interessi tiegħu jew tagħha.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(25)</w:t>
            </w:r>
            <w:r>
              <w:tab/>
            </w:r>
            <w:r>
              <w:t>Fid-dawl tat-tisħiħ tal-protezzjoni ta’ minuri mhux akkumpanjati li għadhom ma applikawx għal protezzjoni internazzjonali u dawk it-tfal li jistgħu jiġu separati mill-familji tagħhom, huwa meħtieġ ukoll li jittieħdu marki tas-swaba’ u xbiha tal-wiċċ għall-ħażna fis-Sistema Ċentrali biex jgħinu jistabbilixxu l-identità tat-tfal u jassistu lill-Istat Membru biex jitraċċa kull rabta jew familjari li jista’ jkollhom ma’ Stat Membru ieħor. Li jiġu stabbiliti rabtiet familjari huwa elementi ewlieni fir-restawrar ta’ unità familjari u jrid ikun marbut mill-qrib mad-determinazzjoni tal-aħjar interessi tat-tfal u eventwalment tad-determinazzjoni ta’ soluzzjoni fit-tul.</w:t>
            </w:r>
          </w:p>
        </w:tc>
        <w:tc>
          <w:tcPr/>
          <w:p>
            <w:pPr>
              <w:pStyle w:val="Normal6"/>
            </w:pPr>
            <w:r>
              <w:t>(25)</w:t>
            </w:r>
            <w:r>
              <w:tab/>
            </w:r>
            <w:r>
              <w:t xml:space="preserve">Fid-dawl tat-tisħiħ tal-protezzjoni ta’ minuri mhux akkumpanjati li għadhom ma applikawx għal protezzjoni internazzjonali u dawk it-tfal li jistgħu jiġu separati mill-familji tagħhom, huwa meħtieġ ukoll li jittieħdu marki tas-swaba’ u xbiha tal-wiċċ għall-ħażna fis-Sistema Ċentrali biex jgħinu jistabbilixxu l-identità tat-tfal u jassistu lill-Istat Membru biex jitraċċa kull rabta jew familjari li jista’ jkollhom ma’ Stat Membru ieħor. Li jiġu stabbiliti rabtiet familjari huwa elementi ewlieni fir-restawrar ta’ unità familjari u jrid ikun marbut mill-qrib mad-determinazzjoni tal-aħjar interessi tat-tfal u eventwalment tad-determinazzjoni ta’ soluzzjoni fit-tul. </w:t>
            </w:r>
            <w:r>
              <w:rPr>
                <w:rFonts w:ascii="Times New Roman" w:eastAsia="Times New Roman" w:hAnsi="Times New Roman" w:cs="Times New Roman"/>
                <w:b/>
                <w:i/>
                <w:strike w:val="0"/>
                <w:color w:val="000000"/>
                <w:sz w:val="24"/>
                <w:highlight w:val="none"/>
                <w:u w:val="none" w:color="auto"/>
              </w:rPr>
              <w:t>L-operazzjonijiet kollha jridu jitwettqu min-naħa tal-Istati Membri b'rispett għall-prinċipji stabbiliti fil-Konvenzjoni tan-NU tal-1989 dwar id-Drittijiet tat-Tfal.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Hilde Vautmans</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(25)</w:t>
            </w:r>
            <w:r>
              <w:tab/>
            </w:r>
            <w:r>
              <w:rPr>
                <w:rFonts w:ascii="Times New Roman" w:eastAsia="Times New Roman" w:hAnsi="Times New Roman" w:cs="Times New Roman"/>
                <w:b/>
                <w:i/>
                <w:strike w:val="0"/>
                <w:color w:val="000000"/>
                <w:sz w:val="24"/>
                <w:highlight w:val="none"/>
                <w:u w:val="none" w:color="auto"/>
              </w:rPr>
              <w:t>Fid-dawl</w:t>
            </w:r>
            <w:r>
              <w:t xml:space="preserve"> tat-tisħiħ tal-protezzjoni ta’ minuri mhux akkumpanjati li għadhom ma applikawx għal protezzjoni internazzjonali u dawk it-tfal li jistgħu jiġu separati mill-familji tagħhom, huwa meħtieġ ukoll li jittieħdu marki tas-swaba’ u xbiha tal-wiċċ għall-ħażna fis-Sistema Ċentrali biex jgħinu jistabbilixxu l-identità tat-tfal u jassistu lill-Istat Membru biex jitraċċa kull rabta jew familjari li jista’ jkollhom ma’ Stat Membru ieħor. Li jiġu stabbiliti rabtiet familjari huwa elementi ewlieni fir-restawrar ta’ unità familjari u jrid ikun marbut mill-qrib mad-determinazzjoni tal-aħjar interessi tat-tfal u eventwalment tad-determinazzjoni ta’ soluzzjoni fit-tul.</w:t>
            </w:r>
          </w:p>
        </w:tc>
        <w:tc>
          <w:tcPr/>
          <w:p>
            <w:pPr>
              <w:pStyle w:val="Normal6"/>
            </w:pPr>
            <w:r>
              <w:t>(25)</w:t>
            </w:r>
            <w:r>
              <w:tab/>
            </w:r>
            <w:r>
              <w:rPr>
                <w:rFonts w:ascii="Times New Roman" w:eastAsia="Times New Roman" w:hAnsi="Times New Roman" w:cs="Times New Roman"/>
                <w:b/>
                <w:i/>
                <w:strike w:val="0"/>
                <w:color w:val="000000"/>
                <w:sz w:val="24"/>
                <w:highlight w:val="none"/>
                <w:u w:val="none" w:color="auto"/>
              </w:rPr>
              <w:t xml:space="preserve">Sabiex jiġu protetti u identifikati t-tfal vittma tat-traffikar tal-persuni, ta' telf jew ta' sekwestru u </w:t>
            </w:r>
            <w:r>
              <w:rPr>
                <w:rFonts w:ascii="Times New Roman" w:eastAsia="Times New Roman" w:hAnsi="Times New Roman" w:cs="Times New Roman"/>
                <w:b/>
                <w:i/>
                <w:strike w:val="0"/>
                <w:color w:val="000000"/>
                <w:sz w:val="24"/>
                <w:highlight w:val="none"/>
                <w:u w:val="none" w:color="auto"/>
              </w:rPr>
              <w:t>fid-dawl</w:t>
            </w:r>
            <w:r>
              <w:t xml:space="preserve"> tat-tisħiħ tal-protezzjoni ta’ minuri mhux akkumpanjati li għadhom ma applikawx għal protezzjoni internazzjonali u dawk it-tfal li jistgħu jiġu separati mill-familji tagħhom, huwa meħtieġ ukoll li jittieħdu marki tas-swaba’ u xbiha tal-wiċċ għall-ħażna fis-Sistema Ċentrali biex jgħinu jistabbilixxu l-identità tat-tfal u jassistu lill-Istat Membru biex jitraċċa kull rabta jew familjari li jista’ jkollhom ma’ Stat Membru ieħor. Li jiġu stabbiliti rabtiet familjari huwa elementi ewlieni fir-restawrar ta’ unità familjari u jrid ikun marbut mill-qrib mad-determinazzjoni tal-aħjar interessi tat-tfal u eventwalment tad-determinazzjoni ta’ soluzzjoni fit-tul.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(26)</w:t>
            </w:r>
            <w:r>
              <w:tab/>
            </w:r>
            <w:r>
              <w:t xml:space="preserve">L-aħjar interessi tat-tfal </w:t>
            </w:r>
            <w:r>
              <w:rPr>
                <w:rFonts w:ascii="Times New Roman" w:eastAsia="Times New Roman" w:hAnsi="Times New Roman" w:cs="Times New Roman"/>
                <w:b/>
                <w:i/>
                <w:strike w:val="0"/>
                <w:color w:val="000000"/>
                <w:sz w:val="24"/>
                <w:highlight w:val="none"/>
                <w:u w:val="none" w:color="auto"/>
              </w:rPr>
              <w:t>jinħtieġ li jkunu konsiderazzjoni</w:t>
            </w:r>
            <w:r>
              <w:t xml:space="preserve"> primarja għall-Istati Membri meta japplikaw dan ir-Regolament. Meta l-Istat Membru rikjedenti jistabbilixxi li d-data tal-Eurodac tkun relatata ma’ </w:t>
            </w:r>
            <w:r>
              <w:rPr>
                <w:rFonts w:ascii="Times New Roman" w:eastAsia="Times New Roman" w:hAnsi="Times New Roman" w:cs="Times New Roman"/>
                <w:b/>
                <w:i/>
                <w:strike w:val="0"/>
                <w:color w:val="000000"/>
                <w:sz w:val="24"/>
                <w:highlight w:val="none"/>
                <w:u w:val="none" w:color="auto"/>
              </w:rPr>
              <w:t>minorenni</w:t>
            </w:r>
            <w:r>
              <w:t xml:space="preserve">, din id-data tista’ tintuża biss għall-finijiet </w:t>
            </w:r>
            <w:r>
              <w:rPr>
                <w:rFonts w:ascii="Times New Roman" w:eastAsia="Times New Roman" w:hAnsi="Times New Roman" w:cs="Times New Roman"/>
                <w:b/>
                <w:i/>
                <w:strike w:val="0"/>
                <w:color w:val="000000"/>
                <w:sz w:val="24"/>
                <w:highlight w:val="none"/>
                <w:u w:val="none" w:color="auto"/>
              </w:rPr>
              <w:t>tal-infurzar tal-liġi mill-Istat Membru rikjedenti skont il-liġijiet ta’ dan l-Istat applikabbli għal minorenni u skont l-obbligu li tingħata konsiderazzjoni primarja fl-aħjar interessi tat-tfal</w:t>
            </w:r>
            <w:r>
              <w:t>.</w:t>
            </w:r>
          </w:p>
        </w:tc>
        <w:tc>
          <w:tcPr/>
          <w:p>
            <w:pPr>
              <w:pStyle w:val="Normal6"/>
            </w:pPr>
            <w:r>
              <w:rPr>
                <w:rFonts w:ascii="Times New Roman" w:eastAsia="Times New Roman" w:hAnsi="Times New Roman" w:cs="Times New Roman"/>
                <w:b/>
                <w:i/>
                <w:strike w:val="0"/>
                <w:color w:val="000000"/>
                <w:sz w:val="24"/>
                <w:highlight w:val="none"/>
                <w:u w:val="none" w:color="auto"/>
              </w:rPr>
              <w:t>26.</w:t>
            </w:r>
            <w:r>
              <w:tab/>
            </w:r>
            <w:r>
              <w:t xml:space="preserve">L-aħjar interessi tat-tfal </w:t>
            </w:r>
            <w:r>
              <w:rPr>
                <w:rFonts w:ascii="Times New Roman" w:eastAsia="Times New Roman" w:hAnsi="Times New Roman" w:cs="Times New Roman"/>
                <w:b/>
                <w:i/>
                <w:strike w:val="0"/>
                <w:color w:val="000000"/>
                <w:sz w:val="24"/>
                <w:highlight w:val="none"/>
                <w:u w:val="none" w:color="auto"/>
              </w:rPr>
              <w:t>għandhom ikunu kunsiderazzjoni</w:t>
            </w:r>
            <w:r>
              <w:t xml:space="preserve"> primarja għall-Istati Membri meta japplikaw dan ir-Regolament. Meta l-Istat Membru rikjedenti jistabbilixxi li d-data tal-Eurodac tkun relatata ma' </w:t>
            </w:r>
            <w:r>
              <w:rPr>
                <w:rFonts w:ascii="Times New Roman" w:eastAsia="Times New Roman" w:hAnsi="Times New Roman" w:cs="Times New Roman"/>
                <w:b/>
                <w:i/>
                <w:strike w:val="0"/>
                <w:color w:val="000000"/>
                <w:sz w:val="24"/>
                <w:highlight w:val="none"/>
                <w:u w:val="none" w:color="auto"/>
              </w:rPr>
              <w:t>minuri</w:t>
            </w:r>
            <w:r>
              <w:t xml:space="preserve">, din id-data tista’ tintuża biss għall-finijiet </w:t>
            </w:r>
            <w:r>
              <w:rPr>
                <w:rFonts w:ascii="Times New Roman" w:eastAsia="Times New Roman" w:hAnsi="Times New Roman" w:cs="Times New Roman"/>
                <w:b/>
                <w:i/>
                <w:strike w:val="0"/>
                <w:color w:val="000000"/>
                <w:sz w:val="24"/>
                <w:highlight w:val="none"/>
                <w:u w:val="none" w:color="auto"/>
              </w:rPr>
              <w:t>relatati mal-prevenzjoni, id-detezzjoni u l-investigazzjoni tat-traffikar tat-tfal u għall-protezzjoni tat-tfal nieqsa</w:t>
            </w:r>
            <w:r>
              <w:t>.</w:t>
            </w:r>
            <w:r>
              <w:rPr>
                <w:rFonts w:ascii="Times New Roman" w:eastAsia="Times New Roman" w:hAnsi="Times New Roman" w:cs="Times New Roman"/>
                <w:b/>
                <w:i/>
                <w:strike w:val="0"/>
                <w:color w:val="000000"/>
                <w:sz w:val="24"/>
                <w:highlight w:val="none"/>
                <w:u w:val="none" w:color="auto"/>
              </w:rPr>
              <w:t xml:space="preserve"> </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Għandha tintuża t-terminoloġija korretta tal-Artikolu 3.1 tal-Konvenzjoni dwar id-Drittijiet tat-Tfal tan-NU: L-Artikolku 3.1 tal-UN CRC jgħid hekk: "Fl-azzjonijiet kollha li jirrigwardaw it-tfal, kemm jekk meħuda minn istituzzjonijiet ta' għajnuna soċjali pubbliċi jew privati, qrati tal-liġi, awtoritajiet amministrattivi jew korpi leġiżlattivi, l-aħjar interessi tat-tfal għandhom jitqiesu tal-ewwel".</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Kati Piri</w:t>
      </w:r>
      <w:r>
        <w:t xml:space="preserve">, </w:t>
      </w:r>
      <w:r>
        <w:t>Maria Grapini</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(26)</w:t>
            </w:r>
            <w:r>
              <w:tab/>
            </w:r>
            <w:r>
              <w:t xml:space="preserve">L-aħjar interessi </w:t>
            </w:r>
            <w:r>
              <w:rPr>
                <w:rFonts w:ascii="Times New Roman" w:eastAsia="Times New Roman" w:hAnsi="Times New Roman" w:cs="Times New Roman"/>
                <w:b/>
                <w:i/>
                <w:strike w:val="0"/>
                <w:color w:val="000000"/>
                <w:sz w:val="24"/>
                <w:highlight w:val="none"/>
                <w:u w:val="none" w:color="auto"/>
              </w:rPr>
              <w:t>tat-tfal jinħtieġ</w:t>
            </w:r>
            <w:r>
              <w:t xml:space="preserve"> li jkunu </w:t>
            </w:r>
            <w:r>
              <w:rPr>
                <w:rFonts w:ascii="Times New Roman" w:eastAsia="Times New Roman" w:hAnsi="Times New Roman" w:cs="Times New Roman"/>
                <w:b/>
                <w:i/>
                <w:strike w:val="0"/>
                <w:color w:val="000000"/>
                <w:sz w:val="24"/>
                <w:highlight w:val="none"/>
                <w:u w:val="none" w:color="auto"/>
              </w:rPr>
              <w:t>konsiderazzjoni</w:t>
            </w:r>
            <w:r>
              <w:t xml:space="preserve"> primarja għall-Istati Membri meta japplikaw dan ir-Regolament. Meta l-Istat Membru rikjedenti jistabbilixxi li d-data tal-Eurodac tkun relatata </w:t>
            </w:r>
            <w:r>
              <w:rPr>
                <w:rFonts w:ascii="Times New Roman" w:eastAsia="Times New Roman" w:hAnsi="Times New Roman" w:cs="Times New Roman"/>
                <w:b/>
                <w:i/>
                <w:strike w:val="0"/>
                <w:color w:val="000000"/>
                <w:sz w:val="24"/>
                <w:highlight w:val="none"/>
                <w:u w:val="none" w:color="auto"/>
              </w:rPr>
              <w:t>ma’ minorenni</w:t>
            </w:r>
            <w:r>
              <w:t xml:space="preserve">, din id-data tista’ tintuża biss għall-finijiet </w:t>
            </w:r>
            <w:r>
              <w:rPr>
                <w:rFonts w:ascii="Times New Roman" w:eastAsia="Times New Roman" w:hAnsi="Times New Roman" w:cs="Times New Roman"/>
                <w:b/>
                <w:i/>
                <w:strike w:val="0"/>
                <w:color w:val="000000"/>
                <w:sz w:val="24"/>
                <w:highlight w:val="none"/>
                <w:u w:val="none" w:color="auto"/>
              </w:rPr>
              <w:t>tal-infurzar tal-liġi mill-Istat Membru rikjedenti skont il-liġijiet ta’ dan l-Istat applikabbli għal minorenni u skont l-obbligu li tingħata konsiderazzjoni primarja fl-aħjar interessi tat-tfal.</w:t>
            </w:r>
          </w:p>
        </w:tc>
        <w:tc>
          <w:tcPr/>
          <w:p>
            <w:pPr>
              <w:pStyle w:val="Normal6"/>
            </w:pPr>
            <w:r>
              <w:rPr>
                <w:rFonts w:ascii="Times New Roman" w:eastAsia="Times New Roman" w:hAnsi="Times New Roman" w:cs="Times New Roman"/>
                <w:b/>
                <w:i/>
                <w:strike w:val="0"/>
                <w:color w:val="000000"/>
                <w:sz w:val="24"/>
                <w:highlight w:val="none"/>
                <w:u w:val="none" w:color="auto"/>
              </w:rPr>
              <w:t>26.</w:t>
            </w:r>
            <w:r>
              <w:tab/>
            </w:r>
            <w:r>
              <w:t xml:space="preserve">L-aħjar interessi </w:t>
            </w:r>
            <w:r>
              <w:rPr>
                <w:rFonts w:ascii="Times New Roman" w:eastAsia="Times New Roman" w:hAnsi="Times New Roman" w:cs="Times New Roman"/>
                <w:b/>
                <w:i/>
                <w:strike w:val="0"/>
                <w:color w:val="000000"/>
                <w:sz w:val="24"/>
                <w:highlight w:val="none"/>
                <w:u w:val="none" w:color="auto"/>
              </w:rPr>
              <w:t>tal-minuri jenħtieġ</w:t>
            </w:r>
            <w:r>
              <w:t xml:space="preserve"> li jkunu </w:t>
            </w:r>
            <w:r>
              <w:rPr>
                <w:rFonts w:ascii="Times New Roman" w:eastAsia="Times New Roman" w:hAnsi="Times New Roman" w:cs="Times New Roman"/>
                <w:b/>
                <w:i/>
                <w:strike w:val="0"/>
                <w:color w:val="000000"/>
                <w:sz w:val="24"/>
                <w:highlight w:val="none"/>
                <w:u w:val="none" w:color="auto"/>
              </w:rPr>
              <w:t>kunsiderazzjoni</w:t>
            </w:r>
            <w:r>
              <w:t xml:space="preserve"> primarja għall-Istati Membri meta japplikaw dan ir-Regolament. Meta l-Istat Membru rikjedenti jistabbilixxi li d-data tal-Eurodac tkun relatata </w:t>
            </w:r>
            <w:r>
              <w:rPr>
                <w:rFonts w:ascii="Times New Roman" w:eastAsia="Times New Roman" w:hAnsi="Times New Roman" w:cs="Times New Roman"/>
                <w:b/>
                <w:i/>
                <w:strike w:val="0"/>
                <w:color w:val="000000"/>
                <w:sz w:val="24"/>
                <w:highlight w:val="none"/>
                <w:u w:val="none" w:color="auto"/>
              </w:rPr>
              <w:t>mat-tfal</w:t>
            </w:r>
            <w:r>
              <w:t xml:space="preserve">, din id-data tista' tintuża biss għall-finijiet </w:t>
            </w:r>
            <w:r>
              <w:rPr>
                <w:rFonts w:ascii="Times New Roman" w:eastAsia="Times New Roman" w:hAnsi="Times New Roman" w:cs="Times New Roman"/>
                <w:b/>
                <w:i/>
                <w:strike w:val="0"/>
                <w:color w:val="000000"/>
                <w:sz w:val="24"/>
                <w:highlight w:val="none"/>
                <w:u w:val="none" w:color="auto"/>
              </w:rPr>
              <w:t xml:space="preserve">relatati mal-prevenzjoni, id-detezzjoni u l-investigazzjoni tat-traffikar tat-tfal u għall-protezzjoni tat-tfal nieqsa u għat-teħid ta' miżuri għat-traċċar u r-riunifikazzjoni tal-familji. </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 Maria Corazza Bildt</w:t>
      </w:r>
      <w:r>
        <w:t xml:space="preserve">, </w:t>
      </w:r>
      <w:r>
        <w:t>Damiano Zoffoli</w:t>
      </w:r>
      <w:r>
        <w:t xml:space="preserve">, </w:t>
      </w:r>
      <w:r>
        <w:t>Barbara Matera</w:t>
      </w:r>
      <w:r>
        <w:t xml:space="preserve">, </w:t>
      </w:r>
      <w:r>
        <w:t>Petras Auštrevičius</w:t>
      </w:r>
      <w:r>
        <w:t xml:space="preserve">, </w:t>
      </w:r>
      <w:r>
        <w:t>Carlos Coelho</w:t>
      </w:r>
      <w:r>
        <w:t xml:space="preserve">, </w:t>
      </w:r>
      <w:r>
        <w:t>Hilde Vautmans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(26)</w:t>
            </w:r>
            <w:r>
              <w:tab/>
            </w:r>
            <w:r>
              <w:t>L-aħjar interessi tat-tfal jinħtieġ li jkunu konsiderazzjoni primarja għall-Istati Membri meta japplikaw dan ir-Regolament. Meta l-Istat Membru rikjedenti jistabbilixxi li d-data tal-Eurodac tkun relatata ma’ minorenni, din id-data tista’ tintuża biss għall-finijiet tal-infurzar tal-liġi</w:t>
            </w:r>
            <w:r>
              <w:rPr>
                <w:rFonts w:ascii="Times New Roman" w:eastAsia="Times New Roman" w:hAnsi="Times New Roman" w:cs="Times New Roman"/>
                <w:b/>
                <w:i/>
                <w:strike w:val="0"/>
                <w:color w:val="000000"/>
                <w:sz w:val="24"/>
                <w:highlight w:val="none"/>
                <w:u w:val="none" w:color="auto"/>
              </w:rPr>
              <w:t xml:space="preserve"> mill-Istat Membru rikjedenti</w:t>
            </w:r>
            <w:r>
              <w:t xml:space="preserve"> skont il-liġijiet ta’ dan l-Istat applikabbli għal minorenni u</w:t>
            </w:r>
            <w:r>
              <w:rPr>
                <w:rFonts w:ascii="Times New Roman" w:eastAsia="Times New Roman" w:hAnsi="Times New Roman" w:cs="Times New Roman"/>
                <w:b/>
                <w:i/>
                <w:strike w:val="0"/>
                <w:color w:val="000000"/>
                <w:sz w:val="24"/>
                <w:highlight w:val="none"/>
                <w:u w:val="none" w:color="auto"/>
              </w:rPr>
              <w:t xml:space="preserve"> skont</w:t>
            </w:r>
            <w:r>
              <w:t xml:space="preserve"> l-obbligu li tingħata konsiderazzjoni primarja fl-aħjar interessi tat-tfal.</w:t>
            </w:r>
          </w:p>
        </w:tc>
        <w:tc>
          <w:tcPr/>
          <w:p>
            <w:pPr>
              <w:pStyle w:val="Normal6"/>
            </w:pPr>
            <w:r>
              <w:t>(26)</w:t>
            </w:r>
            <w:r>
              <w:tab/>
            </w:r>
            <w:r>
              <w:t>L-aħjar interessi tat-tfal jinħtieġ li jkunu konsiderazzjoni primarja għall-Istati Membri meta japplikaw dan ir-Regolament. Meta l-Istat Membru rikjedenti jistabbilixxi li d-data tal-Eurodac tkun relatata ma’ minorenni, din id-data tista’ tintuża biss għall-finijiet tal-infurzar tal-liġi</w:t>
            </w:r>
            <w:r>
              <w:rPr>
                <w:rFonts w:ascii="Times New Roman" w:eastAsia="Times New Roman" w:hAnsi="Times New Roman" w:cs="Times New Roman"/>
                <w:b/>
                <w:i/>
                <w:strike w:val="0"/>
                <w:color w:val="000000"/>
                <w:sz w:val="24"/>
                <w:highlight w:val="none"/>
                <w:u w:val="none" w:color="auto"/>
              </w:rPr>
              <w:t>, sabiex jiġi żgurat l-aċċess għas-sistemi ta' protezzjoni u ta' traċċar tat-tfal neqsin</w:t>
            </w:r>
            <w:r>
              <w:t xml:space="preserve"> skont il-liġijiet ta’ dan l-Istat applikabbli għal minorenni u l-obbligu li tingħata konsiderazzjoni primarja fl-aħjar interessi tat-tfal.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(27)</w:t>
            </w:r>
            <w:r>
              <w:tab/>
            </w:r>
            <w:r>
              <w:t>Hemm bżonn li jkunu preskritti regoli preċiżi għat-trażmissjoni ta' dik id-data dwar marki tas-swaba’</w:t>
            </w:r>
            <w:r>
              <w:rPr>
                <w:rFonts w:ascii="Times New Roman" w:eastAsia="Times New Roman" w:hAnsi="Times New Roman" w:cs="Times New Roman"/>
                <w:b/>
                <w:i/>
                <w:strike w:val="0"/>
                <w:color w:val="000000"/>
                <w:sz w:val="24"/>
                <w:highlight w:val="none"/>
                <w:u w:val="none" w:color="auto"/>
              </w:rPr>
              <w:t xml:space="preserve">  u x-xbiha tal-wiċċ  </w:t>
            </w:r>
            <w:r>
              <w:t>lis-Sistema Ċentrali, ir-reġistrar ta' dik id-data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u ta' informazzjoni</w:t>
            </w:r>
            <w:r>
              <w:rPr>
                <w:rFonts w:ascii="Times New Roman" w:eastAsia="Times New Roman" w:hAnsi="Times New Roman" w:cs="Times New Roman"/>
                <w:b/>
                <w:i/>
                <w:strike w:val="0"/>
                <w:color w:val="000000"/>
                <w:sz w:val="24"/>
                <w:highlight w:val="none"/>
                <w:u w:val="none" w:color="auto"/>
              </w:rPr>
              <w:t xml:space="preserve">  </w:t>
            </w:r>
            <w:r>
              <w:t>personali</w:t>
            </w:r>
            <w:r>
              <w:rPr>
                <w:rFonts w:ascii="Times New Roman" w:eastAsia="Times New Roman" w:hAnsi="Times New Roman" w:cs="Times New Roman"/>
                <w:b/>
                <w:i/>
                <w:strike w:val="0"/>
                <w:color w:val="000000"/>
                <w:sz w:val="24"/>
                <w:highlight w:val="none"/>
                <w:u w:val="none" w:color="auto"/>
              </w:rPr>
              <w:t xml:space="preserve">  </w:t>
            </w:r>
            <w:r>
              <w:t>rilevanti oħra fis-Sistema Ċentrali, il-ħażna tagħhom, it-tqabbil ma' data dwar marki tas-swaba’ oħra</w:t>
            </w:r>
            <w:r>
              <w:rPr>
                <w:rFonts w:ascii="Times New Roman" w:eastAsia="Times New Roman" w:hAnsi="Times New Roman" w:cs="Times New Roman"/>
                <w:b/>
                <w:i/>
                <w:strike w:val="0"/>
                <w:color w:val="000000"/>
                <w:sz w:val="24"/>
                <w:highlight w:val="none"/>
                <w:u w:val="none" w:color="auto"/>
              </w:rPr>
              <w:t xml:space="preserve">  u x-xbiha tal-wiċċ </w:t>
            </w:r>
            <w:r>
              <w:t>, it-trażmissjoni tar-riżultati ta' dak it-tqabbil u l-immarkar u t-tħassir tad-data rreġistrata. Dawn ir-regoli jistgħu jvarjaw skont is-sitwazzjoni ta' kategoriji differenti ta' ċittadini ta’ pajjiż terz jew persuni apolidi, u għandhom ikunu adattati speċifikament għaliha.</w:t>
            </w:r>
          </w:p>
        </w:tc>
        <w:tc>
          <w:tcPr/>
          <w:p>
            <w:pPr>
              <w:pStyle w:val="Normal6"/>
            </w:pPr>
            <w:r>
              <w:t>(27)</w:t>
            </w:r>
            <w:r>
              <w:tab/>
            </w:r>
            <w:r>
              <w:t>Hemm bżonn li jkunu preskritti regoli preċiżi għat-trażmissjoni ta' dik id-data dwar marki tas-swaba'</w:t>
            </w:r>
            <w:r>
              <w:rPr>
                <w:rFonts w:ascii="Times New Roman" w:eastAsia="Times New Roman" w:hAnsi="Times New Roman" w:cs="Times New Roman"/>
                <w:b/>
                <w:i/>
                <w:strike w:val="0"/>
                <w:color w:val="000000"/>
                <w:sz w:val="24"/>
                <w:highlight w:val="none"/>
                <w:u w:val="none" w:color="auto"/>
              </w:rPr>
              <w:t xml:space="preserve">, data dwar ix-xbiha tal-wiċċ jew it-tnejn li huma </w:t>
            </w:r>
            <w:r>
              <w:t>lis-Sistema Ċentrali, ir-reġistrar ta' dik id-data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u ta' informazzjoni</w:t>
            </w:r>
            <w:r>
              <w:rPr>
                <w:rFonts w:ascii="Times New Roman" w:eastAsia="Times New Roman" w:hAnsi="Times New Roman" w:cs="Times New Roman"/>
                <w:b/>
                <w:i/>
                <w:strike w:val="0"/>
                <w:color w:val="000000"/>
                <w:sz w:val="24"/>
                <w:highlight w:val="none"/>
                <w:u w:val="none" w:color="auto"/>
              </w:rPr>
              <w:t xml:space="preserve"> </w:t>
            </w:r>
            <w:r>
              <w:t>personali</w:t>
            </w:r>
            <w:r>
              <w:rPr>
                <w:rFonts w:ascii="Times New Roman" w:eastAsia="Times New Roman" w:hAnsi="Times New Roman" w:cs="Times New Roman"/>
                <w:b/>
                <w:i/>
                <w:strike w:val="0"/>
                <w:color w:val="000000"/>
                <w:sz w:val="24"/>
                <w:highlight w:val="none"/>
                <w:u w:val="none" w:color="auto"/>
              </w:rPr>
              <w:t xml:space="preserve"> </w:t>
            </w:r>
            <w:r>
              <w:t>rilevanti oħra fis-Sistema Ċentrali, il-ħażna tagħhom, it-tqabbil</w:t>
            </w:r>
            <w:r>
              <w:rPr>
                <w:rFonts w:ascii="Times New Roman" w:eastAsia="Times New Roman" w:hAnsi="Times New Roman" w:cs="Times New Roman"/>
                <w:b/>
                <w:i/>
                <w:strike w:val="0"/>
                <w:color w:val="000000"/>
                <w:sz w:val="24"/>
                <w:highlight w:val="none"/>
                <w:u w:val="none" w:color="auto"/>
              </w:rPr>
              <w:t xml:space="preserve"> tagħhom</w:t>
            </w:r>
            <w:r>
              <w:t xml:space="preserve"> ma' data dwar marki tas-swaba’ oħra</w:t>
            </w:r>
            <w:r>
              <w:rPr>
                <w:rFonts w:ascii="Times New Roman" w:eastAsia="Times New Roman" w:hAnsi="Times New Roman" w:cs="Times New Roman"/>
                <w:b/>
                <w:i/>
                <w:strike w:val="0"/>
                <w:color w:val="000000"/>
                <w:sz w:val="24"/>
                <w:highlight w:val="none"/>
                <w:u w:val="none" w:color="auto"/>
              </w:rPr>
              <w:t>, data dwar ix-xbiha tal-wiċċ jew it-tnejn li huma</w:t>
            </w:r>
            <w:r>
              <w:t>, it-trażmissjoni tar-riżultati ta' dak it-tqabbil u l-immarkar u t-tħassir tad-data rreġistrata. Dawn ir-regoli jistgħu jvarjaw skont is-sitwazzjoni ta' kategoriji differenti ta' ċittadini ta’ pajjiż terz jew persuni apolidi, u għandhom ikunu adattati speċifikament għaliha.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(28)</w:t>
            </w:r>
            <w:r>
              <w:tab/>
            </w:r>
            <w:r>
              <w:t>L-Istati Membri għandhom jiżguraw it-trażmissjoni tad-data tal-marki tas-swaba’</w:t>
            </w:r>
            <w:r>
              <w:rPr>
                <w:rFonts w:ascii="Times New Roman" w:eastAsia="Times New Roman" w:hAnsi="Times New Roman" w:cs="Times New Roman"/>
                <w:b/>
                <w:i/>
                <w:strike w:val="0"/>
                <w:color w:val="000000"/>
                <w:sz w:val="24"/>
                <w:highlight w:val="none"/>
                <w:u w:val="none" w:color="auto"/>
              </w:rPr>
              <w:t xml:space="preserve">  u xbiha tal-wiċċ  </w:t>
            </w:r>
            <w:r>
              <w:t>fi kwalità xierqa għall-iskop ta’ tqabbil permezz tas-sistema kompjuterizzata ta’ rikonoxximent tal-marki tas-swaba’</w:t>
            </w:r>
            <w:r>
              <w:rPr>
                <w:rFonts w:ascii="Times New Roman" w:eastAsia="Times New Roman" w:hAnsi="Times New Roman" w:cs="Times New Roman"/>
                <w:b/>
                <w:i/>
                <w:strike w:val="0"/>
                <w:color w:val="000000"/>
                <w:sz w:val="24"/>
                <w:highlight w:val="none"/>
                <w:u w:val="none" w:color="auto"/>
              </w:rPr>
              <w:t xml:space="preserve">  </w:t>
            </w:r>
            <w:r>
              <w:t>u x-xbiha tal-wiċċ . L-awtoritajiet kollha bi dritt ta' aċċess għall-Eurodac għandhom jinvestu f'taħriġ adegwat u fit-tagħmir teknoloġiku meħtieġ. L-awtoritajiet bi dritt ta' aċċess għall-Eurodac għandhom jinfurmaw lill-Aġenzija Ewropea għat-tmexxija operattiva tas-sistemi tal-IT fuq skala kbira fl-ispazju ta’ libertà sigurtà u ġustizzja stabbilita bir-Regolament (UE) Nru 1077/2011 tal-Parlament Ewropew u tal-Kunsill</w:t>
            </w:r>
            <w:r>
              <w:rPr>
                <w:rStyle w:val="Sup"/>
              </w:rPr>
              <w:t>33</w:t>
            </w:r>
            <w:r>
              <w:t xml:space="preserve"> (</w:t>
            </w:r>
            <w:r>
              <w:rPr>
                <w:rFonts w:ascii="Times New Roman" w:eastAsia="Times New Roman" w:hAnsi="Times New Roman" w:cs="Times New Roman"/>
                <w:b/>
                <w:i/>
                <w:strike w:val="0"/>
                <w:color w:val="000000"/>
                <w:sz w:val="24"/>
                <w:highlight w:val="none"/>
                <w:u w:val="none" w:color="auto"/>
              </w:rPr>
              <w:t xml:space="preserve">  </w:t>
            </w:r>
            <w:r>
              <w:t>"eu-LISA" ) dwar diffikultajiet speċifiċi fir-rigward tal-kwalità tad-data, sabiex tinstab soluzzjoni għalihom.</w:t>
            </w:r>
          </w:p>
        </w:tc>
        <w:tc>
          <w:tcPr/>
          <w:p>
            <w:pPr>
              <w:pStyle w:val="Normal6"/>
            </w:pPr>
            <w:r>
              <w:t>(28)</w:t>
            </w:r>
            <w:r>
              <w:tab/>
            </w:r>
            <w:r>
              <w:t>L-Istati Membri għandhom jiżguraw it-trażmissjoni tad-data tal-marki tas-swaba’</w:t>
            </w:r>
            <w:r>
              <w:rPr>
                <w:rFonts w:ascii="Times New Roman" w:eastAsia="Times New Roman" w:hAnsi="Times New Roman" w:cs="Times New Roman"/>
                <w:b/>
                <w:i/>
                <w:strike w:val="0"/>
                <w:color w:val="000000"/>
                <w:sz w:val="24"/>
                <w:highlight w:val="none"/>
                <w:u w:val="none" w:color="auto"/>
              </w:rPr>
              <w:t xml:space="preserve">, id-data dwar ix-xbiha tal-wiċċ jew it-tnejn li huma </w:t>
            </w:r>
            <w:r>
              <w:t>fi kwalità xierqa għall-iskop ta’ tqabbil permezz tas-sistema kompjuterizzata ta’ rikonoxximent tal-marki tas-swaba’</w:t>
            </w:r>
            <w:r>
              <w:rPr>
                <w:rFonts w:ascii="Times New Roman" w:eastAsia="Times New Roman" w:hAnsi="Times New Roman" w:cs="Times New Roman"/>
                <w:b/>
                <w:i/>
                <w:strike w:val="0"/>
                <w:color w:val="000000"/>
                <w:sz w:val="24"/>
                <w:highlight w:val="none"/>
                <w:u w:val="none" w:color="auto"/>
              </w:rPr>
              <w:t xml:space="preserve"> </w:t>
            </w:r>
            <w:r>
              <w:t>u x-xbiha tal-wiċċ . L-awtoritajiet kollha bi dritt ta' aċċess għall-Eurodac għandhom jinvestu f'taħriġ adegwat u fit-tagħmir teknoloġiku meħtieġ. L-awtoritajiet bi dritt ta' aċċess għall-Eurodac għandhom jinfurmaw lill-Aġenzija Ewropea għat-tmexxija operattiva tas-sistemi tal-IT fuq skala kbira fl-ispazju ta’ libertà sigurtà u ġustizzja stabbilita bir-Regolament (UE) Nru 1077/2011 tal-Parlament Ewropew u tal-Kunsill</w:t>
            </w:r>
            <w:r>
              <w:rPr>
                <w:rStyle w:val="Sup"/>
              </w:rPr>
              <w:t>33</w:t>
            </w:r>
            <w:r>
              <w:t xml:space="preserve"> (</w:t>
            </w:r>
            <w:r>
              <w:rPr>
                <w:rFonts w:ascii="Times New Roman" w:eastAsia="Times New Roman" w:hAnsi="Times New Roman" w:cs="Times New Roman"/>
                <w:b/>
                <w:i/>
                <w:strike w:val="0"/>
                <w:color w:val="000000"/>
                <w:sz w:val="24"/>
                <w:highlight w:val="none"/>
                <w:u w:val="none" w:color="auto"/>
              </w:rPr>
              <w:t xml:space="preserve"> </w:t>
            </w:r>
            <w:r>
              <w:t>"eu-LISA" ) dwar diffikultajiet speċifiċi fir-rigward tal-kwalità tad-data, sabiex tinstab soluzzjoni għalihom.</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33</w:t>
            </w:r>
            <w:r>
              <w:t xml:space="preserve"> </w:t>
            </w:r>
            <w:r>
              <w:t>Ir-Regolament (UE) Nru 1077/2011 li jistabbilixxi Aġenzija Ewropea għat-tmexxija operattiva tas-sistemi tal-IT fuq skala kbira fl-ispazju ta’ libertà, sigurtà u ġustizzja (ĠU L 286, 1.11.2011, p. 1).</w:t>
            </w:r>
          </w:p>
        </w:tc>
        <w:tc>
          <w:tcPr/>
          <w:p>
            <w:pPr>
              <w:pStyle w:val="Normal6"/>
            </w:pPr>
            <w:r>
              <w:rPr>
                <w:rStyle w:val="Sup"/>
              </w:rPr>
              <w:t>33</w:t>
            </w:r>
            <w:r>
              <w:t xml:space="preserve"> </w:t>
            </w:r>
            <w:r>
              <w:t>Ir-Regolament (UE) Nru 1077/2011 li jistabbilixxi Aġenzija Ewropea għat-tmexxija operattiva tas-sistemi tal-IT fuq skala kbira fl-ispazju ta’ libertà, sigurtà u ġustizzja (ĠU L 286, 1.11.2011, p. 1).</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(28)</w:t>
            </w:r>
            <w:r>
              <w:tab/>
            </w:r>
            <w:r>
              <w:t>L-Istati Membri għandhom jiżguraw it-trażmissjoni tad-data tal-marki tas-swaba’</w:t>
            </w:r>
            <w:r>
              <w:rPr>
                <w:rFonts w:ascii="Times New Roman" w:eastAsia="Times New Roman" w:hAnsi="Times New Roman" w:cs="Times New Roman"/>
                <w:b/>
                <w:i/>
                <w:strike w:val="0"/>
                <w:color w:val="000000"/>
                <w:sz w:val="24"/>
                <w:highlight w:val="none"/>
                <w:u w:val="none" w:color="auto"/>
              </w:rPr>
              <w:t xml:space="preserve">  </w:t>
            </w:r>
            <w:r>
              <w:t>u xbiha tal-wiċċ</w:t>
            </w:r>
            <w:r>
              <w:rPr>
                <w:rFonts w:ascii="Times New Roman" w:eastAsia="Times New Roman" w:hAnsi="Times New Roman" w:cs="Times New Roman"/>
                <w:b/>
                <w:i/>
                <w:strike w:val="0"/>
                <w:color w:val="000000"/>
                <w:sz w:val="24"/>
                <w:highlight w:val="none"/>
                <w:u w:val="none" w:color="auto"/>
              </w:rPr>
              <w:t xml:space="preserve">  </w:t>
            </w:r>
            <w:r>
              <w:t>fi kwalità xierqa għall-iskop ta’ tqabbil permezz tas-sistema kompjuterizzata ta’ rikonoxximent tal-marki tas-swaba’</w:t>
            </w:r>
            <w:r>
              <w:rPr>
                <w:rFonts w:ascii="Times New Roman" w:eastAsia="Times New Roman" w:hAnsi="Times New Roman" w:cs="Times New Roman"/>
                <w:b/>
                <w:i/>
                <w:strike w:val="0"/>
                <w:color w:val="000000"/>
                <w:sz w:val="24"/>
                <w:highlight w:val="none"/>
                <w:u w:val="none" w:color="auto"/>
              </w:rPr>
              <w:t xml:space="preserve">  </w:t>
            </w:r>
            <w:r>
              <w:t>u x-xbiha tal-wiċċ . L-awtoritajiet kollha bi dritt ta' aċċess għall-Eurodac għandhom jinvestu f'taħriġ adegwat u fit-tagħmir teknoloġiku meħtieġ. L-awtoritajiet bi dritt ta' aċċess għall-Eurodac għandhom jinfurmaw lill-Aġenzija Ewropea għat-tmexxija operattiva tas-sistemi tal-IT fuq skala kbira fl-ispazju ta’ libertà sigurtà u ġustizzja stabbilita bir-Regolament (UE) Nru 1077/2011 tal-Parlament Ewropew u tal-Kunsill</w:t>
            </w:r>
            <w:r>
              <w:rPr>
                <w:rStyle w:val="Sup"/>
              </w:rPr>
              <w:t>33</w:t>
            </w:r>
            <w:r>
              <w:t xml:space="preserve"> (</w:t>
            </w:r>
            <w:r>
              <w:rPr>
                <w:rFonts w:ascii="Times New Roman" w:eastAsia="Times New Roman" w:hAnsi="Times New Roman" w:cs="Times New Roman"/>
                <w:b/>
                <w:i/>
                <w:strike w:val="0"/>
                <w:color w:val="000000"/>
                <w:sz w:val="24"/>
                <w:highlight w:val="none"/>
                <w:u w:val="none" w:color="auto"/>
              </w:rPr>
              <w:t xml:space="preserve">  </w:t>
            </w:r>
            <w:r>
              <w:t>"eu-LISA" ) dwar diffikultajiet speċifiċi fir-rigward tal-kwalità tad-data, sabiex tinstab soluzzjoni għalihom.</w:t>
            </w:r>
          </w:p>
        </w:tc>
        <w:tc>
          <w:tcPr/>
          <w:p>
            <w:pPr>
              <w:pStyle w:val="Normal6"/>
            </w:pPr>
            <w:r>
              <w:t>(28)</w:t>
            </w:r>
            <w:r>
              <w:tab/>
            </w:r>
            <w:r>
              <w:t>L-Istati Membri għandhom jiżguraw it-trażmissjoni tad-data tal-marki tas-swaba’</w:t>
            </w:r>
            <w:r>
              <w:rPr>
                <w:rFonts w:ascii="Times New Roman" w:eastAsia="Times New Roman" w:hAnsi="Times New Roman" w:cs="Times New Roman"/>
                <w:b/>
                <w:i/>
                <w:strike w:val="0"/>
                <w:color w:val="000000"/>
                <w:sz w:val="24"/>
                <w:highlight w:val="none"/>
                <w:u w:val="none" w:color="auto"/>
              </w:rPr>
              <w:t xml:space="preserve"> </w:t>
            </w:r>
            <w:r>
              <w:t>u xbiha tal-wiċċ</w:t>
            </w:r>
            <w:r>
              <w:rPr>
                <w:rFonts w:ascii="Times New Roman" w:eastAsia="Times New Roman" w:hAnsi="Times New Roman" w:cs="Times New Roman"/>
                <w:b/>
                <w:i/>
                <w:strike w:val="0"/>
                <w:color w:val="000000"/>
                <w:sz w:val="24"/>
                <w:highlight w:val="none"/>
                <w:u w:val="none" w:color="auto"/>
              </w:rPr>
              <w:t xml:space="preserve"> </w:t>
            </w:r>
            <w:r>
              <w:t>fi kwalità xierqa għall-iskop ta’ tqabbil permezz tas-sistema kompjuterizzata ta’ rikonoxximent tal-marki tas-swaba’</w:t>
            </w:r>
            <w:r>
              <w:rPr>
                <w:rFonts w:ascii="Times New Roman" w:eastAsia="Times New Roman" w:hAnsi="Times New Roman" w:cs="Times New Roman"/>
                <w:b/>
                <w:i/>
                <w:strike w:val="0"/>
                <w:color w:val="000000"/>
                <w:sz w:val="24"/>
                <w:highlight w:val="none"/>
                <w:u w:val="none" w:color="auto"/>
              </w:rPr>
              <w:t xml:space="preserve"> </w:t>
            </w:r>
            <w:r>
              <w:t>u x-xbiha tal-wiċċ . L-awtoritajiet kollha bi dritt ta' aċċess għall-Eurodac għandhom jinvestu f'taħriġ adegwat u fit-tagħmir teknoloġiku meħtieġ. L-awtoritajiet bi dritt ta' aċċess għall-Eurodac għandhom jinfurmaw lill-Aġenzija Ewropea għat-tmexxija operattiva tas-sistemi tal-IT fuq skala kbira fl-ispazju ta’ libertà sigurtà u ġustizzja stabbilita bir-Regolament (UE) Nru 1077/2011 tal-Parlament Ewropew u tal-Kunsill</w:t>
            </w:r>
            <w:r>
              <w:rPr>
                <w:rStyle w:val="Sup"/>
              </w:rPr>
              <w:t>33</w:t>
            </w:r>
            <w:r>
              <w:t xml:space="preserve"> (</w:t>
            </w:r>
            <w:r>
              <w:rPr>
                <w:rFonts w:ascii="Times New Roman" w:eastAsia="Times New Roman" w:hAnsi="Times New Roman" w:cs="Times New Roman"/>
                <w:b/>
                <w:i/>
                <w:strike w:val="0"/>
                <w:color w:val="000000"/>
                <w:sz w:val="24"/>
                <w:highlight w:val="none"/>
                <w:u w:val="none" w:color="auto"/>
              </w:rPr>
              <w:t xml:space="preserve"> minn hawn 'il quddiem </w:t>
            </w:r>
            <w:r>
              <w:t>"eu-LISA" ) dwar diffikultajiet speċifiċi fir-rigward tal-kwalità tad-data, sabiex tinstab soluzzjoni għalihom</w:t>
            </w:r>
            <w:r>
              <w:rPr>
                <w:rFonts w:ascii="Times New Roman" w:eastAsia="Times New Roman" w:hAnsi="Times New Roman" w:cs="Times New Roman"/>
                <w:b/>
                <w:i/>
                <w:strike w:val="0"/>
                <w:color w:val="000000"/>
                <w:sz w:val="24"/>
                <w:highlight w:val="none"/>
                <w:u w:val="none" w:color="auto"/>
              </w:rPr>
              <w:t xml:space="preserve"> u jiġu promossi standards komuni</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33</w:t>
            </w:r>
            <w:r>
              <w:t xml:space="preserve"> </w:t>
            </w:r>
            <w:r>
              <w:t>Ir-Regolament (UE) Nru 1077/2011 li jistabbilixxi Aġenzija Ewropea għat-tmexxija operattiva tas-sistemi tal-IT fuq skala kbira fl-ispazju ta’ libertà, sigurtà u ġustizzja (ĠU L 286, 1.11.2011, p. 1).</w:t>
            </w:r>
          </w:p>
        </w:tc>
        <w:tc>
          <w:tcPr/>
          <w:p>
            <w:pPr>
              <w:pStyle w:val="Normal6"/>
            </w:pPr>
            <w:r>
              <w:rPr>
                <w:rStyle w:val="Sup"/>
              </w:rPr>
              <w:t>33</w:t>
            </w:r>
            <w:r>
              <w:t xml:space="preserve"> </w:t>
            </w:r>
            <w:r>
              <w:t>Ir-Regolament (UE) Nru 1077/2011 li jistabbilixxi Aġenzija Ewropea għat-tmexxija operattiva tas-sistemi tal-IT fuq skala kbira fl-ispazju ta’ libertà, sigurtà u ġustizzja (ĠU L 286, 1.11.2011, p. 1).</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Sabiex ikunu effikaċji, il-produzzjoni u t-trażmissjoni tad-data mill-Istati Membri għandhom jiġu armonizzati. L-iskambji ta' esperjenzi, għalhekk, għandhom joffru okkażjoni biex l-eu-Lisa tipproduċi u tippromwovi standards komuni.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(29)</w:t>
            </w:r>
            <w:r>
              <w:tab/>
            </w:r>
            <w:r>
              <w:t>Il-fatt li jkun temporanjament jew permanentement impossibbli li tittieħed u / jew tiġi trażmessa data tal-marki tas-swaba’</w:t>
            </w:r>
            <w:r>
              <w:rPr>
                <w:rFonts w:ascii="Times New Roman" w:eastAsia="Times New Roman" w:hAnsi="Times New Roman" w:cs="Times New Roman"/>
                <w:b/>
                <w:i/>
                <w:strike w:val="0"/>
                <w:color w:val="000000"/>
                <w:sz w:val="24"/>
                <w:highlight w:val="none"/>
                <w:u w:val="none" w:color="auto"/>
              </w:rPr>
              <w:t xml:space="preserve">  u x-xbiha tal-wiċċ  </w:t>
            </w:r>
            <w:r>
              <w:t>minħabba raġunijiet bħall-kwalità insuffiċjenti tad-data għal tqabbil xieraq, problemi tekniċi, raġunijiet marbuta mal-ħarsien tas-saħħa jew minħabba li s-suġġett tad-data ma jkunx f’qagħda jew ma jkollux il-ħila li jitteħdulu 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minħabba ċirkostanzi barra mill-kontroll tiegħu, ma għandhiex taffettwa b’mod negattiv l-eżami ta', jew id-deċiżjoni dwar, l-applikazzjoni għall-protezzjoni internazzjonali ppreżentata minn dik il-persuna.</w:t>
            </w:r>
          </w:p>
        </w:tc>
        <w:tc>
          <w:tcPr/>
          <w:p>
            <w:pPr>
              <w:pStyle w:val="Normal6"/>
            </w:pPr>
            <w:r>
              <w:t>(29)</w:t>
            </w:r>
            <w:r>
              <w:tab/>
            </w:r>
            <w:r>
              <w:t>Il-fatt li jkun temporanjament jew permanentement impossibbli li tittieħed u / jew tiġi trażmessa data tal-marki tas-swaba’</w:t>
            </w:r>
            <w:r>
              <w:rPr>
                <w:rFonts w:ascii="Times New Roman" w:eastAsia="Times New Roman" w:hAnsi="Times New Roman" w:cs="Times New Roman"/>
                <w:b/>
                <w:i/>
                <w:strike w:val="0"/>
                <w:color w:val="000000"/>
                <w:sz w:val="24"/>
                <w:highlight w:val="none"/>
                <w:u w:val="none" w:color="auto"/>
              </w:rPr>
              <w:t xml:space="preserve">, data dwar ix-xbiha tal-wiċċ jew it-tnejn li huma, </w:t>
            </w:r>
            <w:r>
              <w:t>minħabba raġunijiet bħall-kwalità insuffiċjenti tad-data għal tqabbil xieraq, problemi tekniċi, raġunijiet marbuta mal-ħarsien tas-saħħa jew minħabba li s-suġġett tad-data ma jkunx f’qagħda jew ma jkollux il-ħila li jitteħdulu 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minħabba ċirkostanzi barra mill-kontroll tiegħu, ma għandhiex taffettwa b’mod negattiv l-eżami ta', jew id-deċiżjoni dwar, l-applikazzjoni għall-protezzjoni internazzjonali ppreżentata minn dik il-persuna.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(30)</w:t>
            </w:r>
            <w:r>
              <w:tab/>
            </w:r>
            <w:r>
              <w:t xml:space="preserve">L-Istati Membri </w:t>
            </w:r>
            <w:r>
              <w:rPr>
                <w:rFonts w:ascii="Times New Roman" w:eastAsia="Times New Roman" w:hAnsi="Times New Roman" w:cs="Times New Roman"/>
                <w:b/>
                <w:i/>
                <w:strike w:val="0"/>
                <w:color w:val="000000"/>
                <w:sz w:val="24"/>
                <w:highlight w:val="none"/>
                <w:u w:val="none" w:color="auto"/>
              </w:rPr>
              <w:t>jinħtieġ li jirreferu għad-Dokument ta’ Ħidma tal-Persunal tal-Kummissjoni dwar l-Implimentazzjoni tar-Regolament Eurodac rigward l-obbligi li jittieħdu</w:t>
            </w:r>
            <w:r>
              <w:t xml:space="preserve"> l-marki tas-swaba’ </w:t>
            </w:r>
            <w:r>
              <w:rPr>
                <w:rFonts w:ascii="Times New Roman" w:eastAsia="Times New Roman" w:hAnsi="Times New Roman" w:cs="Times New Roman"/>
                <w:b/>
                <w:i/>
                <w:strike w:val="0"/>
                <w:color w:val="000000"/>
                <w:sz w:val="24"/>
                <w:highlight w:val="none"/>
                <w:u w:val="none" w:color="auto"/>
              </w:rPr>
              <w:t>adottat mill-Kunsill fl-20 ta’ Lulju 2015</w:t>
            </w:r>
            <w:r>
              <w:rPr>
                <w:rStyle w:val="SupBoldItalic"/>
              </w:rPr>
              <w:t>34</w:t>
            </w:r>
            <w:r>
              <w:rPr>
                <w:rFonts w:ascii="Times New Roman" w:eastAsia="Times New Roman" w:hAnsi="Times New Roman" w:cs="Times New Roman"/>
                <w:b/>
                <w:i/>
                <w:strike w:val="0"/>
                <w:color w:val="000000"/>
                <w:sz w:val="24"/>
                <w:highlight w:val="none"/>
                <w:u w:val="none" w:color="auto"/>
              </w:rPr>
              <w:t xml:space="preserve"> , li jistabbilixxi l-istrateġija dwar l-aħjar prattiki biex jittieħdu l-marki tas-swaba' ta' ċittadini ta' pajjiżi terzi irregolari</w:t>
            </w:r>
            <w:r>
              <w:t xml:space="preserve">. Meta l-liġi nazzjonali ta’ Stat Membru tippermetti </w:t>
            </w:r>
            <w:r>
              <w:rPr>
                <w:rFonts w:ascii="Times New Roman" w:eastAsia="Times New Roman" w:hAnsi="Times New Roman" w:cs="Times New Roman"/>
                <w:b/>
                <w:i/>
                <w:strike w:val="0"/>
                <w:color w:val="000000"/>
                <w:sz w:val="24"/>
                <w:highlight w:val="none"/>
                <w:u w:val="none" w:color="auto"/>
              </w:rPr>
              <w:t>għat-teħid</w:t>
            </w:r>
            <w:r>
              <w:t xml:space="preserve"> tal-marki tas-swaba’ bil-forza bħala l-aħħar miżura, dawn il-miżuri jridu jirrispettaw bis-sħiħ il-Karta tal-UE dwar id-Drittijiet Fundamentali. Ċittadini ta’ pajjiżi terzi li jkunu meqjusa persuni vulnerabbli u minuri ma għandhomx jiġu furzati jagħtu l-marki tas-swaba’ jew ix-xbiha tal-wiċċ, ħlief f’ċirkostanzi ġustifikati li huma permessi skont il-liġi nazzjonali.</w:t>
            </w:r>
          </w:p>
        </w:tc>
        <w:tc>
          <w:tcPr/>
          <w:p>
            <w:pPr>
              <w:pStyle w:val="Normal6"/>
            </w:pPr>
            <w:r>
              <w:t>(30)</w:t>
            </w:r>
            <w:r>
              <w:tab/>
            </w:r>
            <w:r>
              <w:t xml:space="preserve">L-Istati Membri </w:t>
            </w:r>
            <w:r>
              <w:rPr>
                <w:rFonts w:ascii="Times New Roman" w:eastAsia="Times New Roman" w:hAnsi="Times New Roman" w:cs="Times New Roman"/>
                <w:b/>
                <w:i/>
                <w:strike w:val="0"/>
                <w:color w:val="000000"/>
                <w:sz w:val="24"/>
                <w:highlight w:val="none"/>
                <w:u w:val="none" w:color="auto"/>
              </w:rPr>
              <w:t>għandhom japplikaw il-linji gwida li għandhom jiġu stabbiliti u monitorjati, b'mod konġunt, mill-Aġenzija tal-Unjoni Ewropea għall-Asil u mill-Aġenzija tal-Unjoni Ewropea għad-Drittijiet Fundamentali (FRA) għal prattika komuni li tieħu</w:t>
            </w:r>
            <w:r>
              <w:t xml:space="preserve"> l-marki tas-swaba' </w:t>
            </w:r>
            <w:r>
              <w:rPr>
                <w:rFonts w:ascii="Times New Roman" w:eastAsia="Times New Roman" w:hAnsi="Times New Roman" w:cs="Times New Roman"/>
                <w:b/>
                <w:i/>
                <w:strike w:val="0"/>
                <w:color w:val="000000"/>
                <w:sz w:val="24"/>
                <w:highlight w:val="none"/>
                <w:u w:val="none" w:color="auto"/>
              </w:rPr>
              <w:t>u l-immaġni tax-xbiha tal-wiċċ ta' ċittadini irregolari ta' pajjiżi terzi f'konformità mal-Karta tad-Drittijiet Fundamentali tal-Unjoni Ewropea, li tibni fuq il-Lista ta' Kontroll 2015 tal-FRA</w:t>
            </w:r>
            <w:r>
              <w:rPr>
                <w:rStyle w:val="SupBoldItalic"/>
              </w:rPr>
              <w:t>1a</w:t>
            </w:r>
            <w:r>
              <w:t xml:space="preserve">. Meta l-liġi nazzjonali ta’ Stat Membru tippermetti </w:t>
            </w:r>
            <w:r>
              <w:rPr>
                <w:rFonts w:ascii="Times New Roman" w:eastAsia="Times New Roman" w:hAnsi="Times New Roman" w:cs="Times New Roman"/>
                <w:b/>
                <w:i/>
                <w:strike w:val="0"/>
                <w:color w:val="000000"/>
                <w:sz w:val="24"/>
                <w:highlight w:val="none"/>
                <w:u w:val="none" w:color="auto"/>
              </w:rPr>
              <w:t>t-teħid</w:t>
            </w:r>
            <w:r>
              <w:t xml:space="preserve"> tal-marki tas-swaba’ bil-forza bħala l-aħħar miżura, dawn il-miżuri jridu jirrispettaw bis-sħiħ il-Karta tal-UE dwar id-Drittijiet Fundamentali. Ċittadini ta’ pajjiżi terzi li jkunu meqjusa persuni vulnerabbli u minuri ma għandhomx jiġu furzati jagħtu l-marki tas-swaba’ jew ix-xbiha tal-wiċċ, ħlief f’ċirkostanzi ġustifikati li huma permessi skont il-liġi nazzjonali.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Style w:val="SupBoldItalic"/>
              </w:rPr>
              <w:t>1a</w:t>
            </w:r>
            <w:r>
              <w:t xml:space="preserve"> </w:t>
            </w:r>
            <w:r>
              <w:rPr>
                <w:rFonts w:ascii="Times New Roman" w:eastAsia="Times New Roman" w:hAnsi="Times New Roman" w:cs="Times New Roman"/>
                <w:b/>
                <w:i/>
                <w:strike w:val="0"/>
                <w:color w:val="000000"/>
                <w:sz w:val="24"/>
                <w:highlight w:val="none"/>
                <w:u w:val="none" w:color="auto"/>
              </w:rPr>
              <w:t>Lista ta' Kontroll tal-FRA sabiex ikun hemm konformità mad-drittijiet fundamentali meta jittieħdu l-marki tas-swaba' għall-Eurodac, 2015 http://fra.europa.eu/en/publication/2015/fundamental-rights-implications-obligation-provide-fingerprints-eurodac#checklist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34</w:t>
            </w:r>
            <w:r>
              <w:t xml:space="preserve"> </w:t>
            </w:r>
            <w:r>
              <w:rPr>
                <w:rFonts w:ascii="Times New Roman" w:eastAsia="Times New Roman" w:hAnsi="Times New Roman" w:cs="Times New Roman"/>
                <w:b/>
                <w:i/>
                <w:strike w:val="0"/>
                <w:color w:val="000000"/>
                <w:sz w:val="24"/>
                <w:highlight w:val="none"/>
                <w:u w:val="none" w:color="auto"/>
              </w:rPr>
              <w:t>COM(2015) 150 final, 27.5.2015</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(30)</w:t>
            </w:r>
            <w:r>
              <w:tab/>
            </w:r>
            <w:r>
              <w:t>L-Istati Membri jinħtieġ li jirreferu għad-Dokument ta’ Ħidma tal-Persunal tal-Kummissjoni dwar l-Implimentazzjoni tar-Regolament Eurodac rigward l-obbligi li jittieħdu l-marki tas-swaba’ adottat mill-Kunsill fl-20 ta’ Lulju 2015</w:t>
            </w:r>
            <w:r>
              <w:rPr>
                <w:rStyle w:val="Sup"/>
              </w:rPr>
              <w:t>34</w:t>
            </w:r>
            <w:r>
              <w:rPr>
                <w:rFonts w:ascii="Times New Roman" w:eastAsia="Times New Roman" w:hAnsi="Times New Roman" w:cs="Times New Roman"/>
                <w:b/>
                <w:i/>
                <w:strike w:val="0"/>
                <w:color w:val="000000"/>
                <w:sz w:val="24"/>
                <w:highlight w:val="none"/>
                <w:u w:val="none" w:color="auto"/>
              </w:rPr>
              <w:t xml:space="preserve"> </w:t>
            </w:r>
            <w:r>
              <w:t>, li jistabbilixxi l-istrateġija dwar l-aħjar prattiki biex jittieħdu l-marki tas-swaba' ta' ċittadini ta' pajjiżi terzi irregolari. Meta l-liġi nazzjonali ta’ Stat Membru tippermetti għat-teħid tal-marki tas-swaba’ bil-forza bħala l-aħħar miżura, dawn il-miżuri jridu jirrispettaw bis-sħiħ il-Karta tal-UE dwar id-Drittijiet Fundamentali. Ċittadini ta’ pajjiżi terzi</w:t>
            </w:r>
            <w:r>
              <w:rPr>
                <w:rFonts w:ascii="Times New Roman" w:eastAsia="Times New Roman" w:hAnsi="Times New Roman" w:cs="Times New Roman"/>
                <w:b/>
                <w:i/>
                <w:strike w:val="0"/>
                <w:color w:val="000000"/>
                <w:sz w:val="24"/>
                <w:highlight w:val="none"/>
                <w:u w:val="none" w:color="auto"/>
              </w:rPr>
              <w:t xml:space="preserve"> li jkunu meqjusa persuni vulnerabbli</w:t>
            </w:r>
            <w:r>
              <w:t xml:space="preserve"> u minuri ma għandhomx jiġu furzati jagħtu l-marki tas-swaba’ jew ix-xbiha tal-wiċċ, ħlief f’ċirkostanzi ġustifikati li huma permessi skont il-liġi nazzjonali.</w:t>
            </w:r>
          </w:p>
        </w:tc>
        <w:tc>
          <w:tcPr/>
          <w:p>
            <w:pPr>
              <w:pStyle w:val="Normal6"/>
            </w:pPr>
            <w:r>
              <w:t>(30)</w:t>
            </w:r>
            <w:r>
              <w:tab/>
            </w:r>
            <w:r>
              <w:t>L-Istati Membri jinħtieġ li jirreferu għad-Dokument ta’ Ħidma tal-Persunal tal-Kummissjoni dwar l-Implimentazzjoni tar-Regolament Eurodac rigward l-obbligi li jittieħdu l-marki tas-swaba’ adottat mill-Kunsill fl-20 ta’ Lulju 2015</w:t>
            </w:r>
            <w:r>
              <w:rPr>
                <w:rStyle w:val="Sup"/>
              </w:rPr>
              <w:t>34</w:t>
            </w:r>
            <w:r>
              <w:t xml:space="preserve">, li jistabbilixxi l-istrateġija dwar l-aħjar prattiki biex jittieħdu l-marki tas-swaba' ta' ċittadini ta' pajjiżi terzi irregolari. </w:t>
            </w:r>
            <w:r>
              <w:rPr>
                <w:rFonts w:ascii="Times New Roman" w:eastAsia="Times New Roman" w:hAnsi="Times New Roman" w:cs="Times New Roman"/>
                <w:b/>
                <w:i/>
                <w:strike w:val="0"/>
                <w:color w:val="000000"/>
                <w:sz w:val="24"/>
                <w:highlight w:val="none"/>
                <w:u w:val="none" w:color="auto"/>
              </w:rPr>
              <w:t>Barra minn hekk, l-Istati Membri jenħtieġ li jirreferu għal-linji gwida stabbiliti mill-Aġenzija tal-Unjoni Ewropea għad-Drittijiet Fundamentali fid-Dokument ta' Fokus tagħha "L-implikazzjonijiet tal-obbligu li jingħataw il-marki tas-swaba' għall-Eurodac fuq id-drittijiet fundamentali" ta' Mejju 2015.</w:t>
            </w:r>
            <w:r>
              <w:rPr>
                <w:rFonts w:ascii="Times New Roman" w:eastAsia="Times New Roman" w:hAnsi="Times New Roman" w:cs="Times New Roman"/>
                <w:b/>
                <w:i/>
                <w:strike w:val="0"/>
                <w:color w:val="000000"/>
                <w:sz w:val="20"/>
                <w:highlight w:val="none"/>
                <w:u w:val="none" w:color="auto"/>
                <w:vertAlign w:val="superscript"/>
              </w:rPr>
              <w:t xml:space="preserve">34a </w:t>
            </w:r>
            <w:r>
              <w:t>Meta l-liġi nazzjonali ta’ Stat Membru tippermetti għat-teħid tal-marki tas-swaba’ bil-forza bħala l-aħħar miżura, dawn il-miżuri jridu jirrispettaw bis-sħiħ il-Karta tal-UE dwar id-Drittijiet Fundamentali. Ċittadini ta’ pajjiżi terzi u minuri ma għandhomx jiġu furzati jagħtu l-marki tas-swaba’ jew ix-xbiha tal-wiċċ, ħlief f’ċirkostanzi ġustifikati li huma permessi skont il-liġi nazzjonali.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COM(2015) 150</w:t>
            </w:r>
            <w:r>
              <w:t xml:space="preserve"> final, 27.5.2015</w:t>
            </w:r>
          </w:p>
        </w:tc>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COM(2015)0150</w:t>
            </w:r>
            <w:r>
              <w:t xml:space="preserve"> final, 27.5.2015</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Kati Piri</w:t>
      </w:r>
      <w:r>
        <w:t xml:space="preserve">, </w:t>
      </w:r>
      <w:r>
        <w:t>Maria Grapini</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(30)</w:t>
            </w:r>
            <w:r>
              <w:tab/>
            </w:r>
            <w:r>
              <w:t>L-Istati Membri jinħtieġ li jirreferu għad-Dokument ta’ Ħidma tal-Persunal tal-Kummissjoni dwar l-Implimentazzjoni tar-Regolament Eurodac rigward l-obbligi li jittieħdu l-marki tas-swaba’ adottat mill-Kunsill fl-20 ta’ Lulju 2015</w:t>
            </w:r>
            <w:r>
              <w:rPr>
                <w:rStyle w:val="Sup"/>
              </w:rPr>
              <w:t>34</w:t>
            </w:r>
            <w:r>
              <w:rPr>
                <w:rFonts w:ascii="Times New Roman" w:eastAsia="Times New Roman" w:hAnsi="Times New Roman" w:cs="Times New Roman"/>
                <w:b/>
                <w:i/>
                <w:strike w:val="0"/>
                <w:color w:val="000000"/>
                <w:sz w:val="24"/>
                <w:highlight w:val="none"/>
                <w:u w:val="none" w:color="auto"/>
              </w:rPr>
              <w:t xml:space="preserve"> </w:t>
            </w:r>
            <w:r>
              <w:t xml:space="preserve">, li jistabbilixxi l-istrateġija dwar l-aħjar prattiki biex jittieħdu l-marki tas-swaba' ta' ċittadini ta' pajjiżi terzi </w:t>
            </w:r>
            <w:r>
              <w:rPr>
                <w:rFonts w:ascii="Times New Roman" w:eastAsia="Times New Roman" w:hAnsi="Times New Roman" w:cs="Times New Roman"/>
                <w:b/>
                <w:i/>
                <w:strike w:val="0"/>
                <w:color w:val="000000"/>
                <w:sz w:val="24"/>
                <w:highlight w:val="none"/>
                <w:u w:val="none" w:color="auto"/>
              </w:rPr>
              <w:t>irregolari</w:t>
            </w:r>
            <w:r>
              <w:t xml:space="preserve">. Meta l-liġi nazzjonali ta’ Stat Membru tippermetti </w:t>
            </w:r>
            <w:r>
              <w:rPr>
                <w:rFonts w:ascii="Times New Roman" w:eastAsia="Times New Roman" w:hAnsi="Times New Roman" w:cs="Times New Roman"/>
                <w:b/>
                <w:i/>
                <w:strike w:val="0"/>
                <w:color w:val="000000"/>
                <w:sz w:val="24"/>
                <w:highlight w:val="none"/>
                <w:u w:val="none" w:color="auto"/>
              </w:rPr>
              <w:t>għat-teħid</w:t>
            </w:r>
            <w:r>
              <w:t xml:space="preserve"> tal-marki tas-swaba’ bil-forza bħala l-aħħar miżura, dawn il-miżuri jridu jirrispettaw bis-sħiħ il-Karta tal-UE dwar id-Drittijiet Fundamentali. Ċittadini ta’ pajjiżi terzi li jkunu meqjusa persuni vulnerabbli u minuri ma għandhomx jiġu furzati jagħtu l-marki tas-swaba’ jew ix-xbiha tal-wiċċ, ħlief f’ċirkostanzi ġustifikati li huma permessi skont il-liġi nazzjonali.</w:t>
            </w:r>
          </w:p>
        </w:tc>
        <w:tc>
          <w:tcPr/>
          <w:p>
            <w:pPr>
              <w:pStyle w:val="Normal6"/>
            </w:pPr>
            <w:r>
              <w:t>(30)</w:t>
            </w:r>
            <w:r>
              <w:tab/>
            </w:r>
            <w:r>
              <w:t>L-Istati Membri jinħtieġ li jirreferu għad-Dokument ta' Ħidma tal-Persunal tal-Kummissjoni dwar l-Implimentazzjoni tar-Regolament Eurodac rigward l-obbligi li jittieħdu l-marki tas-swaba' adottat mill-Kunsill fl-20 ta' Lulju 2015</w:t>
            </w:r>
            <w:r>
              <w:rPr>
                <w:rStyle w:val="Sup"/>
              </w:rPr>
              <w:t>34</w:t>
            </w:r>
            <w:r>
              <w:t xml:space="preserve">, li jistabbilixxi l-istrateġija dwar l-aħjar prattiki biex jittieħdu l-marki tas-swaba' ta' ċittadini ta' pajjiżi terzi </w:t>
            </w:r>
            <w:r>
              <w:rPr>
                <w:rFonts w:ascii="Times New Roman" w:eastAsia="Times New Roman" w:hAnsi="Times New Roman" w:cs="Times New Roman"/>
                <w:b/>
                <w:i/>
                <w:strike w:val="0"/>
                <w:color w:val="000000"/>
                <w:sz w:val="24"/>
                <w:highlight w:val="none"/>
                <w:u w:val="none" w:color="auto"/>
              </w:rPr>
              <w:t>u sabiex il-lista ta' kontroll tal-Aġenzija tal-Unjoni Ewropea għad-Drittijiet Fundamentali (FRA) tkun konformi mad-drittijiet fundamentali meta tieħu l-marki tas-swaba' għall-Eurodac</w:t>
            </w:r>
            <w:r>
              <w:t>.</w:t>
            </w:r>
            <w:r>
              <w:rPr>
                <w:rFonts w:ascii="Times New Roman" w:eastAsia="Times New Roman" w:hAnsi="Times New Roman" w:cs="Times New Roman"/>
                <w:b/>
                <w:i/>
                <w:strike w:val="0"/>
                <w:color w:val="000000"/>
                <w:sz w:val="24"/>
                <w:highlight w:val="none"/>
                <w:u w:val="none" w:color="auto"/>
              </w:rPr>
              <w:t xml:space="preserve">34a </w:t>
            </w:r>
            <w:r>
              <w:t xml:space="preserve">Meta l-liġi nazzjonali ta’ Stat Membru tippermetti </w:t>
            </w:r>
            <w:r>
              <w:rPr>
                <w:rFonts w:ascii="Times New Roman" w:eastAsia="Times New Roman" w:hAnsi="Times New Roman" w:cs="Times New Roman"/>
                <w:b/>
                <w:i/>
                <w:strike w:val="0"/>
                <w:color w:val="000000"/>
                <w:sz w:val="24"/>
                <w:highlight w:val="none"/>
                <w:u w:val="none" w:color="auto"/>
              </w:rPr>
              <w:t>t-teħid</w:t>
            </w:r>
            <w:r>
              <w:t xml:space="preserve"> tal-marki tas-swaba’ bil-forza bħala l-aħħar miżura, dawn il-miżuri jridu jirrispettaw bis-sħiħ il-Karta tal-UE dwar id-Drittijiet Fundamentali. Ċittadini ta’ pajjiżi terzi</w:t>
            </w:r>
            <w:r>
              <w:rPr>
                <w:rFonts w:ascii="Times New Roman" w:eastAsia="Times New Roman" w:hAnsi="Times New Roman" w:cs="Times New Roman"/>
                <w:b/>
                <w:i/>
                <w:strike w:val="0"/>
                <w:color w:val="000000"/>
                <w:sz w:val="24"/>
                <w:highlight w:val="none"/>
                <w:u w:val="none" w:color="auto"/>
              </w:rPr>
              <w:t xml:space="preserve"> u persuni apolidi</w:t>
            </w:r>
            <w:r>
              <w:t xml:space="preserve"> li jkunu meqjusa persuni vulnerabbli u minuri ma għandhomx jiġu furzati jagħtu l-marki tas-swaba’ jew ix-xbiha tal-wiċċ, ħlief f’ċirkostanzi ġustifikati li huma permessi skont il-liġi nazzjonali.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COM(2015) 150</w:t>
            </w:r>
            <w:r>
              <w:t xml:space="preserve"> final, 27.5.2015</w:t>
            </w:r>
          </w:p>
        </w:tc>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COM(2015)0150</w:t>
            </w:r>
            <w:r>
              <w:t xml:space="preserve"> final, 27.5.2015</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Gérard Deprez</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(30)</w:t>
            </w:r>
            <w:r>
              <w:tab/>
            </w:r>
            <w:r>
              <w:rPr>
                <w:rFonts w:ascii="Times New Roman" w:eastAsia="Times New Roman" w:hAnsi="Times New Roman" w:cs="Times New Roman"/>
                <w:b/>
                <w:i/>
                <w:strike w:val="0"/>
                <w:color w:val="000000"/>
                <w:sz w:val="24"/>
                <w:highlight w:val="none"/>
                <w:u w:val="none" w:color="auto"/>
              </w:rPr>
              <w:t>L-Istati</w:t>
            </w:r>
            <w:r>
              <w:t xml:space="preserve"> Membri </w:t>
            </w:r>
            <w:r>
              <w:rPr>
                <w:rFonts w:ascii="Times New Roman" w:eastAsia="Times New Roman" w:hAnsi="Times New Roman" w:cs="Times New Roman"/>
                <w:b/>
                <w:i/>
                <w:strike w:val="0"/>
                <w:color w:val="000000"/>
                <w:sz w:val="24"/>
                <w:highlight w:val="none"/>
                <w:u w:val="none" w:color="auto"/>
              </w:rPr>
              <w:t>jinħtieġ li jirreferu għad-Dokument ta’ Ħidma tal-Persunal</w:t>
            </w:r>
            <w:r>
              <w:t xml:space="preserve"> tal-Kummissjoni dwar l-Implimentazzjoni tar-Regolament Eurodac rigward l-obbligi li jittieħdu l-marki tas-swaba’ adottat mill-Kunsill fl-20 ta’ Lulju 2015</w:t>
            </w:r>
            <w:r>
              <w:rPr>
                <w:rStyle w:val="Sup"/>
              </w:rPr>
              <w:t>34</w:t>
            </w:r>
            <w:r>
              <w:t xml:space="preserve"> , li jistabbilixxi l-istrateġija dwar l-aħjar prattiki biex jittieħdu l-marki tas-swaba' ta' ċittadini ta' pajjiżi terzi irregolari. Meta l-liġi nazzjonali ta’ Stat Membru tippermetti għat-teħid tal-marki tas-swaba’ bil-forza bħala l-aħħar miżura, dawn il-miżuri jridu jirrispettaw bis-sħiħ il-Karta tal-UE dwar id-Drittijiet Fundamentali. Ċittadini ta’ pajjiżi terzi li jkunu meqjusa persuni vulnerabbli u minuri ma għandhomx jiġu furzati jagħtu l-marki tas-swaba’ jew ix-xbiha tal-wiċċ, ħlief f’ċirkostanzi ġustifikati li huma permessi skont il-liġi nazzjonali.</w:t>
            </w:r>
          </w:p>
        </w:tc>
        <w:tc>
          <w:tcPr/>
          <w:p>
            <w:pPr>
              <w:pStyle w:val="Normal6"/>
            </w:pPr>
            <w:r>
              <w:t>(30)</w:t>
            </w:r>
            <w:r>
              <w:tab/>
            </w:r>
            <w:r>
              <w:rPr>
                <w:rFonts w:ascii="Times New Roman" w:eastAsia="Times New Roman" w:hAnsi="Times New Roman" w:cs="Times New Roman"/>
                <w:b/>
                <w:i/>
                <w:strike w:val="0"/>
                <w:color w:val="000000"/>
                <w:sz w:val="24"/>
                <w:highlight w:val="none"/>
                <w:u w:val="none" w:color="auto"/>
              </w:rPr>
              <w:t xml:space="preserve">Jentħieġ li </w:t>
            </w:r>
            <w:r>
              <w:rPr>
                <w:rFonts w:ascii="Times New Roman" w:eastAsia="Times New Roman" w:hAnsi="Times New Roman" w:cs="Times New Roman"/>
                <w:b/>
                <w:i/>
                <w:strike w:val="0"/>
                <w:color w:val="000000"/>
                <w:sz w:val="24"/>
                <w:highlight w:val="none"/>
                <w:u w:val="none" w:color="auto"/>
              </w:rPr>
              <w:t>l-Istati</w:t>
            </w:r>
            <w:r>
              <w:t xml:space="preserve"> Membri </w:t>
            </w:r>
            <w:r>
              <w:rPr>
                <w:rFonts w:ascii="Times New Roman" w:eastAsia="Times New Roman" w:hAnsi="Times New Roman" w:cs="Times New Roman"/>
                <w:b/>
                <w:i/>
                <w:strike w:val="0"/>
                <w:color w:val="000000"/>
                <w:sz w:val="24"/>
                <w:highlight w:val="none"/>
                <w:u w:val="none" w:color="auto"/>
              </w:rPr>
              <w:t>jirrispettaw l-approċċ komuni żviluppat mis-servizzi</w:t>
            </w:r>
            <w:r>
              <w:t xml:space="preserve"> tal-Kummissjoni dwar l-Implimentazzjoni tar-Regolament Eurodac rigward l-obbligi li jittieħdu l-marki tas-swaba' adottat mill-Kunsill fl-20 ta' Lulju 2015</w:t>
            </w:r>
            <w:r>
              <w:rPr>
                <w:rStyle w:val="Sup"/>
              </w:rPr>
              <w:t>34</w:t>
            </w:r>
            <w:r>
              <w:t xml:space="preserve"> </w:t>
            </w:r>
            <w:r>
              <w:rPr>
                <w:rFonts w:ascii="Times New Roman" w:eastAsia="Times New Roman" w:hAnsi="Times New Roman" w:cs="Times New Roman"/>
                <w:b/>
                <w:i/>
                <w:strike w:val="0"/>
                <w:color w:val="000000"/>
                <w:sz w:val="24"/>
                <w:highlight w:val="none"/>
                <w:u w:val="none" w:color="auto"/>
              </w:rPr>
              <w:t>u miżjud fl-anness għal dan ir-regolament</w:t>
            </w:r>
            <w:r>
              <w:t>, li jistabbilixxi l-istrateġija dwar l-aħjar prattiki biex jittieħdu l-marki tas-swaba' ta' ċittadini ta' pajjiżi terzi irregolari. Meta l-liġi nazzjonali ta’ Stat Membru tippermetti għat-teħid tal-marki tas-swaba’ bil-forza bħala l-aħħar miżura, dawn il-miżuri jridu jirrispettaw bis-sħiħ il-Karta tal-UE dwar id-Drittijiet Fundamentali. Ċittadini ta’ pajjiżi terzi li jkunu meqjusa persuni vulnerabbli u minuri ma għandhomx jiġu furzati jagħtu l-marki tas-swaba’ jew ix-xbiha tal-wiċċ, ħlief f’ċirkostanzi ġustifikati li huma permessi skont il-liġi nazzjonali.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COM(2015) 150</w:t>
            </w:r>
            <w:r>
              <w:t xml:space="preserve"> final, 27.5.2015</w:t>
            </w:r>
          </w:p>
        </w:tc>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COM(2015)0150</w:t>
            </w:r>
            <w:r>
              <w:t xml:space="preserve"> final, 27.5.2015</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Ir-riżultati ta' stħarriġ juru li xi Stati Membri jawtorizzaw ir-rikors għad-detenzjoni sabiex jiżguraw ruħhom li l-migranti jagħtu l-marki tas-swaba tagħhom, xi wħud jawtorizzaw l-użu ta' livell proporzjonat ta' sfurzar, filwaqt li oħrajn ma jużaw la d-detenzjoni u lanqas l-isfurzar. Għalhekk huwa neċessarju li jiġu armonizzati l-prattiki eżistenti sabiex ikun żgurat li l-obbligi tagħhom skont ir-Regolament Eurodac jiġu sodisfatti bl-istess livell ta' garanziji. Approċċ komuni żviluppat mill-Kummissjoni fid-dokument SWD(2015)150 final.</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(30)</w:t>
            </w:r>
            <w:r>
              <w:tab/>
            </w:r>
            <w:r>
              <w:rPr>
                <w:rFonts w:ascii="Times New Roman" w:eastAsia="Times New Roman" w:hAnsi="Times New Roman" w:cs="Times New Roman"/>
                <w:b/>
                <w:i/>
                <w:strike w:val="0"/>
                <w:color w:val="000000"/>
                <w:sz w:val="24"/>
                <w:highlight w:val="none"/>
                <w:u w:val="none" w:color="auto"/>
              </w:rPr>
              <w:t>L-Istati</w:t>
            </w:r>
            <w:r>
              <w:t xml:space="preserve"> Membri jinħtieġ li jirreferu għad-Dokument ta’ Ħidma tal-Persunal tal-Kummissjoni dwar l-Implimentazzjoni tar-Regolament Eurodac rigward l-obbligi li jittieħdu l-marki tas-swaba’ adottat mill-Kunsill fl-20 ta’ Lulju 2015</w:t>
            </w:r>
            <w:r>
              <w:rPr>
                <w:rStyle w:val="Sup"/>
              </w:rPr>
              <w:t>34</w:t>
            </w:r>
            <w:r>
              <w:rPr>
                <w:rFonts w:ascii="Times New Roman" w:eastAsia="Times New Roman" w:hAnsi="Times New Roman" w:cs="Times New Roman"/>
                <w:b/>
                <w:i/>
                <w:strike w:val="0"/>
                <w:color w:val="000000"/>
                <w:sz w:val="24"/>
                <w:highlight w:val="none"/>
                <w:u w:val="none" w:color="auto"/>
              </w:rPr>
              <w:t xml:space="preserve"> </w:t>
            </w:r>
            <w:r>
              <w:t xml:space="preserve">, li jistabbilixxi l-istrateġija dwar l-aħjar prattiki biex jittieħdu l-marki tas-swaba' ta' ċittadini ta' pajjiżi terzi irregolari. Meta l-liġi nazzjonali ta’ Stat Membru tippermetti </w:t>
            </w:r>
            <w:r>
              <w:rPr>
                <w:rFonts w:ascii="Times New Roman" w:eastAsia="Times New Roman" w:hAnsi="Times New Roman" w:cs="Times New Roman"/>
                <w:b/>
                <w:i/>
                <w:strike w:val="0"/>
                <w:color w:val="000000"/>
                <w:sz w:val="24"/>
                <w:highlight w:val="none"/>
                <w:u w:val="none" w:color="auto"/>
              </w:rPr>
              <w:t>għat-teħid</w:t>
            </w:r>
            <w:r>
              <w:t xml:space="preserve"> tal-marki tas-swaba’ bil-forza bħala l-aħħar miżura, dawn il-miżuri jridu jirrispettaw bis-sħiħ il-Karta tal-UE dwar id-Drittijiet Fundamentali. Ċittadini ta’ pajjiżi terzi li jkunu meqjusa persuni vulnerabbli u minuri ma għandhomx jiġu furzati jagħtu l-marki tas-swaba’ jew ix-xbiha tal-wiċċ, ħlief f’ċirkostanzi ġustifikati li huma permessi skont il-liġi nazzjonali.</w:t>
            </w:r>
          </w:p>
        </w:tc>
        <w:tc>
          <w:tcPr/>
          <w:p>
            <w:pPr>
              <w:pStyle w:val="Normal6"/>
            </w:pPr>
            <w:r>
              <w:t>(30)</w:t>
            </w:r>
            <w:r>
              <w:tab/>
            </w:r>
            <w:r>
              <w:rPr>
                <w:rFonts w:ascii="Times New Roman" w:eastAsia="Times New Roman" w:hAnsi="Times New Roman" w:cs="Times New Roman"/>
                <w:b/>
                <w:i/>
                <w:strike w:val="0"/>
                <w:color w:val="000000"/>
                <w:sz w:val="24"/>
                <w:highlight w:val="none"/>
                <w:u w:val="none" w:color="auto"/>
              </w:rPr>
              <w:t>Huwa ta' importanza kbira għall-funzjonament tajjeb tas-Sistema Ewropea Komuni tal-Asil li tinkiseb rata ta' reġistrazzjoni ta' 100% fir-rigward tal-applikazzjonijiet għall-protezzjoni internazzjonali f'wieħed mill-Istati Membri minn ċittadin ta' pajjiż terz jew minn persuna apolida, persuni maqbuda b'rabta mal-qsim illegali tal-fruntieri esterni tal-Unjoni u ċittadini ta' pajjiżi terzi jew persuni apolidi li jinstabu jgħixu b'mod illegali fit-territorju tagħha. Sabiex tinkiseb din ir-rata ta' reġistrazzjoni, l-Istati</w:t>
            </w:r>
            <w:r>
              <w:t xml:space="preserve"> Membri jinħtieġ li jirreferu għad-Dokument ta' Ħidma tal-Persunal tal-Kummissjoni dwar l-Implimentazzjoni tar-Regolament Eurodac rigward l-obbligi li jittieħdu l-marki tas-swaba' adottat mill-Kunsill fl-20 ta' Lulju 2015</w:t>
            </w:r>
            <w:r>
              <w:rPr>
                <w:rStyle w:val="Sup"/>
              </w:rPr>
              <w:t>34</w:t>
            </w:r>
            <w:r>
              <w:t xml:space="preserve">, li jistabbilixxi l-istrateġija dwar l-aħjar prattiki biex jittieħdu l-marki tas-swaba' ta' ċittadini ta' pajjiżi terzi </w:t>
            </w:r>
            <w:r>
              <w:rPr>
                <w:rFonts w:ascii="Times New Roman" w:eastAsia="Times New Roman" w:hAnsi="Times New Roman" w:cs="Times New Roman"/>
                <w:b/>
                <w:i/>
                <w:strike w:val="0"/>
                <w:color w:val="000000"/>
                <w:sz w:val="24"/>
                <w:highlight w:val="none"/>
                <w:u w:val="none" w:color="auto"/>
              </w:rPr>
              <w:t xml:space="preserve">jew persuni apolidi </w:t>
            </w:r>
            <w:r>
              <w:t xml:space="preserve">irregolari. Meta l-liġi nazzjonali ta’ Stat Membru tippermetti </w:t>
            </w:r>
            <w:r>
              <w:rPr>
                <w:rFonts w:ascii="Times New Roman" w:eastAsia="Times New Roman" w:hAnsi="Times New Roman" w:cs="Times New Roman"/>
                <w:b/>
                <w:i/>
                <w:strike w:val="0"/>
                <w:color w:val="000000"/>
                <w:sz w:val="24"/>
                <w:highlight w:val="none"/>
                <w:u w:val="none" w:color="auto"/>
              </w:rPr>
              <w:t>t-teħid</w:t>
            </w:r>
            <w:r>
              <w:t xml:space="preserve"> tal-marki tas-swaba’ bil-forza bħala l-aħħar miżura, dawn il-miżuri jridu jirrispettaw bis-sħiħ il-Karta tal-UE dwar id-Drittijiet Fundamentali. Ċittadini ta' pajjiżi terzi</w:t>
            </w:r>
            <w:r>
              <w:rPr>
                <w:rFonts w:ascii="Times New Roman" w:eastAsia="Times New Roman" w:hAnsi="Times New Roman" w:cs="Times New Roman"/>
                <w:b/>
                <w:i/>
                <w:strike w:val="0"/>
                <w:color w:val="000000"/>
                <w:sz w:val="24"/>
                <w:highlight w:val="none"/>
                <w:u w:val="none" w:color="auto"/>
              </w:rPr>
              <w:t xml:space="preserve"> jew persuni apolidi</w:t>
            </w:r>
            <w:r>
              <w:t xml:space="preserve"> li jkunu meqjusa persuni vulnerabbli u minuri ma għandhomx jiġu furzati jagħtu l-marki tas-swaba' jew ix-xbiha tal-wiċċ, ħlief f'ċirkostanzi ġustifikati li huma permessi skont il-liġi nazzjonali.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COM(2015) 150</w:t>
            </w:r>
            <w:r>
              <w:t xml:space="preserve"> final, 27.5.2015</w:t>
            </w:r>
          </w:p>
        </w:tc>
        <w:tc>
          <w:tcPr/>
          <w:p>
            <w:pPr>
              <w:pStyle w:val="Normal6"/>
            </w:pPr>
            <w:r>
              <w:rPr>
                <w:rStyle w:val="Sup"/>
              </w:rPr>
              <w:t>34</w:t>
            </w:r>
            <w:r>
              <w:t xml:space="preserve"> </w:t>
            </w:r>
            <w:r>
              <w:rPr>
                <w:rFonts w:ascii="Times New Roman" w:eastAsia="Times New Roman" w:hAnsi="Times New Roman" w:cs="Times New Roman"/>
                <w:b/>
                <w:i/>
                <w:strike w:val="0"/>
                <w:color w:val="000000"/>
                <w:sz w:val="24"/>
                <w:highlight w:val="none"/>
                <w:u w:val="none" w:color="auto"/>
              </w:rPr>
              <w:t>COM(2015)0150</w:t>
            </w:r>
            <w:r>
              <w:t xml:space="preserve"> final, 27.5.2015</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(31)</w:t>
            </w:r>
            <w:r>
              <w:tab/>
            </w:r>
            <w:r>
              <w:rPr>
                <w:rFonts w:ascii="Times New Roman" w:eastAsia="Times New Roman" w:hAnsi="Times New Roman" w:cs="Times New Roman"/>
                <w:b/>
                <w:i/>
                <w:strike w:val="0"/>
                <w:color w:val="000000"/>
                <w:sz w:val="24"/>
                <w:highlight w:val="none"/>
                <w:u w:val="none" w:color="auto"/>
              </w:rPr>
              <w:t>In-numru ta’ hits li nkisbu</w:t>
            </w:r>
            <w:r>
              <w:t xml:space="preserve"> mill-Eurodac għandhom jiġu vverifikati minn espert imħarreġ fil-marki tas-swaba’ sabiex tiġi żgurata d-determinazzjoni preċiża tar-responsabbiltà taħt ir-Regolament (UE) Nru</w:t>
            </w:r>
            <w:r>
              <w:rPr>
                <w:rFonts w:ascii="Times New Roman" w:eastAsia="Times New Roman" w:hAnsi="Times New Roman" w:cs="Times New Roman"/>
                <w:b/>
                <w:i/>
                <w:strike w:val="0"/>
                <w:color w:val="000000"/>
                <w:sz w:val="24"/>
                <w:highlight w:val="none"/>
                <w:u w:val="none" w:color="auto"/>
              </w:rPr>
              <w:t xml:space="preserve">  </w:t>
            </w:r>
            <w:r>
              <w:t>l-identifikazzjoni eżatta</w:t>
            </w:r>
            <w:r>
              <w:rPr>
                <w:rFonts w:ascii="Times New Roman" w:eastAsia="Times New Roman" w:hAnsi="Times New Roman" w:cs="Times New Roman"/>
                <w:b/>
                <w:i/>
                <w:strike w:val="0"/>
                <w:color w:val="000000"/>
                <w:sz w:val="24"/>
                <w:highlight w:val="none"/>
                <w:u w:val="none" w:color="auto"/>
              </w:rPr>
              <w:t xml:space="preserve"> ta’ ċittadini ta’ pajjiżi terzi jew apolidi  </w:t>
            </w:r>
            <w:r>
              <w:t xml:space="preserve">u l-identifikazzjoni eżatta </w:t>
            </w:r>
            <w:r>
              <w:rPr>
                <w:rFonts w:ascii="Times New Roman" w:eastAsia="Times New Roman" w:hAnsi="Times New Roman" w:cs="Times New Roman"/>
                <w:b/>
                <w:i/>
                <w:strike w:val="0"/>
                <w:color w:val="000000"/>
                <w:sz w:val="24"/>
                <w:highlight w:val="none"/>
                <w:u w:val="none" w:color="auto"/>
              </w:rPr>
              <w:t>tal-persuna kriminali suspettata</w:t>
            </w:r>
            <w:r>
              <w:t xml:space="preserve"> jew il-vittma tar-reat li d-data tagħha tista’ </w:t>
            </w:r>
            <w:r>
              <w:rPr>
                <w:rFonts w:ascii="Times New Roman" w:eastAsia="Times New Roman" w:hAnsi="Times New Roman" w:cs="Times New Roman"/>
                <w:b/>
                <w:i/>
                <w:strike w:val="0"/>
                <w:color w:val="000000"/>
                <w:sz w:val="24"/>
                <w:highlight w:val="none"/>
                <w:u w:val="none" w:color="auto"/>
              </w:rPr>
              <w:t>tiġi</w:t>
            </w:r>
            <w:r>
              <w:t xml:space="preserve"> maħżuna fil-Eurodac.</w:t>
            </w:r>
            <w:r>
              <w:rPr>
                <w:rFonts w:ascii="Times New Roman" w:eastAsia="Times New Roman" w:hAnsi="Times New Roman" w:cs="Times New Roman"/>
                <w:b/>
                <w:i/>
                <w:strike w:val="0"/>
                <w:color w:val="000000"/>
                <w:sz w:val="24"/>
                <w:highlight w:val="none"/>
                <w:u w:val="none" w:color="auto"/>
              </w:rPr>
              <w:t xml:space="preserve">  Hits miksuba mill-Eurodac bażati fuq ix-xbiha tal-wiċċ jinħtieġ li wkoll jiġu verifikati fejn hemm dubju li r-riżultat huwa relatat mal-istess persuna.</w:t>
            </w:r>
          </w:p>
        </w:tc>
        <w:tc>
          <w:tcPr/>
          <w:p>
            <w:pPr>
              <w:pStyle w:val="Normal6"/>
            </w:pPr>
            <w:r>
              <w:t>(31)</w:t>
            </w:r>
            <w:r>
              <w:tab/>
            </w:r>
            <w:r>
              <w:rPr>
                <w:rFonts w:ascii="Times New Roman" w:eastAsia="Times New Roman" w:hAnsi="Times New Roman" w:cs="Times New Roman"/>
                <w:b/>
                <w:i/>
                <w:strike w:val="0"/>
                <w:color w:val="000000"/>
                <w:sz w:val="24"/>
                <w:highlight w:val="none"/>
                <w:u w:val="none" w:color="auto"/>
              </w:rPr>
              <w:t>Il-hits li jinkisbu</w:t>
            </w:r>
            <w:r>
              <w:t xml:space="preserve"> mill-Eurodac għandhom jiġu vverifikati minn espert imħarreġ fil-marki tas-swaba' </w:t>
            </w:r>
            <w:r>
              <w:rPr>
                <w:rFonts w:ascii="Times New Roman" w:eastAsia="Times New Roman" w:hAnsi="Times New Roman" w:cs="Times New Roman"/>
                <w:b/>
                <w:i/>
                <w:strike w:val="0"/>
                <w:color w:val="000000"/>
                <w:sz w:val="24"/>
                <w:highlight w:val="none"/>
                <w:u w:val="none" w:color="auto"/>
              </w:rPr>
              <w:t xml:space="preserve">u fl-identifikazzjoni tal-wiċċ </w:t>
            </w:r>
            <w:r>
              <w:t>sabiex tiġi żgurata d-determinazzjoni preċiża tar-responsabbiltà taħt ir-Regolament (UE) Nru</w:t>
            </w:r>
            <w:r>
              <w:rPr>
                <w:rFonts w:ascii="Times New Roman" w:eastAsia="Times New Roman" w:hAnsi="Times New Roman" w:cs="Times New Roman"/>
                <w:b/>
                <w:i/>
                <w:strike w:val="0"/>
                <w:color w:val="000000"/>
                <w:sz w:val="24"/>
                <w:highlight w:val="none"/>
                <w:u w:val="none" w:color="auto"/>
              </w:rPr>
              <w:t xml:space="preserve"> [.../...]; </w:t>
            </w:r>
            <w:r>
              <w:t>l-identifikazzjoni eżatta</w:t>
            </w:r>
            <w:r>
              <w:rPr>
                <w:rFonts w:ascii="Times New Roman" w:eastAsia="Times New Roman" w:hAnsi="Times New Roman" w:cs="Times New Roman"/>
                <w:b/>
                <w:i/>
                <w:strike w:val="0"/>
                <w:color w:val="000000"/>
                <w:sz w:val="24"/>
                <w:highlight w:val="none"/>
                <w:u w:val="none" w:color="auto"/>
              </w:rPr>
              <w:t xml:space="preserve"> taċ-ċittadin ta' pajjiż terz jew il-persuna apolida </w:t>
            </w:r>
            <w:r>
              <w:t xml:space="preserve">u l-identifikazzjoni eżatta </w:t>
            </w:r>
            <w:r>
              <w:rPr>
                <w:rFonts w:ascii="Times New Roman" w:eastAsia="Times New Roman" w:hAnsi="Times New Roman" w:cs="Times New Roman"/>
                <w:b/>
                <w:i/>
                <w:strike w:val="0"/>
                <w:color w:val="000000"/>
                <w:sz w:val="24"/>
                <w:highlight w:val="none"/>
                <w:u w:val="none" w:color="auto"/>
              </w:rPr>
              <w:t>tal-kriminal suspettat</w:t>
            </w:r>
            <w:r>
              <w:t xml:space="preserve"> jew il-vittma tar-reat li d-data tagħha tista' </w:t>
            </w:r>
            <w:r>
              <w:rPr>
                <w:rFonts w:ascii="Times New Roman" w:eastAsia="Times New Roman" w:hAnsi="Times New Roman" w:cs="Times New Roman"/>
                <w:b/>
                <w:i/>
                <w:strike w:val="0"/>
                <w:color w:val="000000"/>
                <w:sz w:val="24"/>
                <w:highlight w:val="none"/>
                <w:u w:val="none" w:color="auto"/>
              </w:rPr>
              <w:t>tkun</w:t>
            </w:r>
            <w:r>
              <w:t xml:space="preserve"> maħżuna fil-Eurodac.</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Skont l-Artikolu 104 tar-Regoli ta' Proċedura, din l-emenda hija meħtieġa għaliex hija marbuta b'mod intrinsiku ma' emendi oħra ammissibbli relatati mal-iskopijiet tal-Eurodac (l-Artikolu 1), li jintroduċu s-salvagwardji dwar l-identifikazzjoni.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(32)</w:t>
            </w:r>
            <w:r>
              <w:tab/>
            </w:r>
            <w:r>
              <w:rPr>
                <w:rFonts w:ascii="Times New Roman" w:eastAsia="Times New Roman" w:hAnsi="Times New Roman" w:cs="Times New Roman"/>
                <w:b/>
                <w:i/>
                <w:strike w:val="0"/>
                <w:color w:val="000000"/>
                <w:sz w:val="24"/>
                <w:highlight w:val="none"/>
                <w:u w:val="none" w:color="auto"/>
              </w:rPr>
              <w:t>Ċittadini ta’ pajjiż terz jew persuni apolidi li jkunu talbu protezzjoni internazzjonali f'wieħed mill-Istati Membri  jistgħu jippruvaw  li jitolbu protezzjoni internazzjonali fi Stat Membru ieħor għal ħafna snin oħra. Għalhekk</w:t>
            </w:r>
            <w:r>
              <w:t>, il-perjodu massimu li matulu d-data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għandha tinżamm mis-Sistema Ċentrali għandu jkun ta' tul kunsiderevoli. Billi ħafna ċittadini ta’ pajjiż terz jew persuni apolidi li għexu fl-Unjoni għal bosta snin ikunu kisbu status definit jew anki kisbu ċ-ċittadinanza ta' Stat Membru wara dak il-perjodu, perjodu ta' 10 snin għandu jkun ikkunsidrat bħala perjodu raġonevoli għall-ħżin ta' 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(32)</w:t>
            </w:r>
            <w:r>
              <w:tab/>
            </w:r>
            <w:r>
              <w:rPr>
                <w:rFonts w:ascii="Times New Roman" w:eastAsia="Times New Roman" w:hAnsi="Times New Roman" w:cs="Times New Roman"/>
                <w:b/>
                <w:i/>
                <w:strike w:val="0"/>
                <w:color w:val="000000"/>
                <w:sz w:val="24"/>
                <w:highlight w:val="none"/>
                <w:u w:val="none" w:color="auto"/>
              </w:rPr>
              <w:t>Sabiex ikun hemm għajnuna effettiva fil-kontroll tal-immigrazzjoni illegali u bl-identifikazzjoni ta' ċittadini ta' pajjiżi terzi jew persuni apolidi li jirrisjedu illegalement</w:t>
            </w:r>
            <w:r>
              <w:t>, il-perjodu massimu li matulu d-data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għandha tinżamm mis-Sistema Ċentrali għandu jkun ta' tul kunsiderevoli</w:t>
            </w:r>
            <w:r>
              <w:rPr>
                <w:rFonts w:ascii="Times New Roman" w:eastAsia="Times New Roman" w:hAnsi="Times New Roman" w:cs="Times New Roman"/>
                <w:b/>
                <w:i/>
                <w:strike w:val="0"/>
                <w:color w:val="000000"/>
                <w:sz w:val="24"/>
                <w:highlight w:val="none"/>
                <w:u w:val="none" w:color="auto"/>
              </w:rPr>
              <w:t xml:space="preserve"> sabiex jiskoraġġixxi liċ-ċittadini ta' pajjiżi terzi jew persuni apolidi li talbu għal protezzjoni internazzjonali fi Stat Membru milli jippruvaw jitolbu għal protezzjoni internazzjonali fi Stat Membru ieħor</w:t>
            </w:r>
            <w:r>
              <w:t>. Billi ħafna ċittadini ta’ pajjiż terz jew persuni apolidi li għexu fl-Unjoni għal bosta snin ikunu kisbu status definit jew anki kisbu ċ-ċittadinanza ta' Stat Membru wara dak il-perjodu, perjodu ta' 10 snin għandu jkun ikkunsidrat bħala perjodu raġonevoli għall-ħżin ta' 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Għall-finijiet ta' ċarezza l-ispjegazzjoni ta' għalfejn id-data għandha tinżamm għall-perjodu ta' għaxar snin hija aġġustata kemm kemm b'din l-emenda.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(32)</w:t>
            </w:r>
            <w:r>
              <w:tab/>
            </w:r>
            <w:r>
              <w:rPr>
                <w:rFonts w:ascii="Times New Roman" w:eastAsia="Times New Roman" w:hAnsi="Times New Roman" w:cs="Times New Roman"/>
                <w:b/>
                <w:i/>
                <w:strike w:val="0"/>
                <w:color w:val="000000"/>
                <w:sz w:val="24"/>
                <w:highlight w:val="none"/>
                <w:u w:val="none" w:color="auto"/>
              </w:rPr>
              <w:t>Ċittadini</w:t>
            </w:r>
            <w:r>
              <w:t xml:space="preserve"> ta’ pajjiż terz jew persuni apolidi li jkunu talbu protezzjoni internazzjonali </w:t>
            </w:r>
            <w:r>
              <w:rPr>
                <w:rFonts w:ascii="Times New Roman" w:eastAsia="Times New Roman" w:hAnsi="Times New Roman" w:cs="Times New Roman"/>
                <w:b/>
                <w:i/>
                <w:strike w:val="0"/>
                <w:color w:val="000000"/>
                <w:sz w:val="24"/>
                <w:highlight w:val="none"/>
                <w:u w:val="none" w:color="auto"/>
              </w:rPr>
              <w:t>f'wieħed mill-Istati Membri  jistgħu jippruvaw  li jitolbu protezzjoni internazzjonali fi Stat Membru ieħor għal ħafna snin oħra. Għalhekk, il-perjodu massimu li matulu d-data dwar marki tas-swaba’  u x-xbiha tal-wiċċ  għandha tinżamm mis-Sistema Ċentrali għandu jkun ta' tul kunsiderevoli</w:t>
            </w:r>
            <w:r>
              <w:t xml:space="preserve">. Billi ħafna ċittadini ta’ pajjiż terz jew persuni apolidi li għexu fl-Unjoni għal bosta snin ikunu kisbu status definit jew anki kisbu ċ-ċittadinanza ta' Stat Membru wara dak il-perjodu, perjodu ta' </w:t>
            </w:r>
            <w:r>
              <w:rPr>
                <w:rFonts w:ascii="Times New Roman" w:eastAsia="Times New Roman" w:hAnsi="Times New Roman" w:cs="Times New Roman"/>
                <w:b/>
                <w:i/>
                <w:strike w:val="0"/>
                <w:color w:val="000000"/>
                <w:sz w:val="24"/>
                <w:highlight w:val="none"/>
                <w:u w:val="none" w:color="auto"/>
              </w:rPr>
              <w:t>10</w:t>
            </w:r>
            <w:r>
              <w:t xml:space="preserve"> snin għandu jkun ikkunsidrat bħala perjodu raġonevoli għall-ħżin ta' 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(32)</w:t>
            </w:r>
            <w:r>
              <w:tab/>
            </w:r>
            <w:r>
              <w:rPr>
                <w:rFonts w:ascii="Times New Roman" w:eastAsia="Times New Roman" w:hAnsi="Times New Roman" w:cs="Times New Roman"/>
                <w:b/>
                <w:i/>
                <w:strike w:val="0"/>
                <w:color w:val="000000"/>
                <w:sz w:val="24"/>
                <w:highlight w:val="none"/>
                <w:u w:val="none" w:color="auto"/>
              </w:rPr>
              <w:t xml:space="preserve">Il-perjodu massimu li matulu d-data tal-marki tas-swaba' u tax-xbiha tal-wiċċ ta' </w:t>
            </w:r>
            <w:r>
              <w:rPr>
                <w:rFonts w:ascii="Times New Roman" w:eastAsia="Times New Roman" w:hAnsi="Times New Roman" w:cs="Times New Roman"/>
                <w:b/>
                <w:i/>
                <w:strike w:val="0"/>
                <w:color w:val="000000"/>
                <w:sz w:val="24"/>
                <w:highlight w:val="none"/>
                <w:u w:val="none" w:color="auto"/>
              </w:rPr>
              <w:t>ċittadini</w:t>
            </w:r>
            <w:r>
              <w:t xml:space="preserve"> ta' pajjiż terz jew persuni apolidi li </w:t>
            </w:r>
            <w:r>
              <w:rPr>
                <w:rFonts w:ascii="Times New Roman" w:eastAsia="Times New Roman" w:hAnsi="Times New Roman" w:cs="Times New Roman"/>
                <w:b/>
                <w:i/>
                <w:strike w:val="0"/>
                <w:color w:val="000000"/>
                <w:sz w:val="24"/>
                <w:highlight w:val="none"/>
                <w:u w:val="none" w:color="auto"/>
              </w:rPr>
              <w:t xml:space="preserve">li </w:t>
            </w:r>
            <w:r>
              <w:t xml:space="preserve">jkunu talbu protezzjoni internazzjonali </w:t>
            </w:r>
            <w:r>
              <w:rPr>
                <w:rFonts w:ascii="Times New Roman" w:eastAsia="Times New Roman" w:hAnsi="Times New Roman" w:cs="Times New Roman"/>
                <w:b/>
                <w:i/>
                <w:strike w:val="0"/>
                <w:color w:val="000000"/>
                <w:sz w:val="24"/>
                <w:highlight w:val="none"/>
                <w:u w:val="none" w:color="auto"/>
              </w:rPr>
              <w:t>għandu jinżamm mis-Sistema Ċentrali u jenħtieġ li jkun limitat għal dak li huwa strettament neċessarju u proporzjonat, skont il-prinċipju tal-proporzjonalità stabbilit fl-Artikolu 52(1) tal-Karta u kif interpretat mill-ġurisprudenza tal-QtĠ-UE</w:t>
            </w:r>
            <w:r>
              <w:t>. Billi ħafna ċittadini ta’ pajjiż terz jew persuni apolidi li għexu fl-Unjoni għal bosta snin ikunu kisbu status definit jew anki kisbu ċ-ċittadinanza ta' Stat Membru wara dak il-perjodu, perjodu ta' </w:t>
            </w:r>
            <w:r>
              <w:rPr>
                <w:rFonts w:ascii="Times New Roman" w:eastAsia="Times New Roman" w:hAnsi="Times New Roman" w:cs="Times New Roman"/>
                <w:b/>
                <w:i/>
                <w:strike w:val="0"/>
                <w:color w:val="000000"/>
                <w:sz w:val="24"/>
                <w:highlight w:val="none"/>
                <w:u w:val="none" w:color="auto"/>
              </w:rPr>
              <w:t>ħames</w:t>
            </w:r>
            <w:r>
              <w:t xml:space="preserve"> snin għandu jkun ikkunsidrat bħala perjodu raġonevoli għall-ħżin ta' 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Skont l-Artikolu 104 tar-Regoli ta' Proċedura, din l-emenda hija meħtieġa għaliex hija marbuta b'mod intrinsiku ma' emendi oħra ammissibbli relatati mal-iskopijiet tal-Eurodac (l-Artikolu 1), li jintroduċu referenzi għall-konformità mal-prinċipji tan-neċessità u l-proporzjonalità skont l-Artikolu 52(1) tal-Karta u l-ġurisprudenza tal-QtĠ-UE.</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t xml:space="preserve">, </w:t>
      </w:r>
      <w:r>
        <w:t>Rachida Dati</w:t>
      </w:r>
      <w:r>
        <w:t xml:space="preserve">, </w:t>
      </w:r>
      <w:r>
        <w:t>Brice Hortefeux</w:t>
      </w:r>
      <w:r>
        <w:t xml:space="preserve">, </w:t>
      </w:r>
      <w:r>
        <w:t>Mariya Gabriel</w:t>
      </w:r>
      <w:r>
        <w:t xml:space="preserve">, </w:t>
      </w:r>
      <w:r>
        <w:t>Artis Pabriks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(32)</w:t>
            </w:r>
            <w:r>
              <w:tab/>
            </w:r>
            <w:r>
              <w:t>Ċittadini ta’ pajjiż terz jew persuni apolidi li jkunu talbu protezzjoni internazzjonali f'wieħed mill-Istati Membri</w:t>
            </w:r>
            <w:r>
              <w:rPr>
                <w:rFonts w:ascii="Times New Roman" w:eastAsia="Times New Roman" w:hAnsi="Times New Roman" w:cs="Times New Roman"/>
                <w:b/>
                <w:i/>
                <w:strike w:val="0"/>
                <w:color w:val="000000"/>
                <w:sz w:val="24"/>
                <w:highlight w:val="none"/>
                <w:u w:val="none" w:color="auto"/>
              </w:rPr>
              <w:t xml:space="preserve">  </w:t>
            </w:r>
            <w:r>
              <w:t>jistgħu jippruvaw</w:t>
            </w:r>
            <w:r>
              <w:rPr>
                <w:rFonts w:ascii="Times New Roman" w:eastAsia="Times New Roman" w:hAnsi="Times New Roman" w:cs="Times New Roman"/>
                <w:b/>
                <w:i/>
                <w:strike w:val="0"/>
                <w:color w:val="000000"/>
                <w:sz w:val="24"/>
                <w:highlight w:val="none"/>
                <w:u w:val="none" w:color="auto"/>
              </w:rPr>
              <w:t xml:space="preserve">  </w:t>
            </w:r>
            <w:r>
              <w:t xml:space="preserve">li jitolbu protezzjoni internazzjonali fi Stat Membru ieħor għal ħafna snin oħra. Għalhekk, il-perjodu massimu li matulu d-data </w:t>
            </w:r>
            <w:r>
              <w:rPr>
                <w:rFonts w:ascii="Times New Roman" w:eastAsia="Times New Roman" w:hAnsi="Times New Roman" w:cs="Times New Roman"/>
                <w:b/>
                <w:i/>
                <w:strike w:val="0"/>
                <w:color w:val="000000"/>
                <w:sz w:val="24"/>
                <w:highlight w:val="none"/>
                <w:u w:val="none" w:color="auto"/>
              </w:rPr>
              <w:t xml:space="preserve">dwar marki tas-swaba’  u x-xbiha tal-wiċċ  </w:t>
            </w:r>
            <w:r>
              <w:t xml:space="preserve">għandha tinżamm mis-Sistema Ċentrali għandu jkun ta' tul kunsiderevoli. Billi ħafna ċittadini ta’ pajjiż terz jew persuni apolidi li għexu fl-Unjoni għal bosta snin ikunu kisbu status definit jew anki kisbu ċ-ċittadinanza ta' Stat Membru wara dak il-perjodu, perjodu ta' 10 snin għandu jkun ikkunsidrat bħala perjodu raġonevoli għall-ħżin ta' data </w:t>
            </w:r>
            <w:r>
              <w:rPr>
                <w:rFonts w:ascii="Times New Roman" w:eastAsia="Times New Roman" w:hAnsi="Times New Roman" w:cs="Times New Roman"/>
                <w:b/>
                <w:i/>
                <w:strike w:val="0"/>
                <w:color w:val="000000"/>
                <w:sz w:val="24"/>
                <w:highlight w:val="none"/>
                <w:u w:val="none" w:color="auto"/>
              </w:rPr>
              <w:t xml:space="preserve">dwar marki tas-swaba’  u x-xbiha tal-wiċċ  </w:t>
            </w:r>
            <w:r>
              <w:t>.</w:t>
            </w:r>
          </w:p>
        </w:tc>
        <w:tc>
          <w:tcPr/>
          <w:p>
            <w:pPr>
              <w:pStyle w:val="Normal6"/>
            </w:pPr>
            <w:r>
              <w:t>(32)</w:t>
            </w:r>
            <w:r>
              <w:tab/>
            </w:r>
            <w:r>
              <w:t>Ċittadini ta’ pajjiż terz jew persuni apolidi li jkunu talbu protezzjoni internazzjonali f'wieħed mill-Istati Membri</w:t>
            </w:r>
            <w:r>
              <w:rPr>
                <w:rFonts w:ascii="Times New Roman" w:eastAsia="Times New Roman" w:hAnsi="Times New Roman" w:cs="Times New Roman"/>
                <w:b/>
                <w:i/>
                <w:strike w:val="0"/>
                <w:color w:val="000000"/>
                <w:sz w:val="24"/>
                <w:highlight w:val="none"/>
                <w:u w:val="none" w:color="auto"/>
              </w:rPr>
              <w:t xml:space="preserve"> </w:t>
            </w:r>
            <w:r>
              <w:t>jistgħu jippruvaw</w:t>
            </w:r>
            <w:r>
              <w:rPr>
                <w:rFonts w:ascii="Times New Roman" w:eastAsia="Times New Roman" w:hAnsi="Times New Roman" w:cs="Times New Roman"/>
                <w:b/>
                <w:i/>
                <w:strike w:val="0"/>
                <w:color w:val="000000"/>
                <w:sz w:val="24"/>
                <w:highlight w:val="none"/>
                <w:u w:val="none" w:color="auto"/>
              </w:rPr>
              <w:t xml:space="preserve"> </w:t>
            </w:r>
            <w:r>
              <w:t xml:space="preserve">li jitolbu protezzjoni internazzjonali fi Stat Membru ieħor għal ħafna snin oħra. Għalhekk, il-perjodu massimu li matulu d-data </w:t>
            </w:r>
            <w:r>
              <w:rPr>
                <w:rFonts w:ascii="Times New Roman" w:eastAsia="Times New Roman" w:hAnsi="Times New Roman" w:cs="Times New Roman"/>
                <w:b/>
                <w:i/>
                <w:strike w:val="0"/>
                <w:color w:val="000000"/>
                <w:sz w:val="24"/>
                <w:highlight w:val="none"/>
                <w:u w:val="none" w:color="auto"/>
              </w:rPr>
              <w:t xml:space="preserve">bijometrika u alfanumerika </w:t>
            </w:r>
            <w:r>
              <w:t xml:space="preserve">għandha tinżamm mis-Sistema Ċentrali għandu jkun ta' tul kunsiderevoli. Billi ħafna ċittadini ta’ pajjiż terz jew persuni apolidi li għexu fl-Unjoni għal bosta snin ikunu kisbu status definit jew anki kisbu ċ-ċittadinanza ta' Stat Membru wara dak il-perjodu, perjodu ta' 10 snin għandu jkun ikkunsidrat bħala perjodu raġonevoli għall-ħżin ta' data </w:t>
            </w:r>
            <w:r>
              <w:rPr>
                <w:rFonts w:ascii="Times New Roman" w:eastAsia="Times New Roman" w:hAnsi="Times New Roman" w:cs="Times New Roman"/>
                <w:b/>
                <w:i/>
                <w:strike w:val="0"/>
                <w:color w:val="000000"/>
                <w:sz w:val="24"/>
                <w:highlight w:val="none"/>
                <w:u w:val="none" w:color="auto"/>
              </w:rPr>
              <w:t>bijometrika u alfanumerika</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L-awtoritajiet nazzjonali tal-infurzar tal-liġi u l-Europol ma jistgħux jitolbu għal tqabbil ma' data alfanumerika speċifika; f'ċerti każijiet l-awtorijiet nazzjonali tal-infurzar tal-liġi m'għandhomx għad-dispożizzjoni tagħhom il-marki tas-swaba' iżda d-data alfanumerika.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(32)</w:t>
            </w:r>
            <w:r>
              <w:tab/>
            </w:r>
            <w:r>
              <w:t>Ċittadini ta’ pajjiż terz jew persuni apolidi li jkunu talbu protezzjoni internazzjonali f'wieħed mill-Istati Membri</w:t>
            </w:r>
            <w:r>
              <w:rPr>
                <w:rFonts w:ascii="Times New Roman" w:eastAsia="Times New Roman" w:hAnsi="Times New Roman" w:cs="Times New Roman"/>
                <w:b/>
                <w:i/>
                <w:strike w:val="0"/>
                <w:color w:val="000000"/>
                <w:sz w:val="24"/>
                <w:highlight w:val="none"/>
                <w:u w:val="none" w:color="auto"/>
              </w:rPr>
              <w:t xml:space="preserve">  jistgħu jippruvaw  li</w:t>
            </w:r>
            <w:r>
              <w:t xml:space="preserve"> jitolbu protezzjoni internazzjonali fi Stat Membru ieħor għal ħafna snin oħra. Għalhekk, il-perjodu massimu li matulu d-data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 xml:space="preserve">għandha tinżamm mis-Sistema Ċentrali għandu jkun ta' tul kunsiderevoli. Billi ħafna ċittadini ta’ pajjiż terz jew persuni apolidi li għexu fl-Unjoni għal bosta snin ikunu kisbu status definit jew anki kisbu ċ-ċittadinanza ta' Stat Membru wara dak il-perjodu, perjodu ta' </w:t>
            </w:r>
            <w:r>
              <w:rPr>
                <w:rFonts w:ascii="Times New Roman" w:eastAsia="Times New Roman" w:hAnsi="Times New Roman" w:cs="Times New Roman"/>
                <w:b/>
                <w:i/>
                <w:strike w:val="0"/>
                <w:color w:val="000000"/>
                <w:sz w:val="24"/>
                <w:highlight w:val="none"/>
                <w:u w:val="none" w:color="auto"/>
              </w:rPr>
              <w:t>10</w:t>
            </w:r>
            <w:r>
              <w:t xml:space="preserve"> snin għandu jkun ikkunsidrat bħala perjodu raġonevoli għall-ħżin ta' data dwar marki tas-swaba’</w:t>
            </w:r>
            <w:r>
              <w:rPr>
                <w:rFonts w:ascii="Times New Roman" w:eastAsia="Times New Roman" w:hAnsi="Times New Roman" w:cs="Times New Roman"/>
                <w:b/>
                <w:i/>
                <w:strike w:val="0"/>
                <w:color w:val="000000"/>
                <w:sz w:val="24"/>
                <w:highlight w:val="none"/>
                <w:u w:val="none" w:color="auto"/>
              </w:rPr>
              <w:t xml:space="preserve">  u x-xbiha tal-wiċċ  </w:t>
            </w:r>
            <w:r>
              <w:t>.</w:t>
            </w:r>
          </w:p>
        </w:tc>
        <w:tc>
          <w:tcPr/>
          <w:p>
            <w:pPr>
              <w:pStyle w:val="Normal6"/>
            </w:pPr>
            <w:r>
              <w:t>(32)</w:t>
            </w:r>
            <w:r>
              <w:tab/>
            </w:r>
            <w:r>
              <w:t>Ċittadini ta’ pajjiż terz jew persuni apolidi li jkunu talbu protezzjoni internazzjonali f'wieħed mill-Istati Membri</w:t>
            </w:r>
            <w:r>
              <w:rPr>
                <w:rFonts w:ascii="Times New Roman" w:eastAsia="Times New Roman" w:hAnsi="Times New Roman" w:cs="Times New Roman"/>
                <w:b/>
                <w:i/>
                <w:strike w:val="0"/>
                <w:color w:val="000000"/>
                <w:sz w:val="24"/>
                <w:highlight w:val="none"/>
                <w:u w:val="none" w:color="auto"/>
              </w:rPr>
              <w:t xml:space="preserve"> jistgħu</w:t>
            </w:r>
            <w:r>
              <w:t xml:space="preserve"> jitolbu protezzjoni internazzjonali fi Stat Membru ieħor għal ħafna snin oħra. Għalhekk, il-perjodu massimu li matulu d-data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għandha tinżamm mis-Sistema Ċentrali għandu jkun ta' tul kunsiderevoli. Billi ħafna ċittadini ta’ pajjiż terz jew persuni apolidi li għexu fl-Unjoni għal bosta snin ikunu kisbu status definit jew anki kisbu ċ-ċittadinanza ta' Stat Membru wara dak il-perjodu, perjodu ta' </w:t>
            </w:r>
            <w:r>
              <w:rPr>
                <w:rFonts w:ascii="Times New Roman" w:eastAsia="Times New Roman" w:hAnsi="Times New Roman" w:cs="Times New Roman"/>
                <w:b/>
                <w:i/>
                <w:strike w:val="0"/>
                <w:color w:val="000000"/>
                <w:sz w:val="24"/>
                <w:highlight w:val="none"/>
                <w:u w:val="none" w:color="auto"/>
              </w:rPr>
              <w:t>għaxar</w:t>
            </w:r>
            <w:r>
              <w:t xml:space="preserve"> snin għandu jkun ikkunsidrat bħala perjodu raġonevoli għall-ħżin ta' data dwar marki tas-swaba’</w:t>
            </w:r>
            <w:r>
              <w:rPr>
                <w:rFonts w:ascii="Times New Roman" w:eastAsia="Times New Roman" w:hAnsi="Times New Roman" w:cs="Times New Roman"/>
                <w:b/>
                <w:i/>
                <w:strike w:val="0"/>
                <w:color w:val="000000"/>
                <w:sz w:val="24"/>
                <w:highlight w:val="none"/>
                <w:u w:val="none" w:color="auto"/>
              </w:rPr>
              <w:t>, data dwar ix-xbiha tal-wiċċ jew it-tnejn li huma</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32a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(32a)</w:t>
            </w:r>
            <w:r>
              <w:tab/>
            </w:r>
            <w:r>
              <w:rPr>
                <w:rFonts w:ascii="Times New Roman" w:eastAsia="Times New Roman" w:hAnsi="Times New Roman" w:cs="Times New Roman"/>
                <w:b/>
                <w:i/>
                <w:strike w:val="0"/>
                <w:color w:val="000000"/>
                <w:sz w:val="24"/>
                <w:highlight w:val="none"/>
                <w:u w:val="none" w:color="auto"/>
              </w:rPr>
              <w:t>Jenħtieġ li d-data taċ-ċittadini ta 'pajjiżi terzi jew persuni apolidi risistemati fi Stat Membru skont ir-Regolament XXX/XXX jinżammu għal tul ta' 10 snin . Dan it-tul ta' żmien ta' żamma diġà huwa applikabbli għall-applikanti u l-benefiċjarji tal-protezzjoni internazzjonali.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din il-premessa hija maħsuba biex tiċċara t-tul ta' żmien ta' żamma tad-data tal-persuni risistemati fi Stat Membru f'konformità mar-Regolament XXX/XXX. Qed jiġi propost tul ta' żmien ta' 10 snin sabiex l-ipproċessar tad-data tal-persuni risistemati jiġi allinjat ma' dak tad-data tal-benefiċjari l-oħra ta' protezzjoni interanzzjonali.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32a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(32a)</w:t>
            </w:r>
            <w:r>
              <w:tab/>
            </w:r>
            <w:r>
              <w:rPr>
                <w:rFonts w:ascii="Times New Roman" w:eastAsia="Times New Roman" w:hAnsi="Times New Roman" w:cs="Times New Roman"/>
                <w:b/>
                <w:i/>
                <w:strike w:val="0"/>
                <w:color w:val="000000"/>
                <w:sz w:val="24"/>
                <w:highlight w:val="none"/>
                <w:u w:val="none" w:color="auto"/>
              </w:rPr>
              <w:t>Fil-konklużjonijiet tiegħu tal-4 ta' Diċembru 2015 dwar l-Apolidija, il-Kunsill u r-Rappreżentanti tal-Gvernijiet tal-Istati Membri fakkru fil-wegħda tal-Unjoni ta' Settembru 2012 li l-Istati Membri kollha se jaderixxu mal-Konvenzjoni tal-1954 dwar l-Istatus ta' Persuni Apolidi u se jikkunsidraw l-adeżjoni mal-Konvenzjoni tal-1961. Fir-riżoluzzjoni tiegħu tal-25 ta' Ottubru 2016 dwar id-drittijiet tal-bniedem u l-migrazzjoni f'pajjiżi terzi, il-Parlament Ewropew fakkar fl-importanza li jiġu identifikati persuni apolidi sabiex tingħatalhom il-protezzjoni previsti fid-dritt internazzjonali.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relatata mal-emendi għall-Artikolu 12(1)(d).</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(33)</w:t>
            </w:r>
            <w:r>
              <w:tab/>
            </w:r>
            <w:r>
              <w:rPr>
                <w:rFonts w:ascii="Times New Roman" w:eastAsia="Times New Roman" w:hAnsi="Times New Roman" w:cs="Times New Roman"/>
                <w:b/>
                <w:i/>
                <w:strike w:val="0"/>
                <w:color w:val="000000"/>
                <w:sz w:val="24"/>
                <w:highlight w:val="none"/>
                <w:u w:val="none" w:color="auto"/>
              </w:rPr>
              <w:t>Fid-dawl tas-suċċess tal-prevenzjoni u l-monitorġġ ta’ movimenti mhux awtorizzati ta’ ċittadini ta’ pajjiżi terzi u persuni apolidi li ma għandhomx dritt joqogħdu fl-Unjoni, u biex jittieħdu l-miżuri neċessarji għall-infurzar b’suċċess ta’ ritorn effettiv u riammissjoni lejn pajjiżi terzi skont id-Direttiva 2008/115/KE</w:t>
            </w:r>
            <w:r>
              <w:rPr>
                <w:rStyle w:val="SupBoldItalic"/>
              </w:rPr>
              <w:t>35</w:t>
            </w:r>
            <w:r>
              <w:rPr>
                <w:rFonts w:ascii="Times New Roman" w:eastAsia="Times New Roman" w:hAnsi="Times New Roman" w:cs="Times New Roman"/>
                <w:b/>
                <w:i/>
                <w:strike w:val="0"/>
                <w:color w:val="000000"/>
                <w:sz w:val="24"/>
                <w:highlight w:val="none"/>
                <w:u w:val="none" w:color="auto"/>
              </w:rPr>
              <w:t xml:space="preserve"> u d-dritt tal-protezzjoni tad-data personali, perjodu ta’ ħames snin għandu jiġi kkunsidrat bħala perjodu neċessarju għall-ħażna tad-data tal-marki tas-swaba' u x-xbiha tal-wiċċ.</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35</w:t>
            </w:r>
            <w:r>
              <w:t xml:space="preserve"> </w:t>
            </w:r>
            <w:r>
              <w:rPr>
                <w:rFonts w:ascii="Times New Roman" w:eastAsia="Times New Roman" w:hAnsi="Times New Roman" w:cs="Times New Roman"/>
                <w:b/>
                <w:i/>
                <w:strike w:val="0"/>
                <w:color w:val="000000"/>
                <w:sz w:val="24"/>
                <w:highlight w:val="none"/>
                <w:u w:val="none" w:color="auto"/>
              </w:rPr>
              <w:t>ĠU L 348, 24.12.2008, p. 98</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Monika Hohlmeier</w:t>
      </w:r>
      <w:r>
        <w:t xml:space="preserve">, </w:t>
      </w:r>
      <w:r>
        <w:t>Rachida Dati</w:t>
      </w:r>
      <w:r>
        <w:t xml:space="preserve">, </w:t>
      </w:r>
      <w:r>
        <w:t>Rachida Dati</w:t>
      </w:r>
      <w:r>
        <w:t xml:space="preserve">, </w:t>
      </w:r>
      <w:r>
        <w:t>Mariya Gabriel</w:t>
      </w:r>
      <w:r>
        <w:t xml:space="preserve">, </w:t>
      </w:r>
      <w:r>
        <w:t>Artis Pabriks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(33)</w:t>
            </w:r>
            <w:r>
              <w:tab/>
            </w:r>
            <w:r>
              <w:t>Fid-dawl tas-suċċess tal-prevenzjoni u l-monitorġġ ta’ movimenti mhux awtorizzati ta’ ċittadini ta’ pajjiżi terzi u persuni apolidi li ma għandhomx dritt joqogħdu fl-Unjoni, u biex jittieħdu l-miżuri neċessarji għall-infurzar b’suċċess ta’ ritorn effettiv u riammissjoni lejn pajjiżi terzi skont id-Direttiva 2008/115/KE</w:t>
            </w:r>
            <w:r>
              <w:rPr>
                <w:rStyle w:val="Sup"/>
              </w:rPr>
              <w:t>35</w:t>
            </w:r>
            <w:r>
              <w:t xml:space="preserve"> u d-dritt tal-protezzjoni tad-data personali, perjodu ta’ </w:t>
            </w:r>
            <w:r>
              <w:rPr>
                <w:rFonts w:ascii="Times New Roman" w:eastAsia="Times New Roman" w:hAnsi="Times New Roman" w:cs="Times New Roman"/>
                <w:b/>
                <w:i/>
                <w:strike w:val="0"/>
                <w:color w:val="000000"/>
                <w:sz w:val="24"/>
                <w:highlight w:val="none"/>
                <w:u w:val="none" w:color="auto"/>
              </w:rPr>
              <w:t>ħames</w:t>
            </w:r>
            <w:r>
              <w:t xml:space="preserve"> snin għandu jiġi kkunsidrat bħala perjodu neċessarju għall-ħażna tad-data </w:t>
            </w:r>
            <w:r>
              <w:rPr>
                <w:rFonts w:ascii="Times New Roman" w:eastAsia="Times New Roman" w:hAnsi="Times New Roman" w:cs="Times New Roman"/>
                <w:b/>
                <w:i/>
                <w:strike w:val="0"/>
                <w:color w:val="000000"/>
                <w:sz w:val="24"/>
                <w:highlight w:val="none"/>
                <w:u w:val="none" w:color="auto"/>
              </w:rPr>
              <w:t>tal-marki tas-swaba' u x-xbiha tal-wiċċ</w:t>
            </w:r>
            <w:r>
              <w:t>.</w:t>
            </w:r>
          </w:p>
        </w:tc>
        <w:tc>
          <w:tcPr/>
          <w:p>
            <w:pPr>
              <w:pStyle w:val="Normal6"/>
            </w:pPr>
            <w:r>
              <w:t>(33)</w:t>
            </w:r>
            <w:r>
              <w:tab/>
            </w:r>
            <w:r>
              <w:t>Fid-dawl tas-suċċess tal-prevenzjoni u l-monitorġġ ta’ movimenti mhux awtorizzati ta’ ċittadini ta’ pajjiżi terzi u persuni apolidi li ma għandhomx dritt joqogħdu fl-Unjoni, u biex jittieħdu l-miżuri neċessarji għall-infurzar b’suċċess ta’ ritorn effettiv u riammissjoni lejn pajjiżi terzi skont id-Direttiva 2008/115/KE</w:t>
            </w:r>
            <w:r>
              <w:rPr>
                <w:rStyle w:val="Sup"/>
              </w:rPr>
              <w:t>35</w:t>
            </w:r>
            <w:r>
              <w:t xml:space="preserve"> u d-dritt tal-protezzjoni tad-data personali, perjodu ta’ </w:t>
            </w:r>
            <w:r>
              <w:rPr>
                <w:rFonts w:ascii="Times New Roman" w:eastAsia="Times New Roman" w:hAnsi="Times New Roman" w:cs="Times New Roman"/>
                <w:b/>
                <w:i/>
                <w:strike w:val="0"/>
                <w:color w:val="000000"/>
                <w:sz w:val="24"/>
                <w:highlight w:val="none"/>
                <w:u w:val="none" w:color="auto"/>
              </w:rPr>
              <w:t>għaxar</w:t>
            </w:r>
            <w:r>
              <w:t xml:space="preserve"> snin għandu jiġi kkunsidrat bħala perjodu neċessarju għall-ħażna tad-data </w:t>
            </w:r>
            <w:r>
              <w:rPr>
                <w:rFonts w:ascii="Times New Roman" w:eastAsia="Times New Roman" w:hAnsi="Times New Roman" w:cs="Times New Roman"/>
                <w:b/>
                <w:i/>
                <w:strike w:val="0"/>
                <w:color w:val="000000"/>
                <w:sz w:val="24"/>
                <w:highlight w:val="none"/>
                <w:u w:val="none" w:color="auto"/>
              </w:rPr>
              <w:t>bijometrika u alfanumerika</w:t>
            </w:r>
            <w:r>
              <w:t>.</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35</w:t>
            </w:r>
            <w:r>
              <w:t xml:space="preserve"> </w:t>
            </w:r>
            <w:r>
              <w:t>ĠU L 348, 24.12.2008, p. 98</w:t>
            </w:r>
          </w:p>
        </w:tc>
        <w:tc>
          <w:tcPr/>
          <w:p>
            <w:pPr>
              <w:pStyle w:val="Normal6"/>
            </w:pPr>
            <w:r>
              <w:rPr>
                <w:rStyle w:val="Sup"/>
              </w:rPr>
              <w:t>35</w:t>
            </w:r>
            <w:r>
              <w:t xml:space="preserve"> </w:t>
            </w:r>
            <w:r>
              <w:t>ĠU L 348, 24.12.2008, p. 98</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(33)</w:t>
            </w:r>
            <w:r>
              <w:tab/>
            </w:r>
            <w:r>
              <w:t>Fid-dawl tas-suċċess tal-prevenzjoni u l-monitorġġ ta’ movimenti mhux awtorizzati ta’ ċittadini ta’ pajjiżi terzi u persuni apolidi li ma għandhomx dritt joqogħdu fl-Unjoni, u biex jittieħdu l-miżuri neċessarji għall-infurzar b’suċċess ta’ ritorn effettiv u riammissjoni lejn pajjiżi terzi skont id-Direttiva 2008/115/KE</w:t>
            </w:r>
            <w:r>
              <w:rPr>
                <w:rStyle w:val="Sup"/>
              </w:rPr>
              <w:t>35</w:t>
            </w:r>
            <w:r>
              <w:t xml:space="preserve"> u d-dritt tal-protezzjoni tad-data personali, perjodu ta’ </w:t>
            </w:r>
            <w:r>
              <w:rPr>
                <w:rFonts w:ascii="Times New Roman" w:eastAsia="Times New Roman" w:hAnsi="Times New Roman" w:cs="Times New Roman"/>
                <w:b/>
                <w:i/>
                <w:strike w:val="0"/>
                <w:color w:val="000000"/>
                <w:sz w:val="24"/>
                <w:highlight w:val="none"/>
                <w:u w:val="none" w:color="auto"/>
              </w:rPr>
              <w:t>ħames</w:t>
            </w:r>
            <w:r>
              <w:t xml:space="preserve"> snin għandu jiġi kkunsidrat bħala perjodu neċessarju għall-ħażna tad-data tal-marki tas-swaba' u x-xbiha tal-wiċċ.</w:t>
            </w:r>
          </w:p>
        </w:tc>
        <w:tc>
          <w:tcPr/>
          <w:p>
            <w:pPr>
              <w:pStyle w:val="Normal6"/>
            </w:pPr>
            <w:r>
              <w:t>(33)</w:t>
            </w:r>
            <w:r>
              <w:tab/>
            </w:r>
            <w:r>
              <w:t>Fid-dawl tas-suċċess tal-prevenzjoni u l-monitorġġ ta’ movimenti mhux awtorizzati ta’ ċittadini ta’ pajjiżi terzi u persuni apolidi li ma għandhomx dritt joqogħdu fl-Unjoni, u biex jittieħdu l-miżuri neċessarji għall-infurzar b’suċċess ta’ ritorn effettiv u riammissjoni lejn pajjiżi terzi skont id-Direttiva 2008/115/KE</w:t>
            </w:r>
            <w:r>
              <w:rPr>
                <w:rStyle w:val="Sup"/>
              </w:rPr>
              <w:t>35</w:t>
            </w:r>
            <w:r>
              <w:t xml:space="preserve"> u d-dritt tal-protezzjoni tad-data personali, perjodu ta’ </w:t>
            </w:r>
            <w:r>
              <w:rPr>
                <w:rFonts w:ascii="Times New Roman" w:eastAsia="Times New Roman" w:hAnsi="Times New Roman" w:cs="Times New Roman"/>
                <w:b/>
                <w:i/>
                <w:strike w:val="0"/>
                <w:color w:val="000000"/>
                <w:sz w:val="24"/>
                <w:highlight w:val="none"/>
                <w:u w:val="none" w:color="auto"/>
              </w:rPr>
              <w:t>għaxar</w:t>
            </w:r>
            <w:r>
              <w:t xml:space="preserve"> snin għandu jiġi kkunsidrat bħala perjodu neċessarju għall-ħażna tad-data tal-marki tas-swaba' u x-xbiha tal-wiċċ.</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35</w:t>
            </w:r>
            <w:r>
              <w:t xml:space="preserve"> </w:t>
            </w:r>
            <w:r>
              <w:t>ĠU L 348, 24.12.2008, p. 98</w:t>
            </w:r>
          </w:p>
        </w:tc>
        <w:tc>
          <w:tcPr/>
          <w:p>
            <w:pPr>
              <w:pStyle w:val="Normal6"/>
            </w:pPr>
            <w:r>
              <w:rPr>
                <w:rStyle w:val="Sup"/>
              </w:rPr>
              <w:t>35</w:t>
            </w:r>
            <w:r>
              <w:t xml:space="preserve"> </w:t>
            </w:r>
            <w:r>
              <w:t>ĠU L 348, 24.12.2008, p. 98</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(34)</w:t>
            </w:r>
            <w:r>
              <w:tab/>
            </w:r>
            <w:r>
              <w:t>Il-perjodu taż-żamma għandu jkun iqsar f'ċerti sitwazzjonijiet speċjali fejn ma jkunx hemm bżonn li tinżamm data dwar marki tas-swaba’</w:t>
            </w:r>
            <w:r>
              <w:rPr>
                <w:rFonts w:ascii="Times New Roman" w:eastAsia="Times New Roman" w:hAnsi="Times New Roman" w:cs="Times New Roman"/>
                <w:b/>
                <w:i/>
                <w:strike w:val="0"/>
                <w:color w:val="000000"/>
                <w:sz w:val="24"/>
                <w:highlight w:val="none"/>
                <w:u w:val="none" w:color="auto"/>
              </w:rPr>
              <w:t xml:space="preserve">  u x-xbiha tal-wiċċ   </w:t>
            </w:r>
            <w:r>
              <w:t>u kull data personali oħra</w:t>
            </w:r>
            <w:r>
              <w:rPr>
                <w:rFonts w:ascii="Times New Roman" w:eastAsia="Times New Roman" w:hAnsi="Times New Roman" w:cs="Times New Roman"/>
                <w:b/>
                <w:i/>
                <w:strike w:val="0"/>
                <w:color w:val="000000"/>
                <w:sz w:val="24"/>
                <w:highlight w:val="none"/>
                <w:u w:val="none" w:color="auto"/>
              </w:rPr>
              <w:t xml:space="preserve">  </w:t>
            </w:r>
            <w:r>
              <w:t>għal dak it-tul ta' żmien. Id-data dwar marki tas-swaba’</w:t>
            </w:r>
            <w:r>
              <w:rPr>
                <w:rFonts w:ascii="Times New Roman" w:eastAsia="Times New Roman" w:hAnsi="Times New Roman" w:cs="Times New Roman"/>
                <w:b/>
                <w:i/>
                <w:strike w:val="0"/>
                <w:color w:val="000000"/>
                <w:sz w:val="24"/>
                <w:highlight w:val="none"/>
                <w:u w:val="none" w:color="auto"/>
              </w:rPr>
              <w:t xml:space="preserve">  u x-xbiha tal-wiċċ   </w:t>
            </w:r>
            <w:r>
              <w:t>u kull data personali oħra li tappartjeni għal ċittadini ta’ persuni terzi</w:t>
            </w:r>
            <w:r>
              <w:rPr>
                <w:rFonts w:ascii="Times New Roman" w:eastAsia="Times New Roman" w:hAnsi="Times New Roman" w:cs="Times New Roman"/>
                <w:b/>
                <w:i/>
                <w:strike w:val="0"/>
                <w:color w:val="000000"/>
                <w:sz w:val="24"/>
                <w:highlight w:val="none"/>
                <w:u w:val="none" w:color="auto"/>
              </w:rPr>
              <w:t xml:space="preserve">  </w:t>
            </w:r>
            <w:r>
              <w:t>għandha titħassar immedjatament ladarba ċittadini ta’ pajjiż terz jew persuni apolidi jieħdu ċittadinanza ta' Stat Membru.</w:t>
            </w:r>
          </w:p>
        </w:tc>
        <w:tc>
          <w:tcPr/>
          <w:p>
            <w:pPr>
              <w:pStyle w:val="Normal6"/>
            </w:pPr>
            <w:r>
              <w:t>(34)</w:t>
            </w:r>
            <w:r>
              <w:tab/>
            </w:r>
            <w:r>
              <w:t>Il-perjodu taż-żamma għandu jkun iqsar f'ċerti sitwazzjonijiet speċjali fejn ma jkunx hemm bżonn li tinżamm data dwar marki tas-swaba’</w:t>
            </w:r>
            <w:r>
              <w:rPr>
                <w:rFonts w:ascii="Times New Roman" w:eastAsia="Times New Roman" w:hAnsi="Times New Roman" w:cs="Times New Roman"/>
                <w:b/>
                <w:i/>
                <w:strike w:val="0"/>
                <w:color w:val="000000"/>
                <w:sz w:val="24"/>
                <w:highlight w:val="none"/>
                <w:u w:val="none" w:color="auto"/>
              </w:rPr>
              <w:t xml:space="preserve">, data dwar ix-xbiha tal-wiċċ jew it-tnejn li huma </w:t>
            </w:r>
            <w:r>
              <w:t>u kull data personali oħra</w:t>
            </w:r>
            <w:r>
              <w:rPr>
                <w:rFonts w:ascii="Times New Roman" w:eastAsia="Times New Roman" w:hAnsi="Times New Roman" w:cs="Times New Roman"/>
                <w:b/>
                <w:i/>
                <w:strike w:val="0"/>
                <w:color w:val="000000"/>
                <w:sz w:val="24"/>
                <w:highlight w:val="none"/>
                <w:u w:val="none" w:color="auto"/>
              </w:rPr>
              <w:t xml:space="preserve"> </w:t>
            </w:r>
            <w:r>
              <w:t>għal dak it-tul ta' żmien. Id-data dwar marki tas-swaba’</w:t>
            </w:r>
            <w:r>
              <w:rPr>
                <w:rFonts w:ascii="Times New Roman" w:eastAsia="Times New Roman" w:hAnsi="Times New Roman" w:cs="Times New Roman"/>
                <w:b/>
                <w:i/>
                <w:strike w:val="0"/>
                <w:color w:val="000000"/>
                <w:sz w:val="24"/>
                <w:highlight w:val="none"/>
                <w:u w:val="none" w:color="auto"/>
              </w:rPr>
              <w:t xml:space="preserve">, id-data dwar ix-xbiha tal-wiċċ jew it-tnejn li huma </w:t>
            </w:r>
            <w:r>
              <w:t>u kull data personali oħra li tappartjeni għal ċittadini ta’ persuni terzi</w:t>
            </w:r>
            <w:r>
              <w:rPr>
                <w:rFonts w:ascii="Times New Roman" w:eastAsia="Times New Roman" w:hAnsi="Times New Roman" w:cs="Times New Roman"/>
                <w:b/>
                <w:i/>
                <w:strike w:val="0"/>
                <w:color w:val="000000"/>
                <w:sz w:val="24"/>
                <w:highlight w:val="none"/>
                <w:u w:val="none" w:color="auto"/>
              </w:rPr>
              <w:t xml:space="preserve"> </w:t>
            </w:r>
            <w:r>
              <w:t>għandha titħassar immedjatament ladarba ċittadini ta’ pajjiż terz jew persuni apolidi jieħdu ċittadinanza ta' Stat Membru</w:t>
            </w:r>
            <w:r>
              <w:rPr>
                <w:rFonts w:ascii="Times New Roman" w:eastAsia="Times New Roman" w:hAnsi="Times New Roman" w:cs="Times New Roman"/>
                <w:b/>
                <w:i/>
                <w:strike w:val="0"/>
                <w:color w:val="000000"/>
                <w:sz w:val="24"/>
                <w:highlight w:val="none"/>
                <w:u w:val="none" w:color="auto"/>
              </w:rPr>
              <w:t xml:space="preserve"> jew, fil-każ tat-tfal, hekk kif jagħlqu t-18-il sena</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meħtieġa biex iżżomm il-loġika tat-test peress li għandha sservi biex tipproteġi lit-tfal vittmi tat-traffikar u tappoġġja l-identifikazzjoni u l-protezzjoni ta' tfal mhux akkumpanjati li jgħibu, jisparixxu jew jaħarbu, kif il-Kummissjoni Ewropea enfasizzat fil-memorandum ta' spjegazzjoni tagħha li jakkumpanja r-riformulazzjoni proposta tar-Regolament Eurodac. Sabiex ikun konformi tal-Artikolu 7, l-Artikolu 8 u l-Artikolu 24 tal-Karta, l-ipproċessar tad-data bijometrika tat-tfal mill-età ta' sitt snin jista' biss jiġi ġġustifikat jekk għandu l-għan li jipproteġi lit-tfal.</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(34)</w:t>
            </w:r>
            <w:r>
              <w:tab/>
            </w:r>
            <w:r>
              <w:t>Il-perjodu taż-żamma għandu jkun iqsar f'ċerti sitwazzjonijiet speċjali fejn ma jkunx hemm bżonn li tinżamm 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w:t>
            </w:r>
            <w:r>
              <w:t>u kull data personali oħra</w:t>
            </w:r>
            <w:r>
              <w:rPr>
                <w:rFonts w:ascii="Times New Roman" w:eastAsia="Times New Roman" w:hAnsi="Times New Roman" w:cs="Times New Roman"/>
                <w:b/>
                <w:i/>
                <w:strike w:val="0"/>
                <w:color w:val="000000"/>
                <w:sz w:val="24"/>
                <w:highlight w:val="none"/>
                <w:u w:val="none" w:color="auto"/>
              </w:rPr>
              <w:t xml:space="preserve">  </w:t>
            </w:r>
            <w:r>
              <w:t>għal dak it-tul ta' żmien. Id-data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w:t>
            </w:r>
            <w:r>
              <w:t>u kull data personali oħra li tappartjeni għal ċittadini ta’ persuni terzi</w:t>
            </w:r>
            <w:r>
              <w:rPr>
                <w:rFonts w:ascii="Times New Roman" w:eastAsia="Times New Roman" w:hAnsi="Times New Roman" w:cs="Times New Roman"/>
                <w:b/>
                <w:i/>
                <w:strike w:val="0"/>
                <w:color w:val="000000"/>
                <w:sz w:val="24"/>
                <w:highlight w:val="none"/>
                <w:u w:val="none" w:color="auto"/>
              </w:rPr>
              <w:t xml:space="preserve">  </w:t>
            </w:r>
            <w:r>
              <w:t>għandha titħassar immedjatament ladarba ċittadini ta’ pajjiż terz jew persuni apolidi jieħdu ċittadinanza ta' Stat Membru.</w:t>
            </w:r>
          </w:p>
        </w:tc>
        <w:tc>
          <w:tcPr/>
          <w:p>
            <w:pPr>
              <w:pStyle w:val="Normal6"/>
            </w:pPr>
            <w:r>
              <w:t>(34)</w:t>
            </w:r>
            <w:r>
              <w:tab/>
            </w:r>
            <w:r>
              <w:t>Il-perjodu taż-żamma għandu jkun iqsar f'ċerti sitwazzjonijiet speċjali fejn ma jkunx hemm bżonn li tinżamm 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u kull data personali oħra</w:t>
            </w:r>
            <w:r>
              <w:rPr>
                <w:rFonts w:ascii="Times New Roman" w:eastAsia="Times New Roman" w:hAnsi="Times New Roman" w:cs="Times New Roman"/>
                <w:b/>
                <w:i/>
                <w:strike w:val="0"/>
                <w:color w:val="000000"/>
                <w:sz w:val="24"/>
                <w:highlight w:val="none"/>
                <w:u w:val="none" w:color="auto"/>
              </w:rPr>
              <w:t xml:space="preserve"> </w:t>
            </w:r>
            <w:r>
              <w:t>għal dak it-tul ta' żmien. Id-data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u kull data personali oħra li tappartjeni għal ċittadini ta’ persuni terzi</w:t>
            </w:r>
            <w:r>
              <w:rPr>
                <w:rFonts w:ascii="Times New Roman" w:eastAsia="Times New Roman" w:hAnsi="Times New Roman" w:cs="Times New Roman"/>
                <w:b/>
                <w:i/>
                <w:strike w:val="0"/>
                <w:color w:val="000000"/>
                <w:sz w:val="24"/>
                <w:highlight w:val="none"/>
                <w:u w:val="none" w:color="auto"/>
              </w:rPr>
              <w:t xml:space="preserve"> </w:t>
            </w:r>
            <w:r>
              <w:t>għandha titħassar immedjatament</w:t>
            </w:r>
            <w:r>
              <w:rPr>
                <w:rFonts w:ascii="Times New Roman" w:eastAsia="Times New Roman" w:hAnsi="Times New Roman" w:cs="Times New Roman"/>
                <w:b/>
                <w:i/>
                <w:strike w:val="0"/>
                <w:color w:val="000000"/>
                <w:sz w:val="24"/>
                <w:highlight w:val="none"/>
                <w:u w:val="none" w:color="auto"/>
              </w:rPr>
              <w:t xml:space="preserve"> u b'mod permanenti</w:t>
            </w:r>
            <w:r>
              <w:t xml:space="preserve"> ladarba ċittadini ta’ pajjiż terz jew persuni apolidi jieħdu ċittadinanza ta' Stat Membru.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F'konformità mal-Artikolu 104 tar-Regoli ta' Proċedura, din l-emenda hija meħtieġa peress li hija marbuta b'mod intrinsiku mal-emendi l-oħra ammissibli relatati mal-iskopijiet tal-Eurodac (Artikolu 1), li jintroduċu referenzi għall-konformità mal-prinċipji ta' neċessità u proporzjonalità skont l-Artikolu 52(1) tal-Karta u l-ġurisprudenza rilevanti tal-QtĠ-UE.</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(34)</w:t>
            </w:r>
            <w:r>
              <w:tab/>
            </w:r>
            <w:r>
              <w:t>Il-perjodu taż-żamma għandu jkun iqsar f'ċerti sitwazzjonijiet speċjali fejn ma jkunx hemm bżonn li tinżamm 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w:t>
            </w:r>
            <w:r>
              <w:t>u kull data personali oħra</w:t>
            </w:r>
            <w:r>
              <w:rPr>
                <w:rFonts w:ascii="Times New Roman" w:eastAsia="Times New Roman" w:hAnsi="Times New Roman" w:cs="Times New Roman"/>
                <w:b/>
                <w:i/>
                <w:strike w:val="0"/>
                <w:color w:val="000000"/>
                <w:sz w:val="24"/>
                <w:highlight w:val="none"/>
                <w:u w:val="none" w:color="auto"/>
              </w:rPr>
              <w:t xml:space="preserve">  </w:t>
            </w:r>
            <w:r>
              <w:t>għal dak it-tul ta' żmien. Id-data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w:t>
            </w:r>
            <w:r>
              <w:t xml:space="preserve">u kull data personali oħra li tappartjeni għal </w:t>
            </w:r>
            <w:r>
              <w:rPr>
                <w:rFonts w:ascii="Times New Roman" w:eastAsia="Times New Roman" w:hAnsi="Times New Roman" w:cs="Times New Roman"/>
                <w:b/>
                <w:i/>
                <w:strike w:val="0"/>
                <w:color w:val="000000"/>
                <w:sz w:val="24"/>
                <w:highlight w:val="none"/>
                <w:u w:val="none" w:color="auto"/>
              </w:rPr>
              <w:t xml:space="preserve">ċittadini ta’ persuni terzi  </w:t>
            </w:r>
            <w:r>
              <w:t>għandha titħassar immedjatament ladarba ċittadini ta’ pajjiż terz jew persuni apolidi jieħdu ċittadinanza ta' Stat Membru.</w:t>
            </w:r>
          </w:p>
        </w:tc>
        <w:tc>
          <w:tcPr/>
          <w:p>
            <w:pPr>
              <w:pStyle w:val="Normal6"/>
            </w:pPr>
            <w:r>
              <w:t>(34)</w:t>
            </w:r>
            <w:r>
              <w:tab/>
            </w:r>
            <w:r>
              <w:t>Il-perjodu taż-żamma għandu jkun iqsar f'ċerti sitwazzjonijiet speċjali fejn ma jkunx hemm bżonn li tinżamm 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u kull data personali oħra</w:t>
            </w:r>
            <w:r>
              <w:rPr>
                <w:rFonts w:ascii="Times New Roman" w:eastAsia="Times New Roman" w:hAnsi="Times New Roman" w:cs="Times New Roman"/>
                <w:b/>
                <w:i/>
                <w:strike w:val="0"/>
                <w:color w:val="000000"/>
                <w:sz w:val="24"/>
                <w:highlight w:val="none"/>
                <w:u w:val="none" w:color="auto"/>
              </w:rPr>
              <w:t xml:space="preserve"> </w:t>
            </w:r>
            <w:r>
              <w:t>għal dak it-tul ta' żmien. Id-data dwar 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 xml:space="preserve">u kull data personali oħra li tappartjeni għal </w:t>
            </w:r>
            <w:r>
              <w:rPr>
                <w:rFonts w:ascii="Times New Roman" w:eastAsia="Times New Roman" w:hAnsi="Times New Roman" w:cs="Times New Roman"/>
                <w:b/>
                <w:i/>
                <w:strike w:val="0"/>
                <w:color w:val="000000"/>
                <w:sz w:val="24"/>
                <w:highlight w:val="none"/>
                <w:u w:val="none" w:color="auto"/>
              </w:rPr>
              <w:t xml:space="preserve">ċittadin ta' pajjiż terz jew għal persuna apolida </w:t>
            </w:r>
            <w:r>
              <w:t>għandha titħassar immedjatament ladarba ċittadini ta' pajjiż terz jew persuni apolidi jieħdu ċittadinanza ta' Stat Membru.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Korrezzjoni tal-proposta tal-Kummissjoni li ma żżidx fil-postijiet kollha meħtieġa l-formulazzjoni "u persuni apolidi", li hija konformi mal-iskop tal-Eurodac kif imsemmi fl-Artikolu 1(a).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37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(37)</w:t>
            </w:r>
            <w:r>
              <w:tab/>
            </w:r>
            <w:r>
              <w:t>Hemm bżonn li jkunu preskritti b'mod ċar ir-responsabilitajiet rispettivi tal-Kummissjoni u</w:t>
            </w:r>
            <w:r>
              <w:rPr>
                <w:rFonts w:ascii="Times New Roman" w:eastAsia="Times New Roman" w:hAnsi="Times New Roman" w:cs="Times New Roman"/>
                <w:b/>
                <w:i/>
                <w:strike w:val="0"/>
                <w:color w:val="000000"/>
                <w:sz w:val="24"/>
                <w:highlight w:val="none"/>
                <w:u w:val="none" w:color="auto"/>
              </w:rPr>
              <w:t xml:space="preserve">  eu-LISA  </w:t>
            </w:r>
            <w:r>
              <w:t>, f'dak li għandu x'jaqsam mas-Sistema Ċentrali</w:t>
            </w:r>
            <w:r>
              <w:rPr>
                <w:rFonts w:ascii="Times New Roman" w:eastAsia="Times New Roman" w:hAnsi="Times New Roman" w:cs="Times New Roman"/>
                <w:b/>
                <w:i/>
                <w:strike w:val="0"/>
                <w:color w:val="000000"/>
                <w:sz w:val="24"/>
                <w:highlight w:val="none"/>
                <w:u w:val="none" w:color="auto"/>
              </w:rPr>
              <w:t xml:space="preserve"> u l-Infrastruttura ta’ Komuikazzjoni</w:t>
            </w:r>
            <w:r>
              <w:t xml:space="preserve"> u tal-Istati Membri fir-rigward tal-ipproċessar tad-data, is-sigurtà tad-data, l-aċċess għaliha u l-korrezzjoni tad-data reġistrata.</w:t>
            </w:r>
          </w:p>
        </w:tc>
        <w:tc>
          <w:tcPr/>
          <w:p>
            <w:pPr>
              <w:pStyle w:val="Normal6"/>
            </w:pPr>
            <w:r>
              <w:t>(37)</w:t>
            </w:r>
            <w:r>
              <w:tab/>
            </w:r>
            <w:r>
              <w:t>Hemm bżonn li jkunu preskritti b'mod ċar ir-responsabilitajiet rispettivi tal-Kummissjoni u</w:t>
            </w:r>
            <w:r>
              <w:rPr>
                <w:rFonts w:ascii="Times New Roman" w:eastAsia="Times New Roman" w:hAnsi="Times New Roman" w:cs="Times New Roman"/>
                <w:b/>
                <w:i/>
                <w:strike w:val="0"/>
                <w:color w:val="000000"/>
                <w:sz w:val="24"/>
                <w:highlight w:val="none"/>
                <w:u w:val="none" w:color="auto"/>
              </w:rPr>
              <w:t xml:space="preserve"> eu-LISA </w:t>
            </w:r>
            <w:r>
              <w:t>, f'dak li għandu x'jaqsam mas-Sistema Ċentrali</w:t>
            </w:r>
            <w:r>
              <w:rPr>
                <w:rFonts w:ascii="Times New Roman" w:eastAsia="Times New Roman" w:hAnsi="Times New Roman" w:cs="Times New Roman"/>
                <w:b/>
                <w:i/>
                <w:strike w:val="0"/>
                <w:color w:val="000000"/>
                <w:sz w:val="24"/>
                <w:highlight w:val="none"/>
                <w:u w:val="none" w:color="auto"/>
              </w:rPr>
              <w:t>, l-Infrastruttura ta’ Komunikazzjoni u l-interoperabilità ma' sistemi oħra ta' informazzjoni</w:t>
            </w:r>
            <w:r>
              <w:t xml:space="preserve"> u tal-Istati Membri fir-rigward tal-ipproċessar tad-data, is-sigurtà tad-data, l-aċċess għaliha u l-korrezzjoni tad-data reġistrata.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Jenħtieġ li tiġi stabbilita b'mod ċar ir-responsabilità tal-eu-Lisa għall-iżvilupp futur tas-sistema fir-rigward tal-interoperabilità tagħha ma' sistemi oħra tal-IT.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(41)</w:t>
            </w:r>
            <w:r>
              <w:tab/>
            </w:r>
            <w:r>
              <w:rPr>
                <w:rFonts w:ascii="Times New Roman" w:eastAsia="Times New Roman" w:hAnsi="Times New Roman" w:cs="Times New Roman"/>
                <w:b/>
                <w:i/>
                <w:strike w:val="0"/>
                <w:color w:val="000000"/>
                <w:sz w:val="24"/>
                <w:highlight w:val="none"/>
                <w:u w:val="none" w:color="auto"/>
              </w:rPr>
              <w:t>Għall-finijiet ta’ protezzjoni ta’ data personali, u biex jiġi eskluż tqabbil sistematiku li għandu jiġi pprojbit</w:t>
            </w:r>
            <w:r>
              <w:t>,</w:t>
            </w:r>
            <w:r>
              <w:rPr>
                <w:rFonts w:ascii="Times New Roman" w:eastAsia="Times New Roman" w:hAnsi="Times New Roman" w:cs="Times New Roman"/>
                <w:b/>
                <w:i/>
                <w:strike w:val="0"/>
                <w:color w:val="000000"/>
                <w:sz w:val="24"/>
                <w:highlight w:val="none"/>
                <w:u w:val="none" w:color="auto"/>
              </w:rPr>
              <w:t xml:space="preserve"> l-ipproċessar ta’ data tal-Eurodac għandu jsir biss f’każijiet speċifiċi u</w:t>
            </w:r>
            <w:r>
              <w:t xml:space="preserve"> meta jkun meħtieġ għall-finijiet tal-prevenzjoni, ir-rintraċċar jew l-investigazzjoni ta' reati terroristiċi jew reati serji oħra. Każ speċifiku jeżisti b'mod partikolari meta t-talba għat-tqabbil tkun relatata ma’ sitwazzjoni speċifika u konkreta jew ma’ periklu speċifiku u konkret assoċjat ma’ reat terroristiku jew reat kriminali serju ieħor, jew ma’ persuni speċifiċi li fil-konfront tagħhom ikun hemm raġunijiet serji għaliex wieħed jemmen li dawn ikunu se jwettqu jew wettqu reati terroristiċi jew reati serji oħra. Każ speċifiku jeżisti wkoll meta t-talba għal tqabbil tkun relatata ma’ persuna li tkun il-vittma ta’ reat terroristiku jew ta’ reat kriminali serju ieħor. Għaldaqstant, l-awtoritajiet maħtura u l-Europol għandhom jitolbu għal tqabbil mal-Eurodac meta jkollhom raġunijiet motivati biex jemmnu li tqabbil bħal dan ikun se jipprovdi informazzjoni li tgħinhom sostanzjalment fil-prevenzjoni, ir-rintraċċar jew l-investigazzjoni ta’ reat terroristiku jew reat kriminali serju ieħor.</w:t>
            </w:r>
          </w:p>
        </w:tc>
        <w:tc>
          <w:tcPr/>
          <w:p>
            <w:pPr>
              <w:pStyle w:val="Normal6"/>
            </w:pPr>
            <w:r>
              <w:t>(41)</w:t>
            </w:r>
            <w:r>
              <w:tab/>
            </w:r>
            <w:r>
              <w:rPr>
                <w:rFonts w:ascii="Times New Roman" w:eastAsia="Times New Roman" w:hAnsi="Times New Roman" w:cs="Times New Roman"/>
                <w:b/>
                <w:i/>
                <w:strike w:val="0"/>
                <w:color w:val="000000"/>
                <w:sz w:val="24"/>
                <w:highlight w:val="none"/>
                <w:u w:val="none" w:color="auto"/>
              </w:rPr>
              <w:t>L-ipproċessar tad-data tal-Eurodac għandu jsir biss f'każijiet speċifiċi, skont id-dritt tal-Unjoni dwar il-protezzjoni tad-data personali</w:t>
            </w:r>
            <w:r>
              <w:t>, meta jkun meħtieġ għall-finijiet tal-prevenzjoni, ir-rintraċċar jew l-investigazzjoni ta' reati terroristiċi jew reati serji oħra. Każ speċifiku jeżisti b'mod partikolari meta t-talba għat-tqabbil tkun relatata ma’ sitwazzjoni speċifika u konkreta jew ma’ periklu speċifiku u konkret assoċjat ma’ reat terroristiku jew reat kriminali serju ieħor, jew ma’ persuni speċifiċi li fil-konfront tagħhom ikun hemm raġunijiet serji għaliex wieħed jemmen li dawn ikunu se jwettqu jew wettqu reati terroristiċi jew reati serji oħra. Każ speċifiku jeżisti wkoll meta t-talba għal tqabbil tkun relatata ma’ persuna li tkun il-vittma ta’ reat terroristiku jew ta’ reat kriminali serju ieħor. Għaldaqstant, l-awtoritajiet maħtura u l-Europol għandhom jitolbu għal tqabbil mal-Eurodac meta jkollhom raġunijiet motivati biex jemmnu li tqabbil bħal dan ikun se jipprovdi informazzjoni li tgħinhom sostanzjalment fil-prevenzjoni, ir-rintraċċar jew l-investigazzjoni ta’ reat terroristiku jew reat kriminali serju ieħor.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L-ipproċessar tad-data tal-Eurodac għandu jsir biss abbażi ta' każijiet speċifiċi u f'konformità mal-leġiżlazzjoni tal-UE li tirregola l-użu tad-data personali.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(42)</w:t>
            </w:r>
            <w:r>
              <w:tab/>
            </w:r>
            <w:r>
              <w:t xml:space="preserve">Barra minn hekk, l-aċċess għandu jkun permess biss bil-kundizzjoni li </w:t>
            </w:r>
            <w:r>
              <w:rPr>
                <w:rFonts w:ascii="Times New Roman" w:eastAsia="Times New Roman" w:hAnsi="Times New Roman" w:cs="Times New Roman"/>
                <w:b/>
                <w:i/>
                <w:strike w:val="0"/>
                <w:color w:val="000000"/>
                <w:sz w:val="24"/>
                <w:highlight w:val="none"/>
                <w:u w:val="none" w:color="auto"/>
              </w:rPr>
              <w:t>t-tqabbil mal-bażijiet tad-data</w:t>
            </w:r>
            <w:r>
              <w:t xml:space="preserve"> nazzjonali tal-marki tas-swaba tal-Istat Membru u </w:t>
            </w:r>
            <w:r>
              <w:rPr>
                <w:rFonts w:ascii="Times New Roman" w:eastAsia="Times New Roman" w:hAnsi="Times New Roman" w:cs="Times New Roman"/>
                <w:b/>
                <w:i/>
                <w:strike w:val="0"/>
                <w:color w:val="000000"/>
                <w:sz w:val="24"/>
                <w:highlight w:val="none"/>
                <w:u w:val="none" w:color="auto"/>
              </w:rPr>
              <w:t>mas-sistemi</w:t>
            </w:r>
            <w:r>
              <w:t xml:space="preserve"> awtomatizzati ta' identifikazzjoni tal-marki tas-swaba' tal-Istati Membri kollha oħra taħt id-Deċiżjoni tal-Kunsill 2008/615/ĠAI</w:t>
            </w:r>
            <w:r>
              <w:rPr>
                <w:rFonts w:ascii="Times New Roman" w:eastAsia="Times New Roman" w:hAnsi="Times New Roman" w:cs="Times New Roman"/>
                <w:b/>
                <w:i/>
                <w:strike w:val="0"/>
                <w:color w:val="000000"/>
                <w:sz w:val="24"/>
                <w:highlight w:val="none"/>
                <w:u w:val="none" w:color="auto"/>
              </w:rPr>
              <w:t xml:space="preserve"> ma jwassalx sabiex tiġi stabbilita l-identità tas-suġġett tad-data</w:t>
            </w:r>
            <w:r>
              <w:t>. Dik il-kundizzjoni titlob li l-Istat Membru li jagħmel it-talba jagħmel tqabbil mas-sistemi awtomatizzati ta' identifikazzjoni tal-marki tas-swaba’ tal-Istati Membri l-oħra kollha taħt id-Deċiżjoni 2008/615/ĠAI li huma teknikament disponibbli, sakemm dak l-Istat Membru ma jkunx jista' jiġġustifika li jeżistu raġunijiet suffiċjenti li wieħed jemmen li dan ma jwassalx sabiex tiġi stabbiltà l-identità tas-suġġett tad-data. Tali raġunijiet raġonevoli jeżistu b’mod partikolari fejn il-każ speċifiku ma jippreżenta l-ebda rabta operattiva jew investigattiva ma’ Stat Membru. Dik il-kondizzjoni titlob l-implimentazzjoni legali u teknika minn qabel tad-Deċiżjoni 2008/615/ĠAI mill-Istat Membru rikjedenti fil-qasam tad-data dwar il-marki tas-swaba’, billi ma għandux ikun permess li titmexxa verifika tal-Eurodac għall-finijiet tal-infurzar tal-liġi fejn dawn il-passi ta’ hawn fuq ma jkunux ittieħdu l-ewwel.</w:t>
            </w:r>
            <w:r>
              <w:rPr>
                <w:rStyle w:val="Sup"/>
              </w:rPr>
              <w:t>36</w:t>
            </w:r>
          </w:p>
        </w:tc>
        <w:tc>
          <w:tcPr/>
          <w:p>
            <w:pPr>
              <w:pStyle w:val="Normal6"/>
            </w:pPr>
            <w:r>
              <w:t>(42)</w:t>
            </w:r>
            <w:r>
              <w:tab/>
            </w:r>
            <w:r>
              <w:t xml:space="preserve">Barra minn hekk, l-aċċess għandu jkun permess biss bil-kundizzjoni li </w:t>
            </w:r>
            <w:r>
              <w:rPr>
                <w:rFonts w:ascii="Times New Roman" w:eastAsia="Times New Roman" w:hAnsi="Times New Roman" w:cs="Times New Roman"/>
                <w:b/>
                <w:i/>
                <w:strike w:val="0"/>
                <w:color w:val="000000"/>
                <w:sz w:val="24"/>
                <w:highlight w:val="none"/>
                <w:u w:val="none" w:color="auto"/>
              </w:rPr>
              <w:t>tkun saret tfittxija minn qabel fil-bażijiet ta’ data</w:t>
            </w:r>
            <w:r>
              <w:t xml:space="preserve"> nazzjonali tal-marki tas-swaba</w:t>
            </w:r>
            <w:r>
              <w:rPr>
                <w:rFonts w:ascii="Times New Roman" w:eastAsia="Times New Roman" w:hAnsi="Times New Roman" w:cs="Times New Roman"/>
                <w:b/>
                <w:i/>
                <w:strike w:val="0"/>
                <w:color w:val="000000"/>
                <w:sz w:val="24"/>
                <w:highlight w:val="none"/>
                <w:u w:val="none" w:color="auto"/>
              </w:rPr>
              <w:t>' u x-xbiha tal-wiċċ</w:t>
            </w:r>
            <w:r>
              <w:t xml:space="preserve"> tal-Istat Membru u </w:t>
            </w:r>
            <w:r>
              <w:rPr>
                <w:rFonts w:ascii="Times New Roman" w:eastAsia="Times New Roman" w:hAnsi="Times New Roman" w:cs="Times New Roman"/>
                <w:b/>
                <w:i/>
                <w:strike w:val="0"/>
                <w:color w:val="000000"/>
                <w:sz w:val="24"/>
                <w:highlight w:val="none"/>
                <w:u w:val="none" w:color="auto"/>
              </w:rPr>
              <w:t>fis-sistemi</w:t>
            </w:r>
            <w:r>
              <w:t xml:space="preserve"> awtomatizzati ta' identifikazzjoni tal-marki tas-swaba' tal-Istati Membri kollha oħra taħt id-Deċiżjoni tal-Kunsill 2008/615/ĠAI</w:t>
            </w:r>
            <w:r>
              <w:rPr>
                <w:rStyle w:val="Sup"/>
              </w:rPr>
              <w:t>36</w:t>
            </w:r>
            <w:r>
              <w:t>. Dik il-kundizzjoni titlob li l-Istat Membru li jagħmel it-talba jagħmel tqabbil mas-sistemi awtomatizzati ta' identifikazzjoni tal-marki tas-swaba’ tal-Istati Membri l-oħra kollha taħt id-Deċiżjoni 2008/615/ĠAI li huma teknikament disponibbli, sakemm dak l-Istat Membru ma jkunx jista' jiġġustifika li jeżistu raġunijiet suffiċjenti li wieħed jemmen li dan ma jwassalx sabiex tiġi stabbiltà l-identità tas-suġġett tad-data. Tali raġunijiet raġonevoli jeżistu b’mod partikolari fejn il-każ speċifiku ma jippreżenta l-ebda rabta operattiva jew investigattiva ma’ Stat Membru. Dik il-kondizzjoni titlob l-implimentazzjoni legali u teknika minn qabel tad-Deċiżjoni 2008/615/ĠAI mill-Istat Membru rikjedenti fil-qasam tad-data dwar il-marki tas-swaba’, billi ma għandux ikun permess li titmexxa verifika tal-Eurodac għall-finijiet tal-infurzar tal-liġi fejn dawn il-passi ta’ hawn fuq ma jkunux ittieħdu l-ewwel.</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
              </w:rPr>
              <w:t>36</w:t>
            </w:r>
            <w:r>
              <w:t xml:space="preserve"> </w:t>
            </w:r>
            <w:r>
              <w:rPr>
                <w:rFonts w:ascii="Times New Roman" w:eastAsia="Times New Roman" w:hAnsi="Times New Roman" w:cs="Times New Roman"/>
                <w:b/>
                <w:i/>
                <w:strike w:val="0"/>
                <w:color w:val="000000"/>
                <w:sz w:val="24"/>
                <w:highlight w:val="none"/>
                <w:u w:val="none" w:color="auto"/>
              </w:rPr>
              <w:t>THIS FOOTNOTE IS MISSING. THANK YOU FOR USING ANOTHER LANGUAGE</w:t>
            </w:r>
            <w:r>
              <w:t>.</w:t>
            </w:r>
          </w:p>
        </w:tc>
        <w:tc>
          <w:tcPr/>
          <w:p>
            <w:pPr>
              <w:pStyle w:val="Normal6"/>
            </w:pPr>
            <w:r>
              <w:rPr>
                <w:rStyle w:val="Sup"/>
              </w:rPr>
              <w:t>36</w:t>
            </w:r>
            <w:r>
              <w:t xml:space="preserve"> </w:t>
            </w:r>
            <w:r>
              <w:rPr>
                <w:rFonts w:ascii="Times New Roman" w:eastAsia="Times New Roman" w:hAnsi="Times New Roman" w:cs="Times New Roman"/>
                <w:b/>
                <w:i/>
                <w:strike w:val="0"/>
                <w:color w:val="000000"/>
                <w:sz w:val="24"/>
                <w:highlight w:val="none"/>
                <w:u w:val="none" w:color="auto"/>
              </w:rPr>
              <w:t>Id-Deċiżjoni tal-Kunsill 2008/615/ĠAI tat-23 ta' Ġunju 2008 dwar it-titjib tal-kooperazzjoni transkonfinali, b'mod partikolari fil-ġlieda kontra t-terroriżmu u l-kriminalità transkonfinali (ĠU L 210, 6.8.2008, p. 1)</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F'konformità mal-estensjoni tal-iskop fl-Artikolu 1(1)(c) tal-proposta (mhix kodifikata) li tistipula li l-Eurodac se taqdi mhux biss skop ta' implimentazzjoni tar-Regolament ta' Dublin iżda saħansitra skopijiet ta' infurzar tal-liġi. Sabiex jitwettaq l-obbligu tal-awtoritajiet maħtura tal-Istati Membri u tal-Europol, il-proċedura għall-aċċess għall-Eurodac għandha tkun rapida u effettiva, iżda xorta waħda għandha tqis li l-għan ewlieni tal-Eurodac huwa li tappoġġa lill-Istati Membri fl-applikazzjoni tar-Regolament ta' Dublin.</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(43)</w:t>
            </w:r>
            <w:r>
              <w:tab/>
            </w:r>
            <w:r>
              <w:rPr>
                <w:rFonts w:ascii="Times New Roman" w:eastAsia="Times New Roman" w:hAnsi="Times New Roman" w:cs="Times New Roman"/>
                <w:b/>
                <w:i/>
                <w:strike w:val="0"/>
                <w:color w:val="000000"/>
                <w:sz w:val="24"/>
                <w:highlight w:val="none"/>
                <w:u w:val="none" w:color="auto"/>
              </w:rPr>
              <w:t>Qabel ma jfittxu fil-Eurodac, l-awtoritajiet maħtura għandhom ukoll, sakemm il-kundizzjonijiet għal tali tqabbil ikunu ġew issodisfati, jikkonsultaw is-Sistema ta' Informazzjoni dwar il-Viża skont id-Deċiżjoni tal-Kunsill 2008/633/ĠAI .</w:t>
            </w:r>
            <w:r>
              <w:rPr>
                <w:rStyle w:val="SupBoldItalic"/>
              </w:rPr>
              <w:t>37</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37</w:t>
            </w:r>
            <w:r>
              <w:t xml:space="preserve"> </w:t>
            </w:r>
            <w:r>
              <w:rPr>
                <w:rFonts w:ascii="Times New Roman" w:eastAsia="Times New Roman" w:hAnsi="Times New Roman" w:cs="Times New Roman"/>
                <w:b/>
                <w:i/>
                <w:strike w:val="0"/>
                <w:color w:val="000000"/>
                <w:sz w:val="24"/>
                <w:highlight w:val="none"/>
                <w:u w:val="none" w:color="auto"/>
              </w:rPr>
              <w:t>THIS FOOTNOTE IS MISSING. THANK YOU FOR USING ANOTHER LANGUAGE.</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F'konformità mal-estensjoni tal-iskop fl-Artikolu 1(1)(c) tal-proposta (mhix kodifikata) li tistipula li l-Eurodac se taqdi mhux biss skop ta' implimentazzjoni tar-Regolament ta' Dublin iżda saħansitra skopijiet ta' infurzar tal-liġi. Sabiex jitwettaq l-obbligu tal-awtoritajiet maħtura tal-Istati Membri u tal-Europol, l-infurzar tal-liġi stabbilit skont dan ir-Regolament, il-proċedura għall-aċċess għall-Eurodac għandha tkun rapida u effettiva, iżda xorta waħda għandha tqis li l-għan ewlieni tal-Eurodac huwa li tappoġġa lill-Istati Membri fl-applikazzjoni tar-Regolament ta' Dublin.</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46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(46)</w:t>
            </w:r>
            <w:r>
              <w:tab/>
            </w:r>
            <w:r>
              <w:t>Ladarba l-għan ta' dan ir-Regolament, jiġifieri l-ħolqien ta' sistema għat-tqabbil tad-data dwar marki tas-swaba’</w:t>
            </w:r>
            <w:r>
              <w:rPr>
                <w:rFonts w:ascii="Times New Roman" w:eastAsia="Times New Roman" w:hAnsi="Times New Roman" w:cs="Times New Roman"/>
                <w:b/>
                <w:i/>
                <w:strike w:val="0"/>
                <w:color w:val="000000"/>
                <w:sz w:val="24"/>
                <w:highlight w:val="none"/>
                <w:u w:val="none" w:color="auto"/>
              </w:rPr>
              <w:t xml:space="preserve">  u tax-xbiha tal-wiċċ  </w:t>
            </w:r>
            <w:r>
              <w:t>sabiex tgħin l-implimentazzjoni tal-politika ta' ażil tal-Unjoni, ma jistax, min-natura tiegħu stess, jinkiseb b'mod suffiċjenti mill-Istati Membri u għaldaqstant jista' jinkiseb aħjar fil-livell tal-Unjoni, l-Unjoni tista' tadotta miżuri f'konformità mal-prinċipju tas-sussidjarjetà kif stabbilit fl-Artikolu 5 tat-Trattat dwar l-Unjoni Ewropea (TEU). F'konformità mal-prinċipju tal-proporzjonalità, kif stabbilit f'dak l-Artikolu, dan ir-Regolament ma jmurx lil hinn minn dak li huwa meħtieġ sabiex jinkiseb dak l-għan.</w:t>
            </w:r>
          </w:p>
        </w:tc>
        <w:tc>
          <w:tcPr/>
          <w:p>
            <w:pPr>
              <w:pStyle w:val="Normal6"/>
            </w:pPr>
            <w:r>
              <w:t>(46)</w:t>
            </w:r>
            <w:r>
              <w:tab/>
            </w:r>
            <w:r>
              <w:t>Ladarba l-għan ta' dan ir-Regolament, jiġifieri l-ħolqien ta' sistema għat-tqabbil tad-data dwar marki tas-swaba’</w:t>
            </w:r>
            <w:r>
              <w:rPr>
                <w:rFonts w:ascii="Times New Roman" w:eastAsia="Times New Roman" w:hAnsi="Times New Roman" w:cs="Times New Roman"/>
                <w:b/>
                <w:i/>
                <w:strike w:val="0"/>
                <w:color w:val="000000"/>
                <w:sz w:val="24"/>
                <w:highlight w:val="none"/>
                <w:u w:val="none" w:color="auto"/>
              </w:rPr>
              <w:t xml:space="preserve">, data dwar ix-xbiha tal-wiċċ jew it-tnejn li huma </w:t>
            </w:r>
            <w:r>
              <w:t>sabiex tgħin l-implimentazzjoni tal-politika ta' ażil tal-Unjoni, ma jistax, min-natura tiegħu stess, jinkiseb b'mod suffiċjenti mill-Istati Membri u għaldaqstant jista' jinkiseb aħjar fil-livell tal-Unjoni, l-Unjoni tista' tadotta miżuri f'konformità mal-prinċipju tas-sussidjarjetà kif stabbilit fl-Artikolu 5 tat-Trattat dwar l-Unjoni Ewropea (TEU). F'konformità mal-prinċipju tal-proporzjonalità, kif stabbilit f'dak l-Artikolu, dan ir-Regolament ma jmurx lil hinn minn dak li huwa meħtieġ sabiex jinkiseb dak l-għan.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50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(50)</w:t>
            </w:r>
            <w:r>
              <w:tab/>
            </w:r>
            <w:r>
              <w:t xml:space="preserve">It-trasferimenti ta' data personali miksuba minn Stat Membru taħt dan ir-Regolament mis-Sistema Ċentrali lejn kwalunkwe pajjiż terz jew organizzazzjoni internazzjonali jew entità privata stabbilita fl-Unjoni jew barra minnha għandha tkun ipprojbita, sabiex jiġi żgurat id-dritt għal </w:t>
            </w:r>
            <w:r>
              <w:rPr>
                <w:rFonts w:ascii="Times New Roman" w:eastAsia="Times New Roman" w:hAnsi="Times New Roman" w:cs="Times New Roman"/>
                <w:b/>
                <w:i/>
                <w:strike w:val="0"/>
                <w:color w:val="000000"/>
                <w:sz w:val="24"/>
                <w:highlight w:val="none"/>
                <w:u w:val="none" w:color="auto"/>
              </w:rPr>
              <w:t>ażil</w:t>
            </w:r>
            <w:r>
              <w:t xml:space="preserve"> u sabiex jiġu salvagwardjati l-applikanti għall-protezzjoni internazzjonali milli jkollhom id-data tagħhom żvelata lil xi pajjiż terz. Dan ifisser li l-Istati Membri ma għandhomx jittrasferixxu informazzjoni miksuba mis-Sistema Ċentrali fir-rigward ta':</w:t>
            </w:r>
            <w:r>
              <w:rPr>
                <w:rFonts w:ascii="Times New Roman" w:eastAsia="Times New Roman" w:hAnsi="Times New Roman" w:cs="Times New Roman"/>
                <w:b/>
                <w:i/>
                <w:strike w:val="0"/>
                <w:color w:val="000000"/>
                <w:sz w:val="24"/>
                <w:highlight w:val="none"/>
                <w:u w:val="none" w:color="auto"/>
              </w:rPr>
              <w:t xml:space="preserve">  l-isem</w:t>
            </w:r>
            <w:r>
              <w:t>(</w:t>
            </w:r>
            <w:r>
              <w:rPr>
                <w:rFonts w:ascii="Times New Roman" w:eastAsia="Times New Roman" w:hAnsi="Times New Roman" w:cs="Times New Roman"/>
                <w:b/>
                <w:i/>
                <w:strike w:val="0"/>
                <w:color w:val="000000"/>
                <w:sz w:val="24"/>
                <w:highlight w:val="none"/>
                <w:u w:val="none" w:color="auto"/>
              </w:rPr>
              <w:t>ismijiet</w:t>
            </w:r>
            <w:r>
              <w:t>); id-data tat-twelid; iċ-ċittadinanza;</w:t>
            </w:r>
            <w:r>
              <w:rPr>
                <w:rFonts w:ascii="Times New Roman" w:eastAsia="Times New Roman" w:hAnsi="Times New Roman" w:cs="Times New Roman"/>
                <w:b/>
                <w:i/>
                <w:strike w:val="0"/>
                <w:color w:val="000000"/>
                <w:sz w:val="24"/>
                <w:highlight w:val="none"/>
                <w:u w:val="none" w:color="auto"/>
              </w:rPr>
              <w:t xml:space="preserve">  </w:t>
            </w:r>
            <w:r>
              <w:t>l-Istat Membru jew l-Istati Membri ta’ oriġini</w:t>
            </w:r>
            <w:r>
              <w:rPr>
                <w:rFonts w:ascii="Times New Roman" w:eastAsia="Times New Roman" w:hAnsi="Times New Roman" w:cs="Times New Roman"/>
                <w:b/>
                <w:i/>
                <w:strike w:val="0"/>
                <w:color w:val="000000"/>
                <w:sz w:val="24"/>
                <w:highlight w:val="none"/>
                <w:u w:val="none" w:color="auto"/>
              </w:rPr>
              <w:t xml:space="preserve">  </w:t>
            </w:r>
            <w:r>
              <w:t>jew l-Istat Membru ta’ allokazzjoni; id-dettalji tad-dokument tal-identità jew tal-ivvjaġġar</w:t>
            </w:r>
            <w:r>
              <w:rPr>
                <w:rFonts w:ascii="Times New Roman" w:eastAsia="Times New Roman" w:hAnsi="Times New Roman" w:cs="Times New Roman"/>
                <w:b/>
                <w:i/>
                <w:strike w:val="0"/>
                <w:color w:val="000000"/>
                <w:sz w:val="24"/>
                <w:highlight w:val="none"/>
                <w:u w:val="none" w:color="auto"/>
              </w:rPr>
              <w:t xml:space="preserve">  </w:t>
            </w:r>
            <w:r>
              <w:t xml:space="preserve">; il-post u d-data ta’ applikazzjoni għall-protezzjoni internazzjonali; in-numru ta' referenza użat mill-Istat Membru ta' oriġini; id-data ta’ meta ttieħdu l-marki tas-swaba’ kif ukoll id-data ta’ meta l-Istat Membru ttrażmetta jew l-Istati Membri ttrażmettew id-data lill-Eurodac; </w:t>
            </w:r>
            <w:r>
              <w:rPr>
                <w:rFonts w:ascii="Times New Roman" w:eastAsia="Times New Roman" w:hAnsi="Times New Roman" w:cs="Times New Roman"/>
                <w:b/>
                <w:i/>
                <w:strike w:val="0"/>
                <w:color w:val="000000"/>
                <w:sz w:val="24"/>
                <w:highlight w:val="none"/>
                <w:u w:val="none" w:color="auto"/>
              </w:rPr>
              <w:t>il-user ID</w:t>
            </w:r>
            <w:r>
              <w:t xml:space="preserve"> tal-operatur; u kwalunkwe informazzjoni marbuta ma’ kwalunkwe trasferiment tas-suġġett tad-data taħt ir-Regolament(UE) Nru 604/2013. Dik il-projbizzjoni għandha tkun bla ħsara għad-dritt tal-Istati Membri li jittrasferixxu data bħal din lil pajjiżi terzi li japplika għalihom ir-Regolament (UE) Nru 604/2013 [ skont ir-Regolament (UE) Nru […/2016] rispettivament mar-regoli nazzjonali adottati skont id-Direttiva [2016/…/UE ], sabiex jiġi żgurat li l-Istati Membri jkollhom il-possibbiltà ta’ kooperazzjoni ma’ pajjiżi terzi bħal dawn għall-finijiet ta’ dan ir-Regolament.</w:t>
            </w:r>
          </w:p>
        </w:tc>
        <w:tc>
          <w:tcPr/>
          <w:p>
            <w:pPr>
              <w:pStyle w:val="Normal6"/>
            </w:pPr>
            <w:r>
              <w:t>(50)</w:t>
            </w:r>
            <w:r>
              <w:tab/>
            </w:r>
            <w:r>
              <w:t xml:space="preserve">It-trasferimenti ta' data personali miksuba minn Stat Membru taħt dan ir-Regolament mis-Sistema Ċentrali lejn kwalunkwe pajjiż terz jew organizzazzjoni internazzjonali jew entità privata stabbilita fl-Unjoni jew barra minnha għandha tkun ipprojbita, sabiex jiġi żgurat id-dritt għal </w:t>
            </w:r>
            <w:r>
              <w:rPr>
                <w:rFonts w:ascii="Times New Roman" w:eastAsia="Times New Roman" w:hAnsi="Times New Roman" w:cs="Times New Roman"/>
                <w:b/>
                <w:i/>
                <w:strike w:val="0"/>
                <w:color w:val="000000"/>
                <w:sz w:val="24"/>
                <w:highlight w:val="none"/>
                <w:u w:val="none" w:color="auto"/>
              </w:rPr>
              <w:t>asil</w:t>
            </w:r>
            <w:r>
              <w:t xml:space="preserve"> u sabiex jiġu salvagwardjati l-applikanti għall-protezzjoni internazzjonali </w:t>
            </w:r>
            <w:r>
              <w:rPr>
                <w:rFonts w:ascii="Times New Roman" w:eastAsia="Times New Roman" w:hAnsi="Times New Roman" w:cs="Times New Roman"/>
                <w:b/>
                <w:i/>
                <w:strike w:val="0"/>
                <w:color w:val="000000"/>
                <w:sz w:val="24"/>
                <w:highlight w:val="none"/>
                <w:u w:val="none" w:color="auto"/>
              </w:rPr>
              <w:t xml:space="preserve">u ċ-ċittadini ta' pajjiż terz jew persuni apolidi li għalihom l-Istati Membri jkunu bi ħsiebhom jesegwixxu proċedura ta' risistemazzjoni b'konformita mar-Regolament XXX/XXX </w:t>
            </w:r>
            <w:r>
              <w:t xml:space="preserve">milli jkollhom id-data tagħhom żvelata lil xi pajjiż terz. Dan ifisser li l-Istati Membri ma għandhomx jittrasferixxu informazzjoni miksuba mis-Sistema Ċentrali fir-rigward ta': </w:t>
            </w:r>
            <w:r>
              <w:rPr>
                <w:rFonts w:ascii="Times New Roman" w:eastAsia="Times New Roman" w:hAnsi="Times New Roman" w:cs="Times New Roman"/>
                <w:b/>
                <w:i/>
                <w:strike w:val="0"/>
                <w:color w:val="000000"/>
                <w:sz w:val="24"/>
                <w:highlight w:val="none"/>
                <w:u w:val="none" w:color="auto"/>
              </w:rPr>
              <w:t xml:space="preserve">l-isem </w:t>
            </w:r>
            <w:r>
              <w:t>(</w:t>
            </w:r>
            <w:r>
              <w:rPr>
                <w:rFonts w:ascii="Times New Roman" w:eastAsia="Times New Roman" w:hAnsi="Times New Roman" w:cs="Times New Roman"/>
                <w:b/>
                <w:i/>
                <w:strike w:val="0"/>
                <w:color w:val="000000"/>
                <w:sz w:val="24"/>
                <w:highlight w:val="none"/>
                <w:u w:val="none" w:color="auto"/>
              </w:rPr>
              <w:t>l-ismijiet</w:t>
            </w:r>
            <w:r>
              <w:t>); id-data tat-twelid; iċ-ċittadinanza; l-Istat Membru jew l-Istati Membri ta’ oriġini</w:t>
            </w:r>
            <w:r>
              <w:rPr>
                <w:rFonts w:ascii="Times New Roman" w:eastAsia="Times New Roman" w:hAnsi="Times New Roman" w:cs="Times New Roman"/>
                <w:b/>
                <w:i/>
                <w:strike w:val="0"/>
                <w:color w:val="000000"/>
                <w:sz w:val="24"/>
                <w:highlight w:val="none"/>
                <w:u w:val="none" w:color="auto"/>
              </w:rPr>
              <w:t xml:space="preserve"> </w:t>
            </w:r>
            <w:r>
              <w:t>jew l-Istat Membru ta’ allokazzjoni</w:t>
            </w:r>
            <w:r>
              <w:rPr>
                <w:rFonts w:ascii="Times New Roman" w:eastAsia="Times New Roman" w:hAnsi="Times New Roman" w:cs="Times New Roman"/>
                <w:b/>
                <w:i/>
                <w:strike w:val="0"/>
                <w:color w:val="000000"/>
                <w:sz w:val="24"/>
                <w:highlight w:val="none"/>
                <w:u w:val="none" w:color="auto"/>
              </w:rPr>
              <w:t xml:space="preserve"> jew l-Istat Membru ta' risistemazzjoni</w:t>
            </w:r>
            <w:r>
              <w:t>; id-dettalji tad-dokument tal-identità jew tal-ivvjaġġar; il-post u d-data ta' applikazzjoni għall-protezzjoni internazzjonali</w:t>
            </w:r>
            <w:r>
              <w:rPr>
                <w:rFonts w:ascii="Times New Roman" w:eastAsia="Times New Roman" w:hAnsi="Times New Roman" w:cs="Times New Roman"/>
                <w:b/>
                <w:i/>
                <w:strike w:val="0"/>
                <w:color w:val="000000"/>
                <w:sz w:val="24"/>
                <w:highlight w:val="none"/>
                <w:u w:val="none" w:color="auto"/>
              </w:rPr>
              <w:t xml:space="preserve"> jew ta' risistemazzjoni</w:t>
            </w:r>
            <w:r>
              <w:t xml:space="preserve">; in-numru ta' referenza użat mill-Istat Membru ta' oriġini; id-data ta’ meta ttieħdu l-marki tas-swaba’ kif ukoll id-data ta’ meta l-Istat Membru ttrażmetta jew l-Istati Membri ttrażmettew id-data lill-Eurodac; </w:t>
            </w:r>
            <w:r>
              <w:rPr>
                <w:rFonts w:ascii="Times New Roman" w:eastAsia="Times New Roman" w:hAnsi="Times New Roman" w:cs="Times New Roman"/>
                <w:b/>
                <w:i/>
                <w:strike w:val="0"/>
                <w:color w:val="000000"/>
                <w:sz w:val="24"/>
                <w:highlight w:val="none"/>
                <w:u w:val="none" w:color="auto"/>
              </w:rPr>
              <w:t>il-kodiċi ta' identifikazzjoni</w:t>
            </w:r>
            <w:r>
              <w:t xml:space="preserve"> tal-operatur; u kwalunkwe informazzjoni marbuta ma’ kwalunkwe trasferiment tas-suġġett tad-data taħt ir-Regolament(UE) Nru 604/2013. Dik il-projbizzjoni għandha tkun bla ħsara għad-dritt tal-Istati Membri li jittrasferixxu data bħal din lil pajjiżi terzi li japplika għalihom ir-Regolament (UE) Nru 604/2013 [ skont ir-Regolament (UE) Nru […/2016] rispettivament mar-regoli nazzjonali adottati skont id-Direttiva [2016/…/UE ], sabiex jiġi żgurat li l-Istati Membri jkollhom il-possibbiltà ta’ kooperazzjoni ma’ pajjiżi terzi bħal dawn għall-finijiet ta’ dan ir-Regolament.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din l-emenda għandha l-għan li tissottometti għall-istess protezzjoni d-data ta' natura personali taċ-ċittadini ta' pajjiżi terzi jew tal-persuni apolidi li għalihom l-Istati Membri jkunu bi ħsiebhom jesegwixxu proċedura ta' risistemazzjoni b'konformita mar-Regolament li jistabbilixxi Qafas tal-Unjoni għall-Risistemazzjoni.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50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(50)</w:t>
            </w:r>
            <w:r>
              <w:tab/>
            </w:r>
            <w:r>
              <w:t xml:space="preserve">It-trasferimenti ta' data personali miksuba minn Stat Membru taħt dan ir-Regolament mis-Sistema Ċentrali lejn kwalunkwe pajjiż terz jew organizzazzjoni internazzjonali jew entità privata stabbilita fl-Unjoni jew barra minnha għandha tkun ipprojbita, sabiex jiġi żgurat id-dritt għal </w:t>
            </w:r>
            <w:r>
              <w:rPr>
                <w:rFonts w:ascii="Times New Roman" w:eastAsia="Times New Roman" w:hAnsi="Times New Roman" w:cs="Times New Roman"/>
                <w:b/>
                <w:i/>
                <w:strike w:val="0"/>
                <w:color w:val="000000"/>
                <w:sz w:val="24"/>
                <w:highlight w:val="none"/>
                <w:u w:val="none" w:color="auto"/>
              </w:rPr>
              <w:t>ażil</w:t>
            </w:r>
            <w:r>
              <w:t xml:space="preserve"> u sabiex jiġu salvagwardjati l-applikanti għall-protezzjoni internazzjonali milli jkollhom id-data tagħhom żvelata lil xi pajjiż terz. Dan ifisser li l-Istati Membri ma għandhomx jittrasferixxu informazzjoni miksuba mis-Sistema Ċentrali fir-rigward ta':</w:t>
            </w:r>
            <w:r>
              <w:rPr>
                <w:rFonts w:ascii="Times New Roman" w:eastAsia="Times New Roman" w:hAnsi="Times New Roman" w:cs="Times New Roman"/>
                <w:b/>
                <w:i/>
                <w:strike w:val="0"/>
                <w:color w:val="000000"/>
                <w:sz w:val="24"/>
                <w:highlight w:val="none"/>
                <w:u w:val="none" w:color="auto"/>
              </w:rPr>
              <w:t xml:space="preserve">  </w:t>
            </w:r>
            <w:r>
              <w:t>l-isem(ismijiet); id-data tat-twelid; iċ-ċittadinanza;</w:t>
            </w:r>
            <w:r>
              <w:rPr>
                <w:rFonts w:ascii="Times New Roman" w:eastAsia="Times New Roman" w:hAnsi="Times New Roman" w:cs="Times New Roman"/>
                <w:b/>
                <w:i/>
                <w:strike w:val="0"/>
                <w:color w:val="000000"/>
                <w:sz w:val="24"/>
                <w:highlight w:val="none"/>
                <w:u w:val="none" w:color="auto"/>
              </w:rPr>
              <w:t xml:space="preserve">  </w:t>
            </w:r>
            <w:r>
              <w:t>l-Istat Membru jew l-Istati Membri ta’ oriġini</w:t>
            </w:r>
            <w:r>
              <w:rPr>
                <w:rFonts w:ascii="Times New Roman" w:eastAsia="Times New Roman" w:hAnsi="Times New Roman" w:cs="Times New Roman"/>
                <w:b/>
                <w:i/>
                <w:strike w:val="0"/>
                <w:color w:val="000000"/>
                <w:sz w:val="24"/>
                <w:highlight w:val="none"/>
                <w:u w:val="none" w:color="auto"/>
              </w:rPr>
              <w:t xml:space="preserve">  </w:t>
            </w:r>
            <w:r>
              <w:t>jew l-Istat Membru ta’ allokazzjoni; id-dettalji tad-dokument tal-identità jew tal-ivvjaġġar</w:t>
            </w:r>
            <w:r>
              <w:rPr>
                <w:rFonts w:ascii="Times New Roman" w:eastAsia="Times New Roman" w:hAnsi="Times New Roman" w:cs="Times New Roman"/>
                <w:b/>
                <w:i/>
                <w:strike w:val="0"/>
                <w:color w:val="000000"/>
                <w:sz w:val="24"/>
                <w:highlight w:val="none"/>
                <w:u w:val="none" w:color="auto"/>
              </w:rPr>
              <w:t xml:space="preserve">  </w:t>
            </w:r>
            <w:r>
              <w:t>; il-post u d-data ta’ applikazzjoni għall-protezzjoni internazzjonali; in-numru ta' referenza użat mill-Istat Membru ta' oriġini; id-data ta’ meta ttieħdu l-marki tas-swaba’ kif ukoll id-data ta’ meta l-Istat Membru ttrażmetta jew l-Istati Membri ttrażmettew id-data lill-Eurodac; il-user ID tal-operatur; u kwalunkwe informazzjoni marbuta ma’ kwalunkwe trasferiment tas-suġġett tad-data taħt ir-Regolament(UE) Nru 604/2013. Dik il-projbizzjoni għandha tkun bla ħsara għad-dritt tal-Istati Membri li jittrasferixxu data bħal din lil pajjiżi terzi li japplika għalihom ir-Regolament (UE) Nru 604/2013 [ skont ir-Regolament (UE) Nru […/2016] rispettivament mar-regoli nazzjonali adottati skont id-Direttiva [2016/…/UE ], sabiex jiġi żgurat li l-Istati Membri jkollhom il-possibbiltà ta’ kooperazzjoni ma’ pajjiżi terzi bħal dawn għall-finijiet ta’ dan ir-Regolament.</w:t>
            </w:r>
          </w:p>
        </w:tc>
        <w:tc>
          <w:tcPr/>
          <w:p>
            <w:pPr>
              <w:pStyle w:val="Normal6"/>
            </w:pPr>
            <w:r>
              <w:t>(50)</w:t>
            </w:r>
            <w:r>
              <w:tab/>
            </w:r>
            <w:r>
              <w:t xml:space="preserve">It-trasferimenti ta' data personali miksuba minn Stat Membru taħt dan ir-Regolament mis-Sistema Ċentrali lejn kwalunkwe pajjiż terz jew organizzazzjoni internazzjonali jew entità privata stabbilita fl-Unjoni jew barra minnha għandha tkun ipprojbita, sabiex jiġi żgurat id-dritt għal </w:t>
            </w:r>
            <w:r>
              <w:rPr>
                <w:rFonts w:ascii="Times New Roman" w:eastAsia="Times New Roman" w:hAnsi="Times New Roman" w:cs="Times New Roman"/>
                <w:b/>
                <w:i/>
                <w:strike w:val="0"/>
                <w:color w:val="000000"/>
                <w:sz w:val="24"/>
                <w:highlight w:val="none"/>
                <w:u w:val="none" w:color="auto"/>
              </w:rPr>
              <w:t>asil</w:t>
            </w:r>
            <w:r>
              <w:t xml:space="preserve"> u sabiex jiġu salvagwardjati l-applikanti għall-protezzjoni internazzjonali milli jkollhom id-data tagħhom żvelata lil xi pajjiż terz. Dan ifisser li l-Istati Membri ma għandhomx jittrasferixxu informazzjoni miksuba mis-Sistema Ċentrali fir-rigward ta': l-isem(ismijiet); id-data tat-twelid; iċ-ċittadinanza; l-Istat Membru jew l-Istati Membri ta’ oriġini</w:t>
            </w:r>
            <w:r>
              <w:rPr>
                <w:rFonts w:ascii="Times New Roman" w:eastAsia="Times New Roman" w:hAnsi="Times New Roman" w:cs="Times New Roman"/>
                <w:b/>
                <w:i/>
                <w:strike w:val="0"/>
                <w:color w:val="000000"/>
                <w:sz w:val="24"/>
                <w:highlight w:val="none"/>
                <w:u w:val="none" w:color="auto"/>
              </w:rPr>
              <w:t xml:space="preserve"> </w:t>
            </w:r>
            <w:r>
              <w:t>jew l-Istat Membru ta’ allokazzjoni; id-dettalji tad-dokument tal-identità jew tal-ivvjaġġar</w:t>
            </w:r>
            <w:r>
              <w:rPr>
                <w:rFonts w:ascii="Times New Roman" w:eastAsia="Times New Roman" w:hAnsi="Times New Roman" w:cs="Times New Roman"/>
                <w:b/>
                <w:i/>
                <w:strike w:val="0"/>
                <w:color w:val="000000"/>
                <w:sz w:val="24"/>
                <w:highlight w:val="none"/>
                <w:u w:val="none" w:color="auto"/>
              </w:rPr>
              <w:t xml:space="preserve"> </w:t>
            </w:r>
            <w:r>
              <w:t>; il-post u d-data ta’ applikazzjoni għall-protezzjoni internazzjonali; in-numru ta' referenza użat mill-Istat Membru ta' oriġini; id-data ta’ meta ttieħdu l-marki tas-swaba’</w:t>
            </w:r>
            <w:r>
              <w:rPr>
                <w:rFonts w:ascii="Times New Roman" w:eastAsia="Times New Roman" w:hAnsi="Times New Roman" w:cs="Times New Roman"/>
                <w:b/>
                <w:i/>
                <w:strike w:val="0"/>
                <w:color w:val="000000"/>
                <w:sz w:val="24"/>
                <w:highlight w:val="none"/>
                <w:u w:val="none" w:color="auto"/>
              </w:rPr>
              <w:t xml:space="preserve"> u x-xbiha tal-wiċċ</w:t>
            </w:r>
            <w:r>
              <w:t xml:space="preserve"> kif ukoll id-data ta’ meta l-Istat Membru ttrażmetta jew l-Istati Membri ttrażmettew id-data lill-Eurodac; il-user ID tal-operatur; u kwalunkwe informazzjoni marbuta ma’ kwalunkwe trasferiment tas-suġġett tad-data taħt ir-Regolament(UE) Nru 604/2013. Dik il-projbizzjoni għandha tkun bla ħsara għad-dritt tal-Istati Membri li jittrasferixxu data bħal din lil pajjiżi terzi li japplika għalihom ir-Regolament (UE) Nru 604/2013 [ skont ir-Regolament (UE) Nru […/2016] rispettivament mar-regoli nazzjonali adottati skont id-Direttiva [2016/…/UE ], sabiex jiġi żgurat li l-Istati Membri jkollhom il-possibbiltà ta’ kooperazzjoni ma’ pajjiżi terzi bħal dawn għall-finijiet ta’ dan ir-Regolament.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Korrezzjoni tal-proposta tal-Kummissjoni li ma żżidx fil-postijiet kollha meħtieġa kemm "il-marki tas-swaba'" kif ukoll "ix-xbiha tal-wiċċ", b'dan konformi mal-obbligu kif imsemmi fl-Artikolu 2.</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(51)</w:t>
            </w:r>
            <w:r>
              <w:tab/>
            </w:r>
            <w:r>
              <w:rPr>
                <w:rFonts w:ascii="Times New Roman" w:eastAsia="Times New Roman" w:hAnsi="Times New Roman" w:cs="Times New Roman"/>
                <w:b/>
                <w:i/>
                <w:strike w:val="0"/>
                <w:color w:val="000000"/>
                <w:sz w:val="24"/>
                <w:highlight w:val="none"/>
                <w:u w:val="none" w:color="auto"/>
              </w:rPr>
              <w:t xml:space="preserve">F’każijiet individwali, </w:t>
            </w:r>
            <w:r>
              <w:rPr>
                <w:rFonts w:ascii="Times New Roman" w:eastAsia="Times New Roman" w:hAnsi="Times New Roman" w:cs="Times New Roman"/>
                <w:b/>
                <w:i/>
                <w:strike w:val="0"/>
                <w:color w:val="000000"/>
                <w:sz w:val="24"/>
                <w:highlight w:val="none"/>
                <w:u w:val="none" w:color="auto"/>
              </w:rPr>
              <w:t>l-informazzjoni</w:t>
            </w:r>
            <w:r>
              <w:t xml:space="preserve"> miksuba mis-Sistema Ċentrali </w:t>
            </w:r>
            <w:r>
              <w:rPr>
                <w:rFonts w:ascii="Times New Roman" w:eastAsia="Times New Roman" w:hAnsi="Times New Roman" w:cs="Times New Roman"/>
                <w:b/>
                <w:i/>
                <w:strike w:val="0"/>
                <w:color w:val="000000"/>
                <w:sz w:val="24"/>
                <w:highlight w:val="none"/>
                <w:u w:val="none" w:color="auto"/>
              </w:rPr>
              <w:t>tista’</w:t>
            </w:r>
            <w:r>
              <w:t xml:space="preserve"> tinqasam ma’ pajjiż terz sabiex tassisti bl-identifikazzjoni ta’ ċittadin ta’ pajjiż terz f’relazzjoni mar-ritorn tiegħu/tagħha.</w:t>
            </w:r>
            <w:r>
              <w:rPr>
                <w:rFonts w:ascii="Times New Roman" w:eastAsia="Times New Roman" w:hAnsi="Times New Roman" w:cs="Times New Roman"/>
                <w:b/>
                <w:i/>
                <w:strike w:val="0"/>
                <w:color w:val="000000"/>
                <w:sz w:val="24"/>
                <w:highlight w:val="none"/>
                <w:u w:val="none" w:color="auto"/>
              </w:rPr>
              <w:t xml:space="preserve"> Il-qsim ta’ kull data personali jrid ikun soġġett għal kundizzjonijiet stretti. Meta tali informazzjoni tinqasam, ebda informazzjoni ma tista’ tingħata lil pajjiż terz relatata mal-fatt li applikazzjoni għal protezzjoni internazzjonali saret minn ċittadin ta’ pajjiż terz fejn il-pajjiż li l-individwu qed jintbagħat fih, huwa wkoll il-pajjiż tal-oriġini tal-individwu jew pajjiż terz fejn ikun se jintbagħat fih. Kull trasferiment ta’ data lil pajjiż terz għall-identifikazzjoni ta’ ċittadin ta’ pajjiż terz irid isir skont id-dispożizzjonijiet tal-Kapitolu V tar-Regolament (UE) Nru. […2016].</w:t>
            </w:r>
          </w:p>
        </w:tc>
        <w:tc>
          <w:tcPr/>
          <w:p>
            <w:pPr>
              <w:pStyle w:val="Normal6"/>
            </w:pPr>
            <w:r>
              <w:t>(51)</w:t>
            </w:r>
            <w:r>
              <w:tab/>
            </w:r>
            <w:r>
              <w:rPr>
                <w:rFonts w:ascii="Times New Roman" w:eastAsia="Times New Roman" w:hAnsi="Times New Roman" w:cs="Times New Roman"/>
                <w:b/>
                <w:i/>
                <w:strike w:val="0"/>
                <w:color w:val="000000"/>
                <w:sz w:val="24"/>
                <w:highlight w:val="none"/>
                <w:u w:val="none" w:color="auto"/>
              </w:rPr>
              <w:t>L-informazzjoni</w:t>
            </w:r>
            <w:r>
              <w:t xml:space="preserve"> miksuba mis-Sistema Ċentrali </w:t>
            </w:r>
            <w:r>
              <w:rPr>
                <w:rFonts w:ascii="Times New Roman" w:eastAsia="Times New Roman" w:hAnsi="Times New Roman" w:cs="Times New Roman"/>
                <w:b/>
                <w:i/>
                <w:strike w:val="0"/>
                <w:color w:val="000000"/>
                <w:sz w:val="24"/>
                <w:highlight w:val="none"/>
                <w:u w:val="none" w:color="auto"/>
              </w:rPr>
              <w:t>ma tistax</w:t>
            </w:r>
            <w:r>
              <w:t xml:space="preserve"> tinqasam ma’ pajjiż terz sabiex tassisti bl-identifikazzjoni ta’ ċittadin ta’ pajjiż terz f’relazzjoni mar-ritorn tiegħu/tagħha.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69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(69)</w:t>
            </w:r>
            <w:r>
              <w:tab/>
            </w:r>
            <w:r>
              <w:t xml:space="preserve">Huwa xieraq li </w:t>
            </w:r>
            <w:r>
              <w:rPr>
                <w:rFonts w:ascii="Times New Roman" w:eastAsia="Times New Roman" w:hAnsi="Times New Roman" w:cs="Times New Roman"/>
                <w:b/>
                <w:i/>
                <w:strike w:val="0"/>
                <w:color w:val="000000"/>
                <w:sz w:val="24"/>
                <w:highlight w:val="none"/>
                <w:u w:val="none" w:color="auto"/>
              </w:rPr>
              <w:t>l-iskop territorjali</w:t>
            </w:r>
            <w:r>
              <w:t xml:space="preserve"> ta' dan ir-Regolament </w:t>
            </w:r>
            <w:r>
              <w:rPr>
                <w:rFonts w:ascii="Times New Roman" w:eastAsia="Times New Roman" w:hAnsi="Times New Roman" w:cs="Times New Roman"/>
                <w:b/>
                <w:i/>
                <w:strike w:val="0"/>
                <w:color w:val="000000"/>
                <w:sz w:val="24"/>
                <w:highlight w:val="none"/>
                <w:u w:val="none" w:color="auto"/>
              </w:rPr>
              <w:t>ikun</w:t>
            </w:r>
            <w:r>
              <w:t xml:space="preserve"> ristrett sabiex ikun allinjat </w:t>
            </w:r>
            <w:r>
              <w:rPr>
                <w:rFonts w:ascii="Times New Roman" w:eastAsia="Times New Roman" w:hAnsi="Times New Roman" w:cs="Times New Roman"/>
                <w:b/>
                <w:i/>
                <w:strike w:val="0"/>
                <w:color w:val="000000"/>
                <w:sz w:val="24"/>
                <w:highlight w:val="none"/>
                <w:u w:val="none" w:color="auto"/>
              </w:rPr>
              <w:t>mal-iskop territorjali</w:t>
            </w:r>
            <w:r>
              <w:t xml:space="preserve"> tar-Regolament (UE) Nru […/…] ,</w:t>
            </w:r>
          </w:p>
        </w:tc>
        <w:tc>
          <w:tcPr/>
          <w:p>
            <w:pPr>
              <w:pStyle w:val="Normal6"/>
            </w:pPr>
            <w:r>
              <w:t>(69)</w:t>
            </w:r>
            <w:r>
              <w:tab/>
            </w:r>
            <w:r>
              <w:t xml:space="preserve">Huwa xieraq li </w:t>
            </w:r>
            <w:r>
              <w:rPr>
                <w:rFonts w:ascii="Times New Roman" w:eastAsia="Times New Roman" w:hAnsi="Times New Roman" w:cs="Times New Roman"/>
                <w:b/>
                <w:i/>
                <w:strike w:val="0"/>
                <w:color w:val="000000"/>
                <w:sz w:val="24"/>
                <w:highlight w:val="none"/>
                <w:u w:val="none" w:color="auto"/>
              </w:rPr>
              <w:t>l-kamp ta' applikazzjoni</w:t>
            </w:r>
            <w:r>
              <w:t xml:space="preserve"> ta' dan ir-Regolament </w:t>
            </w:r>
            <w:r>
              <w:rPr>
                <w:rFonts w:ascii="Times New Roman" w:eastAsia="Times New Roman" w:hAnsi="Times New Roman" w:cs="Times New Roman"/>
                <w:b/>
                <w:i/>
                <w:strike w:val="0"/>
                <w:color w:val="000000"/>
                <w:sz w:val="24"/>
                <w:highlight w:val="none"/>
                <w:u w:val="none" w:color="auto"/>
              </w:rPr>
              <w:t>jiġi</w:t>
            </w:r>
            <w:r>
              <w:t xml:space="preserve"> ristrett sabiex ikun allinjat </w:t>
            </w:r>
            <w:r>
              <w:rPr>
                <w:rFonts w:ascii="Times New Roman" w:eastAsia="Times New Roman" w:hAnsi="Times New Roman" w:cs="Times New Roman"/>
                <w:b/>
                <w:i/>
                <w:strike w:val="0"/>
                <w:color w:val="000000"/>
                <w:sz w:val="24"/>
                <w:highlight w:val="none"/>
                <w:u w:val="none" w:color="auto"/>
              </w:rPr>
              <w:t>mal-kamp ta' applikazzjoni</w:t>
            </w:r>
            <w:r>
              <w:t xml:space="preserve"> tar-Regolament (UE) Nru […/…]</w:t>
            </w:r>
            <w:r>
              <w:rPr>
                <w:rFonts w:ascii="Times New Roman" w:eastAsia="Times New Roman" w:hAnsi="Times New Roman" w:cs="Times New Roman"/>
                <w:b/>
                <w:i/>
                <w:strike w:val="0"/>
                <w:color w:val="000000"/>
                <w:sz w:val="24"/>
                <w:highlight w:val="none"/>
                <w:u w:val="none" w:color="auto"/>
              </w:rPr>
              <w:t>, mingħajr preġudizzju għad-dispożizzjonijiet dwar l-applikazzjoni tar-Regolament XXX/XXX</w:t>
            </w:r>
            <w:r>
              <w:t xml:space="preserve"> ,</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Hawnhekk huwa meħtieġ li ssir referenza għar-regolament futur li jistabbilixxi Qafas tal-Unjoni għall-Risistemazzjoni f'dak li jikkonċerna l-kamp ta' applikazzjoni tiegħu sabiex dan ir-regolament ikun jista' jiġi applikat.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Louis Michel</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aa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(aa)</w:t>
            </w:r>
            <w:r>
              <w:tab/>
            </w:r>
            <w:r>
              <w:rPr>
                <w:rFonts w:ascii="Times New Roman" w:eastAsia="Times New Roman" w:hAnsi="Times New Roman" w:cs="Times New Roman"/>
                <w:b/>
                <w:i/>
                <w:strike w:val="0"/>
                <w:color w:val="000000"/>
                <w:sz w:val="24"/>
                <w:highlight w:val="none"/>
                <w:u w:val="none" w:color="auto"/>
              </w:rPr>
              <w:t>tiffaċilita l-implimentazzjoni tar-Regolament XXX/XXX f'konformità mad-dispożizzjonijiet previsti minn dak ir-Regolament.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din l-emenda għandha l-għan li żżid skop għal dan ir-Regolament peress li qed jiġi propost li fil-kamp ta' applikazzjoni ta' dan ir-Regolament jiżdideu d-data tal-persuni li għalihom Stat Membru jkun bi ħsiebu jesegwixxi proċedura ta' risistemazzjoni f'konformità mar-Regolament XXX/XXX.</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tassisti fil-kontroll tal-immigrazzjoni illegali lejn u movimenti sekondarji fl-Unjoni u bl-identifikazzjoni ta’ ċittadini ta’ pajjiżi terzi residenti illegalment għad-determinazzjoni ta’ miżuri xierqa li għandhom jittieħdu mill-Istati Membri, inkluża t-tneħħija u r-ripatriazzjoni ta' persuni residenti mingħajr awtorizzazzjoni.</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Italic"/>
            </w:pPr>
            <w:r>
              <w:t>(Din l-emenda tapplika għat-test leġiżlattiv kollu li qed jiġi eżaminat. l-adozzjoni tagħha timponi adattamenti tekniċi fit-test kollu.)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The enlargement of the scope and purpose of Eurodac to irregular migration and to enable the use of data for return purpose clearly runs contrary to the principle of purpose limitation, protected under Article 8 of the Charter of Fundamental Rights, the EU Data Protection Directive, and the new Data Protection Regulation. There are also three other databases (Visa Information System (VIS), Schengen Information System (SIS) and Entry/Exit System (EES)) that already covers irregular entry and stay.</w:t>
      </w:r>
    </w:p>
    <w:p>
      <w:pPr>
        <w:pStyle w:val="Normal12Italic"/>
      </w:pPr>
      <w:r>
        <w:t>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Christine Revault D'Allonnes Bonnefoy</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tassisti fil-kontroll tal-immigrazzjoni illegali lejn u movimenti sekondarji fl-Unjoni u bl-identifikazzjoni ta’ ċittadini ta’ pajjiżi terzi residenti illegalment għad-determinazzjoni ta’ miżuri xierqa li għandhom jittieħdu mill-Istati Membri, inkluża t-tneħħija u r-ripatriazzjoni ta' persuni residenti mingħajr awtorizzazzjoni.</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Italic"/>
            </w:pPr>
            <w:r>
              <w:t>(Din l-emenda tapplika għat-test leġiżlattiv kollu li qed jiġi eżaminat. l-adozzjoni tagħha timponi adattamenti tekniċi fit-test kollu.)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Eurodac was primarily designed to serve the implementation of the Dublin Regulation. With this new proposal, the scope of Eurodac is radically modified for immigration purposes, including removal and repatriation of persons. I do not agree with this extension of the scope. It also raises many issues regarding data protection. The purpose limitation principle should be respected - cf articles 8(2) of the Charter of Fundamental Rights in the EU and 5(b) of the Convention of the Council of Europe for the Protection of Individuals with regard to Automatic Processing of Personal Data.Indeed, data shall be used in accordance with the original purpose for which they have been collected. Eurodac was designed as a database for implementing the Dublin Regulation.</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tassisti fil-kontroll tal-immigrazzjoni illegali lejn u movimenti sekondarji fl-Unjoni u bl-identifikazzjoni ta’ ċittadini ta’ pajjiżi terzi residenti illegalment għad-determinazzjoni ta’ miżuri xierqa li għandhom jittieħdu mill-Istati Membri, inkluża t-tneħħija u r-ripatriazzjoni ta' persuni residenti mingħajr awtorizzazzjoni.</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t xml:space="preserve">tassisti </w:t>
            </w:r>
            <w:r>
              <w:rPr>
                <w:rFonts w:ascii="Times New Roman" w:eastAsia="Times New Roman" w:hAnsi="Times New Roman" w:cs="Times New Roman"/>
                <w:b/>
                <w:i/>
                <w:strike w:val="0"/>
                <w:color w:val="000000"/>
                <w:sz w:val="24"/>
                <w:highlight w:val="none"/>
                <w:u w:val="none" w:color="auto"/>
              </w:rPr>
              <w:t>fil-kontroll tal-immigrazzjoni illegali lejn u movimenti sekondarji fl-Unjoni u bl-identifikazzjoni</w:t>
            </w:r>
            <w:r>
              <w:t xml:space="preserve"> ta’ ċittadini ta’ pajjiżi terzi residenti illegalment għad-determinazzjoni ta’ miżuri xierqa li għandhom jittieħdu mill-Istati Membri, inkluża t-tneħħija u r-ripatriazzjoni ta' persuni residenti mingħajr awtorizzazzjoni.</w:t>
            </w:r>
          </w:p>
        </w:tc>
        <w:tc>
          <w:tcPr/>
          <w:p>
            <w:pPr>
              <w:pStyle w:val="Normal6"/>
            </w:pPr>
            <w:r>
              <w:t>(b)</w:t>
            </w:r>
            <w:r>
              <w:tab/>
            </w:r>
            <w:r>
              <w:t xml:space="preserve">tassisti </w:t>
            </w:r>
            <w:r>
              <w:rPr>
                <w:rFonts w:ascii="Times New Roman" w:eastAsia="Times New Roman" w:hAnsi="Times New Roman" w:cs="Times New Roman"/>
                <w:b/>
                <w:i/>
                <w:strike w:val="0"/>
                <w:color w:val="000000"/>
                <w:sz w:val="24"/>
                <w:highlight w:val="none"/>
                <w:u w:val="none" w:color="auto"/>
              </w:rPr>
              <w:t>fl-identifikazzjoni</w:t>
            </w:r>
            <w:r>
              <w:t xml:space="preserve"> ta’ ċittadini ta’ pajjiżi terzi residenti illegalment għad-determinazzjoni ta’ miżuri xierqa li għandhom jittieħdu mill-Istati Membri, inkluża t-tneħħija u r-ripatriazzjoni ta' persuni residenti mingħajr awtorizzazzjoni.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rPr>
                <w:rFonts w:ascii="Times New Roman" w:eastAsia="Times New Roman" w:hAnsi="Times New Roman" w:cs="Times New Roman"/>
                <w:b/>
                <w:i/>
                <w:strike w:val="0"/>
                <w:color w:val="000000"/>
                <w:sz w:val="24"/>
                <w:highlight w:val="none"/>
                <w:u w:val="none" w:color="auto"/>
              </w:rPr>
              <w:t>tassisti fil-kontroll tal-immigrazzjoni</w:t>
            </w:r>
            <w:r>
              <w:t xml:space="preserve"> illegali lejn u </w:t>
            </w:r>
            <w:r>
              <w:rPr>
                <w:rFonts w:ascii="Times New Roman" w:eastAsia="Times New Roman" w:hAnsi="Times New Roman" w:cs="Times New Roman"/>
                <w:b/>
                <w:i/>
                <w:strike w:val="0"/>
                <w:color w:val="000000"/>
                <w:sz w:val="24"/>
                <w:highlight w:val="none"/>
                <w:u w:val="none" w:color="auto"/>
              </w:rPr>
              <w:t>movimenti</w:t>
            </w:r>
            <w:r>
              <w:t xml:space="preserve"> sekondarji fl-Unjoni u bl-identifikazzjoni ta’ ċittadini ta’ pajjiżi terzi residenti illegalment għad-determinazzjoni ta’ miżuri xierqa li għandhom jittieħdu mill-Istati Membri</w:t>
            </w:r>
            <w:r>
              <w:rPr>
                <w:rFonts w:ascii="Times New Roman" w:eastAsia="Times New Roman" w:hAnsi="Times New Roman" w:cs="Times New Roman"/>
                <w:b/>
                <w:i/>
                <w:strike w:val="0"/>
                <w:color w:val="000000"/>
                <w:sz w:val="24"/>
                <w:highlight w:val="none"/>
                <w:u w:val="none" w:color="auto"/>
              </w:rPr>
              <w:t>, inkluża t-tneħħija</w:t>
            </w:r>
            <w:r>
              <w:t xml:space="preserve"> u r-ripatriazzjoni ta' persuni residenti mingħajr awtorizzazzjoni.</w:t>
            </w:r>
          </w:p>
        </w:tc>
        <w:tc>
          <w:tcPr/>
          <w:p>
            <w:pPr>
              <w:pStyle w:val="Normal6"/>
            </w:pPr>
            <w:r>
              <w:t>(b)</w:t>
            </w:r>
            <w:r>
              <w:tab/>
            </w:r>
            <w:r>
              <w:rPr>
                <w:rFonts w:ascii="Times New Roman" w:eastAsia="Times New Roman" w:hAnsi="Times New Roman" w:cs="Times New Roman"/>
                <w:b/>
                <w:i/>
                <w:strike w:val="0"/>
                <w:color w:val="000000"/>
                <w:sz w:val="24"/>
                <w:highlight w:val="none"/>
                <w:u w:val="none" w:color="auto"/>
              </w:rPr>
              <w:t>timplimenta strument li jkun ta' għajnuna fil-ġlieda kontra l-immigrazzjoni</w:t>
            </w:r>
            <w:r>
              <w:t xml:space="preserve"> illegali lejn u </w:t>
            </w:r>
            <w:r>
              <w:rPr>
                <w:rFonts w:ascii="Times New Roman" w:eastAsia="Times New Roman" w:hAnsi="Times New Roman" w:cs="Times New Roman"/>
                <w:b/>
                <w:i/>
                <w:strike w:val="0"/>
                <w:color w:val="000000"/>
                <w:sz w:val="24"/>
                <w:highlight w:val="none"/>
                <w:u w:val="none" w:color="auto"/>
              </w:rPr>
              <w:t>l-movimenti</w:t>
            </w:r>
            <w:r>
              <w:t xml:space="preserve"> sekondarji fl-Unjoni u bl-identifikazzjoni ta’ ċittadini ta’ pajjiżi terzi residenti illegalment għad-determinazzjoni ta’ miżuri xierqa li għandhom jittieħdu mill-Istati Membri</w:t>
            </w:r>
            <w:r>
              <w:rPr>
                <w:rFonts w:ascii="Times New Roman" w:eastAsia="Times New Roman" w:hAnsi="Times New Roman" w:cs="Times New Roman"/>
                <w:b/>
                <w:i/>
                <w:strike w:val="0"/>
                <w:color w:val="000000"/>
                <w:sz w:val="24"/>
                <w:highlight w:val="none"/>
                <w:u w:val="none" w:color="auto"/>
              </w:rPr>
              <w:t xml:space="preserve"> bħat-tneħħija</w:t>
            </w:r>
            <w:r>
              <w:t xml:space="preserve"> u r-ripatriazzjoni ta' persuni residenti mingħajr awtorizzazzjoni.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t xml:space="preserve">tassisti fil-kontroll tal-immigrazzjoni illegali lejn u movimenti sekondarji fl-Unjoni u bl-identifikazzjoni ta’ ċittadini ta’ pajjiżi terzi residenti illegalment </w:t>
            </w:r>
            <w:r>
              <w:rPr>
                <w:rFonts w:ascii="Times New Roman" w:eastAsia="Times New Roman" w:hAnsi="Times New Roman" w:cs="Times New Roman"/>
                <w:b/>
                <w:i/>
                <w:strike w:val="0"/>
                <w:color w:val="000000"/>
                <w:sz w:val="24"/>
                <w:highlight w:val="none"/>
                <w:u w:val="none" w:color="auto"/>
              </w:rPr>
              <w:t>għad-determinazzjoni</w:t>
            </w:r>
            <w:r>
              <w:t xml:space="preserve"> ta’ miżuri xierqa li għandhom jittieħdu</w:t>
            </w:r>
            <w:r>
              <w:rPr>
                <w:rFonts w:ascii="Times New Roman" w:eastAsia="Times New Roman" w:hAnsi="Times New Roman" w:cs="Times New Roman"/>
                <w:b/>
                <w:i/>
                <w:strike w:val="0"/>
                <w:color w:val="000000"/>
                <w:sz w:val="24"/>
                <w:highlight w:val="none"/>
                <w:u w:val="none" w:color="auto"/>
              </w:rPr>
              <w:t xml:space="preserve"> mill-Istati Membri, inkluża</w:t>
            </w:r>
            <w:r>
              <w:t xml:space="preserve"> t-tneħħija u </w:t>
            </w:r>
            <w:r>
              <w:rPr>
                <w:rFonts w:ascii="Times New Roman" w:eastAsia="Times New Roman" w:hAnsi="Times New Roman" w:cs="Times New Roman"/>
                <w:b/>
                <w:i/>
                <w:strike w:val="0"/>
                <w:color w:val="000000"/>
                <w:sz w:val="24"/>
                <w:highlight w:val="none"/>
                <w:u w:val="none" w:color="auto"/>
              </w:rPr>
              <w:t xml:space="preserve">r-ripatriazzjoni ta' </w:t>
            </w:r>
            <w:r>
              <w:t xml:space="preserve">persuni </w:t>
            </w:r>
            <w:r>
              <w:rPr>
                <w:rFonts w:ascii="Times New Roman" w:eastAsia="Times New Roman" w:hAnsi="Times New Roman" w:cs="Times New Roman"/>
                <w:b/>
                <w:i/>
                <w:strike w:val="0"/>
                <w:color w:val="000000"/>
                <w:sz w:val="24"/>
                <w:highlight w:val="none"/>
                <w:u w:val="none" w:color="auto"/>
              </w:rPr>
              <w:t>residenti mingħajr awtorizzazzjoni</w:t>
            </w:r>
            <w:r>
              <w:t>.</w:t>
            </w:r>
          </w:p>
        </w:tc>
        <w:tc>
          <w:tcPr/>
          <w:p>
            <w:pPr>
              <w:pStyle w:val="Normal6"/>
            </w:pPr>
            <w:r>
              <w:t>(b)</w:t>
            </w:r>
            <w:r>
              <w:tab/>
            </w:r>
            <w:r>
              <w:t xml:space="preserve">tassisti fil-kontroll tal-immigrazzjoni illegali lejn u movimenti sekondarji fl-Unjoni u bl-identifikazzjoni ta' ċittadini ta' pajjiżi terzi </w:t>
            </w:r>
            <w:r>
              <w:rPr>
                <w:rFonts w:ascii="Times New Roman" w:eastAsia="Times New Roman" w:hAnsi="Times New Roman" w:cs="Times New Roman"/>
                <w:b/>
                <w:i/>
                <w:strike w:val="0"/>
                <w:color w:val="000000"/>
                <w:sz w:val="24"/>
                <w:highlight w:val="none"/>
                <w:u w:val="none" w:color="auto"/>
              </w:rPr>
              <w:t xml:space="preserve">u ta' persuni apolidi </w:t>
            </w:r>
            <w:r>
              <w:t xml:space="preserve">residenti illegalment </w:t>
            </w:r>
            <w:r>
              <w:rPr>
                <w:rFonts w:ascii="Times New Roman" w:eastAsia="Times New Roman" w:hAnsi="Times New Roman" w:cs="Times New Roman"/>
                <w:b/>
                <w:i/>
                <w:strike w:val="0"/>
                <w:color w:val="000000"/>
                <w:sz w:val="24"/>
                <w:highlight w:val="none"/>
                <w:u w:val="none" w:color="auto"/>
              </w:rPr>
              <w:t>biex jiġi determinat liema Stat Membru huwa responsabbli għat-twettiq</w:t>
            </w:r>
            <w:r>
              <w:t xml:space="preserve"> ta' miżuri xierqa li għandhom jittieħdu</w:t>
            </w:r>
            <w:r>
              <w:rPr>
                <w:rFonts w:ascii="Times New Roman" w:eastAsia="Times New Roman" w:hAnsi="Times New Roman" w:cs="Times New Roman"/>
                <w:b/>
                <w:i/>
                <w:strike w:val="0"/>
                <w:color w:val="000000"/>
                <w:sz w:val="24"/>
                <w:highlight w:val="none"/>
                <w:u w:val="none" w:color="auto"/>
              </w:rPr>
              <w:t>, inklużi</w:t>
            </w:r>
            <w:r>
              <w:t xml:space="preserve"> t-tneħħija u </w:t>
            </w:r>
            <w:r>
              <w:rPr>
                <w:rFonts w:ascii="Times New Roman" w:eastAsia="Times New Roman" w:hAnsi="Times New Roman" w:cs="Times New Roman"/>
                <w:b/>
                <w:i/>
                <w:strike w:val="0"/>
                <w:color w:val="000000"/>
                <w:sz w:val="24"/>
                <w:highlight w:val="none"/>
                <w:u w:val="none" w:color="auto"/>
              </w:rPr>
              <w:t xml:space="preserve">r-ritorn taċ-ċittadini ta' pajjiżi terzi u </w:t>
            </w:r>
            <w:r>
              <w:t xml:space="preserve">persuni </w:t>
            </w:r>
            <w:r>
              <w:rPr>
                <w:rFonts w:ascii="Times New Roman" w:eastAsia="Times New Roman" w:hAnsi="Times New Roman" w:cs="Times New Roman"/>
                <w:b/>
                <w:i/>
                <w:strike w:val="0"/>
                <w:color w:val="000000"/>
                <w:sz w:val="24"/>
                <w:highlight w:val="none"/>
                <w:u w:val="none" w:color="auto"/>
              </w:rPr>
              <w:t>apolidi residenti illegalment</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t>tassisti fil-kontroll tal-immigrazzjoni illegali lejn u movimenti sekondarji fl-Unjoni u bl-identifikazzjoni ta’ ċittadini ta’ pajjiżi terzi residenti illegalment għad-determinazzjoni ta’ miżuri xierqa li għandhom jittieħdu mill-Istati Membri, inkluża t-tneħħija u r-ripatriazzjoni ta' persuni residenti mingħajr awtorizzazzjoni.</w:t>
            </w:r>
          </w:p>
        </w:tc>
        <w:tc>
          <w:tcPr/>
          <w:p>
            <w:pPr>
              <w:pStyle w:val="Normal6"/>
            </w:pPr>
            <w:r>
              <w:t>(b)</w:t>
            </w:r>
            <w:r>
              <w:tab/>
            </w:r>
            <w:r>
              <w:t>tassisti fil-kontroll tal-immigrazzjoni illegali lejn u movimenti sekondarji fl-Unjoni u bl-identifikazzjoni ta’ ċittadini ta’ pajjiżi terzi residenti illegalment għad-determinazzjoni ta’ miżuri xierqa li għandhom jittieħdu mill-Istati Membri, inkluża t-tneħħija u r-ripatriazzjoni ta' persuni residenti mingħajr awtorizzazzjoni</w:t>
            </w:r>
            <w:r>
              <w:rPr>
                <w:rFonts w:ascii="Times New Roman" w:eastAsia="Times New Roman" w:hAnsi="Times New Roman" w:cs="Times New Roman"/>
                <w:b/>
                <w:i/>
                <w:strike w:val="0"/>
                <w:color w:val="000000"/>
                <w:sz w:val="24"/>
                <w:highlight w:val="none"/>
                <w:u w:val="none" w:color="auto"/>
              </w:rPr>
              <w:t>, skont il-prinċipji ta' neċessità u proporzjonalità stabbiliti fl-Artikolu 52(1) tal-Karta u l-ġurisprudenza rilevanti tal-QtĠ-UE</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Ignazio Corrao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t xml:space="preserve">tassisti fil-kontroll tal-immigrazzjoni </w:t>
            </w:r>
            <w:r>
              <w:rPr>
                <w:rFonts w:ascii="Times New Roman" w:eastAsia="Times New Roman" w:hAnsi="Times New Roman" w:cs="Times New Roman"/>
                <w:b/>
                <w:i/>
                <w:strike w:val="0"/>
                <w:color w:val="000000"/>
                <w:sz w:val="24"/>
                <w:highlight w:val="none"/>
                <w:u w:val="none" w:color="auto"/>
              </w:rPr>
              <w:t>illegali</w:t>
            </w:r>
            <w:r>
              <w:t xml:space="preserve"> lejn u movimenti sekondarji fl-Unjoni u bl-identifikazzjoni ta’ ċittadini ta’ pajjiżi terzi residenti illegalment għad-determinazzjoni ta’ miżuri xierqa li għandhom jittieħdu mill-Istati Membri, inkluża t-tneħħija u r-ripatriazzjoni ta' persuni residenti mingħajr awtorizzazzjoni.</w:t>
            </w:r>
          </w:p>
        </w:tc>
        <w:tc>
          <w:tcPr/>
          <w:p>
            <w:pPr>
              <w:pStyle w:val="Normal6"/>
            </w:pPr>
            <w:r>
              <w:t>(b)</w:t>
            </w:r>
            <w:r>
              <w:tab/>
            </w:r>
            <w:r>
              <w:t xml:space="preserve">tassisti fil-kontroll tal-immigrazzjoni </w:t>
            </w:r>
            <w:r>
              <w:rPr>
                <w:rFonts w:ascii="Times New Roman" w:eastAsia="Times New Roman" w:hAnsi="Times New Roman" w:cs="Times New Roman"/>
                <w:b/>
                <w:i/>
                <w:strike w:val="0"/>
                <w:color w:val="000000"/>
                <w:sz w:val="24"/>
                <w:highlight w:val="none"/>
                <w:u w:val="none" w:color="auto"/>
              </w:rPr>
              <w:t>irregolari</w:t>
            </w:r>
            <w:r>
              <w:t xml:space="preserve"> lejn u movimenti sekondarji fl-Unjoni u bl-identifikazzjoni ta’ ċittadini ta’ pajjiżi terzi residenti illegalment</w:t>
            </w:r>
            <w:r>
              <w:rPr>
                <w:rFonts w:ascii="Times New Roman" w:eastAsia="Times New Roman" w:hAnsi="Times New Roman" w:cs="Times New Roman"/>
                <w:b/>
                <w:i/>
                <w:strike w:val="0"/>
                <w:color w:val="000000"/>
                <w:sz w:val="24"/>
                <w:highlight w:val="none"/>
                <w:u w:val="none" w:color="auto"/>
              </w:rPr>
              <w:t xml:space="preserve"> li preċedentement kienu soġġetti għal ordni ta' tkeċċija,</w:t>
            </w:r>
            <w:r>
              <w:t xml:space="preserve"> għad-determinazzjoni ta’ miżuri xierqa li għandhom jittieħdu mill-Istati Membri, inkluża t-tneħħija u r-ripatriazzjoni ta' persuni residenti mingħajr awtorizzazzjoni.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Maria Grapini</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t xml:space="preserve">tassisti </w:t>
            </w:r>
            <w:r>
              <w:rPr>
                <w:rFonts w:ascii="Times New Roman" w:eastAsia="Times New Roman" w:hAnsi="Times New Roman" w:cs="Times New Roman"/>
                <w:b/>
                <w:i/>
                <w:strike w:val="0"/>
                <w:color w:val="000000"/>
                <w:sz w:val="24"/>
                <w:highlight w:val="none"/>
                <w:u w:val="none" w:color="auto"/>
              </w:rPr>
              <w:t>fil-kontroll tal-immigrazzjoni illegali lejn u movimenti sekondarji fl-Unjoni u bl-identifikazzjoni</w:t>
            </w:r>
            <w:r>
              <w:t xml:space="preserve"> ta’ ċittadini ta’ pajjiżi terzi residenti illegalment għad-determinazzjoni ta’ miżuri xierqa li għandhom jittieħdu mill-Istati Membri, inkluża t-tneħħija u r-ripatriazzjoni ta' persuni residenti mingħajr awtorizzazzjoni.</w:t>
            </w:r>
          </w:p>
        </w:tc>
        <w:tc>
          <w:tcPr/>
          <w:p>
            <w:pPr>
              <w:pStyle w:val="Normal6"/>
            </w:pPr>
            <w:r>
              <w:t>(b)</w:t>
            </w:r>
            <w:r>
              <w:tab/>
            </w:r>
            <w:r>
              <w:t xml:space="preserve">tassisti </w:t>
            </w:r>
            <w:r>
              <w:rPr>
                <w:rFonts w:ascii="Times New Roman" w:eastAsia="Times New Roman" w:hAnsi="Times New Roman" w:cs="Times New Roman"/>
                <w:b/>
                <w:i/>
                <w:strike w:val="0"/>
                <w:color w:val="000000"/>
                <w:sz w:val="24"/>
                <w:highlight w:val="none"/>
                <w:u w:val="none" w:color="auto"/>
              </w:rPr>
              <w:t>fl-identifikazzjoni</w:t>
            </w:r>
            <w:r>
              <w:t xml:space="preserve"> ta’ ċittadini ta’ pajjiżi terzi </w:t>
            </w:r>
            <w:r>
              <w:rPr>
                <w:rFonts w:ascii="Times New Roman" w:eastAsia="Times New Roman" w:hAnsi="Times New Roman" w:cs="Times New Roman"/>
                <w:b/>
                <w:i/>
                <w:strike w:val="0"/>
                <w:color w:val="000000"/>
                <w:sz w:val="24"/>
                <w:highlight w:val="none"/>
                <w:u w:val="none" w:color="auto"/>
              </w:rPr>
              <w:t xml:space="preserve">u persuni apolidi </w:t>
            </w:r>
            <w:r>
              <w:t xml:space="preserve">residenti illegalment għad-determinazzjoni ta’ miżuri xierqa li għandhom jittieħdu mill-Istati Membri, </w:t>
            </w:r>
            <w:r>
              <w:rPr>
                <w:rFonts w:ascii="Times New Roman" w:eastAsia="Times New Roman" w:hAnsi="Times New Roman" w:cs="Times New Roman"/>
                <w:b/>
                <w:i/>
                <w:strike w:val="0"/>
                <w:color w:val="000000"/>
                <w:sz w:val="24"/>
                <w:highlight w:val="none"/>
                <w:u w:val="none" w:color="auto"/>
              </w:rPr>
              <w:t xml:space="preserve">jekk applikabbli, </w:t>
            </w:r>
            <w:r>
              <w:t>inkluża t-tneħħija u r-ripatriazzjoni ta' persuni residenti mingħajr awtorizzazzjoni</w:t>
            </w:r>
            <w:r>
              <w:rPr>
                <w:rFonts w:ascii="Times New Roman" w:eastAsia="Times New Roman" w:hAnsi="Times New Roman" w:cs="Times New Roman"/>
                <w:b/>
                <w:i/>
                <w:strike w:val="0"/>
                <w:color w:val="000000"/>
                <w:sz w:val="24"/>
                <w:highlight w:val="none"/>
                <w:u w:val="none" w:color="auto"/>
              </w:rPr>
              <w:t xml:space="preserve"> jew l-għoti ta' status permanenti ta' residenza</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Christine Revault D'Allonnes Bonnefoy</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ġdid</w:t>
            </w:r>
            <w:r>
              <w:t>(c)</w:t>
            </w:r>
            <w:r>
              <w:tab/>
            </w:r>
            <w:r>
              <w:t>tistabbilixxi l-kundizzjonijiet li taħthom l-awtoritajiet maħtura tal-Istati Membri u l-Uffiċċju Ewropew tal-Pulizija (Europol) jistgħu jitolbu t-tqabbil tad-data dwar il-marki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ma' dawk maħżuna fis-Sistema Ċentrali għal skopijiet ta’ infurzar tal-liġi</w:t>
            </w:r>
            <w:r>
              <w:rPr>
                <w:rFonts w:ascii="Times New Roman" w:eastAsia="Times New Roman" w:hAnsi="Times New Roman" w:cs="Times New Roman"/>
                <w:b/>
                <w:i/>
                <w:strike w:val="0"/>
                <w:color w:val="000000"/>
                <w:sz w:val="24"/>
                <w:highlight w:val="none"/>
                <w:u w:val="none" w:color="auto"/>
              </w:rPr>
              <w:t xml:space="preserve">  għall-prevenzjoni, ir-rintraċċar jew l-investigazzjoni ta’ reati terroristiċi jew reati kriminali serji oħra  </w:t>
            </w:r>
            <w:r>
              <w:t>.</w:t>
            </w:r>
          </w:p>
        </w:tc>
        <w:tc>
          <w:tcPr/>
          <w:p>
            <w:pPr>
              <w:pStyle w:val="Normal6"/>
            </w:pPr>
            <w:r>
              <w:t>(c)</w:t>
            </w:r>
            <w:r>
              <w:tab/>
            </w:r>
            <w:r>
              <w:t>tistabbilixxi l-kundizzjonijiet li taħthom l-awtoritajiet maħtura tal-Istati Membri u l-Uffiċċju Ewropew tal-Pulizija (Europol) jistgħu jitolbu t-tqabbil tad-data dwar il-marki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ma' dawk maħżuna fis-Sistema Ċentrali għal skopijiet ta’ infurzar tal-liġi.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ir-referenza mhijiex meħtieġa u tagħmel paragun perikoluż bejn il-migrazzjoni u l-persuni terroristi u kriminali.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ġdid (c)</w:t>
            </w:r>
            <w:r>
              <w:tab/>
            </w:r>
            <w:r>
              <w:rPr>
                <w:rFonts w:ascii="Times New Roman" w:eastAsia="Times New Roman" w:hAnsi="Times New Roman" w:cs="Times New Roman"/>
                <w:b/>
                <w:i/>
                <w:strike w:val="0"/>
                <w:color w:val="000000"/>
                <w:sz w:val="24"/>
                <w:highlight w:val="none"/>
                <w:u w:val="none" w:color="auto"/>
              </w:rPr>
              <w:t>tistabbilixxi l-kundizzjonijiet li taħthom l-awtoritajiet maħtura tal-Istati Membri u l-Uffiċċju Ewropew tal-Pulizija (Europol) jistgħu jitolbu t-tqabbil tad-data dwar il-marki tas-swaba'  u x-xbiha tal-wiċċ  ma' dawk maħżuna fis-Sistema Ċentrali għal skopijiet ta’ infurzar tal-liġi  għall-prevenzjoni, ir-rintraċċar jew l-investigazzjoni ta’ reati terroristiċi jew reati kriminali serji oħra  .</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Italic"/>
            </w:pPr>
            <w:r>
              <w:t>(Din l-emenda tapplika għat-test leġiżlattiv kollu li qed jiġi eżaminat. L-adozzjoni tagħha teħtieġ adattamenti tekniċi fit-test kollu.)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 The rapporteur has opened up this part of the regulation in order to give Europol direct access to the Eurodac database. 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ġdid</w:t>
            </w:r>
            <w:r>
              <w:t>(c)</w:t>
            </w:r>
            <w:r>
              <w:tab/>
            </w:r>
            <w:r>
              <w:t>tistabbilixxi l-kundizzjonijiet li taħthom l-awtoritajiet maħtura tal-Istati Membri u l-Uffiċċju Ewropew tal-Pulizija (Europol) jistgħu jitolbu t-tqabbil tad-data dwar il-marki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ma' dawk maħżuna fis-Sistema Ċentrali għal skopijiet ta’ infurzar tal-liġi</w:t>
            </w:r>
            <w:r>
              <w:rPr>
                <w:rFonts w:ascii="Times New Roman" w:eastAsia="Times New Roman" w:hAnsi="Times New Roman" w:cs="Times New Roman"/>
                <w:b/>
                <w:i/>
                <w:strike w:val="0"/>
                <w:color w:val="000000"/>
                <w:sz w:val="24"/>
                <w:highlight w:val="none"/>
                <w:u w:val="none" w:color="auto"/>
              </w:rPr>
              <w:t xml:space="preserve">  </w:t>
            </w:r>
            <w:r>
              <w:t>għall-prevenzjoni, ir-rintraċċar jew l-investigazzjoni ta’ reati terroristiċi jew reati kriminali serji oħra</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(c)</w:t>
            </w:r>
            <w:r>
              <w:tab/>
            </w:r>
            <w:r>
              <w:t>tistabbilixxi l-kundizzjonijiet li taħthom l-awtoritajiet maħtura tal-Istati Membri u l-Uffiċċju Ewropew tal-Pulizija (Europol) jistgħu jitolbu t-tqabbil tad-data dwar il-marki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ma' dawk maħżuna fis-Sistema Ċentrali għal skopijiet ta’ infurzar tal-liġi</w:t>
            </w:r>
            <w:r>
              <w:rPr>
                <w:rFonts w:ascii="Times New Roman" w:eastAsia="Times New Roman" w:hAnsi="Times New Roman" w:cs="Times New Roman"/>
                <w:b/>
                <w:i/>
                <w:strike w:val="0"/>
                <w:color w:val="000000"/>
                <w:sz w:val="24"/>
                <w:highlight w:val="none"/>
                <w:u w:val="none" w:color="auto"/>
              </w:rPr>
              <w:t xml:space="preserve"> </w:t>
            </w:r>
            <w:r>
              <w:t>għall-prevenzjoni, ir-rintraċċar jew l-investigazzjoni ta’ reati terroristiċi jew reati kriminali serji oħra</w:t>
            </w:r>
            <w:r>
              <w:rPr>
                <w:rFonts w:ascii="Times New Roman" w:eastAsia="Times New Roman" w:hAnsi="Times New Roman" w:cs="Times New Roman"/>
                <w:b/>
                <w:i/>
                <w:strike w:val="0"/>
                <w:color w:val="000000"/>
                <w:sz w:val="24"/>
                <w:highlight w:val="none"/>
                <w:u w:val="none" w:color="auto"/>
              </w:rPr>
              <w:t>, skont il-prinċipji tan-neċessità u l-proporzjonalità stabbiliti fl-Artikolu 52(1) tal-Karta u l-ġurisprudenza rilevanti tal-QtĠ-UE</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Skont l-Artikolu 104 tar-Regoli ta' Proċedura, din l-emenda hija meħtieġa għaliex hija marbuta b'mod intrinsiku ma' emendi oħra ammissibbli relatati mal-iskopijiet tal-Eurodac (l-Artikolu 1), li jintroduċu referenzi għall-konformità mal-prinċipji tan-neċessità u l-proporzjonalità skont l-Artikolu 52(1) tal-Karta u l-ġurisprudenza tal-QtĠ-UE.</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ġdid</w:t>
            </w:r>
            <w:r>
              <w:t>(c)</w:t>
            </w:r>
            <w:r>
              <w:tab/>
            </w:r>
            <w:r>
              <w:t>tistabbilixxi l-kundizzjonijiet li taħthom l-awtoritajiet maħtura tal-Istati Membri u l-Uffiċċju Ewropew tal-Pulizija (Europol) jistgħu jitolbu t-tqabbil tad-data dwar il-marki tas-swaba'</w:t>
            </w:r>
            <w:r>
              <w:rPr>
                <w:rFonts w:ascii="Times New Roman" w:eastAsia="Times New Roman" w:hAnsi="Times New Roman" w:cs="Times New Roman"/>
                <w:b/>
                <w:i/>
                <w:strike w:val="0"/>
                <w:color w:val="000000"/>
                <w:sz w:val="24"/>
                <w:highlight w:val="none"/>
                <w:u w:val="none" w:color="auto"/>
              </w:rPr>
              <w:t xml:space="preserve">  u x-xbiha tal-wiċċ  </w:t>
            </w:r>
            <w:r>
              <w:t>ma' dawk maħżuna fis-Sistema Ċentrali għal skopijiet ta’ infurzar tal-liġi</w:t>
            </w:r>
            <w:r>
              <w:rPr>
                <w:rFonts w:ascii="Times New Roman" w:eastAsia="Times New Roman" w:hAnsi="Times New Roman" w:cs="Times New Roman"/>
                <w:b/>
                <w:i/>
                <w:strike w:val="0"/>
                <w:color w:val="000000"/>
                <w:sz w:val="24"/>
                <w:highlight w:val="none"/>
                <w:u w:val="none" w:color="auto"/>
              </w:rPr>
              <w:t xml:space="preserve">  </w:t>
            </w:r>
            <w:r>
              <w:t>għall-prevenzjoni, ir-rintraċċar jew l-investigazzjoni ta’ reati terroristiċi jew reati kriminali serji oħra</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(c)</w:t>
            </w:r>
            <w:r>
              <w:tab/>
            </w:r>
            <w:r>
              <w:t>tistabbilixxi l-kundizzjonijiet li taħthom l-awtoritajiet maħtura tal-Istati Membri u l-Uffiċċju Ewropew tal-Pulizija (Europol) jistgħu jitolbu t-tqabbil tad-data dwar il-marki tas-swaba'</w:t>
            </w:r>
            <w:r>
              <w:rPr>
                <w:rFonts w:ascii="Times New Roman" w:eastAsia="Times New Roman" w:hAnsi="Times New Roman" w:cs="Times New Roman"/>
                <w:b/>
                <w:i/>
                <w:strike w:val="0"/>
                <w:color w:val="000000"/>
                <w:sz w:val="24"/>
                <w:highlight w:val="none"/>
                <w:u w:val="none" w:color="auto"/>
              </w:rPr>
              <w:t xml:space="preserve">, ix-xbiha tal-wiċċ u dik alfanumerika </w:t>
            </w:r>
            <w:r>
              <w:t>ma' dawk maħżuna fis-Sistema Ċentrali għal skopijiet ta’ infurzar tal-liġi</w:t>
            </w:r>
            <w:r>
              <w:rPr>
                <w:rFonts w:ascii="Times New Roman" w:eastAsia="Times New Roman" w:hAnsi="Times New Roman" w:cs="Times New Roman"/>
                <w:b/>
                <w:i/>
                <w:strike w:val="0"/>
                <w:color w:val="000000"/>
                <w:sz w:val="24"/>
                <w:highlight w:val="none"/>
                <w:u w:val="none" w:color="auto"/>
              </w:rPr>
              <w:t xml:space="preserve"> </w:t>
            </w:r>
            <w:r>
              <w:t>għall-prevenzjoni, ir-rintraċċar jew l-investigazzjoni ta’ reati terroristiċi jew reati kriminali serji oħra.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Monika Hohlmeier</w:t>
      </w:r>
      <w:r>
        <w:t xml:space="preserve">, </w:t>
      </w:r>
      <w:r>
        <w:t>Jeroen Lenaers</w:t>
      </w:r>
      <w:r>
        <w:t xml:space="preserve">, </w:t>
      </w:r>
      <w:r>
        <w:t>Rachida Dati</w:t>
      </w:r>
      <w:r>
        <w:t xml:space="preserve">, </w:t>
      </w:r>
      <w:r>
        <w:t>Brice Hortefeux</w:t>
      </w:r>
      <w:r>
        <w:t xml:space="preserve">, </w:t>
      </w:r>
      <w:r>
        <w:t>Mariya Gabriel</w:t>
      </w:r>
      <w:r>
        <w:t xml:space="preserve">, </w:t>
      </w:r>
      <w:r>
        <w:t>Artis Pabriks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ġdid</w:t>
            </w:r>
            <w:r>
              <w:t>(c)</w:t>
            </w:r>
            <w:r>
              <w:tab/>
            </w:r>
            <w:r>
              <w:t>tistabbilixxi l-kundizzjonijiet li taħthom l-awtoritajiet maħtura tal-Istati Membri u l-Uffiċċju Ewropew tal-Pulizija (Europol) jistgħu jitolbu t-tqabbil tad-data dwar il-marki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ma' dawk maħżuna fis-Sistema Ċentrali għal skopijiet ta’ infurzar tal-liġi</w:t>
            </w:r>
            <w:r>
              <w:rPr>
                <w:rFonts w:ascii="Times New Roman" w:eastAsia="Times New Roman" w:hAnsi="Times New Roman" w:cs="Times New Roman"/>
                <w:b/>
                <w:i/>
                <w:strike w:val="0"/>
                <w:color w:val="000000"/>
                <w:sz w:val="24"/>
                <w:highlight w:val="none"/>
                <w:u w:val="none" w:color="auto"/>
              </w:rPr>
              <w:t xml:space="preserve">  </w:t>
            </w:r>
            <w:r>
              <w:t>għall-prevenzjoni, ir-rintraċċar</w:t>
            </w:r>
            <w:r>
              <w:rPr>
                <w:rFonts w:ascii="Times New Roman" w:eastAsia="Times New Roman" w:hAnsi="Times New Roman" w:cs="Times New Roman"/>
                <w:b/>
                <w:i/>
                <w:strike w:val="0"/>
                <w:color w:val="000000"/>
                <w:sz w:val="24"/>
                <w:highlight w:val="none"/>
                <w:u w:val="none" w:color="auto"/>
              </w:rPr>
              <w:t xml:space="preserve"> jew l-investigazzjoni</w:t>
            </w:r>
            <w:r>
              <w:t xml:space="preserve"> ta’ reati terroristiċi jew reati kriminali serji oħra</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(c)</w:t>
            </w:r>
            <w:r>
              <w:tab/>
            </w:r>
            <w:r>
              <w:t>tistabbilixxi l-kundizzjonijiet li taħthom l-awtoritajiet maħtura tal-Istati Membri u l-Uffiċċju Ewropew tal-Pulizija (Europol) jistgħu jitolbu t-tqabbil tad-data dwar il-marki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ma' dawk maħżuna fis-Sistema Ċentrali għal skopijiet ta’ infurzar tal-liġi</w:t>
            </w:r>
            <w:r>
              <w:rPr>
                <w:rFonts w:ascii="Times New Roman" w:eastAsia="Times New Roman" w:hAnsi="Times New Roman" w:cs="Times New Roman"/>
                <w:b/>
                <w:i/>
                <w:strike w:val="0"/>
                <w:color w:val="000000"/>
                <w:sz w:val="24"/>
                <w:highlight w:val="none"/>
                <w:u w:val="none" w:color="auto"/>
              </w:rPr>
              <w:t xml:space="preserve"> </w:t>
            </w:r>
            <w:r>
              <w:t>għall-prevenzjoni, ir-rintraċċar</w:t>
            </w:r>
            <w:r>
              <w:rPr>
                <w:rFonts w:ascii="Times New Roman" w:eastAsia="Times New Roman" w:hAnsi="Times New Roman" w:cs="Times New Roman"/>
                <w:b/>
                <w:i/>
                <w:strike w:val="0"/>
                <w:color w:val="000000"/>
                <w:sz w:val="24"/>
                <w:highlight w:val="none"/>
                <w:u w:val="none" w:color="auto"/>
              </w:rPr>
              <w:t>, l-investigazzjoni jew il-prosekuzzjoni</w:t>
            </w:r>
            <w:r>
              <w:t xml:space="preserve"> ta’ reati terroristiċi jew reati kriminali serji oħra.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Italic"/>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tapplika għat-test kollu u hija konformi maż-żieda tal-paragrafu (c) ġdid tal-Artikolu (1).</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ġdid</w:t>
            </w:r>
            <w:r>
              <w:t>(c)</w:t>
            </w:r>
            <w:r>
              <w:tab/>
            </w:r>
            <w:r>
              <w:t>tistabbilixxi l-kundizzjonijiet li taħthom l-awtoritajiet maħtura tal-Istati Membri u l-Uffiċċju Ewropew tal-Pulizija (Europol) jistgħu jitolbu t-tqabbil tad-data dwar il-marki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ma' dawk maħżuna fis-Sistema Ċentrali għal skopijiet ta’ infurzar tal-liġi</w:t>
            </w:r>
            <w:r>
              <w:rPr>
                <w:rFonts w:ascii="Times New Roman" w:eastAsia="Times New Roman" w:hAnsi="Times New Roman" w:cs="Times New Roman"/>
                <w:b/>
                <w:i/>
                <w:strike w:val="0"/>
                <w:color w:val="000000"/>
                <w:sz w:val="24"/>
                <w:highlight w:val="none"/>
                <w:u w:val="none" w:color="auto"/>
              </w:rPr>
              <w:t xml:space="preserve">  </w:t>
            </w:r>
            <w:r>
              <w:t>għall-prevenzjoni, ir-rintraċċar jew l-investigazzjoni ta’ reati terroristiċi jew reati kriminali serji oħra</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(c)</w:t>
            </w:r>
            <w:r>
              <w:tab/>
            </w:r>
            <w:r>
              <w:t>tistabbilixxi l-kundizzjonijiet li taħthom l-awtoritajiet maħtura tal-Istati Membri u l-Uffiċċju Ewropew tal-Pulizija (Europol) jistgħu jitolbu t-tqabbil tad-data dwar il-marki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jew it-tnejn li huma </w:t>
            </w:r>
            <w:r>
              <w:t>ma' dawk maħżuna fis-Sistema Ċentrali għal skopijiet ta’ infurzar tal-liġi</w:t>
            </w:r>
            <w:r>
              <w:rPr>
                <w:rFonts w:ascii="Times New Roman" w:eastAsia="Times New Roman" w:hAnsi="Times New Roman" w:cs="Times New Roman"/>
                <w:b/>
                <w:i/>
                <w:strike w:val="0"/>
                <w:color w:val="000000"/>
                <w:sz w:val="24"/>
                <w:highlight w:val="none"/>
                <w:u w:val="none" w:color="auto"/>
              </w:rPr>
              <w:t xml:space="preserve"> </w:t>
            </w:r>
            <w:r>
              <w:t>għall-prevenzjoni, ir-rintraċċar jew l-investigazzjoni ta’ reati terroristiċi jew reati kriminali serji oħra</w:t>
            </w:r>
            <w:r>
              <w:rPr>
                <w:rFonts w:ascii="Times New Roman" w:eastAsia="Times New Roman" w:hAnsi="Times New Roman" w:cs="Times New Roman"/>
                <w:b/>
                <w:i/>
                <w:strike w:val="0"/>
                <w:color w:val="000000"/>
                <w:sz w:val="24"/>
                <w:highlight w:val="none"/>
                <w:u w:val="none" w:color="auto"/>
              </w:rPr>
              <w:t xml:space="preserve"> </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ca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(ca)</w:t>
            </w:r>
            <w:r>
              <w:tab/>
            </w:r>
            <w:r>
              <w:rPr>
                <w:rFonts w:ascii="Times New Roman" w:eastAsia="Times New Roman" w:hAnsi="Times New Roman" w:cs="Times New Roman"/>
                <w:b/>
                <w:i/>
                <w:strike w:val="0"/>
                <w:color w:val="000000"/>
                <w:sz w:val="24"/>
                <w:highlight w:val="none"/>
                <w:u w:val="none" w:color="auto"/>
              </w:rPr>
              <w:t>tipproteġi u tidentifika t-tfal vittma tat-traffikar tal-persuni, ta' stupru, ta' telf jew ta' sekwestru u tistabbilixxi l-identità ta' minorenni u tgħin Stat Membru jsib membru tal-familja jew jitraċċa r-rabtiet eventwali li dawn it-tfal huma suxxettibbli li jkollhom ma' Stat Membru ieħor fl-interess ulterjuri tal-minorenni.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It-tnaqqis tal-età tat-teħid tal-marki tas-swaba tat-tfal minn 14 għal 6 snin għandu l-għan li jipproteġi lil dawn it-tfal mit-traffikar tal-bniedem u l-ħtif. Dan għandu, għalhekk, jiġi speċifikat.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ca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(ca)</w:t>
            </w:r>
            <w:r>
              <w:tab/>
            </w:r>
            <w:r>
              <w:rPr>
                <w:rFonts w:ascii="Times New Roman" w:eastAsia="Times New Roman" w:hAnsi="Times New Roman" w:cs="Times New Roman"/>
                <w:b/>
                <w:i/>
                <w:strike w:val="0"/>
                <w:color w:val="000000"/>
                <w:sz w:val="24"/>
                <w:highlight w:val="none"/>
                <w:u w:val="none" w:color="auto"/>
              </w:rPr>
              <w:t>tiffaċilita r-riunifikazzjoni tal-familja u tidentifika u tipproteġi l-vittmi tfal tat-traffikar tal-bnedmin. Id-data personali miksuba mill-minorenni għandha tiġi eżentata mill-iskopijiet stabbiliti fil-punti (b) u (c). Għandha tingħata attenzjoni speċjali lid-drittijiet tal-minorenni mhux akkumpanjati.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(Article 10, 13 and 14), the purpose of Eurodac should also be facilitating family reunification and identify and protect child victims of human trafficking. This purpose will positively contribute to the protection of the rights of the child, including the rights of unaccompanied minors.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Kati Piri</w:t>
      </w:r>
      <w:r>
        <w:t xml:space="preserve">, </w:t>
      </w:r>
      <w:r>
        <w:t>Maria Grapini</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ca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(ca)</w:t>
            </w:r>
            <w:r>
              <w:tab/>
            </w:r>
            <w:r>
              <w:rPr>
                <w:rFonts w:ascii="Times New Roman" w:eastAsia="Times New Roman" w:hAnsi="Times New Roman" w:cs="Times New Roman"/>
                <w:b/>
                <w:i/>
                <w:strike w:val="0"/>
                <w:color w:val="000000"/>
                <w:sz w:val="24"/>
                <w:highlight w:val="none"/>
                <w:u w:val="none" w:color="auto"/>
              </w:rPr>
              <w:t>tassisti lill-Istati Membri fil-protezzjoni u l-identifikazzjoni tal-vittmi tfal tat-traffikar tal-bnedmin u fil-protezzjoni u l-identifikazzjoni tat-tfal neqsin u fit-teħid ta' miżuri għar-rintraċċar u għar-riunifikazzjoni tal-familja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1 – punt ca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(ca)</w:t>
            </w:r>
            <w:r>
              <w:tab/>
            </w:r>
            <w:r>
              <w:rPr>
                <w:rFonts w:ascii="Times New Roman" w:eastAsia="Times New Roman" w:hAnsi="Times New Roman" w:cs="Times New Roman"/>
                <w:b/>
                <w:i/>
                <w:strike w:val="0"/>
                <w:color w:val="000000"/>
                <w:sz w:val="24"/>
                <w:highlight w:val="none"/>
                <w:u w:val="none" w:color="auto"/>
              </w:rPr>
              <w:t>tassisti lill-Istati Membri fil-protezzjoni u l-identifikazzjoni tal-vittmi tfal tat-traffikar tal-bnedmin u fil-protezzjoni u l-identifikazzjoni tat-tfal neqsin.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meħtieġa biex iżżomm il-loġika tat-test peress li għandha sservi biex tipproteġi lit-tfal vittmi tat-traffikar u tappoġġja l-identifikazzjoni u l-protezzjoni ta' tfal mhux akkumpanjati li jgħibu, jisparixxu jew jaħarbu, kif il-Kummissjoni Ewropea enfasizzat fil-memorandum ta' spjegazzjoni tagħha li jakkumpanja r-riformulazzjoni proposta tar-Regolament Eurodac. Sabiex jikkonforma mal-Artikoli 7, 8 u 24 tal-Karta, l-ipproċessar tad-data bijometrika tat-tfal mill-età żgħira ta' sitt snin jista' jiġi ġġustifikat biss jekk espressament isegwi objettiv għall-protezzjoni tat-tfal.</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Mingħajr preġudizzju għall-ipproċessar tad-data maħsuba għall-Eurodac mill-Istat Membru ta' oriġini f’bażijiet tad-data stabbiliti taħt il-liġi nazzjonali tal-Istat Membru, id-data dwar marki tas-swaba’ u data personali oħra jistgħu jkunu pproċessati fil-Eurodac għal skopijiet stabbiliti f’dan ir-Regolament u [l-Artikolu 34(1) tar-Regolament (UE) </w:t>
            </w:r>
            <w:r>
              <w:rPr>
                <w:rFonts w:ascii="Times New Roman" w:eastAsia="Times New Roman" w:hAnsi="Times New Roman" w:cs="Times New Roman"/>
                <w:b/>
                <w:i/>
                <w:strike w:val="0"/>
                <w:color w:val="000000"/>
                <w:sz w:val="24"/>
                <w:highlight w:val="none"/>
                <w:u w:val="none" w:color="auto"/>
              </w:rPr>
              <w:t>Nru 604/2013</w:t>
            </w:r>
            <w:r>
              <w:t>].</w:t>
            </w:r>
          </w:p>
        </w:tc>
        <w:tc>
          <w:tcPr/>
          <w:p>
            <w:pPr>
              <w:pStyle w:val="Normal6"/>
            </w:pPr>
            <w:r>
              <w:t>2.</w:t>
            </w:r>
            <w:r>
              <w:tab/>
            </w:r>
            <w:r>
              <w:t xml:space="preserve">Mingħajr preġudizzju għall-ipproċessar tad-data maħsuba għall-Eurodac mill-Istat Membru ta' oriġini f’bażijiet tad-data stabbiliti taħt il-liġi nazzjonali tal-Istat Membru, id-data dwar marki tas-swaba’ u </w:t>
            </w:r>
            <w:r>
              <w:rPr>
                <w:rFonts w:ascii="Times New Roman" w:eastAsia="Times New Roman" w:hAnsi="Times New Roman" w:cs="Times New Roman"/>
                <w:b/>
                <w:i/>
                <w:strike w:val="0"/>
                <w:color w:val="000000"/>
                <w:sz w:val="24"/>
                <w:highlight w:val="none"/>
                <w:u w:val="none" w:color="auto"/>
              </w:rPr>
              <w:t xml:space="preserve">x-xbiha tal-wiċċ u </w:t>
            </w:r>
            <w:r>
              <w:t xml:space="preserve">data personali oħra jistgħu jkunu pproċessati fil-Eurodac għal skopijiet stabbiliti f’dan ir-Regolament u [l-Artikolu 34(1) tar-Regolament (UE) </w:t>
            </w:r>
            <w:r>
              <w:rPr>
                <w:rFonts w:ascii="Times New Roman" w:eastAsia="Times New Roman" w:hAnsi="Times New Roman" w:cs="Times New Roman"/>
                <w:b/>
                <w:i/>
                <w:strike w:val="0"/>
                <w:color w:val="000000"/>
                <w:sz w:val="24"/>
                <w:highlight w:val="none"/>
                <w:u w:val="none" w:color="auto"/>
              </w:rPr>
              <w:t>....</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Korrezzjoni tal-proposta tal-Kummissjoni li ma żżidx fil-postijiet kollha meħtieġa kemm "il-marki tas-swaba'" kif ukoll "ix-xbiha tal-wiċċ", b'dan konformi mal-obbligu kif imsemmi fl-Artikolu 2.</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Obbligu tat-teħid tal-marki tas-swaba’ u x-xbiha tal-wiċċ</w:t>
            </w:r>
          </w:p>
        </w:tc>
        <w:tc>
          <w:tcPr/>
          <w:p>
            <w:pPr>
              <w:pStyle w:val="Normal6"/>
            </w:pPr>
            <w:r>
              <w:rPr>
                <w:rFonts w:ascii="Times New Roman" w:eastAsia="Times New Roman" w:hAnsi="Times New Roman" w:cs="Times New Roman"/>
                <w:b/>
                <w:i/>
                <w:strike w:val="0"/>
                <w:color w:val="000000"/>
                <w:sz w:val="24"/>
                <w:highlight w:val="none"/>
                <w:u w:val="none" w:color="auto"/>
              </w:rPr>
              <w:t>Salvagwardji proċedurali għall-protezzjoni tat-tfal u tal-persuni vulnerabbli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titolu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Obbligu tat-teħid tal-marki tas-swaba’</w:t>
            </w:r>
            <w:r>
              <w:rPr>
                <w:rFonts w:ascii="Times New Roman" w:eastAsia="Times New Roman" w:hAnsi="Times New Roman" w:cs="Times New Roman"/>
                <w:b/>
                <w:i/>
                <w:strike w:val="0"/>
                <w:color w:val="000000"/>
                <w:sz w:val="24"/>
                <w:highlight w:val="none"/>
                <w:u w:val="none" w:color="auto"/>
              </w:rPr>
              <w:t xml:space="preserve"> u x-xbiha tal-wiċċ</w:t>
            </w:r>
          </w:p>
        </w:tc>
        <w:tc>
          <w:tcPr/>
          <w:p>
            <w:pPr>
              <w:pStyle w:val="Normal6"/>
            </w:pPr>
            <w:r>
              <w:t>Obbligu tat-teħid tal-marki tas-swaba'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Italic"/>
            </w:pPr>
            <w:r>
              <w:t>(Din l-emenda tapplika għat-test leġiżlattiv kollu li qed jiġi eżaminat. L-adozzjoni tagħha timponi adattamenti tekniċi fit-test kollu.)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w:t>
            </w:r>
            <w:r>
              <w:tab/>
            </w:r>
            <w:r>
              <w:rPr>
                <w:rFonts w:ascii="Times New Roman" w:eastAsia="Times New Roman" w:hAnsi="Times New Roman" w:cs="Times New Roman"/>
                <w:b/>
                <w:i/>
                <w:strike w:val="0"/>
                <w:color w:val="000000"/>
                <w:sz w:val="24"/>
                <w:highlight w:val="none"/>
                <w:u w:val="none" w:color="auto"/>
              </w:rPr>
              <w:t>L-Istati Membri huma obbligati li jieħdu l-marki tas-swaba’ u x-xbiha tal-wiċċ ta’ persuni msemmija fl-Artikolu 10(1), 13(1) u 14(1) għall-finijiet tal-Artikolu 1(1)(a) u (b) ta' dan ir-Regolament u għandhom jimponu fuq is-suġġett tad-data r-rekwiżit li jipprovdi l-marki tas-swaba' u x-xbiha tal-wiċċ u jinfurmawhom b’dan skont l-Artikolu 30 ta’ dan ir-Regolament.</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rPr>
                <w:rFonts w:ascii="Times New Roman" w:eastAsia="Times New Roman" w:hAnsi="Times New Roman" w:cs="Times New Roman"/>
                <w:b/>
                <w:i/>
                <w:strike w:val="0"/>
                <w:color w:val="000000"/>
                <w:sz w:val="24"/>
                <w:highlight w:val="none"/>
                <w:u w:val="none" w:color="auto"/>
              </w:rPr>
              <w:t>L-Istati</w:t>
            </w:r>
            <w:r>
              <w:t xml:space="preserve"> Membri huma obbligati li jieħdu l-marki tas-swaba’ u x-xbiha tal-wiċċ </w:t>
            </w:r>
            <w:r>
              <w:rPr>
                <w:rFonts w:ascii="Times New Roman" w:eastAsia="Times New Roman" w:hAnsi="Times New Roman" w:cs="Times New Roman"/>
                <w:b/>
                <w:i/>
                <w:strike w:val="0"/>
                <w:color w:val="000000"/>
                <w:sz w:val="24"/>
                <w:highlight w:val="none"/>
                <w:u w:val="none" w:color="auto"/>
              </w:rPr>
              <w:t>ta’ persuni msemmija fl-Artikolu 10(1), 13(1) u 14(1)</w:t>
            </w:r>
            <w:r>
              <w:t xml:space="preserve"> għall-finijiet tal-Artikolu 1(1)(a) u (b) ta' dan ir-Regolament u għandhom jimponu fuq is-suġġett tad-data r-rekwiżit li jipprovdi l-marki tas-swaba' u x-xbiha tal-wiċċ u jinfurmawhom b’dan skont l-Artikolu 30 ta’ dan ir-Regolament.</w:t>
            </w:r>
          </w:p>
        </w:tc>
        <w:tc>
          <w:tcPr/>
          <w:p>
            <w:pPr>
              <w:pStyle w:val="Normal6"/>
            </w:pPr>
            <w:r>
              <w:t>1.</w:t>
            </w:r>
            <w:r>
              <w:tab/>
            </w:r>
            <w:r>
              <w:rPr>
                <w:rFonts w:ascii="Times New Roman" w:eastAsia="Times New Roman" w:hAnsi="Times New Roman" w:cs="Times New Roman"/>
                <w:b/>
                <w:i/>
                <w:strike w:val="0"/>
                <w:color w:val="000000"/>
                <w:sz w:val="24"/>
                <w:highlight w:val="none"/>
                <w:u w:val="none" w:color="auto"/>
              </w:rPr>
              <w:t>Il-persuni msemmija fl-Artikoli 10(1), 13(1) u 14(1) għandhom ikunu rreġistrati. Għalhekk, l-Istati</w:t>
            </w:r>
            <w:r>
              <w:t xml:space="preserve"> Membri huma obbligati li jieħdu l-marki tas-swaba’ u x-xbiha tal-wiċċ </w:t>
            </w:r>
            <w:r>
              <w:rPr>
                <w:rFonts w:ascii="Times New Roman" w:eastAsia="Times New Roman" w:hAnsi="Times New Roman" w:cs="Times New Roman"/>
                <w:b/>
                <w:i/>
                <w:strike w:val="0"/>
                <w:color w:val="000000"/>
                <w:sz w:val="24"/>
                <w:highlight w:val="none"/>
                <w:u w:val="none" w:color="auto"/>
              </w:rPr>
              <w:t>tagħhom</w:t>
            </w:r>
            <w:r>
              <w:t xml:space="preserve"> għall-finijiet tal-Artikolu 1(1)(a) u (b) ta' dan ir-Regolament u għandhom jimponu fuq is-suġġett tad-data r-rekwiżit li jipprovdi l-marki tas-swaba' u x-xbiha tal-wiċċ u jinfurmawhom b’dan skont l-Artikolu 30 ta’ dan ir-Regolament.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L-enfasi għandha tkun fuq rata ta' reġistrazzjoni ta' 100 %.</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Péter Niedermüller</w:t>
      </w:r>
      <w:r>
        <w:t xml:space="preserve">, </w:t>
      </w:r>
      <w:r>
        <w:t>Maria Grapini</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L-Istati Membri huma obbligati li jieħdu l-marki tas-swaba’ u x-xbiha tal-wiċċ ta’ persuni msemmija fl-Artikolu 10(1), 13(1) u 14(1) għall-finijiet tal-Artikolu 1(1)(a)</w:t>
            </w:r>
            <w:r>
              <w:rPr>
                <w:rFonts w:ascii="Times New Roman" w:eastAsia="Times New Roman" w:hAnsi="Times New Roman" w:cs="Times New Roman"/>
                <w:b/>
                <w:i/>
                <w:strike w:val="0"/>
                <w:color w:val="000000"/>
                <w:sz w:val="24"/>
                <w:highlight w:val="none"/>
                <w:u w:val="none" w:color="auto"/>
              </w:rPr>
              <w:t xml:space="preserve"> u (b)</w:t>
            </w:r>
            <w:r>
              <w:t xml:space="preserve"> ta' dan ir-Regolament u għandhom jimponu fuq is-suġġett tad-data r-rekwiżit li jipprovdi l-marki tas-swaba' u x-xbiha tal-wiċċ u jinfurmawhom b’dan skont l-Artikolu 30 ta’ dan ir-Regolament.</w:t>
            </w:r>
          </w:p>
        </w:tc>
        <w:tc>
          <w:tcPr/>
          <w:p>
            <w:pPr>
              <w:pStyle w:val="Normal6"/>
            </w:pPr>
            <w:r>
              <w:t>1.</w:t>
            </w:r>
            <w:r>
              <w:tab/>
            </w:r>
            <w:r>
              <w:t>L-Istati Membri huma obbligati li jieħdu l-marki tas-swaba’ u x-xbiha tal-wiċċ ta’ persuni msemmija fl-Artikolu 10(1), 13(1) u 14(1) għall-finijiet tal-Artikolu 1(1)(a)</w:t>
            </w:r>
            <w:r>
              <w:rPr>
                <w:rFonts w:ascii="Times New Roman" w:eastAsia="Times New Roman" w:hAnsi="Times New Roman" w:cs="Times New Roman"/>
                <w:b/>
                <w:i/>
                <w:strike w:val="0"/>
                <w:color w:val="000000"/>
                <w:sz w:val="24"/>
                <w:highlight w:val="none"/>
                <w:u w:val="none" w:color="auto"/>
              </w:rPr>
              <w:t>, (b) u (ca)</w:t>
            </w:r>
            <w:r>
              <w:t xml:space="preserve"> ta' dan ir-Regolament u għandhom jimponu fuq is-suġġett tad-data r-rekwiżit li jipprovdi l-marki tas-swaba' u x-xbiha tal-wiċċ u jinfurmawhom b’dan skont l-Artikolu 30 ta’ dan ir-Regolament. </w:t>
            </w:r>
            <w:r>
              <w:rPr>
                <w:rFonts w:ascii="Times New Roman" w:eastAsia="Times New Roman" w:hAnsi="Times New Roman" w:cs="Times New Roman"/>
                <w:b/>
                <w:i/>
                <w:strike w:val="0"/>
                <w:color w:val="000000"/>
                <w:sz w:val="24"/>
                <w:highlight w:val="none"/>
                <w:u w:val="none" w:color="auto"/>
              </w:rPr>
              <w:t>L-Istati Membri għandhom, f'kull ħin, jirrispettaw id-dinjità u l-integrità fiżika tal-persuni matul il-proċedura tat-teħid tal-marki tas-swaba' u x-xbiha tal-wiċċ tal-individwu.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L-Istati Membri huma obbligati li jieħdu l-marki tas-swaba’ u x-xbiha tal-wiċċ ta’ persuni msemmija fl-Artikolu 10(1), 13(1) u 14(1) għall-finijiet tal-Artikolu 1(1)(a) u (b) ta' dan ir-Regolament u għandhom jimponu fuq is-suġġett tad-data r-rekwiżit li jipprovdi l-marki tas-swaba' u x-xbiha tal-wiċċ u jinfurmawhom b’dan skont l-Artikolu 30 ta’ dan ir-Regolament.</w:t>
            </w:r>
          </w:p>
        </w:tc>
        <w:tc>
          <w:tcPr/>
          <w:p>
            <w:pPr>
              <w:pStyle w:val="Normal6"/>
            </w:pPr>
            <w:r>
              <w:t>1.</w:t>
            </w:r>
            <w:r>
              <w:tab/>
            </w:r>
            <w:r>
              <w:t xml:space="preserve">L-Istati Membri huma obbligati li jieħdu l-marki tas-swaba’ u x-xbiha tal-wiċċ ta’ persuni msemmija fl-Artikolu 10(1), </w:t>
            </w:r>
            <w:r>
              <w:rPr>
                <w:rFonts w:ascii="Times New Roman" w:eastAsia="Times New Roman" w:hAnsi="Times New Roman" w:cs="Times New Roman"/>
                <w:b/>
                <w:i/>
                <w:strike w:val="0"/>
                <w:color w:val="000000"/>
                <w:sz w:val="24"/>
                <w:highlight w:val="none"/>
                <w:u w:val="none" w:color="auto"/>
              </w:rPr>
              <w:t>l-Artikolu 12(a), u l-Artikoli </w:t>
            </w:r>
            <w:r>
              <w:t>13(1) u 14(1) għall-finijiet tal-Artikolu 1(1)(a) u (b) ta' dan ir-Regolament u għandhom jimponu fuq is-suġġett tad-data r-rekwiżit li jipprovdi l-marki tas-swaba' u x-xbiha tal-wiċċ u jinfurmawhom b’dan skont l-Artikolu 30</w:t>
            </w:r>
            <w:r>
              <w:rPr>
                <w:rFonts w:ascii="Times New Roman" w:eastAsia="Times New Roman" w:hAnsi="Times New Roman" w:cs="Times New Roman"/>
                <w:b/>
                <w:i/>
                <w:strike w:val="0"/>
                <w:color w:val="000000"/>
                <w:sz w:val="24"/>
                <w:highlight w:val="none"/>
                <w:u w:val="none" w:color="auto"/>
              </w:rPr>
              <w:t xml:space="preserve"> ta’ dan ir-Regolament u b'osservanza tad-dispożizzjonijiet u l-garanziji previsti fl-Anness</w:t>
            </w:r>
            <w:r>
              <w:t xml:space="preserve"> ta' dan ir-Regolament.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L-Istati Membri huma obbligati li jieħdu l-marki tas-swaba’ </w:t>
            </w:r>
            <w:r>
              <w:rPr>
                <w:rFonts w:ascii="Times New Roman" w:eastAsia="Times New Roman" w:hAnsi="Times New Roman" w:cs="Times New Roman"/>
                <w:b/>
                <w:i/>
                <w:strike w:val="0"/>
                <w:color w:val="000000"/>
                <w:sz w:val="24"/>
                <w:highlight w:val="none"/>
                <w:u w:val="none" w:color="auto"/>
              </w:rPr>
              <w:t xml:space="preserve">u x-xbiha tal-wiċċ </w:t>
            </w:r>
            <w:r>
              <w:t>ta’ persuni msemmija fl-Artikolu 10(1), 13(1) u 14(1) għall-finijiet tal-Artikolu 1(1)(a) u (b) ta' dan ir-Regolament u għandhom jimponu fuq is-suġġett tad-data r-rekwiżit li jipprovdi l-marki tas-swaba'</w:t>
            </w:r>
            <w:r>
              <w:rPr>
                <w:rFonts w:ascii="Times New Roman" w:eastAsia="Times New Roman" w:hAnsi="Times New Roman" w:cs="Times New Roman"/>
                <w:b/>
                <w:i/>
                <w:strike w:val="0"/>
                <w:color w:val="000000"/>
                <w:sz w:val="24"/>
                <w:highlight w:val="none"/>
                <w:u w:val="none" w:color="auto"/>
              </w:rPr>
              <w:t xml:space="preserve"> u x-xbiha tal-wiċċ</w:t>
            </w:r>
            <w:r>
              <w:t xml:space="preserve"> u jinfurmawhom b’dan skont l-Artikolu 30 ta’ dan ir-Regolament.</w:t>
            </w:r>
          </w:p>
        </w:tc>
        <w:tc>
          <w:tcPr/>
          <w:p>
            <w:pPr>
              <w:pStyle w:val="Normal6"/>
            </w:pPr>
            <w:r>
              <w:t>1.</w:t>
            </w:r>
            <w:r>
              <w:tab/>
            </w:r>
            <w:r>
              <w:t>L-Istati Membri huma obbligati li jieħdu l-marki tas-swaba' ta’ persuni msemmija fl-Artikolu 10(1), 13(1) u 14(1) għall-finijiet tal-Artikolu 1(1)(a) u (b) ta' dan ir-Regolament u għandhom jimponu fuq is-suġġett tad-data r-rekwiżit li jipprovdi l-marki tas-swaba' u jinfurmawhom b’dan skont l-Artikolu 30 ta’ dan ir-Regolament.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1a.</w:t>
            </w:r>
            <w:r>
              <w:tab/>
            </w:r>
            <w:r>
              <w:rPr>
                <w:rFonts w:ascii="Times New Roman" w:eastAsia="Times New Roman" w:hAnsi="Times New Roman" w:cs="Times New Roman"/>
                <w:b/>
                <w:i/>
                <w:strike w:val="0"/>
                <w:color w:val="000000"/>
                <w:sz w:val="24"/>
                <w:highlight w:val="none"/>
                <w:u w:val="none" w:color="auto"/>
              </w:rPr>
              <w:t>L-Istati Membri għandhom jirreġistraw lil tfal li għebu mill-faċilitajiet ta' akkoljenza bħala persuni neqsin fis-SIS. It-tfal neqsin identifikati mill-awtoritajiet tal-Istati Membri abbażi ta' "hit" skont l-Artikolu 26 għandhom jiġu riferuti minnufih lill-awtoritajiet nazzjonali għall-protezzjoni tat-tfal, li għandhom iwettqu valutazzjoni tal-ħtiġijiet bil-ħsieb li tinstab soluzzjoni dejjiema għat-tfal skont l-aħjar interessi tiegħu jew tagħha.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meħtieġa biex iżżomm il-loġika tat-test peress li għandha sservi biex tipproteġi lit-tfal vittmi ta' traffikar u tappoġġja l-identifikazzjoni u l-protezzjoni ta' tfal mhux akkumpanjati li jgħibu, jisparixxu jew jaħarbu, kif il-Kummissjoni Ewropea enfasizzat fil-memorandum ta' spjegazzjoni tagħha li jakkumpanja r-riformulazzjoni proposta tar-Regolament Eurodac. Sabiex jikkonforma mal-Artikoli 7, 8 u 24 tal-Karta, l-ipproċessar tad-data bijometrika tat-tfal mill-età żgħira ta' sitt snin jista' jiġi ġġustifikat biss jekk espressament isegwi objettiv għall-protezzjoni tat-tfal.</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1a.</w:t>
            </w:r>
            <w:r>
              <w:tab/>
            </w:r>
            <w:r>
              <w:rPr>
                <w:rFonts w:ascii="Times New Roman" w:eastAsia="Times New Roman" w:hAnsi="Times New Roman" w:cs="Times New Roman"/>
                <w:b/>
                <w:i/>
                <w:strike w:val="0"/>
                <w:color w:val="000000"/>
                <w:sz w:val="24"/>
                <w:highlight w:val="none"/>
                <w:u w:val="none" w:color="auto"/>
              </w:rPr>
              <w:t>It-teħid tal-marki tas-swaba' u x-xbiha tal-wiċċ ta' nisa u bniet għandu jitwettaq b'mod li hu sensittiv għall-ġeneru minn uffiċjali mħarrġa.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It-teħid tal-marki tas-swaba’ u x-xbiha tal-wiċċ ta’ minorenni mill-età ta' sitt snin għandha ssir b'mod ħafif għat-tfal u b'mod sensittiv minn uffiċjali mħarrġa speċifikament biex jiġbru l-marki tas-swaba’ u x-xbiha tal-wiċċ ta’ minorenni. Il-minorenni għandhom jiġu infurmati b’mod adatt għall-età tagħhom bl-użu ta’ fuljetti u </w:t>
            </w:r>
            <w:r>
              <w:rPr>
                <w:rFonts w:ascii="Times New Roman" w:eastAsia="Times New Roman" w:hAnsi="Times New Roman" w:cs="Times New Roman"/>
                <w:b/>
                <w:i/>
                <w:strike w:val="0"/>
                <w:color w:val="000000"/>
                <w:sz w:val="24"/>
                <w:highlight w:val="none"/>
                <w:u w:val="none" w:color="auto"/>
              </w:rPr>
              <w:t xml:space="preserve">/ jew </w:t>
            </w:r>
            <w:r>
              <w:t xml:space="preserve">infografika u </w:t>
            </w:r>
            <w:r>
              <w:rPr>
                <w:rFonts w:ascii="Times New Roman" w:eastAsia="Times New Roman" w:hAnsi="Times New Roman" w:cs="Times New Roman"/>
                <w:b/>
                <w:i/>
                <w:strike w:val="0"/>
                <w:color w:val="000000"/>
                <w:sz w:val="24"/>
                <w:highlight w:val="none"/>
                <w:u w:val="none" w:color="auto"/>
              </w:rPr>
              <w:t xml:space="preserve">/ jew </w:t>
            </w:r>
            <w:r>
              <w:t xml:space="preserve">dimostrazzjonijiet speċifikament imfassla biex jispjegaw il-proċedura tat-teħid tal-marki tas-swaba u x-xbiha tal-wiċċ u għandhom ikunu akkumpanjati minn </w:t>
            </w:r>
            <w:r>
              <w:rPr>
                <w:rFonts w:ascii="Times New Roman" w:eastAsia="Times New Roman" w:hAnsi="Times New Roman" w:cs="Times New Roman"/>
                <w:b/>
                <w:i/>
                <w:strike w:val="0"/>
                <w:color w:val="000000"/>
                <w:sz w:val="24"/>
                <w:highlight w:val="none"/>
                <w:u w:val="none" w:color="auto"/>
              </w:rPr>
              <w:t>adult responsabbli, gwardjan jew rappreżentant fil-ħin</w:t>
            </w:r>
            <w:r>
              <w:t xml:space="preserve"> li jitteħdulhom il-marki tas-swaba' u x-xbiha tal-wiċċ. F’kull ħin l-Istati Membri jridu jirrispettaw id-dinjità u l-integrità fiżika tal-minorenni matul il-proċedura tat-teħid tal-marki tas-swaba' u x-xbiha tal-wiċċ.</w:t>
            </w:r>
          </w:p>
        </w:tc>
        <w:tc>
          <w:tcPr/>
          <w:p>
            <w:pPr>
              <w:pStyle w:val="Normal6"/>
            </w:pPr>
            <w:r>
              <w:t>2.</w:t>
            </w:r>
            <w:r>
              <w:tab/>
            </w:r>
            <w:r>
              <w:t xml:space="preserve">It-teħid tal-marki tas-swaba’ u x-xbiha tal-wiċċ ta’ minorenni mill-età ta' sitt snin għandha ssir b'mod ħafif għat-tfal u b'mod sensittiv minn uffiċjali mħarrġa speċifikament biex jiġbru l-marki tas-swaba’ u x-xbiha tal-wiċċ ta’ minorenni. Il-minorenni għandhom jiġu infurmati b’mod adatt għall-età tagħhom bl-użu ta’ fuljetti u infografika u dimostrazzjonijiet speċifikament imfassla biex jispjegaw il-proċedura tat-teħid tal-marki tas-swaba u x-xbiha tal-wiċċ u għandhom ikunu akkumpanjati minn </w:t>
            </w:r>
            <w:r>
              <w:rPr>
                <w:rFonts w:ascii="Times New Roman" w:eastAsia="Times New Roman" w:hAnsi="Times New Roman" w:cs="Times New Roman"/>
                <w:b/>
                <w:i/>
                <w:strike w:val="0"/>
                <w:color w:val="000000"/>
                <w:sz w:val="24"/>
                <w:highlight w:val="none"/>
                <w:u w:val="none" w:color="auto"/>
              </w:rPr>
              <w:t>kustodju legali matul il-ħin</w:t>
            </w:r>
            <w:r>
              <w:t xml:space="preserve"> li jitteħdulhom il-marki tas-swaba' u x-xbiha tal-wiċċ. F’kull ħin l-Istati Membri jridu jirrispettaw id-dinjità u l-integrità fiżika tal-minorenni matul il-proċedura tat-teħid tal-marki tas-swaba' u x-xbiha tal-wiċċ.</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Kati Piri</w:t>
      </w:r>
      <w:r>
        <w:t xml:space="preserve">, </w:t>
      </w:r>
      <w:r>
        <w:t>Maria Grapini</w:t>
      </w:r>
      <w:r>
        <w:t xml:space="preserve">, </w:t>
      </w:r>
      <w:r>
        <w:t>Juan Fernando López Aguilar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It-teħid tal-marki tas-swaba’ u x-xbiha tal-wiċċ ta’ minorenni mill-età ta' sitt snin għandha ssir b'mod ħafif għat-tfal u b'mod sensittiv minn uffiċjali mħarrġa speċifikament biex jiġbru l-marki tas-swaba’ u x-xbiha tal-wiċċ ta’ minorenni. Il-minorenni għandhom jiġu infurmati b’mod adatt għall-età tagħhom bl-użu ta’ fuljetti u / jew infografika u / jew dimostrazzjonijiet speċifikament imfassla biex jispjegaw il-proċedura tat-teħid tal-marki tas-swaba u x-xbiha tal-wiċċ 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w:t>
            </w:r>
          </w:p>
        </w:tc>
        <w:tc>
          <w:tcPr/>
          <w:p>
            <w:pPr>
              <w:pStyle w:val="Normal6"/>
            </w:pPr>
            <w:r>
              <w:t>2.</w:t>
            </w:r>
            <w:r>
              <w:tab/>
            </w:r>
            <w:r>
              <w:t>It-teħid tal-marki tas-swaba’ u x-xbiha tal-wiċċ ta’ minorenni mill-età ta' sitt snin għandha ssir b'mod ħafif għat-tfal u b'mod sensittiv minn uffiċjali mħarrġa speċifikament biex jiġbru l-marki tas-swaba’ u x-xbiha tal-wiċċ ta’ minorenni</w:t>
            </w:r>
            <w:r>
              <w:rPr>
                <w:rFonts w:ascii="Times New Roman" w:eastAsia="Times New Roman" w:hAnsi="Times New Roman" w:cs="Times New Roman"/>
                <w:b/>
                <w:i/>
                <w:strike w:val="0"/>
                <w:color w:val="000000"/>
                <w:sz w:val="24"/>
                <w:highlight w:val="none"/>
                <w:u w:val="none" w:color="auto"/>
              </w:rPr>
              <w:t xml:space="preserve"> speċjalment għall-iskopijiet stabbiliti fil-punt (ca) tal-Artikolu 1(1)</w:t>
            </w:r>
            <w:r>
              <w:t xml:space="preserve">. Il-minorenni għandhom jiġu infurmati </w:t>
            </w:r>
            <w:r>
              <w:rPr>
                <w:rFonts w:ascii="Times New Roman" w:eastAsia="Times New Roman" w:hAnsi="Times New Roman" w:cs="Times New Roman"/>
                <w:b/>
                <w:i/>
                <w:strike w:val="0"/>
                <w:color w:val="000000"/>
                <w:sz w:val="24"/>
                <w:highlight w:val="none"/>
                <w:u w:val="none" w:color="auto"/>
              </w:rPr>
              <w:t xml:space="preserve">kemm bil-miktub kif ukoll bil-fomm </w:t>
            </w:r>
            <w:r>
              <w:t xml:space="preserve">b’mod adatt għall-età tagħhom bl-użu ta’ fuljetti u / jew infografika u / jew dimostrazzjonijiet speċifikament imfassla biex jispjegaw il-proċedura tat-teħid tal-marki tas-swaba u x-xbiha tal-wiċċ </w:t>
            </w:r>
            <w:r>
              <w:rPr>
                <w:rFonts w:ascii="Times New Roman" w:eastAsia="Times New Roman" w:hAnsi="Times New Roman" w:cs="Times New Roman"/>
                <w:b/>
                <w:i/>
                <w:strike w:val="0"/>
                <w:color w:val="000000"/>
                <w:sz w:val="24"/>
                <w:highlight w:val="none"/>
                <w:u w:val="none" w:color="auto"/>
              </w:rPr>
              <w:t xml:space="preserve">b'lingwa li huma jistgħu jifhmu </w:t>
            </w:r>
            <w:r>
              <w:t xml:space="preserve">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 </w:t>
            </w:r>
            <w:r>
              <w:rPr>
                <w:rFonts w:ascii="Times New Roman" w:eastAsia="Times New Roman" w:hAnsi="Times New Roman" w:cs="Times New Roman"/>
                <w:b/>
                <w:i/>
                <w:strike w:val="0"/>
                <w:color w:val="000000"/>
                <w:sz w:val="24"/>
                <w:highlight w:val="none"/>
                <w:u w:val="none" w:color="auto"/>
              </w:rPr>
              <w:t>Il-koerċizzjoni mentali jew fiżika sabiex jiġi sfurzat it-teħid tal-marki tas-swaba' jew x-xbiha tal-wiċċ minn minorenni jew persuni vulnerabbli m'għandhiex tkun permessa.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Fabio Massimo Castaldo</w:t>
      </w:r>
      <w:r>
        <w:t xml:space="preserve">, </w:t>
      </w:r>
      <w:r>
        <w:t>Laura Ferrara</w:t>
      </w:r>
      <w:r>
        <w:t xml:space="preserve">, </w:t>
      </w:r>
      <w:r>
        <w:t>Fabio Massimo Castaldo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It-teħid tal-marki tas-swaba’ u x-xbiha tal-wiċċ ta’ minorenni mill-età ta' sitt snin għandha ssir b'mod ħafif għat-tfal u b'mod sensittiv minn uffiċjali mħarrġa speċifikament biex jiġbru l-marki tas-swaba’ u x-xbiha tal-wiċċ ta’ minorenni. Il-minorenni għandhom jiġu infurmati b’mod adatt għall-età tagħhom bl-użu ta’ fuljetti u / jew infografika u / jew dimostrazzjonijiet speċifikament imfassla biex jispjegaw il-proċedura tat-teħid tal-marki tas-swaba u x-xbiha tal-wiċċ 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w:t>
            </w:r>
          </w:p>
        </w:tc>
        <w:tc>
          <w:tcPr/>
          <w:p>
            <w:pPr>
              <w:pStyle w:val="Normal6"/>
            </w:pPr>
            <w:r>
              <w:t>2.</w:t>
            </w:r>
            <w:r>
              <w:tab/>
            </w:r>
            <w:r>
              <w:t xml:space="preserve">It-teħid tal-marki tas-swaba' u x-xbiha tal-wiċċ ta' minorenni mill-età ta' sitt snin għandha ssir </w:t>
            </w:r>
            <w:r>
              <w:rPr>
                <w:rFonts w:ascii="Times New Roman" w:eastAsia="Times New Roman" w:hAnsi="Times New Roman" w:cs="Times New Roman"/>
                <w:b/>
                <w:i/>
                <w:strike w:val="0"/>
                <w:color w:val="000000"/>
                <w:sz w:val="24"/>
                <w:highlight w:val="none"/>
                <w:u w:val="none" w:color="auto"/>
              </w:rPr>
              <w:t xml:space="preserve">unikament fl-interess ikbar tal-minorenni u f'konformità mal-prinċipji l-oħra stabbiliti mill-Konvenzjoni tan-NU tal-1989 dwar id-Drittijiet tat-Tfal, </w:t>
            </w:r>
            <w:r>
              <w:t>b'mod ħafif għat-tfal u b'mod sensittiv minn uffiċjali mħarrġa speċifikament biex jiġbru l-marki tas-swaba' u x-xbiha tal-wiċċ ta' minorenni. Il-minorenni għandhom jiġu infurmati b'mod adatt għall-età tagħhom bl-użu ta' fuljetti u / jew infografika u / jew dimostrazzjonijiet speċifikament imfassla biex jispjegaw il-proċedura tat-teħid tal-marki tas-swaba</w:t>
            </w:r>
            <w:r>
              <w:rPr>
                <w:rFonts w:ascii="Times New Roman" w:eastAsia="Times New Roman" w:hAnsi="Times New Roman" w:cs="Times New Roman"/>
                <w:b/>
                <w:i/>
                <w:strike w:val="0"/>
                <w:color w:val="000000"/>
                <w:sz w:val="24"/>
                <w:highlight w:val="none"/>
                <w:u w:val="none" w:color="auto"/>
              </w:rPr>
              <w:t>'</w:t>
            </w:r>
            <w:r>
              <w:t xml:space="preserve"> u x-xbiha tal-wiċċ</w:t>
            </w:r>
            <w:r>
              <w:rPr>
                <w:rFonts w:ascii="Times New Roman" w:eastAsia="Times New Roman" w:hAnsi="Times New Roman" w:cs="Times New Roman"/>
                <w:b/>
                <w:i/>
                <w:strike w:val="0"/>
                <w:color w:val="000000"/>
                <w:sz w:val="24"/>
                <w:highlight w:val="none"/>
                <w:u w:val="none" w:color="auto"/>
              </w:rPr>
              <w:t xml:space="preserve">; </w:t>
            </w:r>
            <w:r>
              <w:t>u għandhom ikunu akkumpanjati minn adult responsabbli, gwardjan jew rappreżentant fil-ħin li jitteħdulhom il-marki tas-swaba' u x-xbiha tal-wiċċ. F'kull ħin l-Istati Membri jridu jirrispettaw id-dinjità u l-integrità fiżika</w:t>
            </w:r>
            <w:r>
              <w:rPr>
                <w:rFonts w:ascii="Times New Roman" w:eastAsia="Times New Roman" w:hAnsi="Times New Roman" w:cs="Times New Roman"/>
                <w:b/>
                <w:i/>
                <w:strike w:val="0"/>
                <w:color w:val="000000"/>
                <w:sz w:val="24"/>
                <w:highlight w:val="none"/>
                <w:u w:val="none" w:color="auto"/>
              </w:rPr>
              <w:t xml:space="preserve"> u psikoloġika</w:t>
            </w:r>
            <w:r>
              <w:t xml:space="preserve"> tal-minorenni matul il-proċedura tat-teħid tal-marki tas-swaba' u x-xbiha tal-wiċċ.</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It-teħid tal-marki tas-swaba’ u x-xbiha tal-wiċċ ta’ minorenni mill-età ta' sitt snin għandha ssir b'mod ħafif għat-tfal u b'mod sensittiv minn uffiċjali mħarrġa speċifikament biex jiġbru l-marki tas-swaba’ u x-xbiha tal-wiċċ ta’ minorenni. Il-minorenni għandhom jiġu infurmati b’mod adatt għall-età tagħhom bl-użu ta’ fuljetti u / jew infografika u / jew dimostrazzjonijiet speċifikament imfassla biex jispjegaw il-proċedura tat-teħid tal-marki tas-swaba u x-xbiha tal-wiċċ 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w:t>
            </w:r>
          </w:p>
        </w:tc>
        <w:tc>
          <w:tcPr/>
          <w:p>
            <w:pPr>
              <w:pStyle w:val="Normal6"/>
            </w:pPr>
            <w:r>
              <w:t>2.</w:t>
            </w:r>
            <w:r>
              <w:tab/>
            </w:r>
            <w:r>
              <w:t>It-teħid tal-marki tas-swaba’ u x-xbiha tal-wiċċ ta’ minorenni mill-età ta' sitt snin għandha ssir b'mod ħafif għat-tfal u b'mod sensittiv minn uffiċjali mħarrġa speċifikament biex jiġbru l-marki tas-swaba’ u x-xbiha tal-wiċċ ta’ minorenni</w:t>
            </w:r>
            <w:r>
              <w:rPr>
                <w:rFonts w:ascii="Times New Roman" w:eastAsia="Times New Roman" w:hAnsi="Times New Roman" w:cs="Times New Roman"/>
                <w:b/>
                <w:i/>
                <w:strike w:val="0"/>
                <w:color w:val="000000"/>
                <w:sz w:val="24"/>
                <w:highlight w:val="none"/>
                <w:u w:val="none" w:color="auto"/>
              </w:rPr>
              <w:t> u biss għall-iskopijiet tal-punti (a) u (ca) tal-Artikolu 1(1)</w:t>
            </w:r>
            <w:r>
              <w:t>. Il-minorenni għandhom jiġu infurmati b’mod adatt għall-età tagħhom bl-użu ta’ fuljetti u / jew infografika u / jew dimostrazzjonijiet speċifikament imfassla biex jispjegaw il-proċedura tat-teħid tal-marki tas-swaba u x-xbiha tal-wiċċ 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Hilde Vautmans</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It-teħid tal-marki tas-swaba’ u x-xbiha tal-wiċċ ta’ minorenni mill-età ta' sitt snin </w:t>
            </w:r>
            <w:r>
              <w:rPr>
                <w:rFonts w:ascii="Times New Roman" w:eastAsia="Times New Roman" w:hAnsi="Times New Roman" w:cs="Times New Roman"/>
                <w:b/>
                <w:i/>
                <w:strike w:val="0"/>
                <w:color w:val="000000"/>
                <w:sz w:val="24"/>
                <w:highlight w:val="none"/>
                <w:u w:val="none" w:color="auto"/>
              </w:rPr>
              <w:t>għandha ssir b'mod ħafif</w:t>
            </w:r>
            <w:r>
              <w:t xml:space="preserve"> għat-tfal u </w:t>
            </w:r>
            <w:r>
              <w:rPr>
                <w:rFonts w:ascii="Times New Roman" w:eastAsia="Times New Roman" w:hAnsi="Times New Roman" w:cs="Times New Roman"/>
                <w:b/>
                <w:i/>
                <w:strike w:val="0"/>
                <w:color w:val="000000"/>
                <w:sz w:val="24"/>
                <w:highlight w:val="none"/>
                <w:u w:val="none" w:color="auto"/>
              </w:rPr>
              <w:t>b'mod sensittiv</w:t>
            </w:r>
            <w:r>
              <w:t xml:space="preserve"> minn uffiċjali mħarrġa speċifikament biex jiġbru l-marki tas-swaba’ u x-xbiha tal-wiċċ ta’ minorenni. Il-minorenni għandhom jiġu infurmati b’mod adatt għall-età tagħhom bl-użu ta’ fuljetti </w:t>
            </w:r>
            <w:r>
              <w:rPr>
                <w:rFonts w:ascii="Times New Roman" w:eastAsia="Times New Roman" w:hAnsi="Times New Roman" w:cs="Times New Roman"/>
                <w:b/>
                <w:i/>
                <w:strike w:val="0"/>
                <w:color w:val="000000"/>
                <w:sz w:val="24"/>
                <w:highlight w:val="none"/>
                <w:u w:val="none" w:color="auto"/>
              </w:rPr>
              <w:t>u / jew</w:t>
            </w:r>
            <w:r>
              <w:t xml:space="preserve"> infografika </w:t>
            </w:r>
            <w:r>
              <w:rPr>
                <w:rFonts w:ascii="Times New Roman" w:eastAsia="Times New Roman" w:hAnsi="Times New Roman" w:cs="Times New Roman"/>
                <w:b/>
                <w:i/>
                <w:strike w:val="0"/>
                <w:color w:val="000000"/>
                <w:sz w:val="24"/>
                <w:highlight w:val="none"/>
                <w:u w:val="none" w:color="auto"/>
              </w:rPr>
              <w:t>u / jew</w:t>
            </w:r>
            <w:r>
              <w:t xml:space="preserve"> dimostrazzjonijiet speċifikament imfassla biex jispjegaw il-proċedura tat-teħid tal-marki tas-swaba u x-xbiha tal-wiċċ 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w:t>
            </w:r>
          </w:p>
        </w:tc>
        <w:tc>
          <w:tcPr/>
          <w:p>
            <w:pPr>
              <w:pStyle w:val="Normal6"/>
            </w:pPr>
            <w:r>
              <w:t>2.</w:t>
            </w:r>
            <w:r>
              <w:tab/>
            </w:r>
            <w:r>
              <w:t xml:space="preserve">It-teħid tal-marki tas-swaba’ u x-xbiha tal-wiċċ ta’ minorenni mill-età ta' sitt snin </w:t>
            </w:r>
            <w:r>
              <w:rPr>
                <w:rFonts w:ascii="Times New Roman" w:eastAsia="Times New Roman" w:hAnsi="Times New Roman" w:cs="Times New Roman"/>
                <w:b/>
                <w:i/>
                <w:strike w:val="0"/>
                <w:color w:val="000000"/>
                <w:sz w:val="24"/>
                <w:highlight w:val="none"/>
                <w:u w:val="none" w:color="auto"/>
              </w:rPr>
              <w:t>għandu jsir b'mod adatt</w:t>
            </w:r>
            <w:r>
              <w:t xml:space="preserve"> għat-tfal u </w:t>
            </w:r>
            <w:r>
              <w:rPr>
                <w:rFonts w:ascii="Times New Roman" w:eastAsia="Times New Roman" w:hAnsi="Times New Roman" w:cs="Times New Roman"/>
                <w:b/>
                <w:i/>
                <w:strike w:val="0"/>
                <w:color w:val="000000"/>
                <w:sz w:val="24"/>
                <w:highlight w:val="none"/>
                <w:u w:val="none" w:color="auto"/>
              </w:rPr>
              <w:t>b'kunsiderazzjoni tas-sensittività u l-ġeneru tagħhom,</w:t>
            </w:r>
            <w:r>
              <w:t xml:space="preserve"> minn uffiċjali mħarrġa speċifikament biex jiġbru l-marki tas-swaba’ u x-xbiha tal-wiċċ ta’ minorenni. Il-minorenni għandhom jiġu infurmati </w:t>
            </w:r>
            <w:r>
              <w:rPr>
                <w:rFonts w:ascii="Times New Roman" w:eastAsia="Times New Roman" w:hAnsi="Times New Roman" w:cs="Times New Roman"/>
                <w:b/>
                <w:i/>
                <w:strike w:val="0"/>
                <w:color w:val="000000"/>
                <w:sz w:val="24"/>
                <w:highlight w:val="none"/>
                <w:u w:val="none" w:color="auto"/>
              </w:rPr>
              <w:t xml:space="preserve">oralment, b'lingwa li jistgħu jifhmu, </w:t>
            </w:r>
            <w:r>
              <w:t xml:space="preserve">b’mod adatt għall-età tagħhom bl-użu ta’ fuljetti </w:t>
            </w:r>
            <w:r>
              <w:rPr>
                <w:rFonts w:ascii="Times New Roman" w:eastAsia="Times New Roman" w:hAnsi="Times New Roman" w:cs="Times New Roman"/>
                <w:b/>
                <w:i/>
                <w:strike w:val="0"/>
                <w:color w:val="000000"/>
                <w:sz w:val="24"/>
                <w:highlight w:val="none"/>
                <w:u w:val="none" w:color="auto"/>
              </w:rPr>
              <w:t>u/jew</w:t>
            </w:r>
            <w:r>
              <w:t xml:space="preserve"> infografika </w:t>
            </w:r>
            <w:r>
              <w:rPr>
                <w:rFonts w:ascii="Times New Roman" w:eastAsia="Times New Roman" w:hAnsi="Times New Roman" w:cs="Times New Roman"/>
                <w:b/>
                <w:i/>
                <w:strike w:val="0"/>
                <w:color w:val="000000"/>
                <w:sz w:val="24"/>
                <w:highlight w:val="none"/>
                <w:u w:val="none" w:color="auto"/>
              </w:rPr>
              <w:t>u/jew</w:t>
            </w:r>
            <w:r>
              <w:t xml:space="preserve"> dimostrazzjonijiet speċifikament imfassla biex jispjegaw il-proċedura tat-teħid tal-marki tas-swaba u x-xbiha tal-wiċċ 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 Maria Corazza Bildt</w:t>
      </w:r>
      <w:r>
        <w:t xml:space="preserve">, </w:t>
      </w:r>
      <w:r>
        <w:t>Damiano Zoffoli</w:t>
      </w:r>
      <w:r>
        <w:t xml:space="preserve">, </w:t>
      </w:r>
      <w:r>
        <w:t>Barbara Matera</w:t>
      </w:r>
      <w:r>
        <w:t xml:space="preserve">, </w:t>
      </w:r>
      <w:r>
        <w:t>Petras Auštrevičius</w:t>
      </w:r>
      <w:r>
        <w:t xml:space="preserve">, </w:t>
      </w:r>
      <w:r>
        <w:t>Beatriz Becerra Basterrechea</w:t>
      </w:r>
      <w:r>
        <w:t xml:space="preserve">, </w:t>
      </w:r>
      <w:r>
        <w:t>Carlos Coelho</w:t>
      </w:r>
      <w:r>
        <w:t xml:space="preserve">, </w:t>
      </w:r>
      <w:r>
        <w:t>Hilde Vautmans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It-teħid tal-marki tas-swaba’ u x-xbiha tal-wiċċ ta’ minorenni mill-età ta' sitt snin għandha ssir b'mod ħafif għat-tfal u b'mod sensittiv minn uffiċjali mħarrġa speċifikament biex jiġbru l-marki tas-swaba’ u x-xbiha tal-wiċċ ta’ minorenni. Il-minorenni għandhom jiġu infurmati b’mod adatt għall-età tagħhom bl-użu ta’ fuljetti u / jew infografika u / jew dimostrazzjonijiet speċifikament imfassla biex jispjegaw il-proċedura tat-teħid tal-marki tas-swaba u x-xbiha tal-wiċċ 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w:t>
            </w:r>
          </w:p>
        </w:tc>
        <w:tc>
          <w:tcPr/>
          <w:p>
            <w:pPr>
              <w:pStyle w:val="Normal6"/>
            </w:pPr>
            <w:r>
              <w:t>2.</w:t>
            </w:r>
            <w:r>
              <w:tab/>
            </w:r>
            <w:r>
              <w:t xml:space="preserve">It-teħid tal-marki tas-swaba’ u x-xbiha tal-wiċċ ta’ minorenni mill-età ta' sitt snin għandha ssir b'mod ħafif għat-tfal u b'mod sensittiv minn uffiċjali mħarrġa speċifikament biex jiġbru l-marki tas-swaba’ u x-xbiha tal-wiċċ ta’ minorenni. Il-minorenni għandhom jiġu infurmati b’mod adatt għall-età tagħhom bl-użu ta’ fuljetti u / jew infografika u / jew dimostrazzjonijiet speċifikament imfassla biex jispjegaw il-proċedura tat-teħid tal-marki tas-swaba u x-xbiha tal-wiċċ </w:t>
            </w:r>
            <w:r>
              <w:rPr>
                <w:rFonts w:ascii="Times New Roman" w:eastAsia="Times New Roman" w:hAnsi="Times New Roman" w:cs="Times New Roman"/>
                <w:b/>
                <w:i/>
                <w:strike w:val="0"/>
                <w:color w:val="000000"/>
                <w:sz w:val="24"/>
                <w:highlight w:val="none"/>
                <w:u w:val="none" w:color="auto"/>
              </w:rPr>
              <w:t xml:space="preserve">b'lingwa li huma jistgħu jifhmu </w:t>
            </w:r>
            <w:r>
              <w:t>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It-teħid tal-marki tas-swaba’ u x-xbiha tal-wiċċ ta’ minorenni mill-età ta' sitt snin għandha ssir b'mod ħafif għat-tfal u b'mod sensittiv minn uffiċjali mħarrġa speċifikament biex jiġbru l-marki tas-swaba’ u x-xbiha tal-wiċċ ta’ minorenni. Il-minorenni għandhom jiġu infurmati b’mod adatt għall-età tagħhom bl-użu ta’ fuljetti u / jew infografika u / jew dimostrazzjonijiet speċifikament imfassla biex jispjegaw il-proċedura tat-teħid tal-marki tas-swaba u x-xbiha tal-wiċċ 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w:t>
            </w:r>
          </w:p>
        </w:tc>
        <w:tc>
          <w:tcPr/>
          <w:p>
            <w:pPr>
              <w:pStyle w:val="Normal6"/>
            </w:pPr>
            <w:r>
              <w:t>2.</w:t>
            </w:r>
            <w:r>
              <w:tab/>
            </w:r>
            <w:r>
              <w:t xml:space="preserve">It-teħid tal-marki tas-swaba’ u x-xbiha tal-wiċċ ta’ minorenni mill-età ta' sitt snin għandha ssir b'mod ħafif għat-tfal u b'mod sensittiv minn uffiċjali mħarrġa speċifikament biex jiġbru l-marki tas-swaba’ u x-xbiha tal-wiċċ ta’ minorenni. Il-minorenni għandhom jiġu infurmati </w:t>
            </w:r>
            <w:r>
              <w:rPr>
                <w:rFonts w:ascii="Times New Roman" w:eastAsia="Times New Roman" w:hAnsi="Times New Roman" w:cs="Times New Roman"/>
                <w:b/>
                <w:i/>
                <w:strike w:val="0"/>
                <w:color w:val="000000"/>
                <w:sz w:val="24"/>
                <w:highlight w:val="none"/>
                <w:u w:val="none" w:color="auto"/>
              </w:rPr>
              <w:t xml:space="preserve">jew bil-miktub, jew bil-fomm jew bit-tnejn, </w:t>
            </w:r>
            <w:r>
              <w:t>b’mod adatt għall-età tagħhom bl-użu ta’ fuljetti u / jew infografika u / jew dimostrazzjonijiet speċifikament imfassla biex jispjegaw il-proċedura tat-teħid tal-marki tas-swaba u x-xbiha tal-wiċċ 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Christine Revault D'Allonnes Bonnefoy</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It-teħid tal-marki tas-swaba’ u x-xbiha tal-wiċċ ta’ minorenni mill-età ta' </w:t>
            </w:r>
            <w:r>
              <w:rPr>
                <w:rFonts w:ascii="Times New Roman" w:eastAsia="Times New Roman" w:hAnsi="Times New Roman" w:cs="Times New Roman"/>
                <w:b/>
                <w:i/>
                <w:strike w:val="0"/>
                <w:color w:val="000000"/>
                <w:sz w:val="24"/>
                <w:highlight w:val="none"/>
                <w:u w:val="none" w:color="auto"/>
              </w:rPr>
              <w:t>sitt snin</w:t>
            </w:r>
            <w:r>
              <w:t xml:space="preserve"> għandha ssir b'mod ħafif għat-tfal u b'mod sensittiv minn uffiċjali mħarrġa speċifikament biex jiġbru l-marki tas-swaba’ u x-xbiha tal-wiċċ ta’ minorenni. Il-minorenni għandhom jiġu infurmati b’mod adatt għall-età tagħhom bl-użu ta’ fuljetti u / jew infografika u / jew dimostrazzjonijiet speċifikament imfassla biex jispjegaw il-proċedura tat-teħid tal-marki tas-swaba u x-xbiha tal-wiċċ 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w:t>
            </w:r>
          </w:p>
        </w:tc>
        <w:tc>
          <w:tcPr/>
          <w:p>
            <w:pPr>
              <w:pStyle w:val="Normal6"/>
            </w:pPr>
            <w:r>
              <w:t>2.</w:t>
            </w:r>
            <w:r>
              <w:tab/>
            </w:r>
            <w:r>
              <w:t xml:space="preserve">It-teħid tal-marki tas-swaba’ u x-xbiha tal-wiċċ ta’ minorenni mill-età ta' </w:t>
            </w:r>
            <w:r>
              <w:rPr>
                <w:rFonts w:ascii="Times New Roman" w:eastAsia="Times New Roman" w:hAnsi="Times New Roman" w:cs="Times New Roman"/>
                <w:b/>
                <w:i/>
                <w:strike w:val="0"/>
                <w:color w:val="000000"/>
                <w:sz w:val="24"/>
                <w:highlight w:val="none"/>
                <w:u w:val="none" w:color="auto"/>
              </w:rPr>
              <w:t>14-il sena</w:t>
            </w:r>
            <w:r>
              <w:t xml:space="preserve"> għandha ssir b'mod ħafif għat-tfal u b'mod sensittiv minn uffiċjali mħarrġa speċifikament biex jiġbru l-marki tas-swaba’ u x-xbiha tal-wiċċ ta’ minorenni. Il-minorenni għandhom jiġu infurmati b’mod adatt għall-età tagħhom bl-użu ta’ fuljetti u / jew infografika u / jew dimostrazzjonijiet speċifikament imfassla biex jispjegaw il-proċedura tat-teħid tal-marki tas-swaba u x-xbiha tal-wiċċ u għandhom ikunu akkumpanjati minn adult responsabbli, gwardjan jew rappreżentant fil-ħin li jitteħdulhom il-marki tas-swaba' u x-xbiha tal-wiċċ. F’kull ħin l-Istati Membri jridu jirrispettaw id-dinjità u l-integrità fiżika tal-minorenni matul il-proċedura tat-teħid tal-marki tas-swaba' u x-xbiha tal-wiċċ.</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The lowering of age from 14 to 6 years is not justified and not proportionate. It is questionable to consider that a 6-years child is in a position to fully understand such a process as well as the consequences on his/her private life. If some member states already collect data from minors (younger than 14years old),it does not make it more acceptable in an EU regulation. The Commission considers it would help with the identification of unaccompanied minors and with the establishment of family links but it does not clearly explain why and how. Moreover,the guarantees to protect the interest of the child are insufficient.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rPr>
                <w:rFonts w:ascii="Times New Roman" w:eastAsia="Times New Roman" w:hAnsi="Times New Roman" w:cs="Times New Roman"/>
                <w:b/>
                <w:i/>
                <w:strike w:val="0"/>
                <w:color w:val="000000"/>
                <w:sz w:val="24"/>
                <w:highlight w:val="none"/>
                <w:u w:val="none" w:color="auto"/>
              </w:rPr>
              <w:t>L-Istati Membri jistgħu jintroduċu sanzjonijiet amministrattivi, skont il-liġi nazzjonali tagħhom, għal</w:t>
            </w:r>
            <w:r>
              <w:t xml:space="preserve"> nuqqas ta’ konformità mal-proċess tal-marki tas-swaba'</w:t>
            </w:r>
            <w:r>
              <w:rPr>
                <w:rFonts w:ascii="Times New Roman" w:eastAsia="Times New Roman" w:hAnsi="Times New Roman" w:cs="Times New Roman"/>
                <w:b/>
                <w:i/>
                <w:strike w:val="0"/>
                <w:color w:val="000000"/>
                <w:sz w:val="24"/>
                <w:highlight w:val="none"/>
                <w:u w:val="none" w:color="auto"/>
              </w:rPr>
              <w:t xml:space="preserve"> u t-teħid tax-xbiha tal-wiċċ</w:t>
            </w:r>
            <w:r>
              <w:t xml:space="preserve"> skont il-paragrafu 1 ta' dan l-Artikolu</w:t>
            </w:r>
            <w:r>
              <w:rPr>
                <w:rFonts w:ascii="Times New Roman" w:eastAsia="Times New Roman" w:hAnsi="Times New Roman" w:cs="Times New Roman"/>
                <w:b/>
                <w:i/>
                <w:strike w:val="0"/>
                <w:color w:val="000000"/>
                <w:sz w:val="24"/>
                <w:highlight w:val="none"/>
                <w:u w:val="none" w:color="auto"/>
              </w:rPr>
              <w:t>. Dawn is-sanzjonijiet</w:t>
            </w:r>
            <w:r>
              <w:t xml:space="preserve"> għandhom </w:t>
            </w:r>
            <w:r>
              <w:rPr>
                <w:rFonts w:ascii="Times New Roman" w:eastAsia="Times New Roman" w:hAnsi="Times New Roman" w:cs="Times New Roman"/>
                <w:b/>
                <w:i/>
                <w:strike w:val="0"/>
                <w:color w:val="000000"/>
                <w:sz w:val="24"/>
                <w:highlight w:val="none"/>
                <w:u w:val="none" w:color="auto"/>
              </w:rPr>
              <w:t>ikunu effettivi, proporzjonati u disważivi. F’dan il-kuntest, id-detenzjoni għandha tintuża biss bħala l-aħħar alternattiva sabiex tiġi determinata jew verifikata l-identità ta' ċittadin ta' pajjiż terz</w:t>
            </w:r>
            <w:r>
              <w:t>.</w:t>
            </w:r>
          </w:p>
        </w:tc>
        <w:tc>
          <w:tcPr/>
          <w:p>
            <w:pPr>
              <w:pStyle w:val="Normal6"/>
            </w:pPr>
            <w:r>
              <w:t>3.</w:t>
            </w:r>
            <w:r>
              <w:tab/>
            </w:r>
            <w:r>
              <w:rPr>
                <w:rFonts w:ascii="Times New Roman" w:eastAsia="Times New Roman" w:hAnsi="Times New Roman" w:cs="Times New Roman"/>
                <w:b/>
                <w:i/>
                <w:strike w:val="0"/>
                <w:color w:val="000000"/>
                <w:sz w:val="24"/>
                <w:highlight w:val="none"/>
                <w:u w:val="none" w:color="auto"/>
              </w:rPr>
              <w:t>F'każijiet ta'</w:t>
            </w:r>
            <w:r>
              <w:t xml:space="preserve"> nuqqas ta' konformità mal-proċess tal-marki tas-swaba' skont il-paragrafu 1 ta' dan l-Artikolu</w:t>
            </w:r>
            <w:r>
              <w:rPr>
                <w:rFonts w:ascii="Times New Roman" w:eastAsia="Times New Roman" w:hAnsi="Times New Roman" w:cs="Times New Roman"/>
                <w:b/>
                <w:i/>
                <w:strike w:val="0"/>
                <w:color w:val="000000"/>
                <w:sz w:val="24"/>
                <w:highlight w:val="none"/>
                <w:u w:val="none" w:color="auto"/>
              </w:rPr>
              <w:t>, l-Istati Membri</w:t>
            </w:r>
            <w:r>
              <w:t xml:space="preserve"> għandhom </w:t>
            </w:r>
            <w:r>
              <w:rPr>
                <w:rFonts w:ascii="Times New Roman" w:eastAsia="Times New Roman" w:hAnsi="Times New Roman" w:cs="Times New Roman"/>
                <w:b/>
                <w:i/>
                <w:strike w:val="0"/>
                <w:color w:val="000000"/>
                <w:sz w:val="24"/>
                <w:highlight w:val="none"/>
                <w:u w:val="none" w:color="auto"/>
              </w:rPr>
              <w:t>joffru aktar konsulenza u informazzjoni rigward il-proċedura tal-marki tas-swaba', id-drittijiet tal-persuna kkonċernata u l-implikazzjonijiet possibbli ta' nuqqas ta' konformità</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6).Asylum seekers must provide fingerprints for Eurodac. As FRA pointed out in its 2015 Focus paper on ‘Fundamental rights implications of the obligation to provide fingerprints for Eurodac’, compliance with this obligation should primarily be secured through effective information and counselling. This can either be provided individually and/or through outreach actions targeting migrant communities, such as focus group discussions, information sessions and similar initiatives.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L-Istati Membri </w:t>
            </w:r>
            <w:r>
              <w:rPr>
                <w:rFonts w:ascii="Times New Roman" w:eastAsia="Times New Roman" w:hAnsi="Times New Roman" w:cs="Times New Roman"/>
                <w:b/>
                <w:i/>
                <w:strike w:val="0"/>
                <w:color w:val="000000"/>
                <w:sz w:val="24"/>
                <w:highlight w:val="none"/>
                <w:u w:val="none" w:color="auto"/>
              </w:rPr>
              <w:t>jistgħu</w:t>
            </w:r>
            <w:r>
              <w:t xml:space="preserve"> jintroduċu sanzjonijiet amministrattivi</w:t>
            </w:r>
            <w:r>
              <w:rPr>
                <w:rFonts w:ascii="Times New Roman" w:eastAsia="Times New Roman" w:hAnsi="Times New Roman" w:cs="Times New Roman"/>
                <w:b/>
                <w:i/>
                <w:strike w:val="0"/>
                <w:color w:val="000000"/>
                <w:sz w:val="24"/>
                <w:highlight w:val="none"/>
                <w:u w:val="none" w:color="auto"/>
              </w:rPr>
              <w:t>, skont il-liġi nazzjonali tagħhom,</w:t>
            </w:r>
            <w:r>
              <w:t xml:space="preserve"> għal nuqqas ta’ konformità mal-proċess tal-marki tas-swaba' u t-teħid tax-xbiha tal-wiċċ skont il-paragrafu 1 ta' dan l-Artikolu.</w:t>
            </w:r>
            <w:r>
              <w:rPr>
                <w:rFonts w:ascii="Times New Roman" w:eastAsia="Times New Roman" w:hAnsi="Times New Roman" w:cs="Times New Roman"/>
                <w:b/>
                <w:i/>
                <w:strike w:val="0"/>
                <w:color w:val="000000"/>
                <w:sz w:val="24"/>
                <w:highlight w:val="none"/>
                <w:u w:val="none" w:color="auto"/>
              </w:rPr>
              <w:t xml:space="preserve"> Dawn is-sanzjonijiet għandhom ikunu effettivi, proporzjonati u disważivi. F’dan il-kuntest, id-detenzjoni għandha tintuża biss bħala l-aħħar alternattiva sabiex tiġi determinata jew verifikata l-identità ta' ċittadin ta' pajjiż terz.</w:t>
            </w:r>
          </w:p>
        </w:tc>
        <w:tc>
          <w:tcPr/>
          <w:p>
            <w:pPr>
              <w:pStyle w:val="Normal6"/>
            </w:pPr>
            <w:r>
              <w:t>3.</w:t>
            </w:r>
            <w:r>
              <w:tab/>
            </w:r>
            <w:r>
              <w:t xml:space="preserve">L-Istati Membri </w:t>
            </w:r>
            <w:r>
              <w:rPr>
                <w:rFonts w:ascii="Times New Roman" w:eastAsia="Times New Roman" w:hAnsi="Times New Roman" w:cs="Times New Roman"/>
                <w:b/>
                <w:i/>
                <w:strike w:val="0"/>
                <w:color w:val="000000"/>
                <w:sz w:val="24"/>
                <w:highlight w:val="none"/>
                <w:u w:val="none" w:color="auto"/>
              </w:rPr>
              <w:t>m'għandhomx</w:t>
            </w:r>
            <w:r>
              <w:t xml:space="preserve"> jintroduċu sanzjonijiet amministrattivi għal nuqqas ta' konformità mal-proċess tal-marki tas-swaba' u t-teħid tax-xbiha tal-wiċċ skont il-paragrafu 1 ta' dan l-Artikolu.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rPr>
                <w:rFonts w:ascii="Times New Roman" w:eastAsia="Times New Roman" w:hAnsi="Times New Roman" w:cs="Times New Roman"/>
                <w:b/>
                <w:i/>
                <w:strike w:val="0"/>
                <w:color w:val="000000"/>
                <w:sz w:val="24"/>
                <w:highlight w:val="none"/>
                <w:u w:val="none" w:color="auto"/>
              </w:rPr>
              <w:t>L-Istati</w:t>
            </w:r>
            <w:r>
              <w:t xml:space="preserve"> Membri </w:t>
            </w:r>
            <w:r>
              <w:rPr>
                <w:rFonts w:ascii="Times New Roman" w:eastAsia="Times New Roman" w:hAnsi="Times New Roman" w:cs="Times New Roman"/>
                <w:b/>
                <w:i/>
                <w:strike w:val="0"/>
                <w:color w:val="000000"/>
                <w:sz w:val="24"/>
                <w:highlight w:val="none"/>
                <w:u w:val="none" w:color="auto"/>
              </w:rPr>
              <w:t>jistgħu</w:t>
            </w:r>
            <w:r>
              <w:t xml:space="preserve"> jintroduċu sanzjonijiet amministrattivi, skont il-liġi nazzjonali tagħhom, għal nuqqas ta’ konformità mal-proċess </w:t>
            </w:r>
            <w:r>
              <w:rPr>
                <w:rFonts w:ascii="Times New Roman" w:eastAsia="Times New Roman" w:hAnsi="Times New Roman" w:cs="Times New Roman"/>
                <w:b/>
                <w:i/>
                <w:strike w:val="0"/>
                <w:color w:val="000000"/>
                <w:sz w:val="24"/>
                <w:highlight w:val="none"/>
                <w:u w:val="none" w:color="auto"/>
              </w:rPr>
              <w:t>tal-marki tas-swaba' u t-teħid tax-xbiha tal-wiċċ skont il-paragrafu 1 ta' dan l-Artikolu. Dawn</w:t>
            </w:r>
            <w:r>
              <w:t xml:space="preserve"> </w:t>
            </w:r>
            <w:r>
              <w:rPr>
                <w:rFonts w:ascii="Times New Roman" w:eastAsia="Times New Roman" w:hAnsi="Times New Roman" w:cs="Times New Roman"/>
                <w:b/>
                <w:i/>
                <w:strike w:val="0"/>
                <w:color w:val="000000"/>
                <w:sz w:val="24"/>
                <w:highlight w:val="none"/>
                <w:u w:val="none" w:color="auto"/>
              </w:rPr>
              <w:t>is-sanzjonijiet</w:t>
            </w:r>
            <w:r>
              <w:t xml:space="preserve"> għandhom ikunu effettivi, proporzjonati u disważivi. F’dan il-kuntest, id-detenzjoni għandha tintuża biss bħala l-aħħar alternattiva sabiex tiġi determinata jew verifikata l-identità ta' ċittadin ta' pajjiż terz.</w:t>
            </w:r>
          </w:p>
        </w:tc>
        <w:tc>
          <w:tcPr/>
          <w:p>
            <w:pPr>
              <w:pStyle w:val="Normal6"/>
            </w:pPr>
            <w:r>
              <w:t>3.</w:t>
            </w:r>
            <w:r>
              <w:tab/>
            </w:r>
            <w:r>
              <w:rPr>
                <w:rFonts w:ascii="Times New Roman" w:eastAsia="Times New Roman" w:hAnsi="Times New Roman" w:cs="Times New Roman"/>
                <w:b/>
                <w:i/>
                <w:strike w:val="0"/>
                <w:color w:val="000000"/>
                <w:sz w:val="24"/>
                <w:highlight w:val="none"/>
                <w:u w:val="none" w:color="auto"/>
              </w:rPr>
              <w:t xml:space="preserve">Għall-finijiet li tinkiseb reġistrazzjoni sħiħa tal-persuni kollha skont il-paragrafu 1, </w:t>
            </w:r>
            <w:r>
              <w:rPr>
                <w:rFonts w:ascii="Times New Roman" w:eastAsia="Times New Roman" w:hAnsi="Times New Roman" w:cs="Times New Roman"/>
                <w:b/>
                <w:i/>
                <w:strike w:val="0"/>
                <w:color w:val="000000"/>
                <w:sz w:val="24"/>
                <w:highlight w:val="none"/>
                <w:u w:val="none" w:color="auto"/>
              </w:rPr>
              <w:t>l-Istati</w:t>
            </w:r>
            <w:r>
              <w:t xml:space="preserve"> Membri </w:t>
            </w:r>
            <w:r>
              <w:rPr>
                <w:rFonts w:ascii="Times New Roman" w:eastAsia="Times New Roman" w:hAnsi="Times New Roman" w:cs="Times New Roman"/>
                <w:b/>
                <w:i/>
                <w:strike w:val="0"/>
                <w:color w:val="000000"/>
                <w:sz w:val="24"/>
                <w:highlight w:val="none"/>
                <w:u w:val="none" w:color="auto"/>
              </w:rPr>
              <w:t>għandhom</w:t>
            </w:r>
            <w:r>
              <w:t xml:space="preserve"> jintroduċu sanzjonijiet amministrattivi, skont il-liġi nazzjonali tagħhom, għal nuqqas ta’ konformità mal-proċess </w:t>
            </w:r>
            <w:r>
              <w:rPr>
                <w:rFonts w:ascii="Times New Roman" w:eastAsia="Times New Roman" w:hAnsi="Times New Roman" w:cs="Times New Roman"/>
                <w:b/>
                <w:i/>
                <w:strike w:val="0"/>
                <w:color w:val="000000"/>
                <w:sz w:val="24"/>
                <w:highlight w:val="none"/>
                <w:u w:val="none" w:color="auto"/>
              </w:rPr>
              <w:t>tat-teħid tad-data bijometrika. L-Istati Membri għandhom jiżguraw li ġiet ipprovduta opportunità ta' konsulenza lil persuna sabiex dik il-persuna tkun konvinta tikkoopera mal-proċedura. Is-sanzjonijiet</w:t>
            </w:r>
            <w:r>
              <w:rPr>
                <w:rFonts w:ascii="Times New Roman" w:eastAsia="Times New Roman" w:hAnsi="Times New Roman" w:cs="Times New Roman"/>
                <w:b/>
                <w:i/>
                <w:strike w:val="0"/>
                <w:color w:val="000000"/>
                <w:sz w:val="24"/>
                <w:highlight w:val="none"/>
                <w:u w:val="none" w:color="auto"/>
              </w:rPr>
              <w:t>, inkluża l-possibbiltà ta' użu ta' koerċizzjoni,</w:t>
            </w:r>
            <w:r>
              <w:t xml:space="preserve"> għandhom ikunu effettivi, proporzjonati u disważivi. F’dan il-kuntest, id-detenzjoni għandha tintuża biss bħala l-aħħar alternattiva sabiex tiġi determinata jew verifikata l-identità ta' ċittadin ta' pajjiż terz.</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Enfasi fuq rata ta' reġistrazzjoni ta' 100 %.</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Josef Weidenholzer</w:t>
      </w:r>
      <w:r>
        <w:t xml:space="preserve">, </w:t>
      </w:r>
      <w:r>
        <w:t>Péter Niedermüller</w:t>
      </w:r>
      <w:r>
        <w:t xml:space="preserve">, </w:t>
      </w:r>
      <w:r>
        <w:t>Kati Piri</w:t>
      </w:r>
      <w:r>
        <w:t xml:space="preserve">, </w:t>
      </w:r>
      <w:r>
        <w:t>Maria Grapini</w:t>
      </w:r>
      <w:r>
        <w:t xml:space="preserve">, </w:t>
      </w:r>
      <w:r>
        <w:t>Josef Weidenholzer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L-Istati Membri jistgħu jintroduċu sanzjonijiet amministrattivi, skont il-liġi nazzjonali tagħhom, għal nuqqas ta’ konformità mal-proċess tal-marki tas-swaba' u t-teħid tax-xbiha tal-wiċċ skont il-paragrafu 1 ta' dan l-Artikolu. Dawn is-sanzjonijiet għandhom ikunu effettivi, proporzjonati u disważivi. F’dan il-kuntest, id-detenzjoni għandha tintuża biss bħala l-aħħar alternattiva sabiex tiġi determinata jew verifikata l-identità ta' ċittadin ta' pajjiż terz.</w:t>
            </w:r>
          </w:p>
        </w:tc>
        <w:tc>
          <w:tcPr/>
          <w:p>
            <w:pPr>
              <w:pStyle w:val="Normal6"/>
            </w:pPr>
            <w:r>
              <w:t>3.</w:t>
            </w:r>
            <w:r>
              <w:tab/>
            </w:r>
            <w:r>
              <w:t>L-Istati Membri jistgħu jintroduċu</w:t>
            </w:r>
            <w:r>
              <w:rPr>
                <w:rFonts w:ascii="Times New Roman" w:eastAsia="Times New Roman" w:hAnsi="Times New Roman" w:cs="Times New Roman"/>
                <w:b/>
                <w:i/>
                <w:strike w:val="0"/>
                <w:color w:val="000000"/>
                <w:sz w:val="24"/>
                <w:highlight w:val="none"/>
                <w:u w:val="none" w:color="auto"/>
              </w:rPr>
              <w:t>, fejn xieraq,</w:t>
            </w:r>
            <w:r>
              <w:t xml:space="preserve"> sanzjonijiet amministrattivi</w:t>
            </w:r>
            <w:r>
              <w:rPr>
                <w:rFonts w:ascii="Times New Roman" w:eastAsia="Times New Roman" w:hAnsi="Times New Roman" w:cs="Times New Roman"/>
                <w:b/>
                <w:i/>
                <w:strike w:val="0"/>
                <w:color w:val="000000"/>
                <w:sz w:val="24"/>
                <w:highlight w:val="none"/>
                <w:u w:val="none" w:color="auto"/>
              </w:rPr>
              <w:t xml:space="preserve"> u ġġustifikati sew</w:t>
            </w:r>
            <w:r>
              <w:t>, skont il-liġi nazzjonali tagħhom</w:t>
            </w:r>
            <w:r>
              <w:rPr>
                <w:rFonts w:ascii="Times New Roman" w:eastAsia="Times New Roman" w:hAnsi="Times New Roman" w:cs="Times New Roman"/>
                <w:b/>
                <w:i/>
                <w:strike w:val="0"/>
                <w:color w:val="000000"/>
                <w:sz w:val="24"/>
                <w:highlight w:val="none"/>
                <w:u w:val="none" w:color="auto"/>
              </w:rPr>
              <w:t xml:space="preserve"> u b'rispett sħiħ għall-Karta tad-Drittijiet Fundamentali tal-Unjoni Ewropea</w:t>
            </w:r>
            <w:r>
              <w:t>, għal nuqqas ta’ konformità mal-proċess tal-marki tas-swaba' u t-teħid tax-xbiha tal-wiċċ skont il-paragrafu 1 ta' dan l-Artikolu. Dawn is-sanzjonijiet għandhom ikunu effettivi, proporzjonati u disważivi. F’dan il-kuntest, id-detenzjoni</w:t>
            </w:r>
            <w:r>
              <w:rPr>
                <w:rFonts w:ascii="Times New Roman" w:eastAsia="Times New Roman" w:hAnsi="Times New Roman" w:cs="Times New Roman"/>
                <w:b/>
                <w:i/>
                <w:strike w:val="0"/>
                <w:color w:val="000000"/>
                <w:sz w:val="24"/>
                <w:highlight w:val="none"/>
                <w:u w:val="none" w:color="auto"/>
              </w:rPr>
              <w:t>, għal żmien qasir skont kemm hu possibbli u meħtieġ,</w:t>
            </w:r>
            <w:r>
              <w:t xml:space="preserve"> għandha tintuża biss bħala l-aħħar alternattiva </w:t>
            </w:r>
            <w:r>
              <w:rPr>
                <w:rFonts w:ascii="Times New Roman" w:eastAsia="Times New Roman" w:hAnsi="Times New Roman" w:cs="Times New Roman"/>
                <w:b/>
                <w:i/>
                <w:strike w:val="0"/>
                <w:color w:val="000000"/>
                <w:sz w:val="24"/>
                <w:highlight w:val="none"/>
                <w:u w:val="none" w:color="auto"/>
              </w:rPr>
              <w:t xml:space="preserve">wara konsulenza effettiva jekk ma hemm l-ebda mod </w:t>
            </w:r>
            <w:r>
              <w:t>sabiex tiġi determinata jew verifikata l-identità ta' ċittadin ta' pajjiż terz</w:t>
            </w:r>
            <w:r>
              <w:rPr>
                <w:rFonts w:ascii="Times New Roman" w:eastAsia="Times New Roman" w:hAnsi="Times New Roman" w:cs="Times New Roman"/>
                <w:b/>
                <w:i/>
                <w:strike w:val="0"/>
                <w:color w:val="000000"/>
                <w:sz w:val="24"/>
                <w:highlight w:val="none"/>
                <w:u w:val="none" w:color="auto"/>
              </w:rPr>
              <w:t xml:space="preserve"> jew ta' persuna apolida u hemm riskju li persuna taħrab. Id-detenzjoni tal-minorenni għandha tkun ipprojbita</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L-Istati Membri jistgħu jintroduċu sanzjonijiet amministrattivi, skont il-liġi nazzjonali tagħhom, għal nuqqas ta’ konformità mal-proċess tal-marki tas-swaba' u t-teħid tax-xbiha tal-wiċċ skont il-paragrafu 1 ta' dan l-Artikolu. Dawn is-sanzjonijiet għandhom ikunu effettivi, proporzjonati u disważivi. F’dan il-kuntest, id-detenzjoni għandha tintuża </w:t>
            </w:r>
            <w:r>
              <w:rPr>
                <w:rFonts w:ascii="Times New Roman" w:eastAsia="Times New Roman" w:hAnsi="Times New Roman" w:cs="Times New Roman"/>
                <w:b/>
                <w:i/>
                <w:strike w:val="0"/>
                <w:color w:val="000000"/>
                <w:sz w:val="24"/>
                <w:highlight w:val="none"/>
                <w:u w:val="none" w:color="auto"/>
              </w:rPr>
              <w:t xml:space="preserve">biss bħala l-aħħar alternattiva </w:t>
            </w:r>
            <w:r>
              <w:t>sabiex tiġi determinata jew verifikata l-identità ta' ċittadin ta' pajjiż terz.</w:t>
            </w:r>
          </w:p>
        </w:tc>
        <w:tc>
          <w:tcPr/>
          <w:p>
            <w:pPr>
              <w:pStyle w:val="Normal6"/>
            </w:pPr>
            <w:r>
              <w:t>3.</w:t>
            </w:r>
            <w:r>
              <w:tab/>
            </w:r>
            <w:r>
              <w:t>L-Istati Membri jistgħu jintroduċu sanzjonijiet amministrattivi, skont il-liġi nazzjonali tagħhom, għal nuqqas ta’ konformità mal-proċess tal-marki tas-swaba' u t-teħid tax-xbiha tal-wiċċ skont il-paragrafu 1 ta' dan l-Artikolu. Dawn is-sanzjonijiet għandhom ikunu effettivi, proporzjonati u disważivi. F’dan il-kuntest, id-detenzjoni għandha tintuża sabiex tiġi determinata jew verifikata l-identità ta' ċittadin ta' pajjiż terz.</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L-Istati Membri jistgħu jintroduċu sanzjonijiet amministrattivi, skont il-liġi nazzjonali tagħhom, għal nuqqas ta’ konformità mal-proċess tal-marki tas-swaba' u t-teħid tax-xbiha tal-wiċċ skont il-paragrafu 1 ta' dan l-Artikolu. Dawn is-sanzjonijiet għandhom ikunu effettivi, proporzjonati u disważivi. F’dan il-kuntest, id-detenzjoni għandha tintuża biss bħala l-aħħar alternattiva sabiex tiġi determinata jew verifikata l-identità ta' ċittadin ta' pajjiż terz.</w:t>
            </w:r>
          </w:p>
        </w:tc>
        <w:tc>
          <w:tcPr/>
          <w:p>
            <w:pPr>
              <w:pStyle w:val="Normal6"/>
            </w:pPr>
            <w:r>
              <w:t>3.</w:t>
            </w:r>
            <w:r>
              <w:tab/>
            </w:r>
            <w:r>
              <w:t xml:space="preserve">L-Istati Membri jistgħu jintroduċu sanzjonijiet amministrattivi, skont il-liġi nazzjonali tagħhom, għal nuqqas ta’ konformità mal-proċess tal-marki tas-swaba' u t-teħid tax-xbiha tal-wiċċ skont il-paragrafu 1 ta' dan l-Artikolu. Dawn is-sanzjonijiet għandhom ikunu effettivi, proporzjonati u disważivi. F’dan il-kuntest, id-detenzjoni għandha tintuża biss bħala l-aħħar alternattiva sabiex tiġi determinata jew verifikata l-identità ta' ċittadin ta' pajjiż terz. </w:t>
            </w:r>
            <w:r>
              <w:rPr>
                <w:rFonts w:ascii="Times New Roman" w:eastAsia="Times New Roman" w:hAnsi="Times New Roman" w:cs="Times New Roman"/>
                <w:b/>
                <w:i/>
                <w:strike w:val="0"/>
                <w:color w:val="000000"/>
                <w:sz w:val="24"/>
                <w:highlight w:val="none"/>
                <w:u w:val="none" w:color="auto"/>
              </w:rPr>
              <w:t>F'kull każ individwali jeħtieġ li ssir valutazzjoni sabiex jiġi stabbilit jekk ġewx issodisfati l-prekundizzjonijiet kollha meħtieġa biex tiġi evitata d-detenzjoni arbitrarja.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 xml:space="preserve">Mingħajr preġudizzju għal paragrafu 3 ta' dan l-Artikolu, meta t-teħid tal-marki tas-swaba’ jew tax-xbiha tal-wiċċ ma jkunx possibbli għal ċittadini ta’ pajjiż terz li jkunu meqjusa persuni vulnerabbli u minn minuri minħabba l-kundizzjonijiet tal-marki tas-swaba' jew tal-wiċċ, l-awtoritajiet ta' dan l-Istat Membri ma għandhomx jużaw sanzjonijiet biex jinfurzaw it-teħid tal-marki tas-swaba’ jew tax-xbiha tal-wiċċ. </w:t>
            </w:r>
            <w:r>
              <w:rPr>
                <w:rFonts w:ascii="Times New Roman" w:eastAsia="Times New Roman" w:hAnsi="Times New Roman" w:cs="Times New Roman"/>
                <w:b/>
                <w:i/>
                <w:strike w:val="0"/>
                <w:color w:val="000000"/>
                <w:sz w:val="24"/>
                <w:highlight w:val="none"/>
                <w:u w:val="none" w:color="auto"/>
              </w:rPr>
              <w:t xml:space="preserve">L-Istati Membri jistgħu jippruvaw mill-ġdid jieħdu l-marki tas-swaba' jew ix-xbiha tal-wiċċ ta' </w:t>
            </w:r>
            <w:r>
              <w:t xml:space="preserve">minorenni </w:t>
            </w:r>
            <w:r>
              <w:rPr>
                <w:rFonts w:ascii="Times New Roman" w:eastAsia="Times New Roman" w:hAnsi="Times New Roman" w:cs="Times New Roman"/>
                <w:b/>
                <w:i/>
                <w:strike w:val="0"/>
                <w:color w:val="000000"/>
                <w:sz w:val="24"/>
                <w:highlight w:val="none"/>
                <w:u w:val="none" w:color="auto"/>
              </w:rPr>
              <w:t>jew persuna vulnerabbli li jirrifjutaw li jikkooperaw, meta r-raġuni għan-nuqqas ta' konformità ma tkunx relatata mal-kundizzjonijiet</w:t>
            </w:r>
            <w:r>
              <w:t xml:space="preserve"> tas-swaba' jew ix-xbiha tal-wiċċ</w:t>
            </w:r>
            <w:r>
              <w:rPr>
                <w:rFonts w:ascii="Times New Roman" w:eastAsia="Times New Roman" w:hAnsi="Times New Roman" w:cs="Times New Roman"/>
                <w:b/>
                <w:i/>
                <w:strike w:val="0"/>
                <w:color w:val="000000"/>
                <w:sz w:val="24"/>
                <w:highlight w:val="none"/>
                <w:u w:val="none" w:color="auto"/>
              </w:rPr>
              <w:t xml:space="preserve"> jew is-saħħa tal-individwu u meta jkun ġustifikat li jagħmel dan. Meta minorenni, b’mod partikolari mhux akkumpanjat jew minorenni separat jirrifjuta li jagħti l-marki tas-swaba’ jew ix-xbiha tal-wiċċ u jkun hemm raġunijiet li wieħed jissospetta li hemm riskji ta’ salvagwardja jew protezzjoni tat-tfal, il-minorenni għandu jiġi referut lill-awtoritajiet</w:t>
            </w:r>
            <w:r>
              <w:t xml:space="preserve"> nazzjonali għall-protezzjoni tat-tfal</w:t>
            </w:r>
            <w:r>
              <w:rPr>
                <w:rFonts w:ascii="Times New Roman" w:eastAsia="Times New Roman" w:hAnsi="Times New Roman" w:cs="Times New Roman"/>
                <w:b/>
                <w:i/>
                <w:strike w:val="0"/>
                <w:color w:val="000000"/>
                <w:sz w:val="24"/>
                <w:highlight w:val="none"/>
                <w:u w:val="none" w:color="auto"/>
              </w:rPr>
              <w:t xml:space="preserve"> u / jew</w:t>
            </w:r>
            <w:r>
              <w:t xml:space="preserve"> mekkaniżmi nazzjonali ta' riferiment.</w:t>
            </w:r>
          </w:p>
        </w:tc>
        <w:tc>
          <w:tcPr/>
          <w:p>
            <w:pPr>
              <w:pStyle w:val="Normal6"/>
            </w:pPr>
            <w:r>
              <w:t>4.</w:t>
            </w:r>
            <w:r>
              <w:tab/>
            </w:r>
            <w:r>
              <w:t xml:space="preserve">Mingħajr preġudizzju għal paragrafu 3 ta' dan l-Artikolu, meta t-teħid tal-marki tas-swaba’ jew tax-xbiha tal-wiċċ ma jkunx possibbli għal ċittadini ta’ pajjiż terz li jkunu meqjusa persuni vulnerabbli u minn minuri minħabba l-kundizzjonijiet tal-marki tas-swaba' jew tal-wiċċ, l-awtoritajiet ta' dan l-Istat Membri ma għandhomx jużaw sanzjonijiet biex jinfurzaw it-teħid tal-marki tas-swaba’ jew tax-xbiha tal-wiċċ. </w:t>
            </w:r>
            <w:r>
              <w:rPr>
                <w:rFonts w:ascii="Times New Roman" w:eastAsia="Times New Roman" w:hAnsi="Times New Roman" w:cs="Times New Roman"/>
                <w:b/>
                <w:i/>
                <w:strike w:val="0"/>
                <w:color w:val="000000"/>
                <w:sz w:val="24"/>
                <w:highlight w:val="none"/>
                <w:u w:val="none" w:color="auto"/>
              </w:rPr>
              <w:t xml:space="preserve">Meta minorenni, b’mod partikolari mhux akkumpanjat jew </w:t>
            </w:r>
            <w:r>
              <w:t xml:space="preserve">minorenni </w:t>
            </w:r>
            <w:r>
              <w:rPr>
                <w:rFonts w:ascii="Times New Roman" w:eastAsia="Times New Roman" w:hAnsi="Times New Roman" w:cs="Times New Roman"/>
                <w:b/>
                <w:i/>
                <w:strike w:val="0"/>
                <w:color w:val="000000"/>
                <w:sz w:val="24"/>
                <w:highlight w:val="none"/>
                <w:u w:val="none" w:color="auto"/>
              </w:rPr>
              <w:t>separat, jirrifjuta li jagħti l-marki</w:t>
            </w:r>
            <w:r>
              <w:t xml:space="preserve"> tas-swaba’ jew ix-xbiha tal-wiċċ</w:t>
            </w:r>
            <w:r>
              <w:rPr>
                <w:rFonts w:ascii="Times New Roman" w:eastAsia="Times New Roman" w:hAnsi="Times New Roman" w:cs="Times New Roman"/>
                <w:b/>
                <w:i/>
                <w:strike w:val="0"/>
                <w:color w:val="000000"/>
                <w:sz w:val="24"/>
                <w:highlight w:val="none"/>
                <w:u w:val="none" w:color="auto"/>
              </w:rPr>
              <w:t>, il-minorenni għandu jiġi riferut lill-awtoritajiet nazzjonali għall-protezzjoni tat-tfal, il-mekkaniżmi nazzjonali ta' riferiment jew it-tnejn. Għandha titwettaq valutazzjoni tal-ħtiġijiet speċifiċi bil-ħsieb li tinstab soluzzjoni dejjiema għat-tfal skont l-aħjar interessi tiegħu jew tagħha, mill-awtoritajiet</w:t>
            </w:r>
            <w:r>
              <w:t xml:space="preserve"> nazzjonali għall-protezzjoni tat-tfal</w:t>
            </w:r>
            <w:r>
              <w:rPr>
                <w:rFonts w:ascii="Times New Roman" w:eastAsia="Times New Roman" w:hAnsi="Times New Roman" w:cs="Times New Roman"/>
                <w:b/>
                <w:i/>
                <w:strike w:val="0"/>
                <w:color w:val="000000"/>
                <w:sz w:val="24"/>
                <w:highlight w:val="none"/>
                <w:u w:val="none" w:color="auto"/>
              </w:rPr>
              <w:t>, minn</w:t>
            </w:r>
            <w:r>
              <w:t xml:space="preserve"> mekkaniżmi nazzjonali ta' riferiment</w:t>
            </w:r>
            <w:r>
              <w:rPr>
                <w:rFonts w:ascii="Times New Roman" w:eastAsia="Times New Roman" w:hAnsi="Times New Roman" w:cs="Times New Roman"/>
                <w:b/>
                <w:i/>
                <w:strike w:val="0"/>
                <w:color w:val="000000"/>
                <w:sz w:val="24"/>
                <w:highlight w:val="none"/>
                <w:u w:val="none" w:color="auto"/>
              </w:rPr>
              <w:t xml:space="preserve"> oħrajn jew mit-tnejn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meħtieġa biex iżżomm il-loġika tat-test peress li għandha sservi biex tipproteġi lit-tfal vittmi ta' traffikar u tappoġġja l-identifikazzjoni u l-protezzjoni ta' tfal mhux akkumpanjati li jgħibu, jisparixxu jew jaħarbu, kif il-Kummissjoni Ewropea enfasizzat fil-memorandum ta' spjegazzjoni tagħha li jakkumpanja r-riformulazzjoni proposta tar-Regolament Eurodac. Sabiex jikkonforma mal-Artikoli 7, 8 u 24 tal-Karta, l-ipproċessar tad-data bijometrika tat-tfal mill-età żgħira ta' sitt snin jista' jiġi ġġustifikat biss jekk espressament isegwi objettiv għall-protezzjoni tat-tfal.</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rPr>
                <w:rFonts w:ascii="Times New Roman" w:eastAsia="Times New Roman" w:hAnsi="Times New Roman" w:cs="Times New Roman"/>
                <w:b/>
                <w:i/>
                <w:strike w:val="0"/>
                <w:color w:val="000000"/>
                <w:sz w:val="24"/>
                <w:highlight w:val="none"/>
                <w:u w:val="none" w:color="auto"/>
              </w:rPr>
              <w:t>Mingħajr preġudizzju għal paragrafu 3 ta' dan l-Artikolu, meta t-teħid tal-marki tas-swaba’ jew tax-xbiha tal-wiċċ ma jkunx possibbli għal ċittadini ta’ pajjiż terz li jkunu meqjusa persuni vulnerabbli u minn minuri minħabba l-kundizzjonijiet tal-marki tas-swaba' jew tal-wiċċ, l-awtoritajiet ta' dan l-Istat</w:t>
            </w:r>
            <w:r>
              <w:t xml:space="preserve"> Membri ma għandhomx jużaw </w:t>
            </w:r>
            <w:r>
              <w:rPr>
                <w:rFonts w:ascii="Times New Roman" w:eastAsia="Times New Roman" w:hAnsi="Times New Roman" w:cs="Times New Roman"/>
                <w:b/>
                <w:i/>
                <w:strike w:val="0"/>
                <w:color w:val="000000"/>
                <w:sz w:val="24"/>
                <w:highlight w:val="none"/>
                <w:u w:val="none" w:color="auto"/>
              </w:rPr>
              <w:t>sanzjonijiet biex jinfurzaw</w:t>
            </w:r>
            <w:r>
              <w:t xml:space="preserve"> it-teħid tal-marki tas-swaba’</w:t>
            </w:r>
            <w:r>
              <w:rPr>
                <w:rFonts w:ascii="Times New Roman" w:eastAsia="Times New Roman" w:hAnsi="Times New Roman" w:cs="Times New Roman"/>
                <w:b/>
                <w:i/>
                <w:strike w:val="0"/>
                <w:color w:val="000000"/>
                <w:sz w:val="24"/>
                <w:highlight w:val="none"/>
                <w:u w:val="none" w:color="auto"/>
              </w:rPr>
              <w:t xml:space="preserve"> jew tax-xbiha tal-wiċċ</w:t>
            </w:r>
            <w:r>
              <w:t xml:space="preserve">. L-Istati Membri jistgħu jippruvaw mill-ġdid jieħdu l-marki tas-swaba' </w:t>
            </w:r>
            <w:r>
              <w:rPr>
                <w:rFonts w:ascii="Times New Roman" w:eastAsia="Times New Roman" w:hAnsi="Times New Roman" w:cs="Times New Roman"/>
                <w:b/>
                <w:i/>
                <w:strike w:val="0"/>
                <w:color w:val="000000"/>
                <w:sz w:val="24"/>
                <w:highlight w:val="none"/>
                <w:u w:val="none" w:color="auto"/>
              </w:rPr>
              <w:t xml:space="preserve">jew ix-xbiha tal-wiċċ ta' minorenni jew </w:t>
            </w:r>
            <w:r>
              <w:t xml:space="preserve">persuna vulnerabbli li </w:t>
            </w:r>
            <w:r>
              <w:rPr>
                <w:rFonts w:ascii="Times New Roman" w:eastAsia="Times New Roman" w:hAnsi="Times New Roman" w:cs="Times New Roman"/>
                <w:b/>
                <w:i/>
                <w:strike w:val="0"/>
                <w:color w:val="000000"/>
                <w:sz w:val="24"/>
                <w:highlight w:val="none"/>
                <w:u w:val="none" w:color="auto"/>
              </w:rPr>
              <w:t>jirrifjutaw li jikkooperaw</w:t>
            </w:r>
            <w:r>
              <w:t xml:space="preserve">, meta r-raġuni għan-nuqqas ta' konformità ma tkunx relatata mal-kundizzjonijiet tas-swaba' jew </w:t>
            </w:r>
            <w:r>
              <w:rPr>
                <w:rFonts w:ascii="Times New Roman" w:eastAsia="Times New Roman" w:hAnsi="Times New Roman" w:cs="Times New Roman"/>
                <w:b/>
                <w:i/>
                <w:strike w:val="0"/>
                <w:color w:val="000000"/>
                <w:sz w:val="24"/>
                <w:highlight w:val="none"/>
                <w:u w:val="none" w:color="auto"/>
              </w:rPr>
              <w:t xml:space="preserve">ix-xbiha tal-wiċċ jew </w:t>
            </w:r>
            <w:r>
              <w:t>is-saħħa tal-individwu u meta jkun ġustifikat li jagħmel dan</w:t>
            </w:r>
            <w:r>
              <w:rPr>
                <w:rFonts w:ascii="Times New Roman" w:eastAsia="Times New Roman" w:hAnsi="Times New Roman" w:cs="Times New Roman"/>
                <w:b/>
                <w:i/>
                <w:strike w:val="0"/>
                <w:color w:val="000000"/>
                <w:sz w:val="24"/>
                <w:highlight w:val="none"/>
                <w:u w:val="none" w:color="auto"/>
              </w:rPr>
              <w:t xml:space="preserve">. </w:t>
            </w:r>
            <w:r>
              <w:t>Meta minorenni, b’mod partikolari mhux akkumpanjat jew minorenni separat jirrifjuta li jagħti l-marki tas-swaba’ jew ix-xbiha tal-wiċċ u jkun hemm raġunijiet li wieħed jissospetta li hemm riskji ta’ salvagwardja jew protezzjoni tat-tfal, il-minorenni għandu jiġi referut lill-awtoritajiet nazzjonali għall-protezzjoni tat-tfal u / jew mekkaniżmi nazzjonali ta' riferiment.</w:t>
            </w:r>
          </w:p>
        </w:tc>
        <w:tc>
          <w:tcPr/>
          <w:p>
            <w:pPr>
              <w:pStyle w:val="Normal6"/>
            </w:pPr>
            <w:r>
              <w:t>4.</w:t>
            </w:r>
            <w:r>
              <w:tab/>
            </w:r>
            <w:r>
              <w:rPr>
                <w:rFonts w:ascii="Times New Roman" w:eastAsia="Times New Roman" w:hAnsi="Times New Roman" w:cs="Times New Roman"/>
                <w:b/>
                <w:i/>
                <w:strike w:val="0"/>
                <w:color w:val="000000"/>
                <w:sz w:val="24"/>
                <w:highlight w:val="none"/>
                <w:u w:val="none" w:color="auto"/>
              </w:rPr>
              <w:t>L-Istati</w:t>
            </w:r>
            <w:r>
              <w:t xml:space="preserve"> Membri ma għandhomx jużaw </w:t>
            </w:r>
            <w:r>
              <w:rPr>
                <w:rFonts w:ascii="Times New Roman" w:eastAsia="Times New Roman" w:hAnsi="Times New Roman" w:cs="Times New Roman"/>
                <w:b/>
                <w:i/>
                <w:strike w:val="0"/>
                <w:color w:val="000000"/>
                <w:sz w:val="24"/>
                <w:highlight w:val="none"/>
                <w:u w:val="none" w:color="auto"/>
              </w:rPr>
              <w:t>is-sanzjonijiet biex jisfurzaw</w:t>
            </w:r>
            <w:r>
              <w:t xml:space="preserve"> it-teħid tal-marki tas-swaba'. L-Istati Membri jistgħu jippruvaw mill-ġdid jieħdu l-marki tas-swaba' </w:t>
            </w:r>
            <w:r>
              <w:rPr>
                <w:rFonts w:ascii="Times New Roman" w:eastAsia="Times New Roman" w:hAnsi="Times New Roman" w:cs="Times New Roman"/>
                <w:b/>
                <w:i/>
                <w:strike w:val="0"/>
                <w:color w:val="000000"/>
                <w:sz w:val="24"/>
                <w:highlight w:val="none"/>
                <w:u w:val="none" w:color="auto"/>
              </w:rPr>
              <w:t xml:space="preserve">ta' </w:t>
            </w:r>
            <w:r>
              <w:t xml:space="preserve">persuna vulnerabbli li </w:t>
            </w:r>
            <w:r>
              <w:rPr>
                <w:rFonts w:ascii="Times New Roman" w:eastAsia="Times New Roman" w:hAnsi="Times New Roman" w:cs="Times New Roman"/>
                <w:b/>
                <w:i/>
                <w:strike w:val="0"/>
                <w:color w:val="000000"/>
                <w:sz w:val="24"/>
                <w:highlight w:val="none"/>
                <w:u w:val="none" w:color="auto"/>
              </w:rPr>
              <w:t>tirrifjuta li tikkoopera</w:t>
            </w:r>
            <w:r>
              <w:t>, meta r-raġuni għan-nuqqas ta' konformità ma tkunx relatata mal-kundizzjonijiet tas-swaba' jew is-saħħa tal-individwu u meta jkun ġustifikat li jagħmel dan</w:t>
            </w:r>
            <w:r>
              <w:rPr>
                <w:rFonts w:ascii="Times New Roman" w:eastAsia="Times New Roman" w:hAnsi="Times New Roman" w:cs="Times New Roman"/>
                <w:b/>
                <w:i/>
                <w:strike w:val="0"/>
                <w:color w:val="000000"/>
                <w:sz w:val="24"/>
                <w:highlight w:val="none"/>
                <w:u w:val="none" w:color="auto"/>
              </w:rPr>
              <w:t xml:space="preserve">, u dan għandu jsir b'mod adatt għall-età kif previst fl-Artikolu 2(2). </w:t>
            </w:r>
            <w:r>
              <w:t>Meta minorenni, b’mod partikolari mhux akkumpanjat jew minorenni separat jirrifjuta li jagħti l-marki tas-swaba’ jew ix-xbiha tal-wiċċ u jkun hemm raġunijiet li wieħed jissospetta li hemm riskji ta’ salvagwardja jew protezzjoni tat-tfal</w:t>
            </w:r>
            <w:r>
              <w:rPr>
                <w:rFonts w:ascii="Times New Roman" w:eastAsia="Times New Roman" w:hAnsi="Times New Roman" w:cs="Times New Roman"/>
                <w:b/>
                <w:i/>
                <w:strike w:val="0"/>
                <w:color w:val="000000"/>
                <w:sz w:val="24"/>
                <w:highlight w:val="none"/>
                <w:u w:val="none" w:color="auto"/>
              </w:rPr>
              <w:t>, kif ivvalutat minn uffiċjal imħarreġ speċifikament biex jittratta mal-minorenni</w:t>
            </w:r>
            <w:r>
              <w:t>, il-minorenni għandu jiġi referut lill-awtoritajiet nazzjonali għall-protezzjoni tat-tfal u / jew mekkaniżmi nazzjonali ta' riferiment.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 Maria Corazza Bildt</w:t>
      </w:r>
      <w:r>
        <w:t xml:space="preserve">, </w:t>
      </w:r>
      <w:r>
        <w:t>Damiano Zoffoli</w:t>
      </w:r>
      <w:r>
        <w:t xml:space="preserve">, </w:t>
      </w:r>
      <w:r>
        <w:t>Barbara Matera</w:t>
      </w:r>
      <w:r>
        <w:t xml:space="preserve">, </w:t>
      </w:r>
      <w:r>
        <w:t>Petras Auštrevičius</w:t>
      </w:r>
      <w:r>
        <w:t xml:space="preserve">, </w:t>
      </w:r>
      <w:r>
        <w:t>Beatriz Becerra Basterrechea</w:t>
      </w:r>
      <w:r>
        <w:t xml:space="preserve">, </w:t>
      </w:r>
      <w:r>
        <w:t>Carlos Coelho</w:t>
      </w:r>
      <w:r>
        <w:t xml:space="preserve">, </w:t>
      </w:r>
      <w:r>
        <w:t>Hilde Vautmans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Mingħajr preġudizzju għal paragrafu 3 ta' dan l-Artikolu, meta t-teħid tal-marki tas-swaba’ jew tax-xbiha tal-wiċċ ma jkunx possibbli għal ċittadini ta’ pajjiż terz li jkunu meqjusa persuni vulnerabbli u minn minuri minħabba l-kundizzjonijiet tal-marki tas-swaba' jew tal-wiċċ, l-awtoritajiet ta' dan l-Istat Membri ma għandhomx jużaw sanzjonijiet biex jinfurzaw it-teħid tal-marki tas-swaba’ jew tax-xbiha tal-wiċċ. L-Istati Membri jistgħu jippruvaw mill-ġdid jieħdu l-marki tas-swaba' jew ix-xbiha tal-wiċċ ta' minorenni jew persuna vulnerabbli li jirrifjutaw li jikkooperaw, meta r-raġuni għan-nuqqas ta' konformità ma tkunx relatata mal-kundizzjonijiet tas-swaba' jew ix-xbiha tal-wiċċ jew is-saħħa tal-individwu u meta jkun ġustifikat li jagħmel dan. Meta minorenni, b’mod partikolari mhux akkumpanjat jew minorenni separat jirrifjuta li jagħti l-marki tas-swaba’ jew ix-xbiha tal-wiċċ u jkun hemm raġunijiet li wieħed jissospetta li hemm riskji ta’ salvagwardja jew protezzjoni tat-tfal, il-minorenni għandu jiġi referut lill-awtoritajiet nazzjonali għall-protezzjoni tat-tfal u / jew mekkaniżmi nazzjonali ta' riferiment.</w:t>
            </w:r>
          </w:p>
        </w:tc>
        <w:tc>
          <w:tcPr/>
          <w:p>
            <w:pPr>
              <w:pStyle w:val="Normal6"/>
            </w:pPr>
            <w:r>
              <w:t>4.</w:t>
            </w:r>
            <w:r>
              <w:tab/>
            </w:r>
            <w:r>
              <w:t>Mingħajr preġudizzju għal paragrafu 3 ta' dan l-Artikolu, meta t-teħid tal-marki tas-swaba’ jew tax-xbiha tal-wiċċ ma jkunx possibbli għal ċittadini ta’ pajjiż terz li jkunu meqjusa persuni vulnerabbli u minn minuri minħabba l-kundizzjonijiet tal-marki tas-swaba' jew tal-wiċċ, l-awtoritajiet ta' dan l-Istat Membri ma għandhomx jużaw sanzjonijiet biex jinfurzaw it-teħid tal-marki tas-swaba’ jew tax-xbiha tal-wiċċ. L-Istati Membri jistgħu jippruvaw mill-ġdid jieħdu l-marki tas-swaba' jew ix-xbiha tal-wiċċ ta' minorenni jew persuna vulnerabbli li jirrifjutaw li jikkooperaw, meta r-raġuni għan-nuqqas ta' konformità ma tkunx relatata mal-kundizzjonijiet tas-swaba' jew ix-xbiha tal-wiċċ jew is-saħħa tal-individwu u meta jkun ġustifikat li jagħmel dan. Meta minorenni, b’mod partikolari mhux akkumpanjat jew minorenni separat jirrifjuta li jagħti l-marki tas-swaba’ jew ix-xbiha tal-wiċċ u jkun hemm raġunijiet li wieħed jissospetta li hemm riskji ta’ salvagwardja jew protezzjoni tat-tfal, il-minorenni għandu jiġi referut lill-awtoritajiet nazzjonali għall-protezzjoni tat-tfal u / jew mekkaniżmi nazzjonali ta' riferiment.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Kati Piri</w:t>
      </w:r>
      <w:r>
        <w:t xml:space="preserve">, </w:t>
      </w:r>
      <w:r>
        <w:t>Maria Grapini</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Mingħajr preġudizzju għal paragrafu 3 ta' dan l-Artikolu, meta t-teħid tal-marki tas-swaba’ jew tax-xbiha tal-wiċċ ma jkunx possibbli għal ċittadini ta’ pajjiż terz li jkunu meqjusa persuni vulnerabbli u minn minuri minħabba l-kundizzjonijiet tal-marki tas-swaba' jew tal-wiċċ, l-awtoritajiet ta' dan l-Istat Membri ma għandhomx jużaw sanzjonijiet biex jinfurzaw it-teħid tal-marki tas-swaba’ jew tax-xbiha tal-wiċċ. L-Istati Membri jistgħu jippruvaw mill-ġdid jieħdu l-marki tas-swaba' jew ix-xbiha tal-wiċċ ta' minorenni jew persuna vulnerabbli li jirrifjutaw li jikkooperaw, meta r-raġuni għan-nuqqas ta' konformità ma tkunx relatata mal-kundizzjonijiet tas-swaba' jew ix-xbiha tal-wiċċ jew is-saħħa tal-individwu u meta jkun ġustifikat li jagħmel dan. Meta minorenni, b’mod partikolari mhux akkumpanjat jew minorenni separat jirrifjuta li jagħti l-marki tas-swaba’ jew ix-xbiha tal-wiċċ u jkun hemm raġunijiet li wieħed jissospetta li hemm riskji ta’ salvagwardja jew protezzjoni tat-tfal, il-minorenni għandu jiġi referut lill-awtoritajiet nazzjonali għall-protezzjoni tat-tfal u / jew mekkaniżmi nazzjonali ta' riferiment.</w:t>
            </w:r>
          </w:p>
        </w:tc>
        <w:tc>
          <w:tcPr/>
          <w:p>
            <w:pPr>
              <w:pStyle w:val="Normal6"/>
            </w:pPr>
            <w:r>
              <w:t>4.</w:t>
            </w:r>
            <w:r>
              <w:tab/>
            </w:r>
            <w:r>
              <w:t xml:space="preserve">Mingħajr preġudizzju għal paragrafu 3 ta' dan l-Artikolu, meta t-teħid tal-marki tas-swaba’ jew tax-xbiha tal-wiċċ ma jkunx possibbli għal ċittadini ta’ pajjiż terz </w:t>
            </w:r>
            <w:r>
              <w:rPr>
                <w:rFonts w:ascii="Times New Roman" w:eastAsia="Times New Roman" w:hAnsi="Times New Roman" w:cs="Times New Roman"/>
                <w:b/>
                <w:i/>
                <w:strike w:val="0"/>
                <w:color w:val="000000"/>
                <w:sz w:val="24"/>
                <w:highlight w:val="none"/>
                <w:u w:val="none" w:color="auto"/>
              </w:rPr>
              <w:t xml:space="preserve">jew persuni apolidi </w:t>
            </w:r>
            <w:r>
              <w:t>li jkunu meqjusa persuni vulnerabbli u minn minuri minħabba l-kundizzjonijiet tal-marki tas-swaba' jew tal-wiċċ, l-awtoritajiet ta' dan l-Istat Membri ma għandhomx jużaw sanzjonijiet biex jinfurzaw it-teħid tal-marki tas-swaba’ jew tax-xbiha tal-wiċċ</w:t>
            </w:r>
            <w:r>
              <w:rPr>
                <w:rFonts w:ascii="Times New Roman" w:eastAsia="Times New Roman" w:hAnsi="Times New Roman" w:cs="Times New Roman"/>
                <w:b/>
                <w:i/>
                <w:strike w:val="0"/>
                <w:color w:val="000000"/>
                <w:sz w:val="24"/>
                <w:highlight w:val="none"/>
                <w:u w:val="none" w:color="auto"/>
              </w:rPr>
              <w:t xml:space="preserve"> u lanqas koerċizzjoni mentali jew fiżika</w:t>
            </w:r>
            <w:r>
              <w:t>. L-Istati Membri jistgħu jippruvaw mill-ġdid jieħdu l-marki tas-swaba' jew ix-xbiha tal-wiċċ ta' minorenni jew persuna vulnerabbli li jirrifjutaw li jikkooperaw, meta r-raġuni għan-nuqqas ta' konformità ma tkunx relatata mal-kundizzjonijiet tas-swaba' jew ix-xbiha tal-wiċċ jew is-saħħa tal-individwu u meta jkun ġustifikat li jagħmel dan. Meta minorenni, b’mod partikolari mhux akkumpanjat jew minorenni separat jirrifjuta li jagħti l-marki tas-swaba’ jew ix-xbiha tal-wiċċ u jkun hemm raġunijiet li wieħed jissospetta li hemm riskji ta’ salvagwardja jew protezzjoni tat-tfal, il-minorenni għandu jiġi referut lill-awtoritajiet nazzjonali għall-protezzjoni tat-tfal u / jew mekkaniżmi nazzjonali ta' riferiment.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Mingħajr preġudizzju għal paragrafu 3 ta' dan l-Artikolu, meta t-teħid tal-marki tas-swaba’ jew tax-xbiha tal-wiċċ ma jkunx possibbli għal ċittadini ta’ pajjiż terz li jkunu meqjusa persuni vulnerabbli u minn minuri minħabba l-kundizzjonijiet tal-marki tas-swaba' jew tal-wiċċ, l-awtoritajiet ta' dan l-Istat Membri ma għandhomx jużaw sanzjonijiet biex jinfurzaw it-teħid tal-marki tas-swaba’ jew tax-xbiha tal-wiċċ. L-Istati Membri jistgħu jippruvaw mill-ġdid jieħdu l-marki tas-swaba' jew ix-xbiha tal-wiċċ ta' minorenni jew persuna vulnerabbli li jirrifjutaw li jikkooperaw, meta r-raġuni għan-nuqqas ta' konformità ma tkunx relatata mal-kundizzjonijiet tas-swaba' jew ix-xbiha tal-wiċċ jew is-saħħa tal-individwu u meta jkun ġustifikat li jagħmel dan. Meta minorenni, b’mod partikolari mhux akkumpanjat jew minorenni separat jirrifjuta li jagħti l-marki tas-swaba’ jew ix-xbiha tal-wiċċ u jkun hemm raġunijiet li wieħed jissospetta li hemm riskji ta’ salvagwardja jew protezzjoni tat-tfal, il-minorenni għandu jiġi referut lill-awtoritajiet nazzjonali għall-protezzjoni tat-tfal u / jew mekkaniżmi nazzjonali ta' riferiment.</w:t>
            </w:r>
          </w:p>
        </w:tc>
        <w:tc>
          <w:tcPr/>
          <w:p>
            <w:pPr>
              <w:pStyle w:val="Normal6"/>
            </w:pPr>
            <w:r>
              <w:t>4.</w:t>
            </w:r>
            <w:r>
              <w:tab/>
            </w:r>
            <w:r>
              <w:t xml:space="preserve">Mingħajr preġudizzju għal paragrafu 3 ta' dan l-Artikolu, meta t-teħid tal-marki tas-swaba’ jew tax-xbiha tal-wiċċ ma jkunx possibbli għal ċittadini ta’ pajjiż terz </w:t>
            </w:r>
            <w:r>
              <w:rPr>
                <w:rFonts w:ascii="Times New Roman" w:eastAsia="Times New Roman" w:hAnsi="Times New Roman" w:cs="Times New Roman"/>
                <w:b/>
                <w:i/>
                <w:strike w:val="0"/>
                <w:color w:val="000000"/>
                <w:sz w:val="24"/>
                <w:highlight w:val="none"/>
                <w:u w:val="none" w:color="auto"/>
              </w:rPr>
              <w:t xml:space="preserve">jew persuni apolidi </w:t>
            </w:r>
            <w:r>
              <w:t>li jkunu meqjusa persuni vulnerabbli u minn minuri minħabba l-kundizzjonijiet tal-marki tas-swaba' jew tal-wiċċ, l-awtoritajiet ta' dan l-Istat Membri ma għandhomx jużaw sanzjonijiet biex jinfurzaw it-teħid tal-marki tas-swaba’ jew tax-xbiha tal-wiċċ. L-Istati Membri jistgħu jippruvaw mill-ġdid jieħdu l-marki tas-swaba' jew ix-xbiha tal-wiċċ ta' minorenni jew persuna vulnerabbli li jirrifjutaw li jikkooperaw, meta r-raġuni għan-nuqqas ta' konformità ma tkunx relatata mal-kundizzjonijiet tas-swaba' jew ix-xbiha tal-wiċċ jew is-saħħa tal-individwu u meta jkun ġustifikat li jagħmel dan. Meta minorenni, b’mod partikolari mhux akkumpanjat jew minorenni separat jirrifjuta li jagħti l-marki tas-swaba’ jew ix-xbiha tal-wiċċ u jkun hemm raġunijiet li wieħed jissospetta li hemm riskji ta’ salvagwardja jew protezzjoni tat-tfal, il-minorenni għandu jiġi referut lill-awtoritajiet nazzjonali għall-protezzjoni tat-tfal u / jew mekkaniżmi nazzjonali ta' riferiment.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Lorenzo Fontana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 xml:space="preserve">Mingħajr preġudizzju għal paragrafu 3 ta' dan l-Artikolu, meta t-teħid tal-marki tas-swaba’ jew tax-xbiha tal-wiċċ ma jkunx possibbli għal ċittadini ta’ pajjiż terz li jkunu meqjusa persuni vulnerabbli u minn minuri minħabba l-kundizzjonijiet tal-marki tas-swaba' jew tal-wiċċ, l-awtoritajiet ta' dan l-Istat Membri </w:t>
            </w:r>
            <w:r>
              <w:rPr>
                <w:rFonts w:ascii="Times New Roman" w:eastAsia="Times New Roman" w:hAnsi="Times New Roman" w:cs="Times New Roman"/>
                <w:b/>
                <w:i/>
                <w:strike w:val="0"/>
                <w:color w:val="000000"/>
                <w:sz w:val="24"/>
                <w:highlight w:val="none"/>
                <w:u w:val="none" w:color="auto"/>
              </w:rPr>
              <w:t>ma għandhomx</w:t>
            </w:r>
            <w:r>
              <w:t xml:space="preserve"> jużaw sanzjonijiet </w:t>
            </w:r>
            <w:r>
              <w:rPr>
                <w:rFonts w:ascii="Times New Roman" w:eastAsia="Times New Roman" w:hAnsi="Times New Roman" w:cs="Times New Roman"/>
                <w:b/>
                <w:i/>
                <w:strike w:val="0"/>
                <w:color w:val="000000"/>
                <w:sz w:val="24"/>
                <w:highlight w:val="none"/>
                <w:u w:val="none" w:color="auto"/>
              </w:rPr>
              <w:t>biex jinfurzaw it-teħid</w:t>
            </w:r>
            <w:r>
              <w:t xml:space="preserve"> tal-marki tas-swaba’ jew tax-xbiha tal-wiċċ. L-Istati Membri jistgħu jippruvaw mill-ġdid jieħdu l-marki tas-swaba' jew ix-xbiha tal-wiċċ ta' minorenni jew persuna vulnerabbli li jirrifjutaw li jikkooperaw, meta r-raġuni għan-nuqqas ta' konformità ma tkunx relatata mal-kundizzjonijiet tas-swaba' jew ix-xbiha tal-wiċċ jew is-saħħa tal-individwu u meta jkun ġustifikat li jagħmel dan. Meta minorenni, b’mod partikolari mhux akkumpanjat jew minorenni separat jirrifjuta li jagħti l-marki tas-swaba’ jew ix-xbiha tal-wiċċ u jkun hemm raġunijiet li wieħed jissospetta li hemm riskji ta’ salvagwardja jew protezzjoni tat-tfal, il-minorenni għandu jiġi referut lill-awtoritajiet nazzjonali għall-protezzjoni tat-tfal u / jew mekkaniżmi nazzjonali ta' riferiment.</w:t>
            </w:r>
          </w:p>
        </w:tc>
        <w:tc>
          <w:tcPr/>
          <w:p>
            <w:pPr>
              <w:pStyle w:val="Normal6"/>
            </w:pPr>
            <w:r>
              <w:t>4.</w:t>
            </w:r>
            <w:r>
              <w:tab/>
            </w:r>
            <w:r>
              <w:t xml:space="preserve">Mingħajr preġudizzju għal paragrafu 3 ta' dan l-Artikolu, meta t-teħid tal-marki tas-swaba' jew tax-xbiha tal-wiċċ ma jkunx possibbli għal ċittadini ta' pajjiż terz li jkunu meqjusa persuni vulnerabbli u minn minuri minħabba l-kundizzjonijiet tal-marki tas-swaba' jew tal-wiċċ, l-awtoritajiet ta' dan l-Istat Membri </w:t>
            </w:r>
            <w:r>
              <w:rPr>
                <w:rFonts w:ascii="Times New Roman" w:eastAsia="Times New Roman" w:hAnsi="Times New Roman" w:cs="Times New Roman"/>
                <w:b/>
                <w:i/>
                <w:strike w:val="0"/>
                <w:color w:val="000000"/>
                <w:sz w:val="24"/>
                <w:highlight w:val="none"/>
                <w:u w:val="none" w:color="auto"/>
              </w:rPr>
              <w:t>għandhom</w:t>
            </w:r>
            <w:r>
              <w:t xml:space="preserve"> jużaw sanzjonijiet </w:t>
            </w:r>
            <w:r>
              <w:rPr>
                <w:rFonts w:ascii="Times New Roman" w:eastAsia="Times New Roman" w:hAnsi="Times New Roman" w:cs="Times New Roman"/>
                <w:b/>
                <w:i/>
                <w:strike w:val="0"/>
                <w:color w:val="000000"/>
                <w:sz w:val="24"/>
                <w:highlight w:val="none"/>
                <w:u w:val="none" w:color="auto"/>
              </w:rPr>
              <w:t>jekk il-persuna ma tkunx biħsiebha tissottoponi ruħha għat-teħid</w:t>
            </w:r>
            <w:r>
              <w:t xml:space="preserve"> tal-marki tas-swaba’ jew tax-xbiha tal-wiċċ. L-Istati Membri jistgħu jippruvaw mill-ġdid jieħdu l-marki tas-swaba' jew ix-xbiha tal-wiċċ ta' minorenni jew persuna vulnerabbli li jirrifjutaw li jikkooperaw, meta r-raġuni għan-nuqqas ta' konformità ma tkunx relatata mal-kundizzjonijiet tas-swaba' jew ix-xbiha tal-wiċċ jew is-saħħa tal-individwu u meta jkun ġustifikat li jagħmel dan. Meta minorenni, b'mod partikolari mhux akkumpanjat jew minorenni separat jirrifjuta li jagħti l-marki tas-swaba' jew ix-xbiha tal-wiċċ u jkun hemm raġunijiet li wieħed jissospetta li hemm riskji ta' salvagwardja jew protezzjoni tat-tfal, il-minorenni għandu jiġi referut lill-awtoritajiet nazzjonali għall-protezzjoni tat-tfal u / jew mekkaniżmi nazzjonali ta' riferiment.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Il-proċedura sabiex jittieħdu 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 xml:space="preserve">għandha tkun stabbilita u </w:t>
            </w:r>
            <w:r>
              <w:rPr>
                <w:rFonts w:ascii="Times New Roman" w:eastAsia="Times New Roman" w:hAnsi="Times New Roman" w:cs="Times New Roman"/>
                <w:b/>
                <w:i/>
                <w:strike w:val="0"/>
                <w:color w:val="000000"/>
                <w:sz w:val="24"/>
                <w:highlight w:val="none"/>
                <w:u w:val="none" w:color="auto"/>
              </w:rPr>
              <w:t>applikata f’konformità mal-prattika nazzjonali tal-Istat</w:t>
            </w:r>
            <w:r>
              <w:t xml:space="preserve"> Membru kkonċernat u f’konformità mas-salvagwardji preskritti fil-Karta tad-Drittijiet Fundamentali tal-Unjoni Ewropea, fil-Konvenzjoni għall-Protezzjoni tad-Drittijiet tal-Bniedem u tal-Libertajiet Fundamentali u fil-Konvenzjoni tan-Nazzjonijiet Uniti dwar id-Drittijiet tat-Tfal.</w:t>
            </w:r>
          </w:p>
        </w:tc>
        <w:tc>
          <w:tcPr/>
          <w:p>
            <w:pPr>
              <w:pStyle w:val="Normal6"/>
            </w:pPr>
            <w:r>
              <w:t>5.</w:t>
            </w:r>
            <w:r>
              <w:tab/>
            </w:r>
            <w:r>
              <w:t>Il-proċedura sabiex jittieħdu 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 xml:space="preserve">għandha tkun stabbilita u </w:t>
            </w:r>
            <w:r>
              <w:rPr>
                <w:rFonts w:ascii="Times New Roman" w:eastAsia="Times New Roman" w:hAnsi="Times New Roman" w:cs="Times New Roman"/>
                <w:b/>
                <w:i/>
                <w:strike w:val="0"/>
                <w:color w:val="000000"/>
                <w:sz w:val="24"/>
                <w:highlight w:val="none"/>
                <w:u w:val="none" w:color="auto"/>
              </w:rPr>
              <w:t>mmonitorjata, b'mod konġunt, mill-Aġenzija tal-Unjoni Ewropea għall-Ażil u l-FRA, abbażi tal-Lista ta' Kontroll 2015 tal-FRA</w:t>
            </w:r>
            <w:r>
              <w:rPr>
                <w:rStyle w:val="SupBoldItalic"/>
              </w:rPr>
              <w:t>1a</w:t>
            </w:r>
            <w:r>
              <w:rPr>
                <w:rFonts w:ascii="Times New Roman" w:eastAsia="Times New Roman" w:hAnsi="Times New Roman" w:cs="Times New Roman"/>
                <w:b/>
                <w:i/>
                <w:strike w:val="0"/>
                <w:color w:val="000000"/>
                <w:sz w:val="24"/>
                <w:highlight w:val="none"/>
                <w:u w:val="none" w:color="auto"/>
              </w:rPr>
              <w:t xml:space="preserve"> u applikata mill-Istat</w:t>
            </w:r>
            <w:r>
              <w:t xml:space="preserve"> Membru kkonċernat</w:t>
            </w:r>
            <w:r>
              <w:rPr>
                <w:rFonts w:ascii="Times New Roman" w:eastAsia="Times New Roman" w:hAnsi="Times New Roman" w:cs="Times New Roman"/>
                <w:b/>
                <w:i/>
                <w:strike w:val="0"/>
                <w:color w:val="000000"/>
                <w:sz w:val="24"/>
                <w:highlight w:val="none"/>
                <w:u w:val="none" w:color="auto"/>
              </w:rPr>
              <w:t xml:space="preserve"> b'rispett sħiħ lejn id-dinjità tal-bniedem</w:t>
            </w:r>
            <w:r>
              <w:t xml:space="preserve"> u f’konformità mas-salvagwardji preskritti fil-Karta tad-Drittijiet Fundamentali tal-Unjoni Ewropea, fil-Konvenzjoni għall-Protezzjoni tad-Drittijiet tal-Bniedem u tal-Libertajiet Fundamentali u fil-Konvenzjoni tan-Nazzjonijiet Uniti dwar id-Drittijiet tat-Tfal.</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_________________</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Style w:val="SupBoldItalic"/>
              </w:rPr>
              <w:t>1a</w:t>
            </w:r>
            <w:r>
              <w:t xml:space="preserve"> </w:t>
            </w:r>
            <w:r>
              <w:rPr>
                <w:rFonts w:ascii="Times New Roman" w:eastAsia="Times New Roman" w:hAnsi="Times New Roman" w:cs="Times New Roman"/>
                <w:b/>
                <w:i/>
                <w:strike w:val="0"/>
                <w:color w:val="000000"/>
                <w:sz w:val="24"/>
                <w:highlight w:val="none"/>
                <w:u w:val="none" w:color="auto"/>
              </w:rPr>
              <w:t>Lista ta' Kontroll tal-FRA sabiex ikun hemm konformità mad-drittijiet fundamentali meta jittieħdu l-marki tas-swaba' għall-Eurodac, 2015 http://fra.europa.eu/en/publication/2015/fundamental-rights-implications-obligation-provide-fingerprints-eurodac#checklist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Skont l-Artikolu 104 tar-Regoli ta' Proċedura, din l-emenda hija meħtieġa għaliex hija marbuta b'mod inseparabbli ma' emendi oħra ammissibbli relatati ma' skopijiet ulterjuri tal-Eurodac (l-Artikolu 1), relatati ma' proċedura komuni stabbilita u mmonitorjata mill-Aġenzija tal-Unjoni Ewropea għall-Ażil u l-FRA - ara l-premessa 30.</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Hilde Vautmans</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2 – 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Il-proċedura sabiex jittieħdu 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għandha tkun stabbilita u applikata f’konformità mal-prattika nazzjonali tal-Istat Membru kkonċernat</w:t>
            </w:r>
            <w:r>
              <w:rPr>
                <w:rFonts w:ascii="Times New Roman" w:eastAsia="Times New Roman" w:hAnsi="Times New Roman" w:cs="Times New Roman"/>
                <w:b/>
                <w:i/>
                <w:strike w:val="0"/>
                <w:color w:val="000000"/>
                <w:sz w:val="24"/>
                <w:highlight w:val="none"/>
                <w:u w:val="none" w:color="auto"/>
              </w:rPr>
              <w:t xml:space="preserve"> u f’konformità mas-salvagwardji</w:t>
            </w:r>
            <w:r>
              <w:t xml:space="preserve"> preskritti fil-Karta tad-Drittijiet Fundamentali tal-Unjoni Ewropea, fil-Konvenzjoni għall-Protezzjoni tad-Drittijiet tal-Bniedem u tal-Libertajiet Fundamentali u fil-Konvenzjoni tan-Nazzjonijiet Uniti dwar id-Drittijiet tat-Tfal.</w:t>
            </w:r>
          </w:p>
        </w:tc>
        <w:tc>
          <w:tcPr/>
          <w:p>
            <w:pPr>
              <w:pStyle w:val="Normal6"/>
            </w:pPr>
            <w:r>
              <w:t>5.</w:t>
            </w:r>
            <w:r>
              <w:tab/>
            </w:r>
            <w:r>
              <w:rPr>
                <w:rFonts w:ascii="Times New Roman" w:eastAsia="Times New Roman" w:hAnsi="Times New Roman" w:cs="Times New Roman"/>
                <w:b/>
                <w:i/>
                <w:strike w:val="0"/>
                <w:color w:val="000000"/>
                <w:sz w:val="24"/>
                <w:highlight w:val="none"/>
                <w:u w:val="none" w:color="auto"/>
              </w:rPr>
              <w:t xml:space="preserve">Jentħieġ li t-teħid tal-marki tas-swaba' u tax-xbiha tal-wiċċ jitwettqu b'rispett sħiħ għad-dinjità tal-bniedem. </w:t>
            </w:r>
            <w:r>
              <w:t>Il-proċedura sabiex jittieħdu l-marki tas-swaba’</w:t>
            </w:r>
            <w:r>
              <w:rPr>
                <w:rFonts w:ascii="Times New Roman" w:eastAsia="Times New Roman" w:hAnsi="Times New Roman" w:cs="Times New Roman"/>
                <w:b/>
                <w:i/>
                <w:strike w:val="0"/>
                <w:color w:val="000000"/>
                <w:sz w:val="24"/>
                <w:highlight w:val="none"/>
                <w:u w:val="none" w:color="auto"/>
              </w:rPr>
              <w:t xml:space="preserve"> </w:t>
            </w:r>
            <w:r>
              <w:t>u x-xbiha tal-wiċċ</w:t>
            </w:r>
            <w:r>
              <w:rPr>
                <w:rFonts w:ascii="Times New Roman" w:eastAsia="Times New Roman" w:hAnsi="Times New Roman" w:cs="Times New Roman"/>
                <w:b/>
                <w:i/>
                <w:strike w:val="0"/>
                <w:color w:val="000000"/>
                <w:sz w:val="24"/>
                <w:highlight w:val="none"/>
                <w:u w:val="none" w:color="auto"/>
              </w:rPr>
              <w:t xml:space="preserve"> </w:t>
            </w:r>
            <w:r>
              <w:t>għandha tkun stabbilita u applikata f’konformità mal-prattika nazzjonali tal-Istat Membru kkonċernat</w:t>
            </w:r>
            <w:r>
              <w:rPr>
                <w:rFonts w:ascii="Times New Roman" w:eastAsia="Times New Roman" w:hAnsi="Times New Roman" w:cs="Times New Roman"/>
                <w:b/>
                <w:i/>
                <w:strike w:val="0"/>
                <w:color w:val="000000"/>
                <w:sz w:val="24"/>
                <w:highlight w:val="none"/>
                <w:u w:val="none" w:color="auto"/>
              </w:rPr>
              <w:t>, f'konformità mal-approċċ komuni deskritt fl-Anness ta' dan ir-Regolament, u b'osservanza tad-dispożizzjonijiet ta' salvagwardja</w:t>
            </w:r>
            <w:r>
              <w:t xml:space="preserve"> preskritti fil-Karta tad-Drittijiet Fundamentali tal-Unjoni Ewropea, fil-Konvenzjoni għall-Protezzjoni tad-Drittijiet tal-Bniedem u tal-Libertajiet Fundamentali u fil-Konvenzjoni tan-Nazzjonijiet Uniti dwar id-Drittijiet tat-Tfal.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Ir-riżultati ta' stħarriġ juru li xi Stati Membri jawtorizzaw ir-rikors għad-detenzjoni sabiex jiżguraw ruħhom li l-migranti jagħtu l-marki tas-swaba tagħhom, xi wħud jawtorizzaw l-użu ta' livell proporzjonat ta' sfurzar, filwaqt li oħrajn ma jużaw la d-detenzjoni u lanqas l-isfurzar. Għalhekk huwa neċessarju li jiġu armonizzati l-prattiki eżistenti sabiex ikun żgurat li l-obbligi tagħhom skont ir-Regolament Eurodac jiġu sodisfatti bl-istess livell ta' garanziji. Approċċ komuni żviluppat mill-Kummissjoni fid-dokument SWD(2015)150 final.</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aa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(aa)</w:t>
            </w:r>
            <w:r>
              <w:tab/>
            </w:r>
            <w:r>
              <w:rPr>
                <w:rFonts w:ascii="Times New Roman" w:eastAsia="Times New Roman" w:hAnsi="Times New Roman" w:cs="Times New Roman"/>
                <w:b/>
                <w:i/>
                <w:strike w:val="0"/>
                <w:color w:val="000000"/>
                <w:sz w:val="24"/>
                <w:highlight w:val="none"/>
                <w:u w:val="none" w:color="auto"/>
              </w:rPr>
              <w:t>"ċittadin ta' pajjiż terz jew persuna apolida li għalihom Stat Membru bi ħsiebu jeżegwixxi proċedura ta' risistemazzjoni" tfisser ċittadin ta' pajjiż terz jew persuna apolida li Stat Membru jkun bdiet proċedura ta' risistemazzjoni kontrihom f'konformità mal-Artikolu 10(2) tar-Regolament XXX/XXX.</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din l-emenda għandha l-għan li żżid id-definizzjoni tal-kategorija l-ġdida ta' persuni li qed jiġi propost li d-data dwarhom tiġi rreġistrata fl-Eurodac. Għalhekk huwa neċessarji, hawnhekk, li ssir referenza għar-Regolament XXX/XXX.</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b– punt i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(ia)</w:t>
            </w:r>
            <w:r>
              <w:tab/>
            </w:r>
            <w:r>
              <w:rPr>
                <w:rFonts w:ascii="Times New Roman" w:eastAsia="Times New Roman" w:hAnsi="Times New Roman" w:cs="Times New Roman"/>
                <w:b/>
                <w:i/>
                <w:strike w:val="0"/>
                <w:color w:val="000000"/>
                <w:sz w:val="24"/>
                <w:highlight w:val="none"/>
                <w:u w:val="none" w:color="auto"/>
              </w:rPr>
              <w:t>fil-każ ta' persuna koperta bl-Artikolu 12(a), l-Istat Membru li jittrażmetti d-data ta' natura personali lis-Sistema Ċentrali u li jirċievi r-riżultati tat-tqabbil;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din l-emenda hija relatata mal-proposta ta’ żieda ta' kategorija ġdida (il-Kapitolu IIa ġdid) u għandha l-għan li tiżgura l-koerenza tat-test fir-rigward ta' din iż-żieda.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(d)</w:t>
            </w:r>
            <w:r>
              <w:tab/>
            </w:r>
            <w:r>
              <w:t xml:space="preserve">"permanenza </w:t>
            </w:r>
            <w:r>
              <w:rPr>
                <w:rFonts w:ascii="Times New Roman" w:eastAsia="Times New Roman" w:hAnsi="Times New Roman" w:cs="Times New Roman"/>
                <w:b/>
                <w:i/>
                <w:strike w:val="0"/>
                <w:color w:val="000000"/>
                <w:sz w:val="24"/>
                <w:highlight w:val="none"/>
                <w:u w:val="none" w:color="auto"/>
              </w:rPr>
              <w:t>illegali</w:t>
            </w:r>
            <w:r>
              <w:t>" tfisser il-preżenza fit-territorju ta’ Stat Membru, ta' ċittadin ta' pajjiż terz li ma jissodisfax, jew li ma għadux jissodisfa l-kundizzjonijiet tad-dħul kif stabbiliti fl-Artikolu 5 tal-Kodiċi tal-Fruntieri ta’ Schengen jew kundizzjonijiet oħra għad-dħul, permanenza jew residenza f'dan l-Istat Membri;</w:t>
            </w:r>
          </w:p>
        </w:tc>
        <w:tc>
          <w:tcPr/>
          <w:p>
            <w:pPr>
              <w:pStyle w:val="Normal6"/>
            </w:pPr>
            <w:r>
              <w:t>(d)</w:t>
            </w:r>
            <w:r>
              <w:tab/>
            </w:r>
            <w:r>
              <w:t xml:space="preserve">"permanenza </w:t>
            </w:r>
            <w:r>
              <w:rPr>
                <w:rFonts w:ascii="Times New Roman" w:eastAsia="Times New Roman" w:hAnsi="Times New Roman" w:cs="Times New Roman"/>
                <w:b/>
                <w:i/>
                <w:strike w:val="0"/>
                <w:color w:val="000000"/>
                <w:sz w:val="24"/>
                <w:highlight w:val="none"/>
                <w:u w:val="none" w:color="auto"/>
              </w:rPr>
              <w:t>irregolari</w:t>
            </w:r>
            <w:r>
              <w:t>" tfisser il-preżenza fit-territorju ta’ Stat Membru, ta' ċittadin ta' pajjiż terz li ma jissodisfax, jew li ma għadux jissodisfa l-kundizzjonijiet tad-dħul kif stabbiliti fl-Artikolu 5 tal-Kodiċi tal-Fruntieri ta’ Schengen jew kundizzjonijiet oħra għad-dħul, permanenza jew residenza f'dan l-Istat Membri;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199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(d)</w:t>
            </w:r>
            <w:r>
              <w:tab/>
            </w:r>
            <w:r>
              <w:t xml:space="preserve">"permanenza </w:t>
            </w:r>
            <w:r>
              <w:rPr>
                <w:rFonts w:ascii="Times New Roman" w:eastAsia="Times New Roman" w:hAnsi="Times New Roman" w:cs="Times New Roman"/>
                <w:b/>
                <w:i/>
                <w:strike w:val="0"/>
                <w:color w:val="000000"/>
                <w:sz w:val="24"/>
                <w:highlight w:val="none"/>
                <w:u w:val="none" w:color="auto"/>
              </w:rPr>
              <w:t>illegali</w:t>
            </w:r>
            <w:r>
              <w:t>" tfisser il-preżenza fit-territorju ta’ Stat Membru, ta' ċittadin ta' pajjiż terz li ma jissodisfax, jew li ma għadux jissodisfa l-kundizzjonijiet tad-dħul kif stabbiliti fl-Artikolu 5 tal-Kodiċi tal-Fruntieri ta’ Schengen jew kundizzjonijiet oħra għad-dħul, permanenza jew residenza f'dan l-Istat Membri;</w:t>
            </w:r>
          </w:p>
        </w:tc>
        <w:tc>
          <w:tcPr/>
          <w:p>
            <w:pPr>
              <w:pStyle w:val="Normal6"/>
            </w:pPr>
            <w:r>
              <w:t>(d)</w:t>
            </w:r>
            <w:r>
              <w:tab/>
            </w:r>
            <w:r>
              <w:t xml:space="preserve">"permanenza </w:t>
            </w:r>
            <w:r>
              <w:rPr>
                <w:rFonts w:ascii="Times New Roman" w:eastAsia="Times New Roman" w:hAnsi="Times New Roman" w:cs="Times New Roman"/>
                <w:b/>
                <w:i/>
                <w:strike w:val="0"/>
                <w:color w:val="000000"/>
                <w:sz w:val="24"/>
                <w:highlight w:val="none"/>
                <w:u w:val="none" w:color="auto"/>
              </w:rPr>
              <w:t>irregolari</w:t>
            </w:r>
            <w:r>
              <w:t>" tfisser il-preżenza fit-territorju ta’ Stat Membru, ta' ċittadin ta' pajjiż terz li ma jissodisfax, jew li ma għadux jissodisfa l-kundizzjonijiet tad-dħul kif stabbiliti fl-Artikolu 5 tal-Kodiċi tal-Fruntieri ta’ Schengen jew kundizzjonijiet oħra għad-dħul, permanenza jew residenza f'dan l-Istat Membri;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Italic"/>
            </w:pPr>
            <w:r>
              <w:t>(Din l-emenda tapplika għat-test leġiżlattiv kollu li qed jiġi eżaminat. L-adozzjoni tagħha timponi adattamenti tekniċi fit-test kollu.)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(d)</w:t>
            </w:r>
            <w:r>
              <w:tab/>
            </w:r>
            <w:r>
              <w:t xml:space="preserve">"permanenza illegali" tfisser il-preżenza fit-territorju ta’ Stat Membru, ta' ċittadin ta' pajjiż terz li ma </w:t>
            </w:r>
            <w:r>
              <w:rPr>
                <w:rFonts w:ascii="Times New Roman" w:eastAsia="Times New Roman" w:hAnsi="Times New Roman" w:cs="Times New Roman"/>
                <w:b/>
                <w:i/>
                <w:strike w:val="0"/>
                <w:color w:val="000000"/>
                <w:sz w:val="24"/>
                <w:highlight w:val="none"/>
                <w:u w:val="none" w:color="auto"/>
              </w:rPr>
              <w:t>jissodisfax</w:t>
            </w:r>
            <w:r>
              <w:t xml:space="preserve">, jew li ma </w:t>
            </w:r>
            <w:r>
              <w:rPr>
                <w:rFonts w:ascii="Times New Roman" w:eastAsia="Times New Roman" w:hAnsi="Times New Roman" w:cs="Times New Roman"/>
                <w:b/>
                <w:i/>
                <w:strike w:val="0"/>
                <w:color w:val="000000"/>
                <w:sz w:val="24"/>
                <w:highlight w:val="none"/>
                <w:u w:val="none" w:color="auto"/>
              </w:rPr>
              <w:t>għadux jissodisfa</w:t>
            </w:r>
            <w:r>
              <w:t xml:space="preserve"> l-kundizzjonijiet tad-dħul kif stabbiliti fl-Artikolu 5 tal-Kodiċi tal-Fruntieri ta’ Schengen jew kundizzjonijiet oħra għad-dħul, permanenza jew residenza f'dan l-Istat </w:t>
            </w:r>
            <w:r>
              <w:rPr>
                <w:rFonts w:ascii="Times New Roman" w:eastAsia="Times New Roman" w:hAnsi="Times New Roman" w:cs="Times New Roman"/>
                <w:b/>
                <w:i/>
                <w:strike w:val="0"/>
                <w:color w:val="000000"/>
                <w:sz w:val="24"/>
                <w:highlight w:val="none"/>
                <w:u w:val="none" w:color="auto"/>
              </w:rPr>
              <w:t>Membri</w:t>
            </w:r>
            <w:r>
              <w:t>;</w:t>
            </w:r>
          </w:p>
        </w:tc>
        <w:tc>
          <w:tcPr/>
          <w:p>
            <w:pPr>
              <w:pStyle w:val="Normal6"/>
            </w:pPr>
            <w:r>
              <w:t>(d)</w:t>
            </w:r>
            <w:r>
              <w:tab/>
            </w:r>
            <w:r>
              <w:t xml:space="preserve">"permanenza illegali" tfisser il-preżenza fit-territorju ta’ Stat Membru, ta' ċittadin ta' pajjiż terz </w:t>
            </w:r>
            <w:r>
              <w:rPr>
                <w:rFonts w:ascii="Times New Roman" w:eastAsia="Times New Roman" w:hAnsi="Times New Roman" w:cs="Times New Roman"/>
                <w:b/>
                <w:i/>
                <w:strike w:val="0"/>
                <w:color w:val="000000"/>
                <w:sz w:val="24"/>
                <w:highlight w:val="none"/>
                <w:u w:val="none" w:color="auto"/>
              </w:rPr>
              <w:t xml:space="preserve">jew persuna apolida </w:t>
            </w:r>
            <w:r>
              <w:t xml:space="preserve">li ma </w:t>
            </w:r>
            <w:r>
              <w:rPr>
                <w:rFonts w:ascii="Times New Roman" w:eastAsia="Times New Roman" w:hAnsi="Times New Roman" w:cs="Times New Roman"/>
                <w:b/>
                <w:i/>
                <w:strike w:val="0"/>
                <w:color w:val="000000"/>
                <w:sz w:val="24"/>
                <w:highlight w:val="none"/>
                <w:u w:val="none" w:color="auto"/>
              </w:rPr>
              <w:t>tissodisfax</w:t>
            </w:r>
            <w:r>
              <w:t xml:space="preserve">, jew li ma </w:t>
            </w:r>
            <w:r>
              <w:rPr>
                <w:rFonts w:ascii="Times New Roman" w:eastAsia="Times New Roman" w:hAnsi="Times New Roman" w:cs="Times New Roman"/>
                <w:b/>
                <w:i/>
                <w:strike w:val="0"/>
                <w:color w:val="000000"/>
                <w:sz w:val="24"/>
                <w:highlight w:val="none"/>
                <w:u w:val="none" w:color="auto"/>
              </w:rPr>
              <w:t>għadhiex tissodisfa</w:t>
            </w:r>
            <w:r>
              <w:t xml:space="preserve"> l-kundizzjonijiet tad-dħul kif stabbiliti fl-Artikolu 5 tal-Kodiċi tal-Fruntieri ta’ Schengen jew kundizzjonijiet oħra għad-dħul, permanenza jew residenza f'dan l-Istat </w:t>
            </w:r>
            <w:r>
              <w:rPr>
                <w:rFonts w:ascii="Times New Roman" w:eastAsia="Times New Roman" w:hAnsi="Times New Roman" w:cs="Times New Roman"/>
                <w:b/>
                <w:i/>
                <w:strike w:val="0"/>
                <w:color w:val="000000"/>
                <w:sz w:val="24"/>
                <w:highlight w:val="none"/>
                <w:u w:val="none" w:color="auto"/>
              </w:rPr>
              <w:t>Membru</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f</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(f)</w:t>
            </w:r>
            <w:r>
              <w:tab/>
            </w:r>
            <w:r>
              <w:t>"hit" tfisser l-eżistenza ta' tqabbila jew tqabbil stabbilit mis-Sistema Ċentrali permezz ta' tqabbil bejn informazzjoni dwar marki tas-swaba’ rreġistrata fil-bażi tad-data ċentrali kompjuterizzata u dawk trażmessi minn Stat Membru fir-rigward ta' persuna, mingħajr preġudizzju għall-ħtieġa li Stati Membri jiċċekkjaw immedjatament ir-riżultati tat-tqabbil skont l-Artikolu 26(4);</w:t>
            </w:r>
          </w:p>
        </w:tc>
        <w:tc>
          <w:tcPr/>
          <w:p>
            <w:pPr>
              <w:pStyle w:val="Normal6"/>
            </w:pPr>
            <w:r>
              <w:t>(f)</w:t>
            </w:r>
            <w:r>
              <w:tab/>
            </w:r>
            <w:r>
              <w:t xml:space="preserve">"hit" tfisser l-eżistenza ta' tqabbila jew tqabbil stabbilit mis-Sistema Ċentrali permezz ta' tqabbil bejn informazzjoni dwar marki tas-swaba’ </w:t>
            </w:r>
            <w:r>
              <w:rPr>
                <w:rFonts w:ascii="Times New Roman" w:eastAsia="Times New Roman" w:hAnsi="Times New Roman" w:cs="Times New Roman"/>
                <w:b/>
                <w:i/>
                <w:strike w:val="0"/>
                <w:color w:val="000000"/>
                <w:sz w:val="24"/>
                <w:highlight w:val="none"/>
                <w:u w:val="none" w:color="auto"/>
              </w:rPr>
              <w:t xml:space="preserve">u xbiha tal-wiċċ </w:t>
            </w:r>
            <w:r>
              <w:t>rreġistrata fil-bażi tad-data ċentrali kompjuterizzata u dawk trażmessi minn Stat Membru fir-rigward ta' persuna, mingħajr preġudizzju għall-ħtieġa li Stati Membri jiċċekkjaw immedjatament ir-riżultati tat-tqabbil skont l-Artikolu 26(4);</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Korrezzjoni tal-proposta tal-Kummissjoni li ma żżidx fil-postijiet kollha meħtieġa kemm "il-marki tas-swaba'" kif ukoll "ix-xbiha tal-wiċċ", b'dan konformi mal-obbligu kif imsemmi fl-Artikolu 2.</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i</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(i)</w:t>
            </w:r>
            <w:r>
              <w:tab/>
            </w:r>
            <w:r>
              <w:rPr>
                <w:rFonts w:ascii="Times New Roman" w:eastAsia="Times New Roman" w:hAnsi="Times New Roman" w:cs="Times New Roman"/>
                <w:b/>
                <w:i/>
                <w:strike w:val="0"/>
                <w:color w:val="000000"/>
                <w:sz w:val="24"/>
                <w:highlight w:val="none"/>
                <w:u w:val="none" w:color="auto"/>
              </w:rPr>
              <w:t>"Europol" tfisser l-Uffiċċju Ewropew tal-Pulizija kif stabbilit bid-Deċiżjoni 2009/371/ĠAI;</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 The rapporteur has opened up this part of the regulation in order to give Europol direct access to the Eurodac database. 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j</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(j)</w:t>
            </w:r>
            <w:r>
              <w:tab/>
            </w:r>
            <w:r>
              <w:t>"</w:t>
            </w:r>
            <w:r>
              <w:rPr>
                <w:rFonts w:ascii="Times New Roman" w:eastAsia="Times New Roman" w:hAnsi="Times New Roman" w:cs="Times New Roman"/>
                <w:b/>
                <w:i/>
                <w:strike w:val="0"/>
                <w:color w:val="000000"/>
                <w:sz w:val="24"/>
                <w:highlight w:val="none"/>
                <w:u w:val="none" w:color="auto"/>
              </w:rPr>
              <w:t>data tal-Eurodac</w:t>
            </w:r>
            <w:r>
              <w:t>" tfisser</w:t>
            </w:r>
            <w:r>
              <w:rPr>
                <w:rFonts w:ascii="Times New Roman" w:eastAsia="Times New Roman" w:hAnsi="Times New Roman" w:cs="Times New Roman"/>
                <w:b/>
                <w:i/>
                <w:strike w:val="0"/>
                <w:color w:val="000000"/>
                <w:sz w:val="24"/>
                <w:highlight w:val="none"/>
                <w:u w:val="none" w:color="auto"/>
              </w:rPr>
              <w:t xml:space="preserve"> </w:t>
            </w:r>
            <w:r>
              <w:t xml:space="preserve">id-data kollha maħżuna fis-Sistema Ċentrali </w:t>
            </w:r>
            <w:r>
              <w:rPr>
                <w:rFonts w:ascii="Times New Roman" w:eastAsia="Times New Roman" w:hAnsi="Times New Roman" w:cs="Times New Roman"/>
                <w:b/>
                <w:i/>
                <w:strike w:val="0"/>
                <w:color w:val="000000"/>
                <w:sz w:val="24"/>
                <w:highlight w:val="none"/>
                <w:u w:val="none" w:color="auto"/>
              </w:rPr>
              <w:t>taħt l-Artikolu</w:t>
            </w:r>
            <w:r>
              <w:t xml:space="preserve"> 12, l-Artikolu </w:t>
            </w:r>
            <w:r>
              <w:rPr>
                <w:rFonts w:ascii="Times New Roman" w:eastAsia="Times New Roman" w:hAnsi="Times New Roman" w:cs="Times New Roman"/>
                <w:b/>
                <w:i/>
                <w:strike w:val="0"/>
                <w:color w:val="000000"/>
                <w:sz w:val="24"/>
                <w:highlight w:val="none"/>
                <w:u w:val="none" w:color="auto"/>
              </w:rPr>
              <w:t>13(2)  </w:t>
            </w:r>
            <w:r>
              <w:t>u l-Artikolu 14(2)</w:t>
            </w:r>
            <w:r>
              <w:rPr>
                <w:rFonts w:ascii="Times New Roman" w:eastAsia="Times New Roman" w:hAnsi="Times New Roman" w:cs="Times New Roman"/>
                <w:b/>
                <w:i/>
                <w:strike w:val="0"/>
                <w:color w:val="000000"/>
                <w:sz w:val="24"/>
                <w:highlight w:val="none"/>
                <w:u w:val="none" w:color="auto"/>
              </w:rPr>
              <w:t xml:space="preserve">  </w:t>
            </w:r>
            <w:r>
              <w:t>;</w:t>
            </w:r>
          </w:p>
        </w:tc>
        <w:tc>
          <w:tcPr/>
          <w:p>
            <w:pPr>
              <w:pStyle w:val="Normal6"/>
            </w:pPr>
            <w:r>
              <w:t>(j)</w:t>
            </w:r>
            <w:r>
              <w:tab/>
            </w:r>
            <w:r>
              <w:t>"</w:t>
            </w:r>
            <w:r>
              <w:rPr>
                <w:rFonts w:ascii="Times New Roman" w:eastAsia="Times New Roman" w:hAnsi="Times New Roman" w:cs="Times New Roman"/>
                <w:b/>
                <w:i/>
                <w:strike w:val="0"/>
                <w:color w:val="000000"/>
                <w:sz w:val="24"/>
                <w:highlight w:val="none"/>
                <w:u w:val="none" w:color="auto"/>
              </w:rPr>
              <w:t>id-data fil-Eurodac</w:t>
            </w:r>
            <w:r>
              <w:t>" tfisser</w:t>
            </w:r>
            <w:r>
              <w:rPr>
                <w:rFonts w:ascii="Times New Roman" w:eastAsia="Times New Roman" w:hAnsi="Times New Roman" w:cs="Times New Roman"/>
                <w:b/>
                <w:i/>
                <w:strike w:val="0"/>
                <w:color w:val="000000"/>
                <w:sz w:val="24"/>
                <w:highlight w:val="none"/>
                <w:u w:val="none" w:color="auto"/>
              </w:rPr>
              <w:t xml:space="preserve"> </w:t>
            </w:r>
            <w:r>
              <w:t xml:space="preserve">id-data kollha maħżuna fis-Sistema Ċentrali </w:t>
            </w:r>
            <w:r>
              <w:rPr>
                <w:rFonts w:ascii="Times New Roman" w:eastAsia="Times New Roman" w:hAnsi="Times New Roman" w:cs="Times New Roman"/>
                <w:b/>
                <w:i/>
                <w:strike w:val="0"/>
                <w:color w:val="000000"/>
                <w:sz w:val="24"/>
                <w:highlight w:val="none"/>
                <w:u w:val="none" w:color="auto"/>
              </w:rPr>
              <w:t>f'konformità mal-Artikolu</w:t>
            </w:r>
            <w:r>
              <w:t> 12, l-Artikolu </w:t>
            </w:r>
            <w:r>
              <w:rPr>
                <w:rFonts w:ascii="Times New Roman" w:eastAsia="Times New Roman" w:hAnsi="Times New Roman" w:cs="Times New Roman"/>
                <w:b/>
                <w:i/>
                <w:strike w:val="0"/>
                <w:color w:val="000000"/>
                <w:sz w:val="24"/>
                <w:highlight w:val="none"/>
                <w:u w:val="none" w:color="auto"/>
              </w:rPr>
              <w:t xml:space="preserve">12(a), l-Artikolu 13(2) </w:t>
            </w:r>
            <w:r>
              <w:t>u l-Artikolu 14(2);</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din l-emenda hija relatata mal-proposta ta’ żieda ta' kategorija ġdida (il-Kapitolu IIa ġdid) u għandha l-għan li tiżgura l-koerenza tat-test fir-rigward ta' din iż-żieda.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j</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(j)</w:t>
            </w:r>
            <w:r>
              <w:tab/>
            </w:r>
            <w:r>
              <w:t>"data tal-Eurodac" tfisser id-data kollha maħżuna fis-Sistema Ċentrali taħt l-Artikolu 12</w:t>
            </w:r>
            <w:r>
              <w:rPr>
                <w:rFonts w:ascii="Times New Roman" w:eastAsia="Times New Roman" w:hAnsi="Times New Roman" w:cs="Times New Roman"/>
                <w:b/>
                <w:i/>
                <w:strike w:val="0"/>
                <w:color w:val="000000"/>
                <w:sz w:val="24"/>
                <w:highlight w:val="none"/>
                <w:u w:val="none" w:color="auto"/>
              </w:rPr>
              <w:t>, l-Artikolu 13(2)  </w:t>
            </w:r>
            <w:r>
              <w:t xml:space="preserve">u l-Artikolu </w:t>
            </w:r>
            <w:r>
              <w:rPr>
                <w:rFonts w:ascii="Times New Roman" w:eastAsia="Times New Roman" w:hAnsi="Times New Roman" w:cs="Times New Roman"/>
                <w:b/>
                <w:i/>
                <w:strike w:val="0"/>
                <w:color w:val="000000"/>
                <w:sz w:val="24"/>
                <w:highlight w:val="none"/>
                <w:u w:val="none" w:color="auto"/>
              </w:rPr>
              <w:t xml:space="preserve">14(2)  </w:t>
            </w:r>
            <w:r>
              <w:t>;</w:t>
            </w:r>
          </w:p>
        </w:tc>
        <w:tc>
          <w:tcPr/>
          <w:p>
            <w:pPr>
              <w:pStyle w:val="Normal6"/>
            </w:pPr>
            <w:r>
              <w:t>(j)</w:t>
            </w:r>
            <w:r>
              <w:tab/>
            </w:r>
            <w:r>
              <w:t>"data tal-Eurodac" tfisser id-data kollha maħżuna fis-Sistema Ċentrali taħt l-Artikolu 12</w:t>
            </w:r>
            <w:r>
              <w:rPr>
                <w:rFonts w:ascii="Times New Roman" w:eastAsia="Times New Roman" w:hAnsi="Times New Roman" w:cs="Times New Roman"/>
                <w:b/>
                <w:i/>
                <w:strike w:val="0"/>
                <w:color w:val="000000"/>
                <w:sz w:val="24"/>
                <w:highlight w:val="none"/>
                <w:u w:val="none" w:color="auto"/>
              </w:rPr>
              <w:t xml:space="preserve"> </w:t>
            </w:r>
            <w:r>
              <w:t xml:space="preserve">u l-Artikolu </w:t>
            </w:r>
            <w:r>
              <w:rPr>
                <w:rFonts w:ascii="Times New Roman" w:eastAsia="Times New Roman" w:hAnsi="Times New Roman" w:cs="Times New Roman"/>
                <w:b/>
                <w:i/>
                <w:strike w:val="0"/>
                <w:color w:val="000000"/>
                <w:sz w:val="24"/>
                <w:highlight w:val="none"/>
                <w:u w:val="none" w:color="auto"/>
              </w:rPr>
              <w:t>13(2)</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ammissibbli peress li hija marbuta b'mod inseparabbli mal-emendi ammissibbli li jħassru l-Artikoli 14(1), 14(2), 14(4), 14(5) u 14(6)</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Marina Albiol Guzmán</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k</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(k)</w:t>
            </w:r>
            <w:r>
              <w:tab/>
            </w:r>
            <w:r>
              <w:rPr>
                <w:rFonts w:ascii="Times New Roman" w:eastAsia="Times New Roman" w:hAnsi="Times New Roman" w:cs="Times New Roman"/>
                <w:b/>
                <w:i/>
                <w:strike w:val="0"/>
                <w:color w:val="000000"/>
                <w:sz w:val="24"/>
                <w:highlight w:val="none"/>
                <w:u w:val="none" w:color="auto"/>
              </w:rPr>
              <w:t>"infurzar tal-liġi" tfisser il-prevenzjoni, ir-rintraċċar jew l-investigazzjoni ta reati terroristiċi jew ta' reati kriminali serji oħra;</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 The rapporteur has opened up this part of the regulation in order to give Europol direct access to the Eurodac database. 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t xml:space="preserve">, </w:t>
      </w:r>
      <w:r>
        <w:t>Jeroen Lenaers</w:t>
      </w:r>
      <w:r>
        <w:t xml:space="preserve">, </w:t>
      </w:r>
      <w:r>
        <w:t>Rachida Dati</w:t>
      </w:r>
      <w:r>
        <w:t xml:space="preserve">, </w:t>
      </w:r>
      <w:r>
        <w:t>Brice Hortefeux</w:t>
      </w:r>
      <w:r>
        <w:t xml:space="preserve">, </w:t>
      </w:r>
      <w:r>
        <w:t>Mariya Gabriel</w:t>
      </w:r>
      <w:r>
        <w:t xml:space="preserve">, </w:t>
      </w:r>
      <w:r>
        <w:t>Monika Hohlmeier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k</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(k)</w:t>
            </w:r>
            <w:r>
              <w:tab/>
            </w:r>
            <w:r>
              <w:t>"infurzar tal-liġi" tfisser il-prevenzjoni, ir-rintraċċar</w:t>
            </w:r>
            <w:r>
              <w:rPr>
                <w:rFonts w:ascii="Times New Roman" w:eastAsia="Times New Roman" w:hAnsi="Times New Roman" w:cs="Times New Roman"/>
                <w:b/>
                <w:i/>
                <w:strike w:val="0"/>
                <w:color w:val="000000"/>
                <w:sz w:val="24"/>
                <w:highlight w:val="none"/>
                <w:u w:val="none" w:color="auto"/>
              </w:rPr>
              <w:t xml:space="preserve"> jew l-investigazzjoni ta</w:t>
            </w:r>
            <w:r>
              <w:t xml:space="preserve"> reati terroristiċi jew ta' reati kriminali serji oħra;</w:t>
            </w:r>
          </w:p>
        </w:tc>
        <w:tc>
          <w:tcPr/>
          <w:p>
            <w:pPr>
              <w:pStyle w:val="Normal6"/>
            </w:pPr>
            <w:r>
              <w:t>(k)</w:t>
            </w:r>
            <w:r>
              <w:tab/>
            </w:r>
            <w:r>
              <w:t>"infurzar tal-liġi" tfisser il-prevenzjoni, ir-rintraċċar</w:t>
            </w:r>
            <w:r>
              <w:rPr>
                <w:rFonts w:ascii="Times New Roman" w:eastAsia="Times New Roman" w:hAnsi="Times New Roman" w:cs="Times New Roman"/>
                <w:b/>
                <w:i/>
                <w:strike w:val="0"/>
                <w:color w:val="000000"/>
                <w:sz w:val="24"/>
                <w:highlight w:val="none"/>
                <w:u w:val="none" w:color="auto"/>
              </w:rPr>
              <w:t>, l-investigazzjoni jew il-prosekuzzjoni ta'</w:t>
            </w:r>
            <w:r>
              <w:t xml:space="preserve"> reati terroristiċi jew ta' reati kriminali serji oħra;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 atapplika għat-test kollu u hija konformi maż-żieda tal-paragrafu (c) ġdid tal-Artikolu (1).</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l</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(l)</w:t>
            </w:r>
            <w:r>
              <w:tab/>
            </w:r>
            <w:r>
              <w:rPr>
                <w:rFonts w:ascii="Times New Roman" w:eastAsia="Times New Roman" w:hAnsi="Times New Roman" w:cs="Times New Roman"/>
                <w:b/>
                <w:i/>
                <w:strike w:val="0"/>
                <w:color w:val="000000"/>
                <w:sz w:val="24"/>
                <w:highlight w:val="none"/>
                <w:u w:val="none" w:color="auto"/>
              </w:rPr>
              <w:t>“reati terroristiċi” tfisser ir-reati taħt il-liġi nazzjonali li jikkorrispondu jew huma ekwivalenti għal dawk imsemmija fl-Artikoli minn 1 sa 4 tad-Deċiżjoni Qafas 2002/475/ĠAI;</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 The rapporteur has opened up this part of the regulation in order to give Europol direct access to the Eurodac database. 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t xml:space="preserve">, </w:t>
      </w:r>
      <w:r>
        <w:t>Jeroen Lenaers</w:t>
      </w:r>
      <w:r>
        <w:t xml:space="preserve">, </w:t>
      </w:r>
      <w:r>
        <w:t>Rachida Dati</w:t>
      </w:r>
      <w:r>
        <w:t xml:space="preserve">, </w:t>
      </w:r>
      <w:r>
        <w:t>Brice Hortefeux</w:t>
      </w:r>
      <w:r>
        <w:t xml:space="preserve">, </w:t>
      </w:r>
      <w:r>
        <w:t>Mariya Gabriel</w:t>
      </w:r>
      <w:r>
        <w:t xml:space="preserve">, </w:t>
      </w:r>
      <w:r>
        <w:t>Artis Pabriks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l</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(l)</w:t>
            </w:r>
            <w:r>
              <w:tab/>
            </w:r>
            <w:r>
              <w:t xml:space="preserve">“reati terroristiċi” tfisser ir-reati </w:t>
            </w:r>
            <w:r>
              <w:rPr>
                <w:rFonts w:ascii="Times New Roman" w:eastAsia="Times New Roman" w:hAnsi="Times New Roman" w:cs="Times New Roman"/>
                <w:b/>
                <w:i/>
                <w:strike w:val="0"/>
                <w:color w:val="000000"/>
                <w:sz w:val="24"/>
                <w:highlight w:val="none"/>
                <w:u w:val="none" w:color="auto"/>
              </w:rPr>
              <w:t>taħt il-liġi nazzjonali li jikkorrispondu jew huma ekwivalenti għal dawk imsemmija fl-Artikoli minn 1 sa 4 tad-Deċiżjoni</w:t>
            </w:r>
            <w:r>
              <w:t xml:space="preserve"> Qafas 2002/475/ĠAI</w:t>
            </w:r>
            <w:r>
              <w:rPr>
                <w:rFonts w:ascii="Times New Roman" w:eastAsia="Times New Roman" w:hAnsi="Times New Roman" w:cs="Times New Roman"/>
                <w:b/>
                <w:i/>
                <w:strike w:val="0"/>
                <w:color w:val="000000"/>
                <w:sz w:val="24"/>
                <w:highlight w:val="none"/>
                <w:u w:val="none" w:color="auto"/>
              </w:rPr>
              <w:t>;</w:t>
            </w:r>
          </w:p>
        </w:tc>
        <w:tc>
          <w:tcPr/>
          <w:p>
            <w:pPr>
              <w:pStyle w:val="Normal6"/>
            </w:pPr>
            <w:r>
              <w:t>(l)</w:t>
            </w:r>
            <w:r>
              <w:tab/>
            </w:r>
            <w:r>
              <w:t xml:space="preserve">“reati terroristiċi” tfisser ir-reati </w:t>
            </w:r>
            <w:r>
              <w:rPr>
                <w:rFonts w:ascii="Times New Roman" w:eastAsia="Times New Roman" w:hAnsi="Times New Roman" w:cs="Times New Roman"/>
                <w:b/>
                <w:i/>
                <w:strike w:val="0"/>
                <w:color w:val="000000"/>
                <w:sz w:val="24"/>
                <w:highlight w:val="none"/>
                <w:u w:val="none" w:color="auto"/>
              </w:rPr>
              <w:t>msemmija fl-Artikoli 3 sa 12 tad-Direttiva (EU) 2017/... tal-Parlament Ewropew u tal-Kunsill [dwar il-ġlieda kontra t-terroriżmu u li tissostitwixxi d-Deċiżjoni</w:t>
            </w:r>
            <w:r>
              <w:t xml:space="preserve"> Qafas </w:t>
            </w:r>
            <w:r>
              <w:rPr>
                <w:rFonts w:ascii="Times New Roman" w:eastAsia="Times New Roman" w:hAnsi="Times New Roman" w:cs="Times New Roman"/>
                <w:b/>
                <w:i/>
                <w:strike w:val="0"/>
                <w:color w:val="000000"/>
                <w:sz w:val="24"/>
                <w:highlight w:val="none"/>
                <w:u w:val="none" w:color="auto"/>
              </w:rPr>
              <w:t xml:space="preserve">tal-Kunsill </w:t>
            </w:r>
            <w:r>
              <w:t>2002/475/ĠAI</w:t>
            </w:r>
            <w:r>
              <w:rPr>
                <w:rFonts w:ascii="Times New Roman" w:eastAsia="Times New Roman" w:hAnsi="Times New Roman" w:cs="Times New Roman"/>
                <w:b/>
                <w:i/>
                <w:strike w:val="0"/>
                <w:color w:val="000000"/>
                <w:sz w:val="24"/>
                <w:highlight w:val="none"/>
                <w:u w:val="none" w:color="auto"/>
              </w:rPr>
              <w:t xml:space="preserve"> u li temenda d-Deċiżjoni tal-Kunsill 2005/671/ĠAI].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Dispożizzjonijiet tad-Deċiżjoni Qafas 2002/475/ĠAI kienu integrati fid-direttiva l-ġdida dwar il-ġlieda kontra t-terroriżmu, ivvutata fil-Parlament Ewropew fis-16 ta' Frar 2017.</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(n)</w:t>
            </w:r>
            <w:r>
              <w:tab/>
            </w:r>
            <w:r>
              <w:t>“data tal-marki tas-swaba’” tfisser id-data li tirrigwarda</w:t>
            </w:r>
            <w:r>
              <w:rPr>
                <w:rFonts w:ascii="Times New Roman" w:eastAsia="Times New Roman" w:hAnsi="Times New Roman" w:cs="Times New Roman"/>
                <w:b/>
                <w:i/>
                <w:strike w:val="0"/>
                <w:color w:val="000000"/>
                <w:sz w:val="24"/>
                <w:highlight w:val="none"/>
                <w:u w:val="none" w:color="auto"/>
              </w:rPr>
              <w:t xml:space="preserve">  </w:t>
            </w:r>
            <w:r>
              <w:t>impressjonijiet sempliċi u rrolljati tal-għaxar swaba’ fejn preżenti</w:t>
            </w:r>
            <w:r>
              <w:rPr>
                <w:rFonts w:ascii="Times New Roman" w:eastAsia="Times New Roman" w:hAnsi="Times New Roman" w:cs="Times New Roman"/>
                <w:b/>
                <w:i/>
                <w:strike w:val="0"/>
                <w:color w:val="000000"/>
                <w:sz w:val="24"/>
                <w:highlight w:val="none"/>
                <w:u w:val="none" w:color="auto"/>
              </w:rPr>
              <w:t xml:space="preserve">  </w:t>
            </w:r>
            <w:r>
              <w:t>, jew ta' marka latenti tas-swaba';</w:t>
            </w:r>
          </w:p>
        </w:tc>
        <w:tc>
          <w:tcPr/>
          <w:p>
            <w:pPr>
              <w:pStyle w:val="Normal6"/>
            </w:pPr>
            <w:r>
              <w:t>(n)</w:t>
            </w:r>
            <w:r>
              <w:tab/>
            </w:r>
            <w:r>
              <w:t>“data tal-marki tas-swaba’” tfisser id-data li tirrigwarda</w:t>
            </w:r>
            <w:r>
              <w:rPr>
                <w:rFonts w:ascii="Times New Roman" w:eastAsia="Times New Roman" w:hAnsi="Times New Roman" w:cs="Times New Roman"/>
                <w:b/>
                <w:i/>
                <w:strike w:val="0"/>
                <w:color w:val="000000"/>
                <w:sz w:val="24"/>
                <w:highlight w:val="none"/>
                <w:u w:val="none" w:color="auto"/>
              </w:rPr>
              <w:t xml:space="preserve"> </w:t>
            </w:r>
            <w:r>
              <w:t>impressjonijiet sempliċi u rrolljati tal-għaxar swaba’ fejn preżenti</w:t>
            </w:r>
            <w:r>
              <w:rPr>
                <w:rFonts w:ascii="Times New Roman" w:eastAsia="Times New Roman" w:hAnsi="Times New Roman" w:cs="Times New Roman"/>
                <w:b/>
                <w:i/>
                <w:strike w:val="0"/>
                <w:color w:val="000000"/>
                <w:sz w:val="24"/>
                <w:highlight w:val="none"/>
                <w:u w:val="none" w:color="auto"/>
              </w:rPr>
              <w:t>, jew għall-inqas tas-swaba' werrejja</w:t>
            </w:r>
            <w:r>
              <w:t>, jew ta' marka latenti tas-swaba';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(o)</w:t>
            </w:r>
            <w:r>
              <w:tab/>
            </w:r>
            <w:r>
              <w:rPr>
                <w:rFonts w:ascii="Times New Roman" w:eastAsia="Times New Roman" w:hAnsi="Times New Roman" w:cs="Times New Roman"/>
                <w:b/>
                <w:i/>
                <w:strike w:val="0"/>
                <w:color w:val="000000"/>
                <w:sz w:val="24"/>
                <w:highlight w:val="none"/>
                <w:u w:val="none" w:color="auto"/>
              </w:rPr>
              <w:t>"xbiha tal-wiċċ" tfisser xbiha diġitali tal-wiċċ li jkun fiha biżżejjed riżoluzzjoni u kwalità biex tintuża għal tqabbil bijometriku.</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oa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(oa)</w:t>
            </w:r>
            <w:r>
              <w:tab/>
            </w:r>
            <w:r>
              <w:rPr>
                <w:rFonts w:ascii="Times New Roman" w:eastAsia="Times New Roman" w:hAnsi="Times New Roman" w:cs="Times New Roman"/>
                <w:b/>
                <w:i/>
                <w:strike w:val="0"/>
                <w:color w:val="000000"/>
                <w:sz w:val="24"/>
                <w:highlight w:val="none"/>
                <w:u w:val="none" w:color="auto"/>
              </w:rPr>
              <w:t>"persuna apolida" tfisser persuna li hija kkunsidrata li mhi ċittadina ta' l-ebda stat skont il-liġi tiegħu.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Definizzjoni tal-Konvenzjoni tan-Nazzjonijiet Uniti tal-1954 dwar l-Istatus ta' Persuni Apolidi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3 – paragrafu 1 – punt oa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(oa)</w:t>
            </w:r>
            <w:r>
              <w:tab/>
            </w:r>
            <w:r>
              <w:rPr>
                <w:rFonts w:ascii="Times New Roman" w:eastAsia="Times New Roman" w:hAnsi="Times New Roman" w:cs="Times New Roman"/>
                <w:b/>
                <w:i/>
                <w:strike w:val="0"/>
                <w:color w:val="000000"/>
                <w:sz w:val="24"/>
                <w:highlight w:val="none"/>
                <w:u w:val="none" w:color="auto"/>
              </w:rPr>
              <w:t>“dejta alfanumerika” tfisser dejta rrappreżentata minn ittri, numri, karattri speċjali, spazji u marki tal-punteġġjatura;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B'mod konformi ma' emenda oħra li tippermetti t-tfittxija f'dejta alfanumerika.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4 – 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rPr>
                <w:rFonts w:ascii="Times New Roman" w:eastAsia="Times New Roman" w:hAnsi="Times New Roman" w:cs="Times New Roman"/>
                <w:b/>
                <w:i/>
                <w:strike w:val="0"/>
                <w:color w:val="000000"/>
                <w:sz w:val="24"/>
                <w:highlight w:val="none"/>
                <w:u w:val="none" w:color="auto"/>
              </w:rPr>
              <w:t>Data</w:t>
            </w:r>
            <w:r>
              <w:t xml:space="preserve"> dwar persuni koperti </w:t>
            </w:r>
            <w:r>
              <w:rPr>
                <w:rFonts w:ascii="Times New Roman" w:eastAsia="Times New Roman" w:hAnsi="Times New Roman" w:cs="Times New Roman"/>
                <w:b/>
                <w:i/>
                <w:strike w:val="0"/>
                <w:color w:val="000000"/>
                <w:sz w:val="24"/>
                <w:highlight w:val="none"/>
                <w:u w:val="none" w:color="auto"/>
              </w:rPr>
              <w:t>bl-Artikoli 10(1),</w:t>
            </w:r>
            <w:r>
              <w:t xml:space="preserve"> 13(1) u 14(1) li tiġi pproċessata fis-Sistema Ċentrali għandha tiġi pproċessata f'isem l-Istat Membru ta' oriġini taħt il-kundizzjonijiet preskritti f'dan ir-Regolament u separata b’mezzi tekniċi xierqa.</w:t>
            </w:r>
          </w:p>
        </w:tc>
        <w:tc>
          <w:tcPr/>
          <w:p>
            <w:pPr>
              <w:pStyle w:val="Normal6"/>
            </w:pPr>
            <w:r>
              <w:t>4.</w:t>
            </w:r>
            <w:r>
              <w:tab/>
            </w:r>
            <w:r>
              <w:rPr>
                <w:rFonts w:ascii="Times New Roman" w:eastAsia="Times New Roman" w:hAnsi="Times New Roman" w:cs="Times New Roman"/>
                <w:b/>
                <w:i/>
                <w:strike w:val="0"/>
                <w:color w:val="000000"/>
                <w:sz w:val="24"/>
                <w:highlight w:val="none"/>
                <w:u w:val="none" w:color="auto"/>
              </w:rPr>
              <w:t>Id-data</w:t>
            </w:r>
            <w:r>
              <w:t xml:space="preserve"> dwar persuni koperti </w:t>
            </w:r>
            <w:r>
              <w:rPr>
                <w:rFonts w:ascii="Times New Roman" w:eastAsia="Times New Roman" w:hAnsi="Times New Roman" w:cs="Times New Roman"/>
                <w:b/>
                <w:i/>
                <w:strike w:val="0"/>
                <w:color w:val="000000"/>
                <w:sz w:val="24"/>
                <w:highlight w:val="none"/>
                <w:u w:val="none" w:color="auto"/>
              </w:rPr>
              <w:t>mill-Artikolu 10(1), l-Artikolu 12a u l-Artikoli</w:t>
            </w:r>
            <w:r>
              <w:t> 13(1) u 14(1) li tiġi pproċessata fis-Sistema Ċentrali għandha tiġi pproċessata f'isem l-Istat Membru ta' oriġini taħt il-kundizzjonijiet preskritti f'dan ir-Regolament u separata b’mezzi tekniċi xierqa.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l-emenda hija relatata mal-proposta ta’ żieda ta' kategorija ġdida (kapitolu IIa ġdid) u għandha l-għan li tiżgura l-koerenza tat-test fir-rigward ta' din iż-żieda.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t xml:space="preserve">, </w:t>
      </w:r>
      <w:r>
        <w:t>Dennis de Jong</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eu-LISA għandha titħalla tuża data personali reali tas-sistema ta’ produzzjoni tal-Eurodac għal finijiet ta’ ttestjar fiċ-ċirkostanzi li ġejjin:</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(a)għal dijanjostiċi u tiswija meta jinstabu difetti fis-Sistema Ċentrali; u</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(b)għall-ittestjar ta’ teknoloġiji u tekniċi ġodda relevanti biex itejbu l-prestazzjoni tas-Sistema Ċentrali jew it-trażmissjoni tad-data lejha.</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F’każijiet bħal dawn, il-miżuri tas-sigurtà, il-kontroll tal-aċċess u attivitajiet ta' lloggjar fl-ambjent ta' ttestjar għandhom ikunu ugwali għal dawk tas-sistema ta' produzzjoni tal-Eurodac. Data personali reali adottata għall-ittestjar għandha ssir anonima b’tali mod li s-suġġett tad-data ma jibqax aktar identifikabbli.</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eu-LISA għandha titħalla tuża data personali reali tas-sistema ta’ produzzjoni tal-Eurodac għal finijiet ta’ ttestjar fiċ-ċirkostanzi li ġejjin:</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(a)għal dijanjostiċi u tiswija meta jinstabu difetti fis-Sistema Ċentrali; u</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(b)għall-ittestjar ta’ teknoloġiji u tekniċi ġodda relevanti biex itejbu l-prestazzjoni tas-Sistema Ċentrali jew it-trażmissjoni tad-data lejha.</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F’każijiet bħal dawn, il-miżuri tas-sigurtà, il-kontroll tal-aċċess u attivitajiet ta' lloggjar fl-ambjent ta' ttestjar għandhom ikunu ugwali għal dawk tas-sistema ta' produzzjoni tal-Eurodac. Data personali reali adottata għall-ittestjar għandha ssir anonima b’tali mod li s-suġġett tad-data ma jibqax aktar identifikabbli.</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Skont il-kummenti tas-Sorveljant Ewropew tal-Protezzjoni tad-Data: minħabba r-riskji tal-użu ta' data reali għal finijiet ta' ittestjar u l-assenza ta' valur miżjud tal-użu ta' tali data, l-EDPS jirrakomanda t-tħassir tal-Artikolu 5(2) tal-proposta ta' riformulazzjoni li jippermetti l-użu ta' data reali għall-finijiet ta' ittestjar.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Kati Piri</w:t>
      </w:r>
      <w:r>
        <w:t xml:space="preserve">, </w:t>
      </w:r>
      <w:r>
        <w:t>Maria Grapini</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 – paragrafu 2 – subparagrafu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eu-LISA</w:t>
            </w:r>
            <w:r>
              <w:t xml:space="preserve"> għandha titħalla tuża data personali reali tas-sistema ta’ produzzjoni tal-Eurodac għal finijiet ta’ ttestjar fiċ-ċirkostanzi li ġejjin:</w:t>
            </w:r>
          </w:p>
        </w:tc>
        <w:tc>
          <w:tcPr/>
          <w:p>
            <w:pPr>
              <w:pStyle w:val="Normal6"/>
            </w:pPr>
            <w:r>
              <w:rPr>
                <w:rFonts w:ascii="Times New Roman" w:eastAsia="Times New Roman" w:hAnsi="Times New Roman" w:cs="Times New Roman"/>
                <w:b/>
                <w:i/>
                <w:strike w:val="0"/>
                <w:color w:val="000000"/>
                <w:sz w:val="24"/>
                <w:highlight w:val="none"/>
                <w:u w:val="none" w:color="auto"/>
              </w:rPr>
              <w:t>Eu-LISA</w:t>
            </w:r>
            <w:r>
              <w:t xml:space="preserve"> għandha titħalla tuża data personali reali tas-sistema ta’ produzzjoni tal-Eurodac għal finijiet ta’ ttestjar </w:t>
            </w:r>
            <w:r>
              <w:rPr>
                <w:rFonts w:ascii="Times New Roman" w:eastAsia="Times New Roman" w:hAnsi="Times New Roman" w:cs="Times New Roman"/>
                <w:b/>
                <w:i/>
                <w:strike w:val="0"/>
                <w:color w:val="000000"/>
                <w:sz w:val="24"/>
                <w:highlight w:val="none"/>
                <w:u w:val="none" w:color="auto"/>
              </w:rPr>
              <w:t xml:space="preserve">u f'konformità stetta mal-Artikolu 17 tar-Regolamenti tal-Persunal dwar is-sigriet professjonali għal kull persuna involuta fl-ittestjar biss </w:t>
            </w:r>
            <w:r>
              <w:t>fiċ-ċirkostanzi li ġejjin: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 – paragrafu 2 – subparagrafu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eu-LISA</w:t>
            </w:r>
            <w:r>
              <w:t xml:space="preserve"> għandha titħalla tuża </w:t>
            </w:r>
            <w:r>
              <w:rPr>
                <w:rFonts w:ascii="Times New Roman" w:eastAsia="Times New Roman" w:hAnsi="Times New Roman" w:cs="Times New Roman"/>
                <w:b/>
                <w:i/>
                <w:strike w:val="0"/>
                <w:color w:val="000000"/>
                <w:sz w:val="24"/>
                <w:highlight w:val="none"/>
                <w:u w:val="none" w:color="auto"/>
              </w:rPr>
              <w:t>data</w:t>
            </w:r>
            <w:r>
              <w:t xml:space="preserve"> personali reali </w:t>
            </w:r>
            <w:r>
              <w:rPr>
                <w:rFonts w:ascii="Times New Roman" w:eastAsia="Times New Roman" w:hAnsi="Times New Roman" w:cs="Times New Roman"/>
                <w:b/>
                <w:i/>
                <w:strike w:val="0"/>
                <w:color w:val="000000"/>
                <w:sz w:val="24"/>
                <w:highlight w:val="none"/>
                <w:u w:val="none" w:color="auto"/>
              </w:rPr>
              <w:t>tas-sistema</w:t>
            </w:r>
            <w:r>
              <w:t xml:space="preserve"> ta’ produzzjoni tal-Eurodac għal finijiet ta’ ttestjar fiċ-ċirkostanzi li ġejjin:</w:t>
            </w:r>
          </w:p>
        </w:tc>
        <w:tc>
          <w:tcPr/>
          <w:p>
            <w:pPr>
              <w:pStyle w:val="Normal6"/>
            </w:pPr>
            <w:r>
              <w:rPr>
                <w:rFonts w:ascii="Times New Roman" w:eastAsia="Times New Roman" w:hAnsi="Times New Roman" w:cs="Times New Roman"/>
                <w:b/>
                <w:i/>
                <w:strike w:val="0"/>
                <w:color w:val="000000"/>
                <w:sz w:val="24"/>
                <w:highlight w:val="none"/>
                <w:u w:val="none" w:color="auto"/>
              </w:rPr>
              <w:t>L-eu-LISA</w:t>
            </w:r>
            <w:r>
              <w:t xml:space="preserve"> għandha titħalla tuża </w:t>
            </w:r>
            <w:r>
              <w:rPr>
                <w:rFonts w:ascii="Times New Roman" w:eastAsia="Times New Roman" w:hAnsi="Times New Roman" w:cs="Times New Roman"/>
                <w:b/>
                <w:i/>
                <w:strike w:val="0"/>
                <w:color w:val="000000"/>
                <w:sz w:val="24"/>
                <w:highlight w:val="none"/>
                <w:u w:val="none" w:color="auto"/>
              </w:rPr>
              <w:t>d-data</w:t>
            </w:r>
            <w:r>
              <w:t xml:space="preserve"> personali reali </w:t>
            </w:r>
            <w:r>
              <w:rPr>
                <w:rFonts w:ascii="Times New Roman" w:eastAsia="Times New Roman" w:hAnsi="Times New Roman" w:cs="Times New Roman"/>
                <w:b/>
                <w:i/>
                <w:strike w:val="0"/>
                <w:color w:val="000000"/>
                <w:sz w:val="24"/>
                <w:highlight w:val="none"/>
                <w:u w:val="none" w:color="auto"/>
              </w:rPr>
              <w:t>li tkun ġejja mis-sistema</w:t>
            </w:r>
            <w:r>
              <w:t xml:space="preserve"> ta' produzzjoni tal-Eurodac għal finijiet ta' ttestjar</w:t>
            </w:r>
            <w:r>
              <w:rPr>
                <w:rFonts w:ascii="Times New Roman" w:eastAsia="Times New Roman" w:hAnsi="Times New Roman" w:cs="Times New Roman"/>
                <w:b/>
                <w:i/>
                <w:strike w:val="0"/>
                <w:color w:val="000000"/>
                <w:sz w:val="24"/>
                <w:highlight w:val="none"/>
                <w:u w:val="none" w:color="auto"/>
              </w:rPr>
              <w:t>, b’kont meħud tad-dispożizzjonijiet previsti mir-Regolament (UE) 2016/679,</w:t>
            </w:r>
            <w:r>
              <w:t xml:space="preserve"> fiċ-ċirkostanzi li ġejjin: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 – paragrafu 2 – subparagrafu 1 – parti introduttorja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eu-LISA għandha titħalla tuża data personali reali tas-sistema ta’ produzzjoni tal-Eurodac għal finijiet ta’ ttestjar fiċ-ċirkostanzi li ġejjin:</w:t>
            </w:r>
          </w:p>
        </w:tc>
        <w:tc>
          <w:tcPr/>
          <w:p>
            <w:pPr>
              <w:pStyle w:val="Normal6"/>
            </w:pPr>
            <w:r>
              <w:t xml:space="preserve">eu-LISA għandha titħalla tuża data personali reali tas-sistema ta’ produzzjoni tal-Eurodac għal finijiet ta’ ttestjar </w:t>
            </w:r>
            <w:r>
              <w:rPr>
                <w:rFonts w:ascii="Times New Roman" w:eastAsia="Times New Roman" w:hAnsi="Times New Roman" w:cs="Times New Roman"/>
                <w:b/>
                <w:i/>
                <w:strike w:val="0"/>
                <w:color w:val="000000"/>
                <w:sz w:val="24"/>
                <w:highlight w:val="none"/>
                <w:u w:val="none" w:color="auto"/>
              </w:rPr>
              <w:t xml:space="preserve">u ta' irfinar </w:t>
            </w:r>
            <w:r>
              <w:t>fiċ-ċirkostanzi li ġejjin: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 – paragrafu 2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F’każijiet bħal dawn, il-miżuri tas-sigurtà, il-kontroll tal-aċċess u attivitajiet ta' lloggjar fl-ambjent ta' ttestjar għandhom ikunu ugwali għal dawk tas-sistema ta' produzzjoni tal-Eurodac. Data personali reali adottata għall-ittestjar għandha ssir anonima b’tali mod li s-suġġett tad-data ma jibqax aktar identifikabbli.</w:t>
            </w:r>
          </w:p>
        </w:tc>
        <w:tc>
          <w:tcPr/>
          <w:p>
            <w:pPr>
              <w:pStyle w:val="Normal6"/>
            </w:pPr>
            <w:r>
              <w:t xml:space="preserve">F’każijiet bħal dawn, il-miżuri tas-sigurtà, il-kontroll tal-aċċess u attivitajiet ta' lloggjar fl-ambjent ta' ttestjar għandhom ikunu ugwali għal dawk tas-sistema ta' produzzjoni tal-Eurodac. Data personali reali adottata għall-ittestjar għandha ssir anonima b’tali mod li s-suġġett tad-data ma jibqax aktar identifikabbli. </w:t>
            </w:r>
            <w:r>
              <w:rPr>
                <w:rFonts w:ascii="Times New Roman" w:eastAsia="Times New Roman" w:hAnsi="Times New Roman" w:cs="Times New Roman"/>
                <w:b/>
                <w:i/>
                <w:strike w:val="0"/>
                <w:color w:val="000000"/>
                <w:sz w:val="24"/>
                <w:highlight w:val="none"/>
                <w:u w:val="none" w:color="auto"/>
              </w:rPr>
              <w:t>L-Eu-Lisa għandha tiżgura li s-salvagwardji xierqa fir-rigward l-aċċess għal data minn kuntratturi esterni jiġu rispettati skont id-dispożizzjonijiet stipulati fl-Artikoli 24 u 28 tar-Regolament (UE) 2016/679.</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 – paragrafu 2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F’każijiet bħal dawn, il-miżuri tas-sigurtà, il-kontroll tal-aċċess u attivitajiet ta' lloggjar fl-ambjent ta' ttestjar għandhom ikunu ugwali għal dawk tas-sistema ta' produzzjoni tal-Eurodac. Data personali reali adottata għall-ittestjar għandha ssir anonima b’tali mod li s-suġġett tad-data ma jibqax aktar identifikabbli.</w:t>
            </w:r>
          </w:p>
        </w:tc>
        <w:tc>
          <w:tcPr/>
          <w:p>
            <w:pPr>
              <w:pStyle w:val="Normal6"/>
            </w:pPr>
            <w:r>
              <w:t xml:space="preserve">F’każijiet bħal dawn, il-miżuri tas-sigurtà, il-kontroll tal-aċċess u attivitajiet ta' lloggjar fl-ambjent ta' ttestjar għandhom ikunu ugwali għal dawk tas-sistema ta' produzzjoni tal-Eurodac. Data personali reali adottata għall-ittestjar għandha </w:t>
            </w:r>
            <w:r>
              <w:rPr>
                <w:rFonts w:ascii="Times New Roman" w:eastAsia="Times New Roman" w:hAnsi="Times New Roman" w:cs="Times New Roman"/>
                <w:b/>
                <w:i/>
                <w:strike w:val="0"/>
                <w:color w:val="000000"/>
                <w:sz w:val="24"/>
                <w:highlight w:val="none"/>
                <w:u w:val="none" w:color="auto"/>
              </w:rPr>
              <w:t xml:space="preserve">tkun soġġetta għal kundizzjonijiet stretti u </w:t>
            </w:r>
            <w:r>
              <w:t xml:space="preserve">ssir anonima b’tali mod li s-suġġett tad-data ma jibqax aktar identifikabbli. </w:t>
            </w:r>
            <w:r>
              <w:rPr>
                <w:rFonts w:ascii="Times New Roman" w:eastAsia="Times New Roman" w:hAnsi="Times New Roman" w:cs="Times New Roman"/>
                <w:b/>
                <w:i/>
                <w:strike w:val="0"/>
                <w:color w:val="000000"/>
                <w:sz w:val="24"/>
                <w:highlight w:val="none"/>
                <w:u w:val="none" w:color="auto"/>
              </w:rPr>
              <w:t>Id-data kollha personali għandha tiġi mħassra direttament u b'mod permanenti mill-ambjent tal-ittestjar wara li jkunu ntlaħqu l-għanijiet tal-ittestjar jew it-testijiet ikunu ġew ikkompletati.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 – paragrafu 2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F’każijiet bħal dawn, il-miżuri tas-sigurtà, il-kontroll tal-aċċess u attivitajiet ta' lloggjar fl-ambjent ta' ttestjar għandhom ikunu ugwali għal dawk tas-sistema ta' produzzjoni tal-Eurodac. Data personali reali adottata għall-ittestjar għandha ssir anonima b’tali mod li s-suġġett tad-data ma jibqax aktar identifikabbli.</w:t>
            </w:r>
          </w:p>
        </w:tc>
        <w:tc>
          <w:tcPr/>
          <w:p>
            <w:pPr>
              <w:pStyle w:val="Normal6"/>
            </w:pPr>
            <w:r>
              <w:t xml:space="preserve">F’każijiet bħal dawn, il-miżuri tas-sigurtà, il-kontroll tal-aċċess u attivitajiet ta' lloggjar fl-ambjent ta' ttestjar għandhom ikunu ugwali għal dawk tas-sistema ta' produzzjoni tal-Eurodac. Data personali reali adottata għall-ittestjar għandha ssir anonima b’tali mod li s-suġġett tad-data ma jibqax aktar identifikabbli. </w:t>
            </w:r>
            <w:r>
              <w:rPr>
                <w:rFonts w:ascii="Times New Roman" w:eastAsia="Times New Roman" w:hAnsi="Times New Roman" w:cs="Times New Roman"/>
                <w:b/>
                <w:i/>
                <w:strike w:val="0"/>
                <w:color w:val="000000"/>
                <w:sz w:val="24"/>
                <w:highlight w:val="none"/>
                <w:u w:val="none" w:color="auto"/>
              </w:rPr>
              <w:t>Wara li jkunu ġew ikkompletati l-għanijiet imsemmija fl-ewwel subparagrafu, id-data personali reali għandha titħassar b'mod permanenti mill-ambjent tal-ittestjar.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Gérard Deprez</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5 – paragrafu 3 – punt ca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(ca)</w:t>
            </w:r>
            <w:r>
              <w:tab/>
            </w:r>
            <w:r>
              <w:rPr>
                <w:rFonts w:ascii="Times New Roman" w:eastAsia="Times New Roman" w:hAnsi="Times New Roman" w:cs="Times New Roman"/>
                <w:b/>
                <w:i/>
                <w:strike w:val="0"/>
                <w:color w:val="000000"/>
                <w:sz w:val="24"/>
                <w:highlight w:val="none"/>
                <w:u w:val="none" w:color="auto"/>
              </w:rPr>
              <w:t>L-interoperabilità ma' sistemi oħra ta' informazzjoni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Jispeċifika li l-EU-Lisa tkun responsabbli għall-iżvilupp futur ta' kanali siguri ta' komunikazzoni bejn is-Sistema Ċentrali tal-Eurodac u sistemi oħra.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Għall-finijiet stabbiliti fl-Artikolu 1(1)(c), l-Istati Membri għandhom jaħtru l-awtoritajiet li jkunu awtorizzati li jitolbu tqabbil mad-data tal-Eurodac konformement ma' dan ir-Regolament. L-awtoritajiet maħtura għandhom ikunu awtoritajiet tal-Istati Membri li huma responsabbli għall-prevenzjoni, ir-rintraċċar u l-investigazzjoni ta’ reati terroristiċi jew ta’ reati serji oħra.</w:t>
            </w:r>
            <w:r>
              <w:rPr>
                <w:rFonts w:ascii="Times New Roman" w:eastAsia="Times New Roman" w:hAnsi="Times New Roman" w:cs="Times New Roman"/>
                <w:b/>
                <w:i/>
                <w:strike w:val="0"/>
                <w:color w:val="000000"/>
                <w:sz w:val="24"/>
                <w:highlight w:val="none"/>
                <w:u w:val="none" w:color="auto"/>
              </w:rPr>
              <w:t xml:space="preserve"> L-awtoritajiet maħtura m'għandhomx jinkludu aġenziji jew unitajiet esklużivament responsabbli għall-intelligence b'rabta mas-sigurtà nazzjonali.</w:t>
            </w:r>
          </w:p>
        </w:tc>
        <w:tc>
          <w:tcPr/>
          <w:p>
            <w:pPr>
              <w:pStyle w:val="Normal6"/>
            </w:pPr>
            <w:r>
              <w:t>1.</w:t>
            </w:r>
            <w:r>
              <w:tab/>
            </w:r>
            <w:r>
              <w:t>Għall-finijiet stabbiliti fl-Artikolu 1(1)(c), l-Istati Membri għandhom jaħtru l-awtoritajiet li jkunu awtorizzati li jitolbu tqabbil mad-data tal-Eurodac konformement ma' dan ir-Regolament. L-awtoritajiet maħtura għandhom ikunu awtoritajiet tal-Istati Membri li huma responsabbli għall-prevenzjoni, ir-rintraċċar u l-investigazzjoni ta’ reati terroristiċi jew ta’ reati serji oħra.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Mhuwiex ċara għaliex iddaħħlet esklużjoni speċifika fit-test għall-aġenziji jew unitajiet responsabbli esklużivament mill-intelligence relatat mas-sigurtà nazzjonali relatata mal-għan stipulat fl-Artikolu 1(1)(c). Il-kundizzjonijiet li taħthom l-awtoritajiet maħtura mill-Istati Membri jistgħu jitolbu l-aċċess għad-data tal-Eurodac huma rregolati f'dan ir-regolament. Liema awtoritajiet maħtura l-Istat Membru juża biex jimplementa l-obbligu tiegħu għall-prevenzjoni, id-detezzjoni jew l-investigazzjoni ta' reati terroristiċi jew ta' reati kriminali serji oħra hija għażla tal-Istat Membru nnifsu.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Kati Piri</w:t>
      </w:r>
      <w:r>
        <w:t xml:space="preserve">, </w:t>
      </w:r>
      <w:r>
        <w:t>Maria Grapini</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6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Kull Stat Membru għandu jżomm elenku tal-awtoritajiet maħtura.</w:t>
            </w:r>
          </w:p>
        </w:tc>
        <w:tc>
          <w:tcPr/>
          <w:p>
            <w:pPr>
              <w:pStyle w:val="Normal6"/>
            </w:pPr>
            <w:r>
              <w:t>2.</w:t>
            </w:r>
            <w:r>
              <w:tab/>
            </w:r>
            <w:r>
              <w:t>Kull Stat Membru għandu jżomm elenku tal-awtoritajiet maħtura</w:t>
            </w:r>
            <w:r>
              <w:rPr>
                <w:rFonts w:ascii="Times New Roman" w:eastAsia="Times New Roman" w:hAnsi="Times New Roman" w:cs="Times New Roman"/>
                <w:b/>
                <w:i/>
                <w:strike w:val="0"/>
                <w:color w:val="000000"/>
                <w:sz w:val="24"/>
                <w:highlight w:val="none"/>
                <w:u w:val="none" w:color="auto"/>
              </w:rPr>
              <w:t xml:space="preserve"> u jikkomunikah minnufih lill-Kummissjoni u lill-eu-LISA. Eu-LISA għandha tippubblika l-lista kkonsolidata f'Il-Ġurnal Uffiċjali tal-Unjoni Ewropea. Fejn dik il-lista tkun ġiet emendata, eu-LISA għandha tippubblika online lista kkonsolidata aġġornata darba fis-sena</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relatata mal-Artikolu 1(1)c) mibdul tal-proposta tal-Kummissjoni.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Artikolu 7</w:t>
            </w:r>
            <w:r>
              <w:tab/>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L-awtoritajiet ta’ verifika tal-Istati Membri għall-finijiet tal-infurzar tal-liġi</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Għall-finijiet stabbiliti fl-Artikolu 1(1)(c), kull Stat Membru għandu jaħtar awtorità waħda nazzjonali jew unità ta’ tali awtorità biex taġixxi bħala l-awtorità ta' verifika tagħha. L-awtorità ta’ verifika għandha tkun awtorità tal-Istat Membru responsabbli għall-prevenzjoni, ir-rintraċċar u l-investigazzjoni ta’ reati terroristiċi jew ta’ reati serji oħra.</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L-awtorità maħtura u l-awtorità ta' verifika jistgħu jkunu parti mill-istess organizzazzjoni jekk dan ikun permess taħt il-liġi nazzjonali, iżda l-awtorità ta' verifika għandha taġixxi b’mod indipendenti meta taqdi l-kompiti tagħha taħt dan ir-Regolament. L-awtorità ta’ verifika għandha tkun separata mill-unitajiet operattivi msemmija fl-Artikolu 6(3) u ma għandhiex tirċievi struzzjonijiet minn għandhom fir-rigward tal-eżitu tal-verifika.</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L-Istati Membri jistgħu jaħtru aktar minn awtorità ta’ verifika waħda biex jirriflettu l-istruttura organizzattiva u amministrattiva tagħhom, skont ir-rekwiżiti kostituzzjonali jew legali tagħhom.</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L-awtorità ta' verifika għandha tiżgura li l-kundizzjonijiet għat-talba għat-tqabbil tal-marki tas-swaba' mad-data tal-Eurodac jiġu ssodisfati.</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Huwa biss persunal tal-awtorità ta' verifika li jingħata s-setgħat meħtieġa li għandu jkun awtorizzat li jirċievi u jittrażmetti talba għal aċċess għall-Eurodac skont it-termini tal-Artikolu 20.</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Hija biss l-awtorità ta' verifika li għandha tkun awtorizzata li tressaq talbiet għal tqabbil tal-marki tas-swaba'  u tax-xbiha tal-wiċċ  lill-Punt ta' Aċċess Nazzjonali.</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Italic"/>
            </w:pPr>
            <w:r>
              <w:t>(Din l-emenda tapplika għat-test leġiżlattiv kollu li qed jiġi eżaminat. l-adozzjoni tagħha timponi adattamenti tekniċi fit-test kollu.)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L-awtorità ta' verifika għandha tiżgura li l-kundizzjonijiet għat-talba għat-tqabbil </w:t>
            </w:r>
            <w:r>
              <w:rPr>
                <w:rFonts w:ascii="Times New Roman" w:eastAsia="Times New Roman" w:hAnsi="Times New Roman" w:cs="Times New Roman"/>
                <w:b/>
                <w:i/>
                <w:strike w:val="0"/>
                <w:color w:val="000000"/>
                <w:sz w:val="24"/>
                <w:highlight w:val="none"/>
                <w:u w:val="none" w:color="auto"/>
              </w:rPr>
              <w:t>tal-marki</w:t>
            </w:r>
            <w:r>
              <w:t xml:space="preserve"> tas-swaba' mad-data tal-Eurodac jiġu ssodisfati.</w:t>
            </w:r>
          </w:p>
        </w:tc>
        <w:tc>
          <w:tcPr/>
          <w:p>
            <w:pPr>
              <w:pStyle w:val="Normal6"/>
            </w:pPr>
            <w:r>
              <w:t xml:space="preserve">L-awtorità ta' verifika għandha tiżgura li l-kundizzjonijiet għat-talba għat-tqabbil </w:t>
            </w:r>
            <w:r>
              <w:rPr>
                <w:rFonts w:ascii="Times New Roman" w:eastAsia="Times New Roman" w:hAnsi="Times New Roman" w:cs="Times New Roman"/>
                <w:b/>
                <w:i/>
                <w:strike w:val="0"/>
                <w:color w:val="000000"/>
                <w:sz w:val="24"/>
                <w:highlight w:val="none"/>
                <w:u w:val="none" w:color="auto"/>
              </w:rPr>
              <w:t>ta' marki</w:t>
            </w:r>
            <w:r>
              <w:t xml:space="preserve"> tas-swaba’</w:t>
            </w:r>
            <w:r>
              <w:rPr>
                <w:rFonts w:ascii="Times New Roman" w:eastAsia="Times New Roman" w:hAnsi="Times New Roman" w:cs="Times New Roman"/>
                <w:b/>
                <w:i/>
                <w:strike w:val="0"/>
                <w:color w:val="000000"/>
                <w:sz w:val="24"/>
                <w:highlight w:val="none"/>
                <w:u w:val="none" w:color="auto"/>
              </w:rPr>
              <w:t>, l-immaġni tal-wiċċ u data alfanumerika</w:t>
            </w:r>
            <w:r>
              <w:t xml:space="preserve"> mad-data tal-Eurodac jiġu ssodisfati.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Correction of the commission'sproposal that doesn't insert in all the required places both 'fingerprints' and'facial image', which is in line with the obligation as mentioned in article 2. Regarding the search possibility alphanumeric data: 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 In thiscontext, and given that Art.1.1(c) of the proposal, extends its scope ofEurodac to law enforcement purposes, it would be essential for national lawenforcement authorities and Europol to have access to all data contained inEurodac in order to properly carry out their tasks.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Hija biss l-awtorità ta' verifika li għandha tkun awtorizzata li tressaq talbiet għal tqabbil tal-marki tas-swaba'</w:t>
            </w:r>
            <w:r>
              <w:rPr>
                <w:rFonts w:ascii="Times New Roman" w:eastAsia="Times New Roman" w:hAnsi="Times New Roman" w:cs="Times New Roman"/>
                <w:b/>
                <w:i/>
                <w:strike w:val="0"/>
                <w:color w:val="000000"/>
                <w:sz w:val="24"/>
                <w:highlight w:val="none"/>
                <w:u w:val="none" w:color="auto"/>
              </w:rPr>
              <w:t xml:space="preserve">  u tax-xbiha tal-wiċċ  </w:t>
            </w:r>
            <w:r>
              <w:t>lill-Punt ta' Aċċess Nazzjonali.</w:t>
            </w:r>
          </w:p>
        </w:tc>
        <w:tc>
          <w:tcPr/>
          <w:p>
            <w:pPr>
              <w:pStyle w:val="Normal6"/>
            </w:pPr>
            <w:r>
              <w:t>Hija biss l-awtorità ta' verifika li għandha tkun awtorizzata li tressaq talbiet għal tqabbil tal-marki tas-swaba’</w:t>
            </w:r>
            <w:r>
              <w:rPr>
                <w:rFonts w:ascii="Times New Roman" w:eastAsia="Times New Roman" w:hAnsi="Times New Roman" w:cs="Times New Roman"/>
                <w:b/>
                <w:i/>
                <w:strike w:val="0"/>
                <w:color w:val="000000"/>
                <w:sz w:val="24"/>
                <w:highlight w:val="none"/>
                <w:u w:val="none" w:color="auto"/>
              </w:rPr>
              <w:t xml:space="preserve">, l-immaġni tal-wiċċ u data alfanumerika </w:t>
            </w:r>
            <w:r>
              <w:t>lill-Punt ta' Aċċess Nazzjonali.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Il-Ġustifikazzjoni hija simili għall-emenda preċedenti</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7 – paragrafu 2 – subparagrafu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Hija biss l-awtorità ta' verifika li għandha tkun awtorizzata li tressaq talbiet għal tqabbil tal-marki tas-swaba'</w:t>
            </w:r>
            <w:r>
              <w:rPr>
                <w:rFonts w:ascii="Times New Roman" w:eastAsia="Times New Roman" w:hAnsi="Times New Roman" w:cs="Times New Roman"/>
                <w:b/>
                <w:i/>
                <w:strike w:val="0"/>
                <w:color w:val="000000"/>
                <w:sz w:val="24"/>
                <w:highlight w:val="none"/>
                <w:u w:val="none" w:color="auto"/>
              </w:rPr>
              <w:t xml:space="preserve">  u</w:t>
            </w:r>
            <w:r>
              <w:t xml:space="preserve"> tax-xbiha tal-wiċċ</w:t>
            </w:r>
            <w:r>
              <w:rPr>
                <w:rFonts w:ascii="Times New Roman" w:eastAsia="Times New Roman" w:hAnsi="Times New Roman" w:cs="Times New Roman"/>
                <w:b/>
                <w:i/>
                <w:strike w:val="0"/>
                <w:color w:val="000000"/>
                <w:sz w:val="24"/>
                <w:highlight w:val="none"/>
                <w:u w:val="none" w:color="auto"/>
              </w:rPr>
              <w:t xml:space="preserve">  </w:t>
            </w:r>
            <w:r>
              <w:t>lill-Punt ta' Aċċess Nazzjonali.</w:t>
            </w:r>
          </w:p>
        </w:tc>
        <w:tc>
          <w:tcPr/>
          <w:p>
            <w:pPr>
              <w:pStyle w:val="Normal6"/>
            </w:pPr>
            <w:r>
              <w:t>Hija biss l-awtorità ta' verifika li għandha tkun awtorizzata li tressaq talbiet għal tqabbil tal-marki tas-swaba'</w:t>
            </w:r>
            <w:r>
              <w:rPr>
                <w:rFonts w:ascii="Times New Roman" w:eastAsia="Times New Roman" w:hAnsi="Times New Roman" w:cs="Times New Roman"/>
                <w:b/>
                <w:i/>
                <w:strike w:val="0"/>
                <w:color w:val="000000"/>
                <w:sz w:val="24"/>
                <w:highlight w:val="none"/>
                <w:u w:val="none" w:color="auto"/>
              </w:rPr>
              <w:t>,</w:t>
            </w:r>
            <w:r>
              <w:t> tax-xbiha tal-wiċċ</w:t>
            </w:r>
            <w:r>
              <w:rPr>
                <w:rFonts w:ascii="Times New Roman" w:eastAsia="Times New Roman" w:hAnsi="Times New Roman" w:cs="Times New Roman"/>
                <w:b/>
                <w:i/>
                <w:strike w:val="0"/>
                <w:color w:val="000000"/>
                <w:sz w:val="24"/>
                <w:highlight w:val="none"/>
                <w:u w:val="none" w:color="auto"/>
              </w:rPr>
              <w:t xml:space="preserve"> jew it-tnejn </w:t>
            </w:r>
            <w:r>
              <w:t>lill-Punt ta' Aċċess Nazzjonali.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Artikolu 8</w:t>
            </w:r>
            <w:r>
              <w:tab/>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Europol</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1.Għall-finijiet stabbiliti fl-Artikolu 1(1)(c), il-Europol għandu jaħtar unità speċjalizzata b'uffiċjali tal-Europol li huma debitament awtorizzati li jaġixxu bħala l-awtorità ta' verifika tiegħu, li għandha taġixxi b’mod indipendenti mill-awtorità maħtura msemmija fil-paragrafu 2 ta' dan l-Artikolu meta twettaq il-kompiti tagħha taħt dan ir-Regolament, u ma għandhiex tirċievi struzzjonijiet mill-awtorità maħtura fir-rigward tal-eżitu tal-verifika. L-unità għandha tiżgura li l-kundizzjonijiet għat-talba għat-tqabbil tal-marki tas-swaba'  u tax-xbiha tal-wiċċ  mad-data tal-Eurodac ikunu ssodisfati. Il-Europol għandu jistabbilixxi, bi ftehim ma’ kwalunkwe Stat Membru, il-Punt ta' Aċċess Nazzjonali ta' dak l-Istat Membru li jikkomunika t-talbiet tagħha għal tqabbil tal-marki tas-swaba'  u tax-xbiha tal-wiċċ  mas-Sistema Ċentrali.</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2.Għall-finijiet stabbiliti fl-Artikolu 1 (1)(c), il-Europol għandu jistabbilixxi unità operattiva li tkun awtorizzata titlob tqabbil mad-data tal-Eurodac permezz tal-Punt ta' Aċċess Nazzjonali stabbilit tagħha. L-awtorità maħtura għandha tkun unità operattiva tal-Europol li jkollha kompetenza tiġbor, taħżen, tipproċessa, tanalizza u tikkondividi informazzjoni biex tappoġġa u ssaħħaħ azzjoni mill-Istati Membri fil-prevenzjoni, ir-rintraċċar jew l-investigazzjoni ta’ reati terroristiċi jew reati serji oħra li jaqgħu fl-ambitu tal-mandat tal-Europol.</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Italic"/>
            </w:pPr>
            <w:r>
              <w:t>(Din l-emenda tapplika għat-test leġiżlattiv kollu li qed jiġi eżaminat. l-adozzjoni tagħha timponi adattamenti tekniċi fit-test kollu.)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Għall-finijiet stabbiliti fl-Artikolu 1(1)(c), il-Europol għandu jaħtar </w:t>
            </w:r>
            <w:r>
              <w:rPr>
                <w:rFonts w:ascii="Times New Roman" w:eastAsia="Times New Roman" w:hAnsi="Times New Roman" w:cs="Times New Roman"/>
                <w:b/>
                <w:i/>
                <w:strike w:val="0"/>
                <w:color w:val="000000"/>
                <w:sz w:val="24"/>
                <w:highlight w:val="none"/>
                <w:u w:val="none" w:color="auto"/>
              </w:rPr>
              <w:t>unità speċjalizzata b'uffiċjali tal-Europol li huma debitament awtorizzati li jaġixxu bħala l-awtorità ta' verifika tiegħu, li</w:t>
            </w:r>
            <w:r>
              <w:t xml:space="preserve"> għandha taġixxi b’mod indipendenti </w:t>
            </w:r>
            <w:r>
              <w:rPr>
                <w:rFonts w:ascii="Times New Roman" w:eastAsia="Times New Roman" w:hAnsi="Times New Roman" w:cs="Times New Roman"/>
                <w:b/>
                <w:i/>
                <w:strike w:val="0"/>
                <w:color w:val="000000"/>
                <w:sz w:val="24"/>
                <w:highlight w:val="none"/>
                <w:u w:val="none" w:color="auto"/>
              </w:rPr>
              <w:t>mill-awtorità maħtura msemmija</w:t>
            </w:r>
            <w:r>
              <w:t xml:space="preserve"> fil-paragrafu 2 ta' dan l-Artikolu meta twettaq il-kompiti tagħha taħt dan ir-Regolament, u ma għandhiex tirċievi struzzjonijiet mill-awtorità maħtura fir-rigward tal-eżitu tal-verifika. </w:t>
            </w:r>
            <w:r>
              <w:rPr>
                <w:rFonts w:ascii="Times New Roman" w:eastAsia="Times New Roman" w:hAnsi="Times New Roman" w:cs="Times New Roman"/>
                <w:b/>
                <w:i/>
                <w:strike w:val="0"/>
                <w:color w:val="000000"/>
                <w:sz w:val="24"/>
                <w:highlight w:val="none"/>
                <w:u w:val="none" w:color="auto"/>
              </w:rPr>
              <w:t>L-unità għandha tiżgura li l-kundizzjonijiet għat-talba għat-tqabbil tal-marki tas-swaba'  u tax-xbiha tal-wiċċ  mad-data tal-Eurodac ikunu ssodisfati. Il-Europol għandu jistabbilixxi, bi ftehim ma’ kwalunkwe Stat Membru, il-Punt ta' Aċċess Nazzjonali ta' dak l-Istat Membru li jikkomunika t-talbiet tagħha għal tqabbil tal-marki tas-swaba'  u tax-xbiha tal-wiċċ  mas-Sistema Ċentrali</w:t>
            </w:r>
            <w:r>
              <w:t>.</w:t>
            </w:r>
          </w:p>
        </w:tc>
        <w:tc>
          <w:tcPr/>
          <w:p>
            <w:pPr>
              <w:pStyle w:val="Normal6"/>
            </w:pPr>
            <w:r>
              <w:t>1.</w:t>
            </w:r>
            <w:r>
              <w:tab/>
            </w:r>
            <w:r>
              <w:t xml:space="preserve">Għall-finijiet stabbiliti fl-Artikolu 1(1)(c), il-Europol għandu jaħtar </w:t>
            </w:r>
            <w:r>
              <w:rPr>
                <w:rFonts w:ascii="Times New Roman" w:eastAsia="Times New Roman" w:hAnsi="Times New Roman" w:cs="Times New Roman"/>
                <w:b/>
                <w:i/>
                <w:strike w:val="0"/>
                <w:color w:val="000000"/>
                <w:sz w:val="24"/>
                <w:highlight w:val="none"/>
                <w:u w:val="none" w:color="auto"/>
              </w:rPr>
              <w:t>awtorità li tkun awtorizzata li titlob aċċess għall-Eurodac permezz tal-punt ta’ aċċess ċentrali maħtur tagħha għall-prevenzjoni, id-detezzjoni u l-investigazzjoni ta’ reati terroristiċi jew ta’ reati kriminali serji oħra. L-awtorità maħtura</w:t>
            </w:r>
            <w:r>
              <w:t xml:space="preserve"> għandha taġixxi b’mod indipendenti </w:t>
            </w:r>
            <w:r>
              <w:rPr>
                <w:rFonts w:ascii="Times New Roman" w:eastAsia="Times New Roman" w:hAnsi="Times New Roman" w:cs="Times New Roman"/>
                <w:b/>
                <w:i/>
                <w:strike w:val="0"/>
                <w:color w:val="000000"/>
                <w:sz w:val="24"/>
                <w:highlight w:val="none"/>
                <w:u w:val="none" w:color="auto"/>
              </w:rPr>
              <w:t>mill-punt ta’ aċċess ċentrali msemmi</w:t>
            </w:r>
            <w:r>
              <w:t xml:space="preserve"> fil-paragrafu 2 ta' dan l-Artikolu meta twettaq il-kompiti tagħha taħt dan ir-Regolament, u ma għandhiex tirċievi struzzjonijiet mill-awtorità maħtura fir-rigward tal-eżitu tal-verifika. </w:t>
            </w:r>
            <w:r>
              <w:rPr>
                <w:rFonts w:ascii="Times New Roman" w:eastAsia="Times New Roman" w:hAnsi="Times New Roman" w:cs="Times New Roman"/>
                <w:b/>
                <w:i/>
                <w:strike w:val="0"/>
                <w:color w:val="000000"/>
                <w:sz w:val="24"/>
                <w:highlight w:val="none"/>
                <w:u w:val="none" w:color="auto"/>
              </w:rPr>
              <w:t>L-awtorità maħtura għandha tkun unità operattiva tal-Europol</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 and effective, but should stilltake into consideration that the main purpose of Eurodac is to support the MemberStates in applying the Dublin regulation. This amendment together with the next arranges the access of Europol to Eurodac similar to the mechanism in the Entry-Exit System.</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Maria Grapini</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Għall-finijiet stabbiliti fl-Artikolu 1(1)(c), il-Europol għandu jaħtar unità speċjalizzata b'uffiċjali tal-Europol li huma debitament awtorizzati li jaġixxu bħala l-awtorità ta' verifika tiegħu, li għandha taġixxi b’mod indipendenti mill-awtorità maħtura msemmija fil-paragrafu 2 ta' dan l-Artikolu meta twettaq il-kompiti tagħha taħt dan ir-Regolament, u ma għandhiex tirċievi struzzjonijiet mill-awtorità maħtura fir-rigward tal-eżitu tal-verifika. L-unità għandha tiżgura li l-kundizzjonijiet għat-talba għat-tqabbil tal-marki tas-swaba'</w:t>
            </w:r>
            <w:r>
              <w:rPr>
                <w:rFonts w:ascii="Times New Roman" w:eastAsia="Times New Roman" w:hAnsi="Times New Roman" w:cs="Times New Roman"/>
                <w:b/>
                <w:i/>
                <w:strike w:val="0"/>
                <w:color w:val="000000"/>
                <w:sz w:val="24"/>
                <w:highlight w:val="none"/>
                <w:u w:val="none" w:color="auto"/>
              </w:rPr>
              <w:t xml:space="preserve">  </w:t>
            </w:r>
            <w:r>
              <w:t>u tax-xbiha tal-wiċċ</w:t>
            </w:r>
            <w:r>
              <w:rPr>
                <w:rFonts w:ascii="Times New Roman" w:eastAsia="Times New Roman" w:hAnsi="Times New Roman" w:cs="Times New Roman"/>
                <w:b/>
                <w:i/>
                <w:strike w:val="0"/>
                <w:color w:val="000000"/>
                <w:sz w:val="24"/>
                <w:highlight w:val="none"/>
                <w:u w:val="none" w:color="auto"/>
              </w:rPr>
              <w:t xml:space="preserve">  </w:t>
            </w:r>
            <w:r>
              <w:t xml:space="preserve">mad-data tal-Eurodac ikunu ssodisfati. </w:t>
            </w:r>
            <w:r>
              <w:rPr>
                <w:rFonts w:ascii="Times New Roman" w:eastAsia="Times New Roman" w:hAnsi="Times New Roman" w:cs="Times New Roman"/>
                <w:b/>
                <w:i/>
                <w:strike w:val="0"/>
                <w:color w:val="000000"/>
                <w:sz w:val="24"/>
                <w:highlight w:val="none"/>
                <w:u w:val="none" w:color="auto"/>
              </w:rPr>
              <w:t>Il-Europol għandu jistabbilixxi, bi ftehim ma’ kwalunkwe Stat Membru, il-Punt ta' Aċċess Nazzjonali ta' dak l-Istat Membru li jikkomunika</w:t>
            </w:r>
            <w:r>
              <w:t xml:space="preserve"> t-talbiet tagħha għal tqabbil tal-marki tas-swaba'</w:t>
            </w:r>
            <w:r>
              <w:rPr>
                <w:rFonts w:ascii="Times New Roman" w:eastAsia="Times New Roman" w:hAnsi="Times New Roman" w:cs="Times New Roman"/>
                <w:b/>
                <w:i/>
                <w:strike w:val="0"/>
                <w:color w:val="000000"/>
                <w:sz w:val="24"/>
                <w:highlight w:val="none"/>
                <w:u w:val="none" w:color="auto"/>
              </w:rPr>
              <w:t xml:space="preserve">  </w:t>
            </w:r>
            <w:r>
              <w:t>u tax-xbiha tal-wiċċ</w:t>
            </w:r>
            <w:r>
              <w:rPr>
                <w:rFonts w:ascii="Times New Roman" w:eastAsia="Times New Roman" w:hAnsi="Times New Roman" w:cs="Times New Roman"/>
                <w:b/>
                <w:i/>
                <w:strike w:val="0"/>
                <w:color w:val="000000"/>
                <w:sz w:val="24"/>
                <w:highlight w:val="none"/>
                <w:u w:val="none" w:color="auto"/>
              </w:rPr>
              <w:t xml:space="preserve">  </w:t>
            </w:r>
            <w:r>
              <w:t>mas-Sistema Ċentrali.</w:t>
            </w:r>
          </w:p>
        </w:tc>
        <w:tc>
          <w:tcPr/>
          <w:p>
            <w:pPr>
              <w:pStyle w:val="Normal6"/>
            </w:pPr>
            <w:r>
              <w:t>1.</w:t>
            </w:r>
            <w:r>
              <w:tab/>
            </w:r>
            <w:r>
              <w:t>Għall-finijiet stabbiliti fl-Artikolu 1(1)(c), il-Europol għandu jaħtar unità speċjalizzata b'uffiċjali tal-Europol li huma debitament awtorizzati li jaġixxu bħala l-awtorità ta' verifika tiegħu, li għandha taġixxi b’mod indipendenti mill-awtorità maħtura msemmija fil-paragrafu 2 ta' dan l-Artikolu meta twettaq il-kompiti tagħha taħt dan ir-Regolament, u ma għandhiex tirċievi struzzjonijiet mill-awtorità maħtura fir-rigward tal-eżitu tal-verifika. L-unità għandha tiżgura li l-kundizzjonijiet għat-talba għat-tqabbil tal-marki tas-swaba'</w:t>
            </w:r>
            <w:r>
              <w:rPr>
                <w:rFonts w:ascii="Times New Roman" w:eastAsia="Times New Roman" w:hAnsi="Times New Roman" w:cs="Times New Roman"/>
                <w:b/>
                <w:i/>
                <w:strike w:val="0"/>
                <w:color w:val="000000"/>
                <w:sz w:val="24"/>
                <w:highlight w:val="none"/>
                <w:u w:val="none" w:color="auto"/>
              </w:rPr>
              <w:t xml:space="preserve"> </w:t>
            </w:r>
            <w:r>
              <w:t>u tax-xbiha tal-wiċċ</w:t>
            </w:r>
            <w:r>
              <w:rPr>
                <w:rFonts w:ascii="Times New Roman" w:eastAsia="Times New Roman" w:hAnsi="Times New Roman" w:cs="Times New Roman"/>
                <w:b/>
                <w:i/>
                <w:strike w:val="0"/>
                <w:color w:val="000000"/>
                <w:sz w:val="24"/>
                <w:highlight w:val="none"/>
                <w:u w:val="none" w:color="auto"/>
              </w:rPr>
              <w:t xml:space="preserve"> </w:t>
            </w:r>
            <w:r>
              <w:t>mad-data tal-Eurodac ikunu ssodisfati. </w:t>
            </w:r>
            <w:r>
              <w:rPr>
                <w:rFonts w:ascii="Times New Roman" w:eastAsia="Times New Roman" w:hAnsi="Times New Roman" w:cs="Times New Roman"/>
                <w:b/>
                <w:i/>
                <w:strike w:val="0"/>
                <w:color w:val="000000"/>
                <w:sz w:val="24"/>
                <w:highlight w:val="none"/>
                <w:u w:val="none" w:color="auto"/>
              </w:rPr>
              <w:t>Fejn il-kundizzjonijiet huma sodisfatti, il-Europol għandha tikkomunika</w:t>
            </w:r>
            <w:r>
              <w:t xml:space="preserve"> t-talbiet tagħha għal tqabbil tal-marki tas-swaba'</w:t>
            </w:r>
            <w:r>
              <w:rPr>
                <w:rFonts w:ascii="Times New Roman" w:eastAsia="Times New Roman" w:hAnsi="Times New Roman" w:cs="Times New Roman"/>
                <w:b/>
                <w:i/>
                <w:strike w:val="0"/>
                <w:color w:val="000000"/>
                <w:sz w:val="24"/>
                <w:highlight w:val="none"/>
                <w:u w:val="none" w:color="auto"/>
              </w:rPr>
              <w:t xml:space="preserve"> </w:t>
            </w:r>
            <w:r>
              <w:t>u tax-xbiha tal-wiċċ</w:t>
            </w:r>
            <w:r>
              <w:rPr>
                <w:rFonts w:ascii="Times New Roman" w:eastAsia="Times New Roman" w:hAnsi="Times New Roman" w:cs="Times New Roman"/>
                <w:b/>
                <w:i/>
                <w:strike w:val="0"/>
                <w:color w:val="000000"/>
                <w:sz w:val="24"/>
                <w:highlight w:val="none"/>
                <w:u w:val="none" w:color="auto"/>
              </w:rPr>
              <w:t xml:space="preserve"> </w:t>
            </w:r>
            <w:r>
              <w:t>mas-Sistema Ċentrali.</w:t>
            </w:r>
            <w:r>
              <w:rPr>
                <w:rFonts w:ascii="Times New Roman" w:eastAsia="Times New Roman" w:hAnsi="Times New Roman" w:cs="Times New Roman"/>
                <w:b/>
                <w:i/>
                <w:strike w:val="0"/>
                <w:color w:val="000000"/>
                <w:sz w:val="24"/>
                <w:highlight w:val="none"/>
                <w:u w:val="none" w:color="auto"/>
              </w:rP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relatata mal-Artikolu 1(1) (c). Kemm għal raġunijiet tekniċi kif ukoll ta' protezzjoni tad-data, il-Europol bħal'issa mhix f'pożizzjoni titlob paragun permezz tal-punt ta’ kuntatt nazzjonali, minkejja li l-leġiżlatur kien ippermetta lill-Europol jagħmel dan fl-aħħar proċedura ta’ riformulazzjoni fl-2013. B'hekk, il-Europol għandha tkun permessa titlob paragun b'mod dirett.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Għall-finijiet stabbiliti fl-Artikolu 1(1)(c), il-Europol għandu jaħtar unità speċjalizzata b'uffiċjali tal-Europol li huma debitament awtorizzati li jaġixxu bħala l-awtorità ta' verifika tiegħu, li għandha taġixxi b’mod indipendenti mill-awtorità maħtura msemmija fil-paragrafu 2 ta' dan l-Artikolu meta twettaq il-kompiti tagħha taħt dan ir-Regolament, u ma għandhiex tirċievi struzzjonijiet mill-awtorità maħtura fir-rigward tal-eżitu tal-verifika. L-unità għandha tiżgura li l-kundizzjonijiet għat-talba għat-tqabbil tal-marki tas-swaba'</w:t>
            </w:r>
            <w:r>
              <w:rPr>
                <w:rFonts w:ascii="Times New Roman" w:eastAsia="Times New Roman" w:hAnsi="Times New Roman" w:cs="Times New Roman"/>
                <w:b/>
                <w:i/>
                <w:strike w:val="0"/>
                <w:color w:val="000000"/>
                <w:sz w:val="24"/>
                <w:highlight w:val="none"/>
                <w:u w:val="none" w:color="auto"/>
              </w:rPr>
              <w:t xml:space="preserve">  u</w:t>
            </w:r>
            <w:r>
              <w:t xml:space="preserve"> tax-xbiha tal-wiċċ</w:t>
            </w:r>
            <w:r>
              <w:rPr>
                <w:rFonts w:ascii="Times New Roman" w:eastAsia="Times New Roman" w:hAnsi="Times New Roman" w:cs="Times New Roman"/>
                <w:b/>
                <w:i/>
                <w:strike w:val="0"/>
                <w:color w:val="000000"/>
                <w:sz w:val="24"/>
                <w:highlight w:val="none"/>
                <w:u w:val="none" w:color="auto"/>
              </w:rPr>
              <w:t xml:space="preserve">  </w:t>
            </w:r>
            <w:r>
              <w:t>mad-data tal-Eurodac ikunu ssodisfati. Il-Europol għandu jistabbilixxi, bi ftehim ma’ kwalunkwe Stat Membru, il-Punt ta' Aċċess Nazzjonali ta' dak l-Istat Membru li jikkomunika t-talbiet tagħha għal tqabbil tal-marki tas-swaba'</w:t>
            </w:r>
            <w:r>
              <w:rPr>
                <w:rFonts w:ascii="Times New Roman" w:eastAsia="Times New Roman" w:hAnsi="Times New Roman" w:cs="Times New Roman"/>
                <w:b/>
                <w:i/>
                <w:strike w:val="0"/>
                <w:color w:val="000000"/>
                <w:sz w:val="24"/>
                <w:highlight w:val="none"/>
                <w:u w:val="none" w:color="auto"/>
              </w:rPr>
              <w:t xml:space="preserve">  u</w:t>
            </w:r>
            <w:r>
              <w:t xml:space="preserve"> tax-xbiha tal-wiċċ</w:t>
            </w:r>
            <w:r>
              <w:rPr>
                <w:rFonts w:ascii="Times New Roman" w:eastAsia="Times New Roman" w:hAnsi="Times New Roman" w:cs="Times New Roman"/>
                <w:b/>
                <w:i/>
                <w:strike w:val="0"/>
                <w:color w:val="000000"/>
                <w:sz w:val="24"/>
                <w:highlight w:val="none"/>
                <w:u w:val="none" w:color="auto"/>
              </w:rPr>
              <w:t xml:space="preserve">  </w:t>
            </w:r>
            <w:r>
              <w:t>mas-Sistema Ċentrali.</w:t>
            </w:r>
          </w:p>
        </w:tc>
        <w:tc>
          <w:tcPr/>
          <w:p>
            <w:pPr>
              <w:pStyle w:val="Normal6"/>
            </w:pPr>
            <w:r>
              <w:t>1.</w:t>
            </w:r>
            <w:r>
              <w:tab/>
            </w:r>
            <w:r>
              <w:t>Għall-finijiet stabbiliti fl-Artikolu 1(1)(c), il-Europol għandu jaħtar unità speċjalizzata b'uffiċjali tal-Europol li huma debitament awtorizzati li jaġixxu bħala l-awtorità ta' verifika tiegħu, li għandha taġixxi b’mod indipendenti mill-awtorità maħtura msemmija fil-paragrafu 2 ta' dan l-Artikolu meta twettaq il-kompiti tagħha taħt dan ir-Regolament, u ma għandhiex tirċievi struzzjonijiet mill-awtorità maħtura fir-rigward tal-eżitu tal-verifika. L-unità għandha tiżgura li l-kundizzjonijiet għat-talba għat-tqabbil tal-marki tas-swaba'</w:t>
            </w:r>
            <w:r>
              <w:rPr>
                <w:rFonts w:ascii="Times New Roman" w:eastAsia="Times New Roman" w:hAnsi="Times New Roman" w:cs="Times New Roman"/>
                <w:b/>
                <w:i/>
                <w:strike w:val="0"/>
                <w:color w:val="000000"/>
                <w:sz w:val="24"/>
                <w:highlight w:val="none"/>
                <w:u w:val="none" w:color="auto"/>
              </w:rPr>
              <w:t>,</w:t>
            </w:r>
            <w:r>
              <w:t> tax-xbiha tal-wiċċ</w:t>
            </w:r>
            <w:r>
              <w:rPr>
                <w:rFonts w:ascii="Times New Roman" w:eastAsia="Times New Roman" w:hAnsi="Times New Roman" w:cs="Times New Roman"/>
                <w:b/>
                <w:i/>
                <w:strike w:val="0"/>
                <w:color w:val="000000"/>
                <w:sz w:val="24"/>
                <w:highlight w:val="none"/>
                <w:u w:val="none" w:color="auto"/>
              </w:rPr>
              <w:t xml:space="preserve"> jew għat-tnejn </w:t>
            </w:r>
            <w:r>
              <w:t xml:space="preserve">mad-data tal-Eurodac ikunu ssodisfati. Il-Europol għandu jistabbilixxi, bi ftehim ma’ kwalunkwe Stat Membru, il-Punt ta' Aċċess Nazzjonali ta' dak l-Istat Membru li jikkomunika t-talbiet tagħha għal tqabbil </w:t>
            </w:r>
            <w:r>
              <w:rPr>
                <w:rFonts w:ascii="Times New Roman" w:eastAsia="Times New Roman" w:hAnsi="Times New Roman" w:cs="Times New Roman"/>
                <w:b/>
                <w:i/>
                <w:strike w:val="0"/>
                <w:color w:val="000000"/>
                <w:sz w:val="24"/>
                <w:highlight w:val="none"/>
                <w:u w:val="none" w:color="auto"/>
              </w:rPr>
              <w:t xml:space="preserve">tad-data </w:t>
            </w:r>
            <w:r>
              <w:t>tal-marki tas-swaba'</w:t>
            </w:r>
            <w:r>
              <w:rPr>
                <w:rFonts w:ascii="Times New Roman" w:eastAsia="Times New Roman" w:hAnsi="Times New Roman" w:cs="Times New Roman"/>
                <w:b/>
                <w:i/>
                <w:strike w:val="0"/>
                <w:color w:val="000000"/>
                <w:sz w:val="24"/>
                <w:highlight w:val="none"/>
                <w:u w:val="none" w:color="auto"/>
              </w:rPr>
              <w:t>,</w:t>
            </w:r>
            <w:r>
              <w:t xml:space="preserve"> tax-xbiha tal-wiċċ</w:t>
            </w:r>
            <w:r>
              <w:rPr>
                <w:rFonts w:ascii="Times New Roman" w:eastAsia="Times New Roman" w:hAnsi="Times New Roman" w:cs="Times New Roman"/>
                <w:b/>
                <w:i/>
                <w:strike w:val="0"/>
                <w:color w:val="000000"/>
                <w:sz w:val="24"/>
                <w:highlight w:val="none"/>
                <w:u w:val="none" w:color="auto"/>
              </w:rPr>
              <w:t xml:space="preserve"> jew għat-tnejn </w:t>
            </w:r>
            <w:r>
              <w:t>mas-Sistema Ċentrali.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Għall-finijiet </w:t>
            </w:r>
            <w:r>
              <w:rPr>
                <w:rFonts w:ascii="Times New Roman" w:eastAsia="Times New Roman" w:hAnsi="Times New Roman" w:cs="Times New Roman"/>
                <w:b/>
                <w:i/>
                <w:strike w:val="0"/>
                <w:color w:val="000000"/>
                <w:sz w:val="24"/>
                <w:highlight w:val="none"/>
                <w:u w:val="none" w:color="auto"/>
              </w:rPr>
              <w:t>stabbiliti fl-Artikolu 1 (1)(c)</w:t>
            </w:r>
            <w:r>
              <w:t xml:space="preserve">, il-Europol għandu </w:t>
            </w:r>
            <w:r>
              <w:rPr>
                <w:rFonts w:ascii="Times New Roman" w:eastAsia="Times New Roman" w:hAnsi="Times New Roman" w:cs="Times New Roman"/>
                <w:b/>
                <w:i/>
                <w:strike w:val="0"/>
                <w:color w:val="000000"/>
                <w:sz w:val="24"/>
                <w:highlight w:val="none"/>
                <w:u w:val="none" w:color="auto"/>
              </w:rPr>
              <w:t>jistabbilixxi</w:t>
            </w:r>
            <w:r>
              <w:t xml:space="preserve"> unità </w:t>
            </w:r>
            <w:r>
              <w:rPr>
                <w:rFonts w:ascii="Times New Roman" w:eastAsia="Times New Roman" w:hAnsi="Times New Roman" w:cs="Times New Roman"/>
                <w:b/>
                <w:i/>
                <w:strike w:val="0"/>
                <w:color w:val="000000"/>
                <w:sz w:val="24"/>
                <w:highlight w:val="none"/>
                <w:u w:val="none" w:color="auto"/>
              </w:rPr>
              <w:t>operattiva li tkun awtorizzata titlob tqabbil mad-data tal-Eurodac permezz tal-Punt</w:t>
            </w:r>
            <w:r>
              <w:t xml:space="preserve"> ta' </w:t>
            </w:r>
            <w:r>
              <w:rPr>
                <w:rFonts w:ascii="Times New Roman" w:eastAsia="Times New Roman" w:hAnsi="Times New Roman" w:cs="Times New Roman"/>
                <w:b/>
                <w:i/>
                <w:strike w:val="0"/>
                <w:color w:val="000000"/>
                <w:sz w:val="24"/>
                <w:highlight w:val="none"/>
                <w:u w:val="none" w:color="auto"/>
              </w:rPr>
              <w:t>Aċċess</w:t>
            </w:r>
            <w:r>
              <w:t xml:space="preserve"> </w:t>
            </w:r>
            <w:r>
              <w:rPr>
                <w:rFonts w:ascii="Times New Roman" w:eastAsia="Times New Roman" w:hAnsi="Times New Roman" w:cs="Times New Roman"/>
                <w:b/>
                <w:i/>
                <w:strike w:val="0"/>
                <w:color w:val="000000"/>
                <w:sz w:val="24"/>
                <w:highlight w:val="none"/>
                <w:u w:val="none" w:color="auto"/>
              </w:rPr>
              <w:t>Nazzjonali stabbilit tagħha. L-awtorità maħtura għandha tkun unità operattiva tal-Europol li jkollha kompetenza tiġbor, taħżen, tipproċessa, tanalizza u tikkondividi informazzjoni biex tappoġġa u ssaħħaħ azzjoni mill-Istati Membri fil-prevenzjoni, ir-rintraċċar jew l-investigazzjoni ta’ reati terroristiċi jew reati serji oħra li jaqgħu fl-ambitu tal-mandat tal-Europol</w:t>
            </w:r>
            <w:r>
              <w:t>.</w:t>
            </w:r>
          </w:p>
        </w:tc>
        <w:tc>
          <w:tcPr/>
          <w:p>
            <w:pPr>
              <w:pStyle w:val="Normal6"/>
            </w:pPr>
            <w:r>
              <w:t>2.</w:t>
            </w:r>
            <w:r>
              <w:tab/>
            </w:r>
            <w:r>
              <w:t xml:space="preserve">Għall-finijiet </w:t>
            </w:r>
            <w:r>
              <w:rPr>
                <w:rFonts w:ascii="Times New Roman" w:eastAsia="Times New Roman" w:hAnsi="Times New Roman" w:cs="Times New Roman"/>
                <w:b/>
                <w:i/>
                <w:strike w:val="0"/>
                <w:color w:val="000000"/>
                <w:sz w:val="24"/>
                <w:highlight w:val="none"/>
                <w:u w:val="none" w:color="auto"/>
              </w:rPr>
              <w:t>tal-Artikolu 1(1)(c)</w:t>
            </w:r>
            <w:r>
              <w:t xml:space="preserve">, il-Europol għandu </w:t>
            </w:r>
            <w:r>
              <w:rPr>
                <w:rFonts w:ascii="Times New Roman" w:eastAsia="Times New Roman" w:hAnsi="Times New Roman" w:cs="Times New Roman"/>
                <w:b/>
                <w:i/>
                <w:strike w:val="0"/>
                <w:color w:val="000000"/>
                <w:sz w:val="24"/>
                <w:highlight w:val="none"/>
                <w:u w:val="none" w:color="auto"/>
              </w:rPr>
              <w:t>jaħtar</w:t>
            </w:r>
            <w:r>
              <w:t xml:space="preserve"> unità </w:t>
            </w:r>
            <w:r>
              <w:rPr>
                <w:rFonts w:ascii="Times New Roman" w:eastAsia="Times New Roman" w:hAnsi="Times New Roman" w:cs="Times New Roman"/>
                <w:b/>
                <w:i/>
                <w:strike w:val="0"/>
                <w:color w:val="000000"/>
                <w:sz w:val="24"/>
                <w:highlight w:val="none"/>
                <w:u w:val="none" w:color="auto"/>
              </w:rPr>
              <w:t>speċjalizzata b’uffiċjali tal-Europol li huma debitament awtorizzati bħala l-punt</w:t>
            </w:r>
            <w:r>
              <w:t xml:space="preserve"> ta’ </w:t>
            </w:r>
            <w:r>
              <w:rPr>
                <w:rFonts w:ascii="Times New Roman" w:eastAsia="Times New Roman" w:hAnsi="Times New Roman" w:cs="Times New Roman"/>
                <w:b/>
                <w:i/>
                <w:strike w:val="0"/>
                <w:color w:val="000000"/>
                <w:sz w:val="24"/>
                <w:highlight w:val="none"/>
                <w:u w:val="none" w:color="auto"/>
              </w:rPr>
              <w:t>aċċess</w:t>
            </w:r>
            <w:r>
              <w:t xml:space="preserve"> </w:t>
            </w:r>
            <w:r>
              <w:rPr>
                <w:rFonts w:ascii="Times New Roman" w:eastAsia="Times New Roman" w:hAnsi="Times New Roman" w:cs="Times New Roman"/>
                <w:b/>
                <w:i/>
                <w:strike w:val="0"/>
                <w:color w:val="000000"/>
                <w:sz w:val="24"/>
                <w:highlight w:val="none"/>
                <w:u w:val="none" w:color="auto"/>
              </w:rPr>
              <w:t>ċentrali. Il-punt ta’ aċċess ċentrali għandu jivverifika li l-kundizzjonijiet għat-talba għall-aċċess għall-Eurodac stabbiliti fl-Artikolu 22 huma ssodisfati.</w:t>
            </w:r>
            <w:r>
              <w:br/>
            </w:r>
            <w:r>
              <w:rPr>
                <w:rFonts w:ascii="Times New Roman" w:eastAsia="Times New Roman" w:hAnsi="Times New Roman" w:cs="Times New Roman"/>
                <w:b/>
                <w:i/>
                <w:strike w:val="0"/>
                <w:color w:val="000000"/>
                <w:sz w:val="24"/>
                <w:highlight w:val="none"/>
                <w:u w:val="none" w:color="auto"/>
              </w:rPr>
              <w:t>Il-punt ta' aċċess ċentrali għandu jaġixxi b'mod indipendenti meta jwettaq il-kompiti tiegħu skont dan ir-Regolament u ma għandux jirċievi struzzjonijiet mill-awtorità maħtura msemmija fil-paragrafu 1 fir-rigward tal-eżitu tal-verifika</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In line with the purpose extention in Article1(1)(c) of proposal (non-codified) which provides that Eurodac will serve not only the purpose of implementation of the Dublin Regulation, but also law enforcementpurposes. 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Vilija Blinkevičiūtė</w:t>
      </w:r>
      <w:r>
        <w:t xml:space="preserve">, </w:t>
      </w:r>
      <w:r>
        <w:t>Vilija Blinkevičiūtė</w:t>
      </w:r>
      <w:r>
        <w:t xml:space="preserve">, </w:t>
      </w:r>
      <w:r>
        <w:t>Vilija Blinkevičiūtė</w:t>
      </w:r>
      <w:r>
        <w:t xml:space="preserve">, </w:t>
      </w:r>
      <w:r>
        <w:t>Vilija Blinkevičiūtė</w:t>
      </w:r>
      <w:r>
        <w:t xml:space="preserve">, </w:t>
      </w:r>
      <w:r>
        <w:t>Vilija Blinkevičiūtė</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Għall-finijiet stabbiliti fl-Artikolu 1 (1)(c), il-Europol għandu jistabbilixxi unità operattiva li tkun awtorizzata titlob tqabbil mad-data tal-Eurodac</w:t>
            </w:r>
            <w:r>
              <w:rPr>
                <w:rFonts w:ascii="Times New Roman" w:eastAsia="Times New Roman" w:hAnsi="Times New Roman" w:cs="Times New Roman"/>
                <w:b/>
                <w:i/>
                <w:strike w:val="0"/>
                <w:color w:val="000000"/>
                <w:sz w:val="24"/>
                <w:highlight w:val="none"/>
                <w:u w:val="none" w:color="auto"/>
              </w:rPr>
              <w:t xml:space="preserve"> permezz tal-Punt ta' Aċċess Nazzjonali stabbilit tagħha</w:t>
            </w:r>
            <w:r>
              <w:t>. L-awtorità maħtura għandha tkun unità operattiva tal-Europol li jkollha kompetenza tiġbor, taħżen, tipproċessa, tanalizza u tikkondividi informazzjoni biex tappoġġa u ssaħħaħ azzjoni mill-Istati Membri fil-prevenzjoni, ir-rintraċċar jew l-investigazzjoni ta’ reati terroristiċi jew reati serji oħra li jaqgħu fl-ambitu tal-mandat tal-Europol.</w:t>
            </w:r>
          </w:p>
        </w:tc>
        <w:tc>
          <w:tcPr/>
          <w:p>
            <w:pPr>
              <w:pStyle w:val="Normal6"/>
            </w:pPr>
            <w:r>
              <w:t>2.</w:t>
            </w:r>
            <w:r>
              <w:tab/>
            </w:r>
            <w:r>
              <w:t>Għall-finijiet stabbiliti fl-Artikolu 1 (1)(c), il-Europol għandu jistabbilixxi unità operattiva li tkun awtorizzata titlob tqabbil mad-data tal-Eurodac. L-awtorità maħtura għandha tkun unità operattiva tal-Europol li jkollha kompetenza tiġbor, taħżen, tipproċessa, tanalizza u tikkondividi informazzjoni biex tappoġġa u ssaħħaħ azzjoni mill-Istati Membri fil-prevenzjoni, ir-rintraċċar jew l-investigazzjoni ta’ reati terroristiċi jew reati serji oħra li jaqgħu fl-ambitu tal-mandat tal-Europol.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relatata mal-Artikolu 1(1) (c). Kemm għal raġunijiet tekniċi kif ukoll ta' protezzjoni tad-data, il-Europol bħal'issa mhix f'pożizzjoni titlob paragun permezz tal-punt ta’ kuntatt nazzjonali, minkejja li l-leġiżlatur kien ippermetta lill-Europol jagħmel dan fl-aħħar proċedura ta’ riformulazzjoni fl-2013. B'hekk, il-Europol għandha tkun permessa titlob paragun b'mod dirett.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 – paragrafu 2a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2a.</w:t>
            </w:r>
            <w:r>
              <w:tab/>
            </w:r>
            <w:r>
              <w:rPr>
                <w:rFonts w:ascii="Times New Roman" w:eastAsia="Times New Roman" w:hAnsi="Times New Roman" w:cs="Times New Roman"/>
                <w:b/>
                <w:i/>
                <w:strike w:val="0"/>
                <w:color w:val="000000"/>
                <w:sz w:val="24"/>
                <w:highlight w:val="none"/>
                <w:u w:val="none" w:color="auto"/>
              </w:rPr>
              <w:t>Għall-finijiet stabbiliti fl-Artikolu 1(1)(ca), il-Europol għandu jaħtar unità operattiva responsabbli mit-tfal neqsin u mit-tfal vittmi tat-traffikar tal-bniedem. L-awtorità maħtura għandha tkun unità operattiva tal-Europol li għandha kompetenza tiġbor, taħżen, tipproċessa, tanalizza u tikkondividi informazzjoni biex tappoġġa u ssaħħaħ azzjoni mill-Istati Membri fil-prevenzjoni, ir-rintraċċar jew l-investigazzjoni ta’ traffikar tat-tfal, tħaddim tat-tfal jew esplojtazzjoni tat-tfal.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old (Article 10, 13 and 14), the purpose of Eurodac should also be facilitating family reunification and identify and protect child victims of human trafficking. This will positively contribute to the protection of the rights of the child, including the rights of unaccompanied minors. Introducing a Europol operating unit on missing children and child victims of trafficking in human beings will contribute to this purpose.</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t xml:space="preserve">, </w:t>
      </w:r>
      <w:r>
        <w:t>Rachida Dati</w:t>
      </w:r>
      <w:r>
        <w:t xml:space="preserve">, </w:t>
      </w:r>
      <w:r>
        <w:t>Brice Hortefeux</w:t>
      </w:r>
      <w:r>
        <w:t xml:space="preserve">, </w:t>
      </w:r>
      <w:r>
        <w:t>Mariya Gabriel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8a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Artikolu 8a</w:t>
            </w:r>
            <w:r>
              <w:tab/>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Center"/>
            </w:pPr>
            <w:r>
              <w:rPr>
                <w:rFonts w:ascii="Times New Roman" w:eastAsia="Times New Roman" w:hAnsi="Times New Roman" w:cs="Times New Roman"/>
                <w:b/>
                <w:i/>
                <w:strike w:val="0"/>
                <w:color w:val="000000"/>
                <w:sz w:val="24"/>
                <w:highlight w:val="none"/>
                <w:u w:val="none" w:color="auto"/>
              </w:rPr>
              <w:t>Gwardja Ewropea tal-Fruntiera u tal-Kosta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B'mod konformi mal-Artikolu (40)(8) tar-Regolament (UE) 2016/1624, il-membri tal-Aġenzija Ewropea għall-Gwardja tal-Fruntiera u l-Kosta jew timijiet ta' persunal involuti f’kompiti relatati mar-ritorn kif ukoll il-membri tat-timijiet ta’ appoġġ għall-ġestjoni tal-migrazzjoni għandhom, fi ħdan il-mandat tagħhom, ikollhom id-dritt li jaċċessaw u jfittxu data imdaħħla fil-Eurodac fi ħdan il-mandat tagħhom. Huma jagħmlu dan billi jużaw l-interfaċċa teknika stabbilita u miżmuma mill-Aġenzija Ewropea għall-Gwardja tal-Fruntiera u l-Kosta kif imsemmi fl-Artikolu (10)(3a).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tikkorrispondi mar-rwol il-ġdid li assuma l-Eurodac, li jidher fil-paragrafu (b) tal-Artikolu 1. Il-Eurodac issa għandu jassisti fil-kontroll tal-immigrazzjoni illegali u l-moviment sekondarju. Fil-mandar il-ġdid tagħha, l-Aġenzija Ewropea għall-Gwardja tal-Fruntiera u tal-Kosta li nħolqot issa ukoll għandha dan il-kompitu. L-għoti ta' aċċess lill-Gwardja Ewropea tal-Fruntiera u tal-Kosta għandu jiżgura li l-potenzjal il-ġdid tal-Eurodac jiġi sfruttat bis-sħiħ.</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Petr Ježek</w:t>
      </w:r>
      <w:r>
        <w:t xml:space="preserve">, </w:t>
      </w:r>
      <w:r>
        <w:t>Louis Michel</w:t>
      </w:r>
      <w:r>
        <w:t xml:space="preserve">, </w:t>
      </w:r>
      <w:r>
        <w:t>Petr Ježek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(a)</w:t>
            </w:r>
            <w:r>
              <w:tab/>
            </w:r>
            <w:r>
              <w:t xml:space="preserve">in-numru ta' settijiet ta' data trażmessi dwar persuni msemmija </w:t>
            </w:r>
            <w:r>
              <w:rPr>
                <w:rFonts w:ascii="Times New Roman" w:eastAsia="Times New Roman" w:hAnsi="Times New Roman" w:cs="Times New Roman"/>
                <w:b/>
                <w:i/>
                <w:strike w:val="0"/>
                <w:color w:val="000000"/>
                <w:sz w:val="24"/>
                <w:highlight w:val="none"/>
                <w:u w:val="none" w:color="auto"/>
              </w:rPr>
              <w:t>fl-Artikoli 10(1),</w:t>
            </w:r>
            <w:r>
              <w:t xml:space="preserve"> 13(1) u 14(1);</w:t>
            </w:r>
          </w:p>
        </w:tc>
        <w:tc>
          <w:tcPr/>
          <w:p>
            <w:pPr>
              <w:pStyle w:val="Normal6"/>
            </w:pPr>
            <w:r>
              <w:t>(a)</w:t>
            </w:r>
            <w:r>
              <w:tab/>
            </w:r>
            <w:r>
              <w:t xml:space="preserve">in-numru ta' settijiet ta' data trażmessi dwar persuni msemmija </w:t>
            </w:r>
            <w:r>
              <w:rPr>
                <w:rFonts w:ascii="Times New Roman" w:eastAsia="Times New Roman" w:hAnsi="Times New Roman" w:cs="Times New Roman"/>
                <w:b/>
                <w:i/>
                <w:strike w:val="0"/>
                <w:color w:val="000000"/>
                <w:sz w:val="24"/>
                <w:highlight w:val="none"/>
                <w:u w:val="none" w:color="auto"/>
              </w:rPr>
              <w:t>fl-Artikolu 10(1), l-Artikolu 12a, u l-Artikoli</w:t>
            </w:r>
            <w:r>
              <w:t xml:space="preserve"> 13(1) u 14(1);</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Riformulazzjoni: l-emenda hija relatata mal-proposta ta’ żieda ta' kategorija ġdida (kapitolu IIa ġdid) u għandha l-għan li tiżgura l-koerenza tat-test fir-rigward ta' din iż-żieda.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 – punt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(a)</w:t>
            </w:r>
            <w:r>
              <w:tab/>
            </w:r>
            <w:r>
              <w:t>in-numru ta' settijiet ta' data trażmessi dwar persuni msemmija fl-Artikoli 10(1)</w:t>
            </w:r>
            <w:r>
              <w:rPr>
                <w:rFonts w:ascii="Times New Roman" w:eastAsia="Times New Roman" w:hAnsi="Times New Roman" w:cs="Times New Roman"/>
                <w:b/>
                <w:i/>
                <w:strike w:val="0"/>
                <w:color w:val="000000"/>
                <w:sz w:val="24"/>
                <w:highlight w:val="none"/>
                <w:u w:val="none" w:color="auto"/>
              </w:rPr>
              <w:t>, 13(1) u 14(1)</w:t>
            </w:r>
            <w:r>
              <w:t>;</w:t>
            </w:r>
          </w:p>
        </w:tc>
        <w:tc>
          <w:tcPr/>
          <w:p>
            <w:pPr>
              <w:pStyle w:val="Normal6"/>
            </w:pPr>
            <w:r>
              <w:t>(a)</w:t>
            </w:r>
            <w:r>
              <w:tab/>
            </w:r>
            <w:r>
              <w:t>in-numru ta' settijiet ta' data trażmessi dwar persuni msemmija fl-Artikoli 10(1)</w:t>
            </w:r>
            <w:r>
              <w:rPr>
                <w:rFonts w:ascii="Times New Roman" w:eastAsia="Times New Roman" w:hAnsi="Times New Roman" w:cs="Times New Roman"/>
                <w:b/>
                <w:i/>
                <w:strike w:val="0"/>
                <w:color w:val="000000"/>
                <w:sz w:val="24"/>
                <w:highlight w:val="none"/>
                <w:u w:val="none" w:color="auto"/>
              </w:rPr>
              <w:t xml:space="preserve"> u 13(1)</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ammissibbli peress li hija marbuta b'mod inseparabbli mal-emendi ammissibbli li jħassru l-Artikoli 14(1), 14(2), 14(4), 14(5) u 14(6)</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t>in-numru ta' hits dwar</w:t>
            </w:r>
            <w:r>
              <w:rPr>
                <w:rFonts w:ascii="Times New Roman" w:eastAsia="Times New Roman" w:hAnsi="Times New Roman" w:cs="Times New Roman"/>
                <w:b/>
                <w:i/>
                <w:strike w:val="0"/>
                <w:color w:val="000000"/>
                <w:sz w:val="24"/>
                <w:highlight w:val="none"/>
                <w:u w:val="none" w:color="auto"/>
              </w:rPr>
              <w:t xml:space="preserve">  </w:t>
            </w:r>
            <w:r>
              <w:t>persuni msemmija fl-Artikolu 10(1)</w:t>
            </w:r>
            <w:r>
              <w:rPr>
                <w:rFonts w:ascii="Times New Roman" w:eastAsia="Times New Roman" w:hAnsi="Times New Roman" w:cs="Times New Roman"/>
                <w:b/>
                <w:i/>
                <w:strike w:val="0"/>
                <w:color w:val="000000"/>
                <w:sz w:val="24"/>
                <w:highlight w:val="none"/>
                <w:u w:val="none" w:color="auto"/>
              </w:rPr>
              <w:t>  li kienu  </w:t>
            </w:r>
            <w:r>
              <w:t>sussegwentement</w:t>
            </w:r>
            <w:r>
              <w:rPr>
                <w:rFonts w:ascii="Times New Roman" w:eastAsia="Times New Roman" w:hAnsi="Times New Roman" w:cs="Times New Roman"/>
                <w:b/>
                <w:i/>
                <w:strike w:val="0"/>
                <w:color w:val="000000"/>
                <w:sz w:val="24"/>
                <w:highlight w:val="none"/>
                <w:u w:val="none" w:color="auto"/>
              </w:rPr>
              <w:t xml:space="preserve">  </w:t>
            </w:r>
            <w:r>
              <w:t>issottomettew applikazzjoni għall-protezzjoni internazzjonali fi Stat Membru ieħor</w:t>
            </w:r>
            <w:r>
              <w:rPr>
                <w:rFonts w:ascii="Times New Roman" w:eastAsia="Times New Roman" w:hAnsi="Times New Roman" w:cs="Times New Roman"/>
                <w:b/>
                <w:i/>
                <w:strike w:val="0"/>
                <w:color w:val="000000"/>
                <w:sz w:val="24"/>
                <w:highlight w:val="none"/>
                <w:u w:val="none" w:color="auto"/>
              </w:rPr>
              <w:t xml:space="preserve">  , li kienu nqabdu f'relazzjoni ma' qsim irregolari tal-fruntiera esterna u li nstabu li qed joqogħdu illegalment fi Stat Membru  </w:t>
            </w:r>
            <w:r>
              <w:t>;</w:t>
            </w:r>
          </w:p>
        </w:tc>
        <w:tc>
          <w:tcPr/>
          <w:p>
            <w:pPr>
              <w:pStyle w:val="Normal6"/>
            </w:pPr>
            <w:r>
              <w:t>(b)</w:t>
            </w:r>
            <w:r>
              <w:tab/>
            </w:r>
            <w:r>
              <w:t>in-numru ta' hits dwar</w:t>
            </w:r>
            <w:r>
              <w:rPr>
                <w:rFonts w:ascii="Times New Roman" w:eastAsia="Times New Roman" w:hAnsi="Times New Roman" w:cs="Times New Roman"/>
                <w:b/>
                <w:i/>
                <w:strike w:val="0"/>
                <w:color w:val="000000"/>
                <w:sz w:val="24"/>
                <w:highlight w:val="none"/>
                <w:u w:val="none" w:color="auto"/>
              </w:rPr>
              <w:t xml:space="preserve"> </w:t>
            </w:r>
            <w:r>
              <w:t>persuni msemmija fl-Artikolu 10(1)</w:t>
            </w:r>
            <w:r>
              <w:rPr>
                <w:rFonts w:ascii="Times New Roman" w:eastAsia="Times New Roman" w:hAnsi="Times New Roman" w:cs="Times New Roman"/>
                <w:b/>
                <w:i/>
                <w:strike w:val="0"/>
                <w:color w:val="000000"/>
                <w:sz w:val="24"/>
                <w:highlight w:val="none"/>
                <w:u w:val="none" w:color="auto"/>
              </w:rPr>
              <w:t xml:space="preserve"> li </w:t>
            </w:r>
            <w:r>
              <w:t>sussegwentement</w:t>
            </w:r>
            <w:r>
              <w:rPr>
                <w:rFonts w:ascii="Times New Roman" w:eastAsia="Times New Roman" w:hAnsi="Times New Roman" w:cs="Times New Roman"/>
                <w:b/>
                <w:i/>
                <w:strike w:val="0"/>
                <w:color w:val="000000"/>
                <w:sz w:val="24"/>
                <w:highlight w:val="none"/>
                <w:u w:val="none" w:color="auto"/>
              </w:rPr>
              <w:t xml:space="preserve"> </w:t>
            </w:r>
            <w:r>
              <w:t>issottomettew applikazzjoni għall-protezzjoni internazzjonali fi Stat Membru ieħor;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t>in-numru ta' hits dwar</w:t>
            </w:r>
            <w:r>
              <w:rPr>
                <w:rFonts w:ascii="Times New Roman" w:eastAsia="Times New Roman" w:hAnsi="Times New Roman" w:cs="Times New Roman"/>
                <w:b/>
                <w:i/>
                <w:strike w:val="0"/>
                <w:color w:val="000000"/>
                <w:sz w:val="24"/>
                <w:highlight w:val="none"/>
                <w:u w:val="none" w:color="auto"/>
              </w:rPr>
              <w:t xml:space="preserve">  </w:t>
            </w:r>
            <w:r>
              <w:t>persuni msemmija fl-Artikolu 10(1)</w:t>
            </w:r>
            <w:r>
              <w:rPr>
                <w:rFonts w:ascii="Times New Roman" w:eastAsia="Times New Roman" w:hAnsi="Times New Roman" w:cs="Times New Roman"/>
                <w:b/>
                <w:i/>
                <w:strike w:val="0"/>
                <w:color w:val="000000"/>
                <w:sz w:val="24"/>
                <w:highlight w:val="none"/>
                <w:u w:val="none" w:color="auto"/>
              </w:rPr>
              <w:t>  li kienu  </w:t>
            </w:r>
            <w:r>
              <w:t>sussegwentement</w:t>
            </w:r>
            <w:r>
              <w:rPr>
                <w:rFonts w:ascii="Times New Roman" w:eastAsia="Times New Roman" w:hAnsi="Times New Roman" w:cs="Times New Roman"/>
                <w:b/>
                <w:i/>
                <w:strike w:val="0"/>
                <w:color w:val="000000"/>
                <w:sz w:val="24"/>
                <w:highlight w:val="none"/>
                <w:u w:val="none" w:color="auto"/>
              </w:rPr>
              <w:t xml:space="preserve">  </w:t>
            </w:r>
            <w:r>
              <w:t>issottomettew applikazzjoni għall-protezzjoni internazzjonali fi Stat Membru ieħor</w:t>
            </w:r>
            <w:r>
              <w:rPr>
                <w:rFonts w:ascii="Times New Roman" w:eastAsia="Times New Roman" w:hAnsi="Times New Roman" w:cs="Times New Roman"/>
                <w:b/>
                <w:i/>
                <w:strike w:val="0"/>
                <w:color w:val="000000"/>
                <w:sz w:val="24"/>
                <w:highlight w:val="none"/>
                <w:u w:val="none" w:color="auto"/>
              </w:rPr>
              <w:t xml:space="preserve">  , li kienu nqabdu f'relazzjoni ma' qsim irregolari tal-fruntiera esterna u li nstabu li qed joqogħdu illegalment fi Stat Membru  </w:t>
            </w:r>
            <w:r>
              <w:t>;</w:t>
            </w:r>
          </w:p>
        </w:tc>
        <w:tc>
          <w:tcPr/>
          <w:p>
            <w:pPr>
              <w:pStyle w:val="Normal6"/>
            </w:pPr>
            <w:r>
              <w:t>(b)</w:t>
            </w:r>
            <w:r>
              <w:tab/>
            </w:r>
            <w:r>
              <w:t>in-numru ta' hits dwar</w:t>
            </w:r>
            <w:r>
              <w:rPr>
                <w:rFonts w:ascii="Times New Roman" w:eastAsia="Times New Roman" w:hAnsi="Times New Roman" w:cs="Times New Roman"/>
                <w:b/>
                <w:i/>
                <w:strike w:val="0"/>
                <w:color w:val="000000"/>
                <w:sz w:val="24"/>
                <w:highlight w:val="none"/>
                <w:u w:val="none" w:color="auto"/>
              </w:rPr>
              <w:t xml:space="preserve"> </w:t>
            </w:r>
            <w:r>
              <w:t>persuni msemmija fl-Artikolu 10(1)</w:t>
            </w:r>
            <w:r>
              <w:rPr>
                <w:rFonts w:ascii="Times New Roman" w:eastAsia="Times New Roman" w:hAnsi="Times New Roman" w:cs="Times New Roman"/>
                <w:b/>
                <w:i/>
                <w:strike w:val="0"/>
                <w:color w:val="000000"/>
                <w:sz w:val="24"/>
                <w:highlight w:val="none"/>
                <w:u w:val="none" w:color="auto"/>
              </w:rPr>
              <w:t xml:space="preserve"> li </w:t>
            </w:r>
            <w:r>
              <w:t>sussegwentement</w:t>
            </w:r>
            <w:r>
              <w:rPr>
                <w:rFonts w:ascii="Times New Roman" w:eastAsia="Times New Roman" w:hAnsi="Times New Roman" w:cs="Times New Roman"/>
                <w:b/>
                <w:i/>
                <w:strike w:val="0"/>
                <w:color w:val="000000"/>
                <w:sz w:val="24"/>
                <w:highlight w:val="none"/>
                <w:u w:val="none" w:color="auto"/>
              </w:rPr>
              <w:t xml:space="preserve"> </w:t>
            </w:r>
            <w:r>
              <w:t>issottomettew applikazzjoni għall-protezzjoni internazzjonali fi Stat Membru ieħor;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(c)</w:t>
            </w:r>
            <w:r>
              <w:tab/>
            </w:r>
            <w:r>
              <w:t>in-numru ta' hits dwar persuni msemmija fl-Artikolu 13(1) li sussegwentement kienu ssottomettew applikazzjoni għall-protezzjoni internazzjonali</w:t>
            </w:r>
            <w:r>
              <w:rPr>
                <w:rFonts w:ascii="Times New Roman" w:eastAsia="Times New Roman" w:hAnsi="Times New Roman" w:cs="Times New Roman"/>
                <w:b/>
                <w:i/>
                <w:strike w:val="0"/>
                <w:color w:val="000000"/>
                <w:sz w:val="24"/>
                <w:highlight w:val="none"/>
                <w:u w:val="none" w:color="auto"/>
              </w:rPr>
              <w:t xml:space="preserve">  li kienu nqabdu f'relazzjoni ma' qsim irregolari tal-fruntiera esterna u li nstabu li qed joqogħdu illegalment fi Stat Membru </w:t>
            </w:r>
            <w:r>
              <w:t>;</w:t>
            </w:r>
          </w:p>
        </w:tc>
        <w:tc>
          <w:tcPr/>
          <w:p>
            <w:pPr>
              <w:pStyle w:val="Normal6"/>
            </w:pPr>
            <w:r>
              <w:t>(c)</w:t>
            </w:r>
            <w:r>
              <w:tab/>
            </w:r>
            <w:r>
              <w:t>in-numru ta' hits dwar persuni msemmija fl-Artikolu 13(1) li sussegwentement kienu ssottomettew applikazzjoni għall-protezzjoni internazzjonali;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(c)</w:t>
            </w:r>
            <w:r>
              <w:tab/>
            </w:r>
            <w:r>
              <w:t xml:space="preserve">in-numru ta' </w:t>
            </w:r>
            <w:r>
              <w:rPr>
                <w:rFonts w:ascii="Times New Roman" w:eastAsia="Times New Roman" w:hAnsi="Times New Roman" w:cs="Times New Roman"/>
                <w:b/>
                <w:i/>
                <w:strike w:val="0"/>
                <w:color w:val="000000"/>
                <w:sz w:val="24"/>
                <w:highlight w:val="none"/>
                <w:u w:val="none" w:color="auto"/>
              </w:rPr>
              <w:t>hits</w:t>
            </w:r>
            <w:r>
              <w:t xml:space="preserve"> dwar persuni msemmija fl-Artikolu 13(1) li sussegwentement kienu ssottomettew applikazzjoni </w:t>
            </w:r>
            <w:r>
              <w:rPr>
                <w:rFonts w:ascii="Times New Roman" w:eastAsia="Times New Roman" w:hAnsi="Times New Roman" w:cs="Times New Roman"/>
                <w:b/>
                <w:i/>
                <w:strike w:val="0"/>
                <w:color w:val="000000"/>
                <w:sz w:val="24"/>
                <w:highlight w:val="none"/>
                <w:u w:val="none" w:color="auto"/>
              </w:rPr>
              <w:t>għall-protezzjoni internazzjonali  li kienu nqabdu f'relazzjoni ma' qsim irregolari tal-fruntiera esterna u li nstabu li qed joqogħdu illegalment fi Stat Membru </w:t>
            </w:r>
            <w:r>
              <w:t>;</w:t>
            </w:r>
          </w:p>
        </w:tc>
        <w:tc>
          <w:tcPr/>
          <w:p>
            <w:pPr>
              <w:pStyle w:val="Normal6"/>
            </w:pPr>
            <w:r>
              <w:t>(c)</w:t>
            </w:r>
            <w:r>
              <w:tab/>
            </w:r>
            <w:r>
              <w:t xml:space="preserve">in-numru ta' </w:t>
            </w:r>
            <w:r>
              <w:rPr>
                <w:rFonts w:ascii="Times New Roman" w:eastAsia="Times New Roman" w:hAnsi="Times New Roman" w:cs="Times New Roman"/>
                <w:b/>
                <w:i/>
                <w:strike w:val="0"/>
                <w:color w:val="000000"/>
                <w:sz w:val="24"/>
                <w:highlight w:val="none"/>
                <w:u w:val="none" w:color="auto"/>
              </w:rPr>
              <w:t>suċċessi</w:t>
            </w:r>
            <w:r>
              <w:t xml:space="preserve"> dwar persuni msemmija fl-Artikolu 13(1) li sussegwentement kienu ssottomettew applikazzjoni </w:t>
            </w:r>
            <w:r>
              <w:rPr>
                <w:rFonts w:ascii="Times New Roman" w:eastAsia="Times New Roman" w:hAnsi="Times New Roman" w:cs="Times New Roman"/>
                <w:b/>
                <w:i/>
                <w:strike w:val="0"/>
                <w:color w:val="000000"/>
                <w:sz w:val="24"/>
                <w:highlight w:val="none"/>
                <w:u w:val="none" w:color="auto"/>
              </w:rPr>
              <w:t>għal protezzjoni internazzjonali</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 – punt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w:t>
            </w:r>
            <w:r>
              <w:tab/>
            </w:r>
            <w:r>
              <w:rPr>
                <w:rFonts w:ascii="Times New Roman" w:eastAsia="Times New Roman" w:hAnsi="Times New Roman" w:cs="Times New Roman"/>
                <w:b/>
                <w:i/>
                <w:strike w:val="0"/>
                <w:color w:val="000000"/>
                <w:sz w:val="24"/>
                <w:highlight w:val="none"/>
                <w:u w:val="none" w:color="auto"/>
              </w:rPr>
              <w:t>in-numru ta' hits dwar persuni msemmija fl-Artikolu 14(1) li preċedentement kienu ssottomettew applikazzjoni għall-protezzjoni internazzjonali fi Stat Membru ieħor  , li kienu nqabdu f'relazzjoni ma' qsim irregolari tal-fruntiera esterna u li nstabu li qed joqogħdu illegalment fi Stat Membru  ;</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ammissibbli peress li hija marbuta b'mod inseparabbli mal-emendi ammissibbli li jħassru l-Artikoli 14(1), 14(2), 14(4), 14(5) u 14(6)</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 – punt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(d)</w:t>
            </w:r>
            <w:r>
              <w:tab/>
            </w:r>
            <w:r>
              <w:t xml:space="preserve">in-numru ta' </w:t>
            </w:r>
            <w:r>
              <w:rPr>
                <w:rFonts w:ascii="Times New Roman" w:eastAsia="Times New Roman" w:hAnsi="Times New Roman" w:cs="Times New Roman"/>
                <w:b/>
                <w:i/>
                <w:strike w:val="0"/>
                <w:color w:val="000000"/>
                <w:sz w:val="24"/>
                <w:highlight w:val="none"/>
                <w:u w:val="none" w:color="auto"/>
              </w:rPr>
              <w:t>hits</w:t>
            </w:r>
            <w:r>
              <w:t xml:space="preserve"> dwar persuni msemmija fl-Artikolu 14(1) li </w:t>
            </w:r>
            <w:r>
              <w:rPr>
                <w:rFonts w:ascii="Times New Roman" w:eastAsia="Times New Roman" w:hAnsi="Times New Roman" w:cs="Times New Roman"/>
                <w:b/>
                <w:i/>
                <w:strike w:val="0"/>
                <w:color w:val="000000"/>
                <w:sz w:val="24"/>
                <w:highlight w:val="none"/>
                <w:u w:val="none" w:color="auto"/>
              </w:rPr>
              <w:t>preċedentement</w:t>
            </w:r>
            <w:r>
              <w:t xml:space="preserve"> kienu ssottomettew applikazzjoni </w:t>
            </w:r>
            <w:r>
              <w:rPr>
                <w:rFonts w:ascii="Times New Roman" w:eastAsia="Times New Roman" w:hAnsi="Times New Roman" w:cs="Times New Roman"/>
                <w:b/>
                <w:i/>
                <w:strike w:val="0"/>
                <w:color w:val="000000"/>
                <w:sz w:val="24"/>
                <w:highlight w:val="none"/>
                <w:u w:val="none" w:color="auto"/>
              </w:rPr>
              <w:t>għall-protezzjoni</w:t>
            </w:r>
            <w:r>
              <w:t xml:space="preserve"> internazzjonali fi Stat Membru ieħor</w:t>
            </w:r>
            <w:r>
              <w:rPr>
                <w:rFonts w:ascii="Times New Roman" w:eastAsia="Times New Roman" w:hAnsi="Times New Roman" w:cs="Times New Roman"/>
                <w:b/>
                <w:i/>
                <w:strike w:val="0"/>
                <w:color w:val="000000"/>
                <w:sz w:val="24"/>
                <w:highlight w:val="none"/>
                <w:u w:val="none" w:color="auto"/>
              </w:rPr>
              <w:t xml:space="preserve">  , li kienu nqabdu f'relazzjoni ma' qsim irregolari tal-fruntiera esterna u li nstabu li qed joqogħdu illegalment fi Stat Membru  </w:t>
            </w:r>
            <w:r>
              <w:t>;</w:t>
            </w:r>
          </w:p>
        </w:tc>
        <w:tc>
          <w:tcPr/>
          <w:p>
            <w:pPr>
              <w:pStyle w:val="Normal6"/>
            </w:pPr>
            <w:r>
              <w:t>(d)</w:t>
            </w:r>
            <w:r>
              <w:tab/>
            </w:r>
            <w:r>
              <w:t xml:space="preserve">in-numru ta' </w:t>
            </w:r>
            <w:r>
              <w:rPr>
                <w:rFonts w:ascii="Times New Roman" w:eastAsia="Times New Roman" w:hAnsi="Times New Roman" w:cs="Times New Roman"/>
                <w:b/>
                <w:i/>
                <w:strike w:val="0"/>
                <w:color w:val="000000"/>
                <w:sz w:val="24"/>
                <w:highlight w:val="none"/>
                <w:u w:val="none" w:color="auto"/>
              </w:rPr>
              <w:t>sejbiet</w:t>
            </w:r>
            <w:r>
              <w:t xml:space="preserve"> dwar persuni msemmija fl-Artikolu 14(1) li </w:t>
            </w:r>
            <w:r>
              <w:rPr>
                <w:rFonts w:ascii="Times New Roman" w:eastAsia="Times New Roman" w:hAnsi="Times New Roman" w:cs="Times New Roman"/>
                <w:b/>
                <w:i/>
                <w:strike w:val="0"/>
                <w:color w:val="000000"/>
                <w:sz w:val="24"/>
                <w:highlight w:val="none"/>
                <w:u w:val="none" w:color="auto"/>
              </w:rPr>
              <w:t>qabel</w:t>
            </w:r>
            <w:r>
              <w:t xml:space="preserve"> kienu ssottomettew applikazzjoni </w:t>
            </w:r>
            <w:r>
              <w:rPr>
                <w:rFonts w:ascii="Times New Roman" w:eastAsia="Times New Roman" w:hAnsi="Times New Roman" w:cs="Times New Roman"/>
                <w:b/>
                <w:i/>
                <w:strike w:val="0"/>
                <w:color w:val="000000"/>
                <w:sz w:val="24"/>
                <w:highlight w:val="none"/>
                <w:u w:val="none" w:color="auto"/>
              </w:rPr>
              <w:t>għal protezzjoni</w:t>
            </w:r>
            <w:r>
              <w:t xml:space="preserve"> internazzjonali fi Stat Membru ieħor;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 – punt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(e)</w:t>
            </w:r>
            <w:r>
              <w:tab/>
            </w:r>
            <w:r>
              <w:t>l-ammont ta' data dwar marki tas-swaba’ li s-Sistema Ċentrali kellha titlob iktar minn darba mill-Istati Membri ta' oriġini minħabba li d-data dwar marki tas-swaba’ trażmessa oriġinarjament ma setgħetx twassal għal tqabbil bl-użu tas-sistema kompjuterizzata ta' għarfien ta' marki tas-swaba’;</w:t>
            </w:r>
          </w:p>
        </w:tc>
        <w:tc>
          <w:tcPr/>
          <w:p>
            <w:pPr>
              <w:pStyle w:val="Normal6"/>
            </w:pPr>
            <w:r>
              <w:t>(e)</w:t>
            </w:r>
            <w:r>
              <w:tab/>
            </w:r>
            <w:r>
              <w:t>l-ammont ta' data dwar marki tas-swaba’</w:t>
            </w:r>
            <w:r>
              <w:rPr>
                <w:rFonts w:ascii="Times New Roman" w:eastAsia="Times New Roman" w:hAnsi="Times New Roman" w:cs="Times New Roman"/>
                <w:b/>
                <w:i/>
                <w:strike w:val="0"/>
                <w:color w:val="000000"/>
                <w:sz w:val="24"/>
                <w:highlight w:val="none"/>
                <w:u w:val="none" w:color="auto"/>
              </w:rPr>
              <w:t>, diżaggregat skont is-sena ta' twelid tas-suġġett tad-data,</w:t>
            </w:r>
            <w:r>
              <w:t xml:space="preserve"> li s-Sistema Ċentrali kellha titlob iktar minn darba mill-Istati Membri ta' oriġini minħabba li d-data dwar marki tas-swaba’ trażmessa oriġinarjament ma setgħetx twassal għal tqabbil bl-użu tas-sistema kompjuterizzata ta' għarfien ta' marki tas-swaba’;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children’s statistics concerning the reliability of biometric matching should be broken down by year of birth.</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 – punt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(e)</w:t>
            </w:r>
            <w:r>
              <w:tab/>
            </w:r>
            <w:r>
              <w:t>l-ammont ta' data dwar marki tas-swaba’ li s-Sistema Ċentrali kellha titlob iktar minn darba mill-Istati Membri ta' oriġini minħabba li d-data dwar marki tas-swaba’ trażmessa oriġinarjament ma setgħetx twassal għal tqabbil bl-użu tas-sistema kompjuterizzata ta' għarfien ta' marki tas-swaba’;</w:t>
            </w:r>
          </w:p>
        </w:tc>
        <w:tc>
          <w:tcPr/>
          <w:p>
            <w:pPr>
              <w:pStyle w:val="Normal6"/>
            </w:pPr>
            <w:r>
              <w:t>(e)</w:t>
            </w:r>
            <w:r>
              <w:tab/>
            </w:r>
            <w:r>
              <w:t xml:space="preserve">l-ammont ta' data dwar marki tas-swaba’ </w:t>
            </w:r>
            <w:r>
              <w:rPr>
                <w:rFonts w:ascii="Times New Roman" w:eastAsia="Times New Roman" w:hAnsi="Times New Roman" w:cs="Times New Roman"/>
                <w:b/>
                <w:i/>
                <w:strike w:val="0"/>
                <w:color w:val="000000"/>
                <w:sz w:val="24"/>
                <w:highlight w:val="none"/>
                <w:u w:val="none" w:color="auto"/>
              </w:rPr>
              <w:t>u tal-immaġni tal-wiċċ </w:t>
            </w:r>
            <w:r>
              <w:t xml:space="preserve">li s-Sistema Ċentrali kellha titlob iktar minn darba mill-Istati Membri ta' oriġini minħabba li d-data dwar marki tas-swaba’ </w:t>
            </w:r>
            <w:r>
              <w:rPr>
                <w:rFonts w:ascii="Times New Roman" w:eastAsia="Times New Roman" w:hAnsi="Times New Roman" w:cs="Times New Roman"/>
                <w:b/>
                <w:i/>
                <w:strike w:val="0"/>
                <w:color w:val="000000"/>
                <w:sz w:val="24"/>
                <w:highlight w:val="none"/>
                <w:u w:val="none" w:color="auto"/>
              </w:rPr>
              <w:t xml:space="preserve">u tal-immaġni tal-wiċċ </w:t>
            </w:r>
            <w:r>
              <w:t>trażmessa oriġinarjament ma setgħetx twassal għal tqabbil bl-użu tas-sistema kompjuterizzata ta' għarfien ta' marki tas-swaba’</w:t>
            </w:r>
            <w:r>
              <w:rPr>
                <w:rFonts w:ascii="Times New Roman" w:eastAsia="Times New Roman" w:hAnsi="Times New Roman" w:cs="Times New Roman"/>
                <w:b/>
                <w:i/>
                <w:strike w:val="0"/>
                <w:color w:val="000000"/>
                <w:sz w:val="24"/>
                <w:highlight w:val="none"/>
                <w:u w:val="none" w:color="auto"/>
              </w:rPr>
              <w:t xml:space="preserve"> u ta' xbihat tal-wiċċ</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Korrezzjoni tal-proposta tal-Kummissjoni li ma żżidx fil-postijiet kollha meħtieġa kemm "il-marki tas-swaba" kif ukoll "ix-xbiha tal-wiċċ", li hija konformi mal-obbligu kif imsemmi fl-Artikolu 2.</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 – punt g</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(g)</w:t>
            </w:r>
            <w:r>
              <w:tab/>
            </w:r>
            <w:r>
              <w:t>in-numru ta' hits dwar persuni msemmija fl-Artikolu 19(1)</w:t>
            </w:r>
            <w:r>
              <w:rPr>
                <w:rFonts w:ascii="Times New Roman" w:eastAsia="Times New Roman" w:hAnsi="Times New Roman" w:cs="Times New Roman"/>
                <w:b/>
                <w:i/>
                <w:strike w:val="0"/>
                <w:color w:val="000000"/>
                <w:sz w:val="24"/>
                <w:highlight w:val="none"/>
                <w:u w:val="none" w:color="auto"/>
              </w:rPr>
              <w:t xml:space="preserve">  u (4)  </w:t>
            </w:r>
            <w:r>
              <w:t xml:space="preserve">li għalihom ġew </w:t>
            </w:r>
            <w:r>
              <w:rPr>
                <w:rFonts w:ascii="Times New Roman" w:eastAsia="Times New Roman" w:hAnsi="Times New Roman" w:cs="Times New Roman"/>
                <w:b/>
                <w:i/>
                <w:strike w:val="0"/>
                <w:color w:val="000000"/>
                <w:sz w:val="24"/>
                <w:highlight w:val="none"/>
                <w:u w:val="none" w:color="auto"/>
              </w:rPr>
              <w:t>rreġistrati</w:t>
            </w:r>
            <w:r>
              <w:t xml:space="preserve"> hits taħt il-punti (b)</w:t>
            </w:r>
            <w:r>
              <w:rPr>
                <w:rFonts w:ascii="Times New Roman" w:eastAsia="Times New Roman" w:hAnsi="Times New Roman" w:cs="Times New Roman"/>
                <w:b/>
                <w:i/>
                <w:strike w:val="0"/>
                <w:color w:val="000000"/>
                <w:sz w:val="24"/>
                <w:highlight w:val="none"/>
                <w:u w:val="none" w:color="auto"/>
              </w:rPr>
              <w:t xml:space="preserve">  </w:t>
            </w:r>
            <w:r>
              <w:t>, (c)</w:t>
            </w:r>
            <w:r>
              <w:rPr>
                <w:rFonts w:ascii="Times New Roman" w:eastAsia="Times New Roman" w:hAnsi="Times New Roman" w:cs="Times New Roman"/>
                <w:b/>
                <w:i/>
                <w:strike w:val="0"/>
                <w:color w:val="000000"/>
                <w:sz w:val="24"/>
                <w:highlight w:val="none"/>
                <w:u w:val="none" w:color="auto"/>
              </w:rPr>
              <w:t>  u (d)</w:t>
            </w:r>
            <w:r>
              <w:t xml:space="preserve"> ta’ dan l-Artikolu;</w:t>
            </w:r>
          </w:p>
        </w:tc>
        <w:tc>
          <w:tcPr/>
          <w:p>
            <w:pPr>
              <w:pStyle w:val="Normal6"/>
            </w:pPr>
            <w:r>
              <w:t>(g)</w:t>
            </w:r>
            <w:r>
              <w:tab/>
            </w:r>
            <w:r>
              <w:t>in-numru ta' hits dwar persuni msemmija fl-Artikolu 19(1)</w:t>
            </w:r>
            <w:r>
              <w:rPr>
                <w:rFonts w:ascii="Times New Roman" w:eastAsia="Times New Roman" w:hAnsi="Times New Roman" w:cs="Times New Roman"/>
                <w:b/>
                <w:i/>
                <w:strike w:val="0"/>
                <w:color w:val="000000"/>
                <w:sz w:val="24"/>
                <w:highlight w:val="none"/>
                <w:u w:val="none" w:color="auto"/>
              </w:rPr>
              <w:t xml:space="preserve"> </w:t>
            </w:r>
            <w:r>
              <w:t xml:space="preserve">li għalihom ġew </w:t>
            </w:r>
            <w:r>
              <w:rPr>
                <w:rFonts w:ascii="Times New Roman" w:eastAsia="Times New Roman" w:hAnsi="Times New Roman" w:cs="Times New Roman"/>
                <w:b/>
                <w:i/>
                <w:strike w:val="0"/>
                <w:color w:val="000000"/>
                <w:sz w:val="24"/>
                <w:highlight w:val="none"/>
                <w:u w:val="none" w:color="auto"/>
              </w:rPr>
              <w:t>irreġistrati</w:t>
            </w:r>
            <w:r>
              <w:t xml:space="preserve"> hits taħt il-punti (b), (c) ta’ dan l-Artikolu;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ammissibbli peress li hija marbuta b'mod inseparabbli mal-emendi ammissibbli li jħassru l-Artikoli 14(1), 14(2), 14(4), 14(5) u 14(6)</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1 – punt j</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(j)</w:t>
            </w:r>
            <w:r>
              <w:tab/>
            </w:r>
            <w:r>
              <w:t>in-numru ta’ talbiet magħmula għal persuni msemmija fl-Artikolu 31;</w:t>
            </w:r>
          </w:p>
        </w:tc>
        <w:tc>
          <w:tcPr/>
          <w:p>
            <w:pPr>
              <w:pStyle w:val="Normal6"/>
            </w:pPr>
            <w:r>
              <w:t>(j)</w:t>
            </w:r>
            <w:r>
              <w:tab/>
            </w:r>
            <w:r>
              <w:t xml:space="preserve">in-numru </w:t>
            </w:r>
            <w:r>
              <w:rPr>
                <w:rFonts w:ascii="Times New Roman" w:eastAsia="Times New Roman" w:hAnsi="Times New Roman" w:cs="Times New Roman"/>
                <w:b/>
                <w:i/>
                <w:strike w:val="0"/>
                <w:color w:val="000000"/>
                <w:sz w:val="24"/>
                <w:highlight w:val="none"/>
                <w:u w:val="none" w:color="auto"/>
              </w:rPr>
              <w:t xml:space="preserve">u t-tip </w:t>
            </w:r>
            <w:r>
              <w:t>ta’ talbiet magħmula għal persuni msemmija fl-Artikolu 31;</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Id-data statistika għal persuni msemmija fil-paragrafu 1 minn (a) sa (h) għandha tkun pubblikata u disponibbli għall-pubbliku kull xahar.</w:t>
            </w:r>
            <w:r>
              <w:rPr>
                <w:rFonts w:ascii="Times New Roman" w:eastAsia="Times New Roman" w:hAnsi="Times New Roman" w:cs="Times New Roman"/>
                <w:b/>
                <w:i/>
                <w:strike w:val="0"/>
                <w:color w:val="000000"/>
                <w:sz w:val="24"/>
                <w:highlight w:val="none"/>
                <w:u w:val="none" w:color="auto"/>
              </w:rPr>
              <w:t xml:space="preserve">  </w:t>
            </w:r>
            <w:r>
              <w:t>Fl-aħħar ta' kull sena, id-data statistika</w:t>
            </w:r>
            <w:r>
              <w:rPr>
                <w:rFonts w:ascii="Times New Roman" w:eastAsia="Times New Roman" w:hAnsi="Times New Roman" w:cs="Times New Roman"/>
                <w:b/>
                <w:i/>
                <w:strike w:val="0"/>
                <w:color w:val="000000"/>
                <w:sz w:val="24"/>
                <w:highlight w:val="none"/>
                <w:u w:val="none" w:color="auto"/>
              </w:rPr>
              <w:t xml:space="preserve">  tas-sena   </w:t>
            </w:r>
            <w:r>
              <w:t>għall-persuni msemmija fil-paragrafu 1 minn (a) sa (h)</w:t>
            </w:r>
            <w:r>
              <w:rPr>
                <w:rFonts w:ascii="Times New Roman" w:eastAsia="Times New Roman" w:hAnsi="Times New Roman" w:cs="Times New Roman"/>
                <w:b/>
                <w:i/>
                <w:strike w:val="0"/>
                <w:color w:val="000000"/>
                <w:sz w:val="24"/>
                <w:highlight w:val="none"/>
                <w:u w:val="none" w:color="auto"/>
              </w:rPr>
              <w:t xml:space="preserve">  </w:t>
            </w:r>
            <w:r>
              <w:t>għandha tiġi</w:t>
            </w:r>
            <w:r>
              <w:rPr>
                <w:rFonts w:ascii="Times New Roman" w:eastAsia="Times New Roman" w:hAnsi="Times New Roman" w:cs="Times New Roman"/>
                <w:b/>
                <w:i/>
                <w:strike w:val="0"/>
                <w:color w:val="000000"/>
                <w:sz w:val="24"/>
                <w:highlight w:val="none"/>
                <w:u w:val="none" w:color="auto"/>
              </w:rPr>
              <w:t xml:space="preserve">  </w:t>
            </w:r>
            <w:r>
              <w:t>ppubblikata u ssir disponibbli għall-pubbliku minn eu-LISA</w:t>
            </w:r>
            <w:r>
              <w:rPr>
                <w:rFonts w:ascii="Times New Roman" w:eastAsia="Times New Roman" w:hAnsi="Times New Roman" w:cs="Times New Roman"/>
                <w:b/>
                <w:i/>
                <w:strike w:val="0"/>
                <w:color w:val="000000"/>
                <w:sz w:val="24"/>
                <w:highlight w:val="none"/>
                <w:u w:val="none" w:color="auto"/>
              </w:rPr>
              <w:t xml:space="preserve">  </w:t>
            </w:r>
            <w:r>
              <w:t>. L-istatistiċi għandu jkollhom analiżi dettaljata tad-data għal kull Stat Membru.</w:t>
            </w:r>
          </w:p>
        </w:tc>
        <w:tc>
          <w:tcPr/>
          <w:p>
            <w:pPr>
              <w:pStyle w:val="Normal6"/>
            </w:pPr>
            <w:r>
              <w:t>2.</w:t>
            </w:r>
            <w:r>
              <w:tab/>
            </w:r>
            <w:r>
              <w:t xml:space="preserve">Id-data statistika għal persuni msemmija fil-paragrafu 1 minn (a) sa (h) għandha tkun pubblikata u disponibbli għall-pubbliku kull xahar. </w:t>
            </w:r>
            <w:r>
              <w:rPr>
                <w:rFonts w:ascii="Times New Roman" w:eastAsia="Times New Roman" w:hAnsi="Times New Roman" w:cs="Times New Roman"/>
                <w:b/>
                <w:i/>
                <w:strike w:val="0"/>
                <w:color w:val="000000"/>
                <w:sz w:val="24"/>
                <w:highlight w:val="none"/>
                <w:u w:val="none" w:color="auto"/>
              </w:rPr>
              <w:t xml:space="preserve">Id-data diżaggregata li tispeċifika l-età u s-sess tal-persuni msemmija fil-paragrafu 1(a) sa (h) għandha tkun inkluża fid-data statistika mensili. </w:t>
            </w:r>
            <w:r>
              <w:t>Fl-aħħar ta' kull sena, id-data statistika</w:t>
            </w:r>
            <w:r>
              <w:rPr>
                <w:rFonts w:ascii="Times New Roman" w:eastAsia="Times New Roman" w:hAnsi="Times New Roman" w:cs="Times New Roman"/>
                <w:b/>
                <w:i/>
                <w:strike w:val="0"/>
                <w:color w:val="000000"/>
                <w:sz w:val="24"/>
                <w:highlight w:val="none"/>
                <w:u w:val="none" w:color="auto"/>
              </w:rPr>
              <w:t xml:space="preserve"> tas-sena </w:t>
            </w:r>
            <w:r>
              <w:t>għall-persuni msemmija fil-paragrafu 1 minn (a) sa (h)</w:t>
            </w:r>
            <w:r>
              <w:rPr>
                <w:rFonts w:ascii="Times New Roman" w:eastAsia="Times New Roman" w:hAnsi="Times New Roman" w:cs="Times New Roman"/>
                <w:b/>
                <w:i/>
                <w:strike w:val="0"/>
                <w:color w:val="000000"/>
                <w:sz w:val="24"/>
                <w:highlight w:val="none"/>
                <w:u w:val="none" w:color="auto"/>
              </w:rPr>
              <w:t xml:space="preserve"> </w:t>
            </w:r>
            <w:r>
              <w:t>għandha tiġi</w:t>
            </w:r>
            <w:r>
              <w:rPr>
                <w:rFonts w:ascii="Times New Roman" w:eastAsia="Times New Roman" w:hAnsi="Times New Roman" w:cs="Times New Roman"/>
                <w:b/>
                <w:i/>
                <w:strike w:val="0"/>
                <w:color w:val="000000"/>
                <w:sz w:val="24"/>
                <w:highlight w:val="none"/>
                <w:u w:val="none" w:color="auto"/>
              </w:rPr>
              <w:t xml:space="preserve"> </w:t>
            </w:r>
            <w:r>
              <w:t>ppubblikata u ssir disponibbli għall-pubbliku minn eu-LISA</w:t>
            </w:r>
            <w:r>
              <w:rPr>
                <w:rFonts w:ascii="Times New Roman" w:eastAsia="Times New Roman" w:hAnsi="Times New Roman" w:cs="Times New Roman"/>
                <w:b/>
                <w:i/>
                <w:strike w:val="0"/>
                <w:color w:val="000000"/>
                <w:sz w:val="24"/>
                <w:highlight w:val="none"/>
                <w:u w:val="none" w:color="auto"/>
              </w:rPr>
              <w:t xml:space="preserve"> </w:t>
            </w:r>
            <w:r>
              <w:t>. L-istatistiċi għandu jkollhom analiżi dettaljata tad-data għal kull Stat Membru.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to better evaluate the impact of the Eurodac Regulation on children, monthly statistics provided by eu-LISA under Article 9 of the proposal should be broken down by age and sex to understand how many boys and girls under the age of 18 years are affected.</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Id-data statistika </w:t>
            </w:r>
            <w:r>
              <w:rPr>
                <w:rFonts w:ascii="Times New Roman" w:eastAsia="Times New Roman" w:hAnsi="Times New Roman" w:cs="Times New Roman"/>
                <w:b/>
                <w:i/>
                <w:strike w:val="0"/>
                <w:color w:val="000000"/>
                <w:sz w:val="24"/>
                <w:highlight w:val="none"/>
                <w:u w:val="none" w:color="auto"/>
              </w:rPr>
              <w:t>għal persuni</w:t>
            </w:r>
            <w:r>
              <w:t xml:space="preserve"> msemmija fil-paragrafu 1 minn (a) sa </w:t>
            </w:r>
            <w:r>
              <w:rPr>
                <w:rFonts w:ascii="Times New Roman" w:eastAsia="Times New Roman" w:hAnsi="Times New Roman" w:cs="Times New Roman"/>
                <w:b/>
                <w:i/>
                <w:strike w:val="0"/>
                <w:color w:val="000000"/>
                <w:sz w:val="24"/>
                <w:highlight w:val="none"/>
                <w:u w:val="none" w:color="auto"/>
              </w:rPr>
              <w:t>(h)</w:t>
            </w:r>
            <w:r>
              <w:t xml:space="preserve"> għandha tkun pubblikata u disponibbli għall-pubbliku kull xahar.</w:t>
            </w:r>
            <w:r>
              <w:rPr>
                <w:rFonts w:ascii="Times New Roman" w:eastAsia="Times New Roman" w:hAnsi="Times New Roman" w:cs="Times New Roman"/>
                <w:b/>
                <w:i/>
                <w:strike w:val="0"/>
                <w:color w:val="000000"/>
                <w:sz w:val="24"/>
                <w:highlight w:val="none"/>
                <w:u w:val="none" w:color="auto"/>
              </w:rPr>
              <w:t xml:space="preserve">  </w:t>
            </w:r>
            <w:r>
              <w:t>Fl-aħħar ta' kull sena, id-data statistika</w:t>
            </w:r>
            <w:r>
              <w:rPr>
                <w:rFonts w:ascii="Times New Roman" w:eastAsia="Times New Roman" w:hAnsi="Times New Roman" w:cs="Times New Roman"/>
                <w:b/>
                <w:i/>
                <w:strike w:val="0"/>
                <w:color w:val="000000"/>
                <w:sz w:val="24"/>
                <w:highlight w:val="none"/>
                <w:u w:val="none" w:color="auto"/>
              </w:rPr>
              <w:t xml:space="preserve">  tas-sena   </w:t>
            </w:r>
            <w:r>
              <w:t>għall-persuni msemmija fil-paragrafu 1 minn (a) sa (h)</w:t>
            </w:r>
            <w:r>
              <w:rPr>
                <w:rFonts w:ascii="Times New Roman" w:eastAsia="Times New Roman" w:hAnsi="Times New Roman" w:cs="Times New Roman"/>
                <w:b/>
                <w:i/>
                <w:strike w:val="0"/>
                <w:color w:val="000000"/>
                <w:sz w:val="24"/>
                <w:highlight w:val="none"/>
                <w:u w:val="none" w:color="auto"/>
              </w:rPr>
              <w:t xml:space="preserve">  </w:t>
            </w:r>
            <w:r>
              <w:t>għandha tiġi</w:t>
            </w:r>
            <w:r>
              <w:rPr>
                <w:rFonts w:ascii="Times New Roman" w:eastAsia="Times New Roman" w:hAnsi="Times New Roman" w:cs="Times New Roman"/>
                <w:b/>
                <w:i/>
                <w:strike w:val="0"/>
                <w:color w:val="000000"/>
                <w:sz w:val="24"/>
                <w:highlight w:val="none"/>
                <w:u w:val="none" w:color="auto"/>
              </w:rPr>
              <w:t xml:space="preserve">  </w:t>
            </w:r>
            <w:r>
              <w:t>ppubblikata u ssir disponibbli għall-pubbliku minn eu-LISA</w:t>
            </w:r>
            <w:r>
              <w:rPr>
                <w:rFonts w:ascii="Times New Roman" w:eastAsia="Times New Roman" w:hAnsi="Times New Roman" w:cs="Times New Roman"/>
                <w:b/>
                <w:i/>
                <w:strike w:val="0"/>
                <w:color w:val="000000"/>
                <w:sz w:val="24"/>
                <w:highlight w:val="none"/>
                <w:u w:val="none" w:color="auto"/>
              </w:rPr>
              <w:t xml:space="preserve">  </w:t>
            </w:r>
            <w:r>
              <w:t>. L-istatistiċi għandu jkollhom analiżi dettaljata tad-data għal kull Stat Membru.</w:t>
            </w:r>
          </w:p>
        </w:tc>
        <w:tc>
          <w:tcPr/>
          <w:p>
            <w:pPr>
              <w:pStyle w:val="Normal6"/>
            </w:pPr>
            <w:r>
              <w:t>2.</w:t>
            </w:r>
            <w:r>
              <w:tab/>
            </w:r>
            <w:r>
              <w:t xml:space="preserve">Id-data statistika </w:t>
            </w:r>
            <w:r>
              <w:rPr>
                <w:rFonts w:ascii="Times New Roman" w:eastAsia="Times New Roman" w:hAnsi="Times New Roman" w:cs="Times New Roman"/>
                <w:b/>
                <w:i/>
                <w:strike w:val="0"/>
                <w:color w:val="000000"/>
                <w:sz w:val="24"/>
                <w:highlight w:val="none"/>
                <w:u w:val="none" w:color="auto"/>
              </w:rPr>
              <w:t>għall-persuni</w:t>
            </w:r>
            <w:r>
              <w:t xml:space="preserve"> msemmija fil-paragrafu 1 minn (a) sa </w:t>
            </w:r>
            <w:r>
              <w:rPr>
                <w:rFonts w:ascii="Times New Roman" w:eastAsia="Times New Roman" w:hAnsi="Times New Roman" w:cs="Times New Roman"/>
                <w:b/>
                <w:i/>
                <w:strike w:val="0"/>
                <w:color w:val="000000"/>
                <w:sz w:val="24"/>
                <w:highlight w:val="none"/>
                <w:u w:val="none" w:color="auto"/>
              </w:rPr>
              <w:t>(k)</w:t>
            </w:r>
            <w:r>
              <w:t xml:space="preserve"> għandha tkun </w:t>
            </w:r>
            <w:r>
              <w:rPr>
                <w:rFonts w:ascii="Times New Roman" w:eastAsia="Times New Roman" w:hAnsi="Times New Roman" w:cs="Times New Roman"/>
                <w:b/>
                <w:i/>
                <w:strike w:val="0"/>
                <w:color w:val="000000"/>
                <w:sz w:val="24"/>
                <w:highlight w:val="none"/>
                <w:u w:val="none" w:color="auto"/>
              </w:rPr>
              <w:t xml:space="preserve">imqassma, fejn possibbli, skont l-età u s-sess sabiex wieħed jifhem kemm subien u bniet minorenni huma affettwati u għandha tiġi </w:t>
            </w:r>
            <w:r>
              <w:t xml:space="preserve">pubblikata u </w:t>
            </w:r>
            <w:r>
              <w:rPr>
                <w:rFonts w:ascii="Times New Roman" w:eastAsia="Times New Roman" w:hAnsi="Times New Roman" w:cs="Times New Roman"/>
                <w:b/>
                <w:i/>
                <w:strike w:val="0"/>
                <w:color w:val="000000"/>
                <w:sz w:val="24"/>
                <w:highlight w:val="none"/>
                <w:u w:val="none" w:color="auto"/>
              </w:rPr>
              <w:t xml:space="preserve">ssir </w:t>
            </w:r>
            <w:r>
              <w:t>disponibbli għall-pubbliku kull xahar. Fl-aħħar ta' kull sena, id-data statistika</w:t>
            </w:r>
            <w:r>
              <w:rPr>
                <w:rFonts w:ascii="Times New Roman" w:eastAsia="Times New Roman" w:hAnsi="Times New Roman" w:cs="Times New Roman"/>
                <w:b/>
                <w:i/>
                <w:strike w:val="0"/>
                <w:color w:val="000000"/>
                <w:sz w:val="24"/>
                <w:highlight w:val="none"/>
                <w:u w:val="none" w:color="auto"/>
              </w:rPr>
              <w:t xml:space="preserve"> tas-sena </w:t>
            </w:r>
            <w:r>
              <w:t>għall-persuni msemmija fil-paragrafu 1 minn (a) sa (h)</w:t>
            </w:r>
            <w:r>
              <w:rPr>
                <w:rFonts w:ascii="Times New Roman" w:eastAsia="Times New Roman" w:hAnsi="Times New Roman" w:cs="Times New Roman"/>
                <w:b/>
                <w:i/>
                <w:strike w:val="0"/>
                <w:color w:val="000000"/>
                <w:sz w:val="24"/>
                <w:highlight w:val="none"/>
                <w:u w:val="none" w:color="auto"/>
              </w:rPr>
              <w:t xml:space="preserve"> </w:t>
            </w:r>
            <w:r>
              <w:t>għandha tiġi</w:t>
            </w:r>
            <w:r>
              <w:rPr>
                <w:rFonts w:ascii="Times New Roman" w:eastAsia="Times New Roman" w:hAnsi="Times New Roman" w:cs="Times New Roman"/>
                <w:b/>
                <w:i/>
                <w:strike w:val="0"/>
                <w:color w:val="000000"/>
                <w:sz w:val="24"/>
                <w:highlight w:val="none"/>
                <w:u w:val="none" w:color="auto"/>
              </w:rPr>
              <w:t xml:space="preserve"> </w:t>
            </w:r>
            <w:r>
              <w:t>ppubblikata u ssir disponibbli għall-pubbliku minn eu-LISA</w:t>
            </w:r>
            <w:r>
              <w:rPr>
                <w:rFonts w:ascii="Times New Roman" w:eastAsia="Times New Roman" w:hAnsi="Times New Roman" w:cs="Times New Roman"/>
                <w:b/>
                <w:i/>
                <w:strike w:val="0"/>
                <w:color w:val="000000"/>
                <w:sz w:val="24"/>
                <w:highlight w:val="none"/>
                <w:u w:val="none" w:color="auto"/>
              </w:rPr>
              <w:t xml:space="preserve"> </w:t>
            </w:r>
            <w:r>
              <w:t>. L-istatistiċi għandu jkollhom analiżi dettaljata tad-data għal kull Stat Membru.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Maria Grapini</w:t>
      </w:r>
      <w:r>
        <w:t xml:space="preserve">, </w:t>
      </w:r>
      <w:r>
        <w:t>Josef Weidenholzer</w:t>
      </w:r>
      <w:r>
        <w:t xml:space="preserve">, </w:t>
      </w:r>
      <w:r>
        <w:t>Vilija Blinkevičiūtė</w:t>
      </w:r>
      <w:r>
        <w:t xml:space="preserve">, </w:t>
      </w:r>
      <w:r>
        <w:t>Péter Niedermüller</w:t>
      </w:r>
      <w:r>
        <w:t xml:space="preserve">, </w:t>
      </w:r>
      <w:r>
        <w:t>Maria Grapini</w:t>
      </w:r>
      <w:r>
        <w:t xml:space="preserve">, </w:t>
      </w:r>
      <w:r>
        <w:t>Juan Fernando López Aguilar</w:t>
      </w:r>
      <w:r>
        <w:t xml:space="preserve">, </w:t>
      </w:r>
      <w:r>
        <w:t>Dietmar Köster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Id-data statistika għal persuni msemmija fil-paragrafu 1 minn (a) sa (h) għandha tkun pubblikata u disponibbli għall-pubbliku kull xahar.</w:t>
            </w:r>
            <w:r>
              <w:rPr>
                <w:rFonts w:ascii="Times New Roman" w:eastAsia="Times New Roman" w:hAnsi="Times New Roman" w:cs="Times New Roman"/>
                <w:b/>
                <w:i/>
                <w:strike w:val="0"/>
                <w:color w:val="000000"/>
                <w:sz w:val="24"/>
                <w:highlight w:val="none"/>
                <w:u w:val="none" w:color="auto"/>
              </w:rPr>
              <w:t xml:space="preserve">  </w:t>
            </w:r>
            <w:r>
              <w:t>Fl-aħħar ta' kull sena, id-data statistika</w:t>
            </w:r>
            <w:r>
              <w:rPr>
                <w:rFonts w:ascii="Times New Roman" w:eastAsia="Times New Roman" w:hAnsi="Times New Roman" w:cs="Times New Roman"/>
                <w:b/>
                <w:i/>
                <w:strike w:val="0"/>
                <w:color w:val="000000"/>
                <w:sz w:val="24"/>
                <w:highlight w:val="none"/>
                <w:u w:val="none" w:color="auto"/>
              </w:rPr>
              <w:t xml:space="preserve">  tas-sena   </w:t>
            </w:r>
            <w:r>
              <w:t>għall-persuni msemmija fil-paragrafu 1 minn (a) sa (h)</w:t>
            </w:r>
            <w:r>
              <w:rPr>
                <w:rFonts w:ascii="Times New Roman" w:eastAsia="Times New Roman" w:hAnsi="Times New Roman" w:cs="Times New Roman"/>
                <w:b/>
                <w:i/>
                <w:strike w:val="0"/>
                <w:color w:val="000000"/>
                <w:sz w:val="24"/>
                <w:highlight w:val="none"/>
                <w:u w:val="none" w:color="auto"/>
              </w:rPr>
              <w:t xml:space="preserve">  </w:t>
            </w:r>
            <w:r>
              <w:t>għandha tiġi</w:t>
            </w:r>
            <w:r>
              <w:rPr>
                <w:rFonts w:ascii="Times New Roman" w:eastAsia="Times New Roman" w:hAnsi="Times New Roman" w:cs="Times New Roman"/>
                <w:b/>
                <w:i/>
                <w:strike w:val="0"/>
                <w:color w:val="000000"/>
                <w:sz w:val="24"/>
                <w:highlight w:val="none"/>
                <w:u w:val="none" w:color="auto"/>
              </w:rPr>
              <w:t xml:space="preserve">  </w:t>
            </w:r>
            <w:r>
              <w:t>ppubblikata u ssir disponibbli għall-pubbliku minn eu-LISA</w:t>
            </w:r>
            <w:r>
              <w:rPr>
                <w:rFonts w:ascii="Times New Roman" w:eastAsia="Times New Roman" w:hAnsi="Times New Roman" w:cs="Times New Roman"/>
                <w:b/>
                <w:i/>
                <w:strike w:val="0"/>
                <w:color w:val="000000"/>
                <w:sz w:val="24"/>
                <w:highlight w:val="none"/>
                <w:u w:val="none" w:color="auto"/>
              </w:rPr>
              <w:t xml:space="preserve">  </w:t>
            </w:r>
            <w:r>
              <w:t>. L-istatistiċi għandu jkollhom analiżi dettaljata tad-data għal kull Stat Membru.</w:t>
            </w:r>
          </w:p>
        </w:tc>
        <w:tc>
          <w:tcPr/>
          <w:p>
            <w:pPr>
              <w:pStyle w:val="Normal6"/>
            </w:pPr>
            <w:r>
              <w:t>2.</w:t>
            </w:r>
            <w:r>
              <w:tab/>
            </w:r>
            <w:r>
              <w:t>Id-data statistika għal persuni msemmija fil-paragrafu 1 minn (a) sa (h) għandha tkun pubblikata u disponibbli għall-pubbliku kull xahar</w:t>
            </w:r>
            <w:r>
              <w:rPr>
                <w:rFonts w:ascii="Times New Roman" w:eastAsia="Times New Roman" w:hAnsi="Times New Roman" w:cs="Times New Roman"/>
                <w:b/>
                <w:i/>
                <w:strike w:val="0"/>
                <w:color w:val="000000"/>
                <w:sz w:val="24"/>
                <w:highlight w:val="none"/>
                <w:u w:val="none" w:color="auto"/>
              </w:rPr>
              <w:t xml:space="preserve"> u għandha tikkontjeni dettalji dwar is-sena ta' twelid u l-ġeneru tas-suġġett tad-data</w:t>
            </w:r>
            <w:r>
              <w:t>. Fl-aħħar ta' kull sena, id-data statistika</w:t>
            </w:r>
            <w:r>
              <w:rPr>
                <w:rFonts w:ascii="Times New Roman" w:eastAsia="Times New Roman" w:hAnsi="Times New Roman" w:cs="Times New Roman"/>
                <w:b/>
                <w:i/>
                <w:strike w:val="0"/>
                <w:color w:val="000000"/>
                <w:sz w:val="24"/>
                <w:highlight w:val="none"/>
                <w:u w:val="none" w:color="auto"/>
              </w:rPr>
              <w:t xml:space="preserve"> tas-sena </w:t>
            </w:r>
            <w:r>
              <w:t>għall-persuni msemmija fil-paragrafu 1 minn (a) sa (h)</w:t>
            </w:r>
            <w:r>
              <w:rPr>
                <w:rFonts w:ascii="Times New Roman" w:eastAsia="Times New Roman" w:hAnsi="Times New Roman" w:cs="Times New Roman"/>
                <w:b/>
                <w:i/>
                <w:strike w:val="0"/>
                <w:color w:val="000000"/>
                <w:sz w:val="24"/>
                <w:highlight w:val="none"/>
                <w:u w:val="none" w:color="auto"/>
              </w:rPr>
              <w:t xml:space="preserve"> </w:t>
            </w:r>
            <w:r>
              <w:t>għandha tiġi</w:t>
            </w:r>
            <w:r>
              <w:rPr>
                <w:rFonts w:ascii="Times New Roman" w:eastAsia="Times New Roman" w:hAnsi="Times New Roman" w:cs="Times New Roman"/>
                <w:b/>
                <w:i/>
                <w:strike w:val="0"/>
                <w:color w:val="000000"/>
                <w:sz w:val="24"/>
                <w:highlight w:val="none"/>
                <w:u w:val="none" w:color="auto"/>
              </w:rPr>
              <w:t xml:space="preserve"> </w:t>
            </w:r>
            <w:r>
              <w:t>ppubblikata u ssir disponibbli għall-pubbliku minn eu-LISA</w:t>
            </w:r>
            <w:r>
              <w:rPr>
                <w:rFonts w:ascii="Times New Roman" w:eastAsia="Times New Roman" w:hAnsi="Times New Roman" w:cs="Times New Roman"/>
                <w:b/>
                <w:i/>
                <w:strike w:val="0"/>
                <w:color w:val="000000"/>
                <w:sz w:val="24"/>
                <w:highlight w:val="none"/>
                <w:u w:val="none" w:color="auto"/>
              </w:rPr>
              <w:t xml:space="preserve"> </w:t>
            </w:r>
            <w:r>
              <w:t>. L-istatistiċi għandu jkollhom analiżi dettaljata tad-data għal kull Stat Membru.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t xml:space="preserve">, </w:t>
      </w:r>
      <w:r>
        <w:t>Rachida Dati</w:t>
      </w:r>
      <w:r>
        <w:t xml:space="preserve">, </w:t>
      </w:r>
      <w:r>
        <w:t>Brice Hortefeux</w:t>
      </w:r>
      <w:r>
        <w:t xml:space="preserve">, </w:t>
      </w:r>
      <w:r>
        <w:t>Mariya Gabriel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9 – paragrafu 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3a.</w:t>
            </w:r>
            <w:r>
              <w:tab/>
            </w:r>
            <w:r>
              <w:rPr>
                <w:rFonts w:ascii="Times New Roman" w:eastAsia="Times New Roman" w:hAnsi="Times New Roman" w:cs="Times New Roman"/>
                <w:b/>
                <w:i/>
                <w:strike w:val="0"/>
                <w:color w:val="000000"/>
                <w:sz w:val="24"/>
                <w:highlight w:val="none"/>
                <w:u w:val="none" w:color="auto"/>
              </w:rPr>
              <w:t>Il-persunal debitament awtorizzat tal-Aġenzija Ewropea għall-Gwardja tal-Fruntiera u l-Kosta għandu jkollu aċċess għall-istatistika mfassla mill-eu-LISA msemmija fil-paragrafu (1)(a) sa (h) u għad-data rilevanti msemmija fl-Artikolu (12) (d) sa (s), fl-Artikolu (13) (d) sa (m) u fl-Artikolu (14) (d) sa (m), għall-finijiet biss imsemmija fl-Artikolu (1)(b) u għall-finijiet imsemmija fl-Artikoli 11 u 37 tar-Regolament (UE) 2016/1624, mingħajr ma tkun possibbli l-identifikazzjoni individwali. L-ipproċessar ta' dawn id-data jenħtieġ li jitwettaq b'konformità mal-miżuri ta' salvagwardja tal-protezzjoni tad-data previsti fir-Regolament (UE) 2016/1624.</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tikkorrispondi mar-rwol il-ġdid li assuma l-Eurodac, li jidher fil-paragrafu (b) tal-Artikolu 1. Il-Eurodac issa għandu jassisti fil-kontroll tal-immigrazzjoni illegali u l-moviment sekondarju. Fil-mandar il-ġdid tagħha, l-Aġenzija Ewropea għall-Gwardja tal-Fruntiera u tal-Kosta li nħolqot issa ukoll għandha dan il-kompitu. L-għoti ta' aċċess lill-Gwardja Ewropea tal-Fruntiera u tal-Kosta għandu jiżgura li l-potenzjal il-ġdid tal-Eurodac jiġi sfruttat bis-sħiħ.</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Kati Piri</w:t>
      </w:r>
      <w:r>
        <w:t xml:space="preserve">, </w:t>
      </w:r>
      <w:r>
        <w:t>Maria Grapini</w:t>
      </w:r>
      <w:r>
        <w:t xml:space="preserve">, </w:t>
      </w:r>
      <w:r>
        <w:t>Juan Fernando López Aguilar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Kull Stat Membru għandu jieħu fil-pront il-marki tas-swaba' tas-swaba' kollha u</w:t>
            </w:r>
            <w:r>
              <w:rPr>
                <w:rFonts w:ascii="Times New Roman" w:eastAsia="Times New Roman" w:hAnsi="Times New Roman" w:cs="Times New Roman"/>
                <w:b/>
                <w:i/>
                <w:strike w:val="0"/>
                <w:color w:val="000000"/>
                <w:sz w:val="24"/>
                <w:highlight w:val="none"/>
                <w:u w:val="none" w:color="auto"/>
              </w:rPr>
              <w:t xml:space="preserve">  </w:t>
            </w:r>
            <w:r>
              <w:t>jieħu ritratt tax-xbiha tal-wiċċ</w:t>
            </w:r>
            <w:r>
              <w:rPr>
                <w:rFonts w:ascii="Times New Roman" w:eastAsia="Times New Roman" w:hAnsi="Times New Roman" w:cs="Times New Roman"/>
                <w:b/>
                <w:i/>
                <w:strike w:val="0"/>
                <w:color w:val="000000"/>
                <w:sz w:val="24"/>
                <w:highlight w:val="none"/>
                <w:u w:val="none" w:color="auto"/>
              </w:rPr>
              <w:t xml:space="preserve">  </w:t>
            </w:r>
            <w:r>
              <w:t>ta' kull applikant għall-protezzjoni internazzjonali li jkollu tal-inqas</w:t>
            </w:r>
            <w:r>
              <w:rPr>
                <w:rFonts w:ascii="Times New Roman" w:eastAsia="Times New Roman" w:hAnsi="Times New Roman" w:cs="Times New Roman"/>
                <w:b/>
                <w:i/>
                <w:strike w:val="0"/>
                <w:color w:val="000000"/>
                <w:sz w:val="24"/>
                <w:highlight w:val="none"/>
                <w:u w:val="none" w:color="auto"/>
              </w:rPr>
              <w:t xml:space="preserve">  </w:t>
            </w:r>
            <w:r>
              <w:t>sitt snin</w:t>
            </w:r>
            <w:r>
              <w:rPr>
                <w:rFonts w:ascii="Times New Roman" w:eastAsia="Times New Roman" w:hAnsi="Times New Roman" w:cs="Times New Roman"/>
                <w:b/>
                <w:i/>
                <w:strike w:val="0"/>
                <w:color w:val="000000"/>
                <w:sz w:val="24"/>
                <w:highlight w:val="none"/>
                <w:u w:val="none" w:color="auto"/>
              </w:rPr>
              <w:t xml:space="preserve">  </w:t>
            </w:r>
            <w:r>
              <w:t>u għandu, mill-aktar fis possibbli u mhux aktar tard minn 72 siegħa wara li tiġi ddepożitata l-applikazzjoni tiegħu għall-protezzjoni internazzjonali, kif iddefinit mill-Artikolu 21(2) tar-Regolament , jittrażmettihom flimkien mad-data msemmija fl-Artikolu 12</w:t>
            </w:r>
            <w:r>
              <w:rPr>
                <w:rFonts w:ascii="Times New Roman" w:eastAsia="Times New Roman" w:hAnsi="Times New Roman" w:cs="Times New Roman"/>
                <w:b/>
                <w:i/>
                <w:strike w:val="0"/>
                <w:color w:val="000000"/>
                <w:sz w:val="24"/>
                <w:highlight w:val="none"/>
                <w:u w:val="none" w:color="auto"/>
              </w:rPr>
              <w:t xml:space="preserve">  </w:t>
            </w:r>
            <w:r>
              <w:t>minn (c) sa (n)</w:t>
            </w:r>
            <w:r>
              <w:rPr>
                <w:rFonts w:ascii="Times New Roman" w:eastAsia="Times New Roman" w:hAnsi="Times New Roman" w:cs="Times New Roman"/>
                <w:b/>
                <w:i/>
                <w:strike w:val="0"/>
                <w:color w:val="000000"/>
                <w:sz w:val="24"/>
                <w:highlight w:val="none"/>
                <w:u w:val="none" w:color="auto"/>
              </w:rPr>
              <w:t xml:space="preserve">  </w:t>
            </w:r>
            <w:r>
              <w:t>ta' dan ir-Regolament lis-Sistema Ċentrali.</w:t>
            </w:r>
          </w:p>
        </w:tc>
        <w:tc>
          <w:tcPr/>
          <w:p>
            <w:pPr>
              <w:pStyle w:val="Normal6"/>
            </w:pPr>
            <w:r>
              <w:t>Kull Stat Membru għandu jieħu fil-pront il-marki tas-swaba' tas-swaba' kollha u</w:t>
            </w:r>
            <w:r>
              <w:rPr>
                <w:rFonts w:ascii="Times New Roman" w:eastAsia="Times New Roman" w:hAnsi="Times New Roman" w:cs="Times New Roman"/>
                <w:b/>
                <w:i/>
                <w:strike w:val="0"/>
                <w:color w:val="000000"/>
                <w:sz w:val="24"/>
                <w:highlight w:val="none"/>
                <w:u w:val="none" w:color="auto"/>
              </w:rPr>
              <w:t xml:space="preserve"> </w:t>
            </w:r>
            <w:r>
              <w:t>jieħu ritratt tax-xbiha tal-wiċċ</w:t>
            </w:r>
            <w:r>
              <w:rPr>
                <w:rFonts w:ascii="Times New Roman" w:eastAsia="Times New Roman" w:hAnsi="Times New Roman" w:cs="Times New Roman"/>
                <w:b/>
                <w:i/>
                <w:strike w:val="0"/>
                <w:color w:val="000000"/>
                <w:sz w:val="24"/>
                <w:highlight w:val="none"/>
                <w:u w:val="none" w:color="auto"/>
              </w:rPr>
              <w:t xml:space="preserve"> </w:t>
            </w:r>
            <w:r>
              <w:t>ta' kull applikant għall-protezzjoni internazzjonali li jkollu tal-inqas</w:t>
            </w:r>
            <w:r>
              <w:rPr>
                <w:rFonts w:ascii="Times New Roman" w:eastAsia="Times New Roman" w:hAnsi="Times New Roman" w:cs="Times New Roman"/>
                <w:b/>
                <w:i/>
                <w:strike w:val="0"/>
                <w:color w:val="000000"/>
                <w:sz w:val="24"/>
                <w:highlight w:val="none"/>
                <w:u w:val="none" w:color="auto"/>
              </w:rPr>
              <w:t xml:space="preserve"> </w:t>
            </w:r>
            <w:r>
              <w:t>sitt snin</w:t>
            </w:r>
            <w:r>
              <w:rPr>
                <w:rFonts w:ascii="Times New Roman" w:eastAsia="Times New Roman" w:hAnsi="Times New Roman" w:cs="Times New Roman"/>
                <w:b/>
                <w:i/>
                <w:strike w:val="0"/>
                <w:color w:val="000000"/>
                <w:sz w:val="24"/>
                <w:highlight w:val="none"/>
                <w:u w:val="none" w:color="auto"/>
              </w:rPr>
              <w:t xml:space="preserve"> </w:t>
            </w:r>
            <w:r>
              <w:t>u għandu, mill-aktar fis possibbli u mhux aktar tard minn 72 siegħa wara li tiġi ddepożitata l-applikazzjoni tiegħu għall-protezzjoni internazzjonali, kif iddefinit mill-Artikolu 21(2) tar-Regolament , jittrażmettihom flimkien mad-data msemmija fl-Artikolu 12</w:t>
            </w:r>
            <w:r>
              <w:rPr>
                <w:rFonts w:ascii="Times New Roman" w:eastAsia="Times New Roman" w:hAnsi="Times New Roman" w:cs="Times New Roman"/>
                <w:b/>
                <w:i/>
                <w:strike w:val="0"/>
                <w:color w:val="000000"/>
                <w:sz w:val="24"/>
                <w:highlight w:val="none"/>
                <w:u w:val="none" w:color="auto"/>
              </w:rPr>
              <w:t xml:space="preserve"> </w:t>
            </w:r>
            <w:r>
              <w:t>minn (c) sa (n)</w:t>
            </w:r>
            <w:r>
              <w:rPr>
                <w:rFonts w:ascii="Times New Roman" w:eastAsia="Times New Roman" w:hAnsi="Times New Roman" w:cs="Times New Roman"/>
                <w:b/>
                <w:i/>
                <w:strike w:val="0"/>
                <w:color w:val="000000"/>
                <w:sz w:val="24"/>
                <w:highlight w:val="none"/>
                <w:u w:val="none" w:color="auto"/>
              </w:rPr>
              <w:t xml:space="preserve"> </w:t>
            </w:r>
            <w:r>
              <w:t xml:space="preserve">ta' dan ir-Regolament lis-Sistema Ċentrali. </w:t>
            </w:r>
            <w:r>
              <w:rPr>
                <w:rFonts w:ascii="Times New Roman" w:eastAsia="Times New Roman" w:hAnsi="Times New Roman" w:cs="Times New Roman"/>
                <w:b/>
                <w:i/>
                <w:strike w:val="0"/>
                <w:color w:val="000000"/>
                <w:sz w:val="24"/>
                <w:highlight w:val="none"/>
                <w:u w:val="none" w:color="auto"/>
              </w:rPr>
              <w:t>It-teħid ta' marki tas-swaba u tax-xbihat tal-wiċċ ta' tfal huwa partikolarment għall-finijiet imsemmija fl-Artikolu 1(1)(ca).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relatata direttament mat-tibdila fl-età minn 14-il sena għal 6 snin proposta mill-Kummissjoni f'dan l-Artikolu.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Kull Stat Membru għandu jieħu fil-pront il-marki tas-swaba' tas-swaba' kollha </w:t>
            </w:r>
            <w:r>
              <w:rPr>
                <w:rFonts w:ascii="Times New Roman" w:eastAsia="Times New Roman" w:hAnsi="Times New Roman" w:cs="Times New Roman"/>
                <w:b/>
                <w:i/>
                <w:strike w:val="0"/>
                <w:color w:val="000000"/>
                <w:sz w:val="24"/>
                <w:highlight w:val="none"/>
                <w:u w:val="none" w:color="auto"/>
              </w:rPr>
              <w:t xml:space="preserve">u  jieħu ritratt tax-xbiha tal-wiċċ  </w:t>
            </w:r>
            <w:r>
              <w:t>ta' kull applikant għall-protezzjoni internazzjonali li jkollu tal-inqas</w:t>
            </w:r>
            <w:r>
              <w:rPr>
                <w:rFonts w:ascii="Times New Roman" w:eastAsia="Times New Roman" w:hAnsi="Times New Roman" w:cs="Times New Roman"/>
                <w:b/>
                <w:i/>
                <w:strike w:val="0"/>
                <w:color w:val="000000"/>
                <w:sz w:val="24"/>
                <w:highlight w:val="none"/>
                <w:u w:val="none" w:color="auto"/>
              </w:rPr>
              <w:t xml:space="preserve">  sitt snin  </w:t>
            </w:r>
            <w:r>
              <w:t xml:space="preserve">u għandu, mill-aktar fis possibbli u mhux aktar tard minn 72 siegħa wara li tiġi ddepożitata l-applikazzjoni tiegħu għall-protezzjoni internazzjonali, kif iddefinit mill-Artikolu </w:t>
            </w:r>
            <w:r>
              <w:rPr>
                <w:rFonts w:ascii="Times New Roman" w:eastAsia="Times New Roman" w:hAnsi="Times New Roman" w:cs="Times New Roman"/>
                <w:b/>
                <w:i/>
                <w:strike w:val="0"/>
                <w:color w:val="000000"/>
                <w:sz w:val="24"/>
                <w:highlight w:val="none"/>
                <w:u w:val="none" w:color="auto"/>
              </w:rPr>
              <w:t>21(2)</w:t>
            </w:r>
            <w:r>
              <w:t xml:space="preserve"> tar-Regolament , jittrażmettihom flimkien mad-data msemmija fl-Artikolu </w:t>
            </w:r>
            <w:r>
              <w:rPr>
                <w:rFonts w:ascii="Times New Roman" w:eastAsia="Times New Roman" w:hAnsi="Times New Roman" w:cs="Times New Roman"/>
                <w:b/>
                <w:i/>
                <w:strike w:val="0"/>
                <w:color w:val="000000"/>
                <w:sz w:val="24"/>
                <w:highlight w:val="none"/>
                <w:u w:val="none" w:color="auto"/>
              </w:rPr>
              <w:t xml:space="preserve">12  minn (c) sa (n)  </w:t>
            </w:r>
            <w:r>
              <w:t>ta' dan ir-Regolament lis-Sistema Ċentrali.</w:t>
            </w:r>
          </w:p>
        </w:tc>
        <w:tc>
          <w:tcPr/>
          <w:p>
            <w:pPr>
              <w:pStyle w:val="Normal6"/>
            </w:pPr>
            <w:r>
              <w:t>Kull Stat Membru għandu jieħu fil-pront il-marki tas-swaba' tas-swaba' kollha ta' kull applikant għall-protezzjoni internazzjonali li jkollu tal-inqas</w:t>
            </w:r>
            <w:r>
              <w:rPr>
                <w:rFonts w:ascii="Times New Roman" w:eastAsia="Times New Roman" w:hAnsi="Times New Roman" w:cs="Times New Roman"/>
                <w:b/>
                <w:i/>
                <w:strike w:val="0"/>
                <w:color w:val="000000"/>
                <w:sz w:val="24"/>
                <w:highlight w:val="none"/>
                <w:u w:val="none" w:color="auto"/>
              </w:rPr>
              <w:t xml:space="preserve"> 14-il sena </w:t>
            </w:r>
            <w:r>
              <w:t>u għandu, mill-aktar fis possibbli u mhux aktar tard minn 72 siegħa wara li tiġi ddepożitata l-applikazzjoni tiegħu għall-protezzjoni internazzjonali, kif iddefinit mill-Artikolu </w:t>
            </w:r>
            <w:r>
              <w:rPr>
                <w:rFonts w:ascii="Times New Roman" w:eastAsia="Times New Roman" w:hAnsi="Times New Roman" w:cs="Times New Roman"/>
                <w:b/>
                <w:i/>
                <w:strike w:val="0"/>
                <w:color w:val="000000"/>
                <w:sz w:val="24"/>
                <w:highlight w:val="none"/>
                <w:u w:val="none" w:color="auto"/>
              </w:rPr>
              <w:t>[21(2)]</w:t>
            </w:r>
            <w:r>
              <w:t xml:space="preserve"> tar-Regolament </w:t>
            </w:r>
            <w:r>
              <w:rPr>
                <w:rFonts w:ascii="Times New Roman" w:eastAsia="Times New Roman" w:hAnsi="Times New Roman" w:cs="Times New Roman"/>
                <w:b/>
                <w:i/>
                <w:strike w:val="0"/>
                <w:color w:val="000000"/>
                <w:sz w:val="24"/>
                <w:highlight w:val="none"/>
                <w:u w:val="none" w:color="auto"/>
              </w:rPr>
              <w:t xml:space="preserve">(UE) Nru </w:t>
            </w:r>
            <w:r>
              <w:t xml:space="preserve">, jittrażmettihom flimkien mad-data msemmija fl-Artikolu </w:t>
            </w:r>
            <w:r>
              <w:rPr>
                <w:rFonts w:ascii="Times New Roman" w:eastAsia="Times New Roman" w:hAnsi="Times New Roman" w:cs="Times New Roman"/>
                <w:b/>
                <w:i/>
                <w:strike w:val="0"/>
                <w:color w:val="000000"/>
                <w:sz w:val="24"/>
                <w:highlight w:val="none"/>
                <w:u w:val="none" w:color="auto"/>
              </w:rPr>
              <w:t xml:space="preserve">12(c) sa (n) </w:t>
            </w:r>
            <w:r>
              <w:t>ta' dan ir-Regolament lis-Sistema Ċentrali.</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Italic"/>
            </w:pPr>
            <w:r>
              <w:t>(Din l-emenda tapplika għat-test leġiżlattiv kollu li qed jiġi eżaminat. l-adozzjoni tagħha timponi adattamenti tekniċi fit-test kollu.)</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Kull Stat Membru għandu jieħu fil-pront il-marki tas-swaba' tas-swaba' kollha </w:t>
            </w:r>
            <w:r>
              <w:rPr>
                <w:rFonts w:ascii="Times New Roman" w:eastAsia="Times New Roman" w:hAnsi="Times New Roman" w:cs="Times New Roman"/>
                <w:b/>
                <w:i/>
                <w:strike w:val="0"/>
                <w:color w:val="000000"/>
                <w:sz w:val="24"/>
                <w:highlight w:val="none"/>
                <w:u w:val="none" w:color="auto"/>
              </w:rPr>
              <w:t xml:space="preserve">u  jieħu ritratt tax-xbiha tal-wiċċ  </w:t>
            </w:r>
            <w:r>
              <w:t>ta' kull applikant għall-protezzjoni internazzjonali li jkollu tal-inqas</w:t>
            </w:r>
            <w:r>
              <w:rPr>
                <w:rFonts w:ascii="Times New Roman" w:eastAsia="Times New Roman" w:hAnsi="Times New Roman" w:cs="Times New Roman"/>
                <w:b/>
                <w:i/>
                <w:strike w:val="0"/>
                <w:color w:val="000000"/>
                <w:sz w:val="24"/>
                <w:highlight w:val="none"/>
                <w:u w:val="none" w:color="auto"/>
              </w:rPr>
              <w:t xml:space="preserve">  sitt snin  </w:t>
            </w:r>
            <w:r>
              <w:t xml:space="preserve">u għandu, mill-aktar fis possibbli u mhux aktar tard minn 72 siegħa wara li tiġi ddepożitata l-applikazzjoni tiegħu għall-protezzjoni internazzjonali, kif iddefinit mill-Artikolu </w:t>
            </w:r>
            <w:r>
              <w:rPr>
                <w:rFonts w:ascii="Times New Roman" w:eastAsia="Times New Roman" w:hAnsi="Times New Roman" w:cs="Times New Roman"/>
                <w:b/>
                <w:i/>
                <w:strike w:val="0"/>
                <w:color w:val="000000"/>
                <w:sz w:val="24"/>
                <w:highlight w:val="none"/>
                <w:u w:val="none" w:color="auto"/>
              </w:rPr>
              <w:t>21(2)</w:t>
            </w:r>
            <w:r>
              <w:t xml:space="preserve"> tar-Regolament , jittrażmettihom flimkien mad-data msemmija fl-Artikolu </w:t>
            </w:r>
            <w:r>
              <w:rPr>
                <w:rFonts w:ascii="Times New Roman" w:eastAsia="Times New Roman" w:hAnsi="Times New Roman" w:cs="Times New Roman"/>
                <w:b/>
                <w:i/>
                <w:strike w:val="0"/>
                <w:color w:val="000000"/>
                <w:sz w:val="24"/>
                <w:highlight w:val="none"/>
                <w:u w:val="none" w:color="auto"/>
              </w:rPr>
              <w:t xml:space="preserve">12  minn (c) sa (n)  </w:t>
            </w:r>
            <w:r>
              <w:t>ta' dan ir-Regolament lis-Sistema Ċentrali.</w:t>
            </w:r>
          </w:p>
        </w:tc>
        <w:tc>
          <w:tcPr/>
          <w:p>
            <w:pPr>
              <w:pStyle w:val="Normal6"/>
            </w:pPr>
            <w:r>
              <w:t>Kull Stat Membru għandu jieħu fil-pront il-marki tas-swaba' tas-swaba' kollha ta' kull applikant għall-protezzjoni internazzjonali li jkollu tal-inqas</w:t>
            </w:r>
            <w:r>
              <w:rPr>
                <w:rFonts w:ascii="Times New Roman" w:eastAsia="Times New Roman" w:hAnsi="Times New Roman" w:cs="Times New Roman"/>
                <w:b/>
                <w:i/>
                <w:strike w:val="0"/>
                <w:color w:val="000000"/>
                <w:sz w:val="24"/>
                <w:highlight w:val="none"/>
                <w:u w:val="none" w:color="auto"/>
              </w:rPr>
              <w:t xml:space="preserve"> 18-il sena </w:t>
            </w:r>
            <w:r>
              <w:t xml:space="preserve">u għandu, mill-aktar fis possibbli u mhux aktar tard minn 72 siegħa wara li tiġi ddepożitata l-applikazzjoni tiegħu għall-protezzjoni internazzjonali, kif iddefinit mill-Artikolu </w:t>
            </w:r>
            <w:r>
              <w:rPr>
                <w:rFonts w:ascii="Times New Roman" w:eastAsia="Times New Roman" w:hAnsi="Times New Roman" w:cs="Times New Roman"/>
                <w:b/>
                <w:i/>
                <w:strike w:val="0"/>
                <w:color w:val="000000"/>
                <w:sz w:val="24"/>
                <w:highlight w:val="none"/>
                <w:u w:val="none" w:color="auto"/>
              </w:rPr>
              <w:t>[21(2)]</w:t>
            </w:r>
            <w:r>
              <w:t xml:space="preserve"> tar-Regolament </w:t>
            </w:r>
            <w:r>
              <w:rPr>
                <w:rFonts w:ascii="Times New Roman" w:eastAsia="Times New Roman" w:hAnsi="Times New Roman" w:cs="Times New Roman"/>
                <w:b/>
                <w:i/>
                <w:strike w:val="0"/>
                <w:color w:val="000000"/>
                <w:sz w:val="24"/>
                <w:highlight w:val="none"/>
                <w:u w:val="none" w:color="auto"/>
              </w:rPr>
              <w:t>(UE) Nru</w:t>
            </w:r>
            <w:r>
              <w:t xml:space="preserve">, jittrażmettihom flimkien mad-data msemmija fl-Artikolu </w:t>
            </w:r>
            <w:r>
              <w:rPr>
                <w:rFonts w:ascii="Times New Roman" w:eastAsia="Times New Roman" w:hAnsi="Times New Roman" w:cs="Times New Roman"/>
                <w:b/>
                <w:i/>
                <w:strike w:val="0"/>
                <w:color w:val="000000"/>
                <w:sz w:val="24"/>
                <w:highlight w:val="none"/>
                <w:u w:val="none" w:color="auto"/>
              </w:rPr>
              <w:t xml:space="preserve">12(c) sa (n) </w:t>
            </w:r>
            <w:r>
              <w:t>ta' dan ir-Regolament lis-Sistema Ċentrali.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Dan huwa relatat mal-introduzzjoni ta' paragrafu 1A ġdid għal dan l-Artikolu, bil-għan li jiġu protetti aħjar tfal vittmi tat-traffikar u li tiġi appoġġata l-identifikazzjoni u l-protezzjoni tat-tfal li jkunu għebu.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subparagrafu 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Għall-finijiet tal-Artikolu 1(1)(ca), kull Stat Membru għandu jieħu fil-pront il-marki tas-swaba' kollha u jieħu ritratt tax-xbiha tal-wiċċ tat-tfal kollha applikantt għall-protezzjoni internazzjonali li jkollhom tal-inqas sitt snin u għandu, mill-aktar fis possibbli u mhux aktar tard minn 72 siegħa wara li tiġi ddepożitata l-applikazzjoni tagħhom għall-protezzjoni internazzjonali, kif iddefinit mill-Artikolu 21(2) tar-Regolament XX/XXXX, jittrażmettihom flimkien mad-data msemmija fil-punt (c) sa (n) tal-Artikolu 12 ta' dan ir-Regolament lis-Sistema Ċentrali.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hija meħtieġa biex iżżomm il-loġika tat-test peress li għandha sservi biex tipproteġi lit-tfal vittmi tat-traffikar u tappoġġja l-identifikazzjoni u l-protezzjoni ta' tfal mhux akkumpanjati li jgħibu, jisparixxu jew jaħarbu, kif il-Kummissjoni Ewropea enfasizzat fil-memorandum ta' spjegazzjoni tagħha li jakkumpanja r-riformulazzjoni proposta tar-Regolament Eurodac. In order to comply with Article 7, Article 8 and Article 24 of the Charter, the processing of children's biometric data as young as six years of age can only be justified if it expressly pursues a child protection objective.</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1 – subparagrafu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In-nuqqas ta' konformità mal-limitu tal-ħin ta’ 72 siegħa ma għandux jeżonera lill-Istati Membri mill-obbligu li jieħdu u jitrażmettu l-marki tas-swaba’ lis-Sistema Ċentrali. Fejn il-kundizzjoni tat-truf tas-swaba’ ma tippermettix li jittieħdu marki tas-swaba’ fi kwalità li tiżgura tqabbil xieraq taħt l-Artikolu 26, l-Istat Membru ta’ oriġini għandu jerġa’ jieħu l-marki tas-swaba’ tal-applikant u jibagħthom mill-ġdid mill-aktar fis possibbli u mhux aktar tard minn 48 siegħa wara li jkunu reġgħu ttieħdu b’suċċess.</w:t>
            </w:r>
          </w:p>
        </w:tc>
        <w:tc>
          <w:tcPr/>
          <w:p>
            <w:pPr>
              <w:pStyle w:val="Normal6"/>
            </w:pPr>
            <w:r>
              <w:t xml:space="preserve">In-nuqqas ta' konformità mal-limitu tal-ħin ta’ 72 siegħa ma għandux jeżonera lill-Istati Membri mill-obbligu li jieħdu u jitrażmettu l-marki tas-swaba’ </w:t>
            </w:r>
            <w:r>
              <w:rPr>
                <w:rFonts w:ascii="Times New Roman" w:eastAsia="Times New Roman" w:hAnsi="Times New Roman" w:cs="Times New Roman"/>
                <w:b/>
                <w:i/>
                <w:strike w:val="0"/>
                <w:color w:val="000000"/>
                <w:sz w:val="24"/>
                <w:highlight w:val="none"/>
                <w:u w:val="none" w:color="auto"/>
              </w:rPr>
              <w:t xml:space="preserve">u l-immaġni tal-wiċċ </w:t>
            </w:r>
            <w:r>
              <w:t>lis-Sistema Ċentrali. Fejn il-kundizzjoni tat-truf tas-swaba’ ma tippermettix li jittieħdu marki tas-swaba’ fi kwalità li tiżgura tqabbil xieraq taħt l-Artikolu 26, l-Istat Membru ta’ oriġini għandu jerġa’ jieħu l-marki tas-swaba’ tal-applikant u jibagħthom mill-ġdid mill-aktar fis possibbli u mhux aktar tard minn 48 siegħa wara li jkunu reġgħu ttieħdu b’suċċess.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Korrezzjoni tal-proposta tal-Kummissjoni li ma żżidx fil-postijiet kollha meħtieġa kemm "il-marki tas-swaba" kif ukoll "ix-xbiha tal-wiċċ", li hija konformi mal-obbligu kif imsemmi fl-Artikolu 2.</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2 – subparagrafu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B'deroga mill-paragrafu 1, fejn mhux possibbli li jittieħdu l-marki tas-swaba’</w:t>
            </w:r>
            <w:r>
              <w:rPr>
                <w:rFonts w:ascii="Times New Roman" w:eastAsia="Times New Roman" w:hAnsi="Times New Roman" w:cs="Times New Roman"/>
                <w:b/>
                <w:i/>
                <w:strike w:val="0"/>
                <w:color w:val="000000"/>
                <w:sz w:val="24"/>
                <w:highlight w:val="none"/>
                <w:u w:val="none" w:color="auto"/>
              </w:rPr>
              <w:t xml:space="preserve">  u</w:t>
            </w:r>
            <w:r>
              <w:t xml:space="preserve"> tax-xbiha tal-wiċċ</w:t>
            </w:r>
            <w:r>
              <w:rPr>
                <w:rFonts w:ascii="Times New Roman" w:eastAsia="Times New Roman" w:hAnsi="Times New Roman" w:cs="Times New Roman"/>
                <w:b/>
                <w:i/>
                <w:strike w:val="0"/>
                <w:color w:val="000000"/>
                <w:sz w:val="24"/>
                <w:highlight w:val="none"/>
                <w:u w:val="none" w:color="auto"/>
              </w:rPr>
              <w:t xml:space="preserve">  </w:t>
            </w:r>
            <w:r>
              <w:t>ta’ applikant għall-protezzjoni internazzjonali minħabba miżuri li ttieħdu sabiex tiġi żgurata s-saħħa tal-applikant jew il-protezzjoni tas-saħħa pubblika, l-Istati Membri għandhom jieħdu u jibagħtu dawn il-marki</w:t>
            </w:r>
            <w:r>
              <w:rPr>
                <w:rFonts w:ascii="Times New Roman" w:eastAsia="Times New Roman" w:hAnsi="Times New Roman" w:cs="Times New Roman"/>
                <w:b/>
                <w:i/>
                <w:strike w:val="0"/>
                <w:color w:val="000000"/>
                <w:sz w:val="24"/>
                <w:highlight w:val="none"/>
                <w:u w:val="none" w:color="auto"/>
              </w:rPr>
              <w:t xml:space="preserve">  u x-xbiha tal-wiċċ  </w:t>
            </w:r>
            <w:r>
              <w:t>mill-aktar fis possibbli u mhux aktar tard minn 48 siegħa wara li dawn ir-raġunijiet ta’ saħħa ma jibqgħux validi.</w:t>
            </w:r>
          </w:p>
        </w:tc>
        <w:tc>
          <w:tcPr/>
          <w:p>
            <w:pPr>
              <w:pStyle w:val="Normal6"/>
            </w:pPr>
            <w:r>
              <w:t>B'deroga mill-paragrafu 1, fejn mhux possibbli li jittieħdu l-marki tas-swaba’</w:t>
            </w:r>
            <w:r>
              <w:rPr>
                <w:rFonts w:ascii="Times New Roman" w:eastAsia="Times New Roman" w:hAnsi="Times New Roman" w:cs="Times New Roman"/>
                <w:b/>
                <w:i/>
                <w:strike w:val="0"/>
                <w:color w:val="000000"/>
                <w:sz w:val="24"/>
                <w:highlight w:val="none"/>
                <w:u w:val="none" w:color="auto"/>
              </w:rPr>
              <w:t>,</w:t>
            </w:r>
            <w:r>
              <w:t> tax-xbiha tal-wiċċ</w:t>
            </w:r>
            <w:r>
              <w:rPr>
                <w:rFonts w:ascii="Times New Roman" w:eastAsia="Times New Roman" w:hAnsi="Times New Roman" w:cs="Times New Roman"/>
                <w:b/>
                <w:i/>
                <w:strike w:val="0"/>
                <w:color w:val="000000"/>
                <w:sz w:val="24"/>
                <w:highlight w:val="none"/>
                <w:u w:val="none" w:color="auto"/>
              </w:rPr>
              <w:t xml:space="preserve"> jew it-tnejn, </w:t>
            </w:r>
            <w:r>
              <w:t>ta’ applikant għall-protezzjoni internazzjonali minħabba miżuri li ttieħdu sabiex tiġi żgurata s-saħħa tal-applikant jew il-protezzjoni tas-saħħa pubblika, l-Istati Membri għandhom jieħdu u jibagħtu dawn il-marki</w:t>
            </w:r>
            <w:r>
              <w:rPr>
                <w:rFonts w:ascii="Times New Roman" w:eastAsia="Times New Roman" w:hAnsi="Times New Roman" w:cs="Times New Roman"/>
                <w:b/>
                <w:i/>
                <w:strike w:val="0"/>
                <w:color w:val="000000"/>
                <w:sz w:val="24"/>
                <w:highlight w:val="none"/>
                <w:u w:val="none" w:color="auto"/>
              </w:rPr>
              <w:t xml:space="preserve">, ix-xbiha tal-wiċċ jew it-tnejn </w:t>
            </w:r>
            <w:r>
              <w:t>mill-aktar fis possibbli u mhux aktar tard minn 48 siegħa wara li dawn ir-raġunijiet ta’ saħħa ma jibqgħux validi.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r>
              <w:tab/>
            </w:r>
            <w:r>
              <w:rPr>
                <w:rFonts w:ascii="Times New Roman" w:eastAsia="Times New Roman" w:hAnsi="Times New Roman" w:cs="Times New Roman"/>
                <w:b/>
                <w:i/>
                <w:strike w:val="0"/>
                <w:color w:val="000000"/>
                <w:sz w:val="24"/>
                <w:highlight w:val="none"/>
                <w:u w:val="none" w:color="auto"/>
              </w:rPr>
              <w:t>Id-data tal-marki tas-swaba’ tista’ tittieħed u tiġi trażmessa mill-membri tat-Timijiet tal-Gwardjani tal-Fruntiera Ewropej [u tal-Kosta] jew minn esperti dwar l-ażil tal-Istat Membri meta jwettqu l-ħidmiet tagħhom u jeżerċitaw is-setgħat skont [ir-Regolament dwar il-Gwardjani tal-Fruntiera Ewropej [u tal-Kosta] u li jirrevoka r-Regolament (KE) Nru 2007/2004, ir-Regolament 863/2007 u d-Deċiżjoni tal-Kunsill 2005/267/KE] u [r-Regolament (UE) Nru 439/2010].</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Id-data tal-marki tas-swaba’ </w:t>
            </w:r>
            <w:r>
              <w:rPr>
                <w:rFonts w:ascii="Times New Roman" w:eastAsia="Times New Roman" w:hAnsi="Times New Roman" w:cs="Times New Roman"/>
                <w:b/>
                <w:i/>
                <w:strike w:val="0"/>
                <w:color w:val="000000"/>
                <w:sz w:val="24"/>
                <w:highlight w:val="none"/>
                <w:u w:val="none" w:color="auto"/>
              </w:rPr>
              <w:t>tista’</w:t>
            </w:r>
            <w:r>
              <w:t xml:space="preserve"> tittieħed u tiġi trażmessa mill-membri </w:t>
            </w:r>
            <w:r>
              <w:rPr>
                <w:rFonts w:ascii="Times New Roman" w:eastAsia="Times New Roman" w:hAnsi="Times New Roman" w:cs="Times New Roman"/>
                <w:b/>
                <w:i/>
                <w:strike w:val="0"/>
                <w:color w:val="000000"/>
                <w:sz w:val="24"/>
                <w:highlight w:val="none"/>
                <w:u w:val="none" w:color="auto"/>
              </w:rPr>
              <w:t xml:space="preserve">tat-Timijiet tal-Gwardjani tal-Fruntiera Ewropej [u tal-Kosta] jew minn </w:t>
            </w:r>
            <w:r>
              <w:t xml:space="preserve">esperti dwar l-ażil </w:t>
            </w:r>
            <w:r>
              <w:rPr>
                <w:rFonts w:ascii="Times New Roman" w:eastAsia="Times New Roman" w:hAnsi="Times New Roman" w:cs="Times New Roman"/>
                <w:b/>
                <w:i/>
                <w:strike w:val="0"/>
                <w:color w:val="000000"/>
                <w:sz w:val="24"/>
                <w:highlight w:val="none"/>
                <w:u w:val="none" w:color="auto"/>
              </w:rPr>
              <w:t>tal-Istat</w:t>
            </w:r>
            <w:r>
              <w:t xml:space="preserve"> Membri </w:t>
            </w:r>
            <w:r>
              <w:rPr>
                <w:rFonts w:ascii="Times New Roman" w:eastAsia="Times New Roman" w:hAnsi="Times New Roman" w:cs="Times New Roman"/>
                <w:b/>
                <w:i/>
                <w:strike w:val="0"/>
                <w:color w:val="000000"/>
                <w:sz w:val="24"/>
                <w:highlight w:val="none"/>
                <w:u w:val="none" w:color="auto"/>
              </w:rPr>
              <w:t>meta jwettqu l-ħidmiet tagħhom u jeżerċitaw is-setgħat skont [ir-Regolament dwar il-Gwardjani tal-Fruntiera Ewropej [u tal-Kosta] u li jirrevoka r-Regolament (KE) Nru 2007/2004, ir-Regolament 863/2007 u d-Deċiżjoni tal-Kunsill 2005/267/KE] u [r-Regolament (UE) Nru 439/2010]</w:t>
            </w:r>
            <w:r>
              <w:t>.</w:t>
            </w:r>
          </w:p>
        </w:tc>
        <w:tc>
          <w:tcPr/>
          <w:p>
            <w:pPr>
              <w:pStyle w:val="Normal6"/>
            </w:pPr>
            <w:r>
              <w:t>3.</w:t>
            </w:r>
            <w:r>
              <w:tab/>
            </w:r>
            <w:r>
              <w:t xml:space="preserve">Id-data tal-marki tas-swaba’ </w:t>
            </w:r>
            <w:r>
              <w:rPr>
                <w:rFonts w:ascii="Times New Roman" w:eastAsia="Times New Roman" w:hAnsi="Times New Roman" w:cs="Times New Roman"/>
                <w:b/>
                <w:i/>
                <w:strike w:val="0"/>
                <w:color w:val="000000"/>
                <w:sz w:val="24"/>
                <w:highlight w:val="none"/>
                <w:u w:val="none" w:color="auto"/>
              </w:rPr>
              <w:t>għandha</w:t>
            </w:r>
            <w:r>
              <w:t xml:space="preserve"> tittieħed u tiġi trażmessa mill-membri esperti dwar l-ażil </w:t>
            </w:r>
            <w:r>
              <w:rPr>
                <w:rFonts w:ascii="Times New Roman" w:eastAsia="Times New Roman" w:hAnsi="Times New Roman" w:cs="Times New Roman"/>
                <w:b/>
                <w:i/>
                <w:strike w:val="0"/>
                <w:color w:val="000000"/>
                <w:sz w:val="24"/>
                <w:highlight w:val="none"/>
                <w:u w:val="none" w:color="auto"/>
              </w:rPr>
              <w:t>tal-Istati</w:t>
            </w:r>
            <w:r>
              <w:t xml:space="preserve"> Membri </w:t>
            </w:r>
            <w:r>
              <w:rPr>
                <w:rFonts w:ascii="Times New Roman" w:eastAsia="Times New Roman" w:hAnsi="Times New Roman" w:cs="Times New Roman"/>
                <w:b/>
                <w:i/>
                <w:strike w:val="0"/>
                <w:color w:val="000000"/>
                <w:sz w:val="24"/>
                <w:highlight w:val="none"/>
                <w:u w:val="none" w:color="auto"/>
              </w:rPr>
              <w:t>li rċevew taħriġ speċifiku dwar id-drittijiet fundamentali, id-dritt għall-ażil u dwar kif jiġu indirizzati l-bżonnijiet speċjali ta' migranti vulnerabbli, inklużi tfal</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Kati Piri</w:t>
      </w:r>
      <w:r>
        <w:t xml:space="preserve">, </w:t>
      </w:r>
      <w:r>
        <w:t>Maria Grapini</w:t>
      </w:r>
      <w:r>
        <w:t xml:space="preserve">, </w:t>
      </w:r>
      <w:r>
        <w:t>Juan Fernando López Aguilar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Id-data tal-marki tas-swaba’ tista’ tittieħed u tiġi trażmessa mill-membri tat-Timijiet tal-Gwardjani tal-Fruntiera Ewropej [u tal-Kosta] jew minn esperti dwar l-ażil tal-Istat Membri meta jwettqu l-ħidmiet tagħhom u jeżerċitaw is-setgħat skont [ir-Regolament dwar il-Gwardjani tal-Fruntiera Ewropej [u tal-Kosta] u li jirrevoka r-Regolament (KE) Nru 2007/2004, ir-Regolament 863/2007 u d-Deċiżjoni tal-Kunsill 2005/267/KE] u [r-Regolament (UE) Nru 439/2010].</w:t>
            </w:r>
          </w:p>
        </w:tc>
        <w:tc>
          <w:tcPr/>
          <w:p>
            <w:pPr>
              <w:pStyle w:val="Normal6"/>
            </w:pPr>
            <w:r>
              <w:t>3.</w:t>
            </w:r>
            <w:r>
              <w:tab/>
            </w:r>
            <w:r>
              <w:t xml:space="preserve">Id-data tal-marki tas-swaba’ </w:t>
            </w:r>
            <w:r>
              <w:rPr>
                <w:rFonts w:ascii="Times New Roman" w:eastAsia="Times New Roman" w:hAnsi="Times New Roman" w:cs="Times New Roman"/>
                <w:b/>
                <w:i/>
                <w:strike w:val="0"/>
                <w:color w:val="000000"/>
                <w:sz w:val="24"/>
                <w:highlight w:val="none"/>
                <w:u w:val="none" w:color="auto"/>
              </w:rPr>
              <w:t xml:space="preserve">u tax-xbiha tal-wiċċ </w:t>
            </w:r>
            <w:r>
              <w:t>tista’ tittieħed u tiġi trażmessa mill-membri tat-Timijiet tal-Gwardjani tal-Fruntiera Ewropej [u tal-Kosta] jew minn esperti dwar l-ażil tal-Istat Membri meta jwettqu l-ħidmiet tagħhom u jeżerċitaw is-setgħat skont [ir-Regolament dwar il-Gwardjani tal-Fruntiera Ewropej [u tal-Kosta] u li jirrevoka r-Regolament (KE) Nru 2007/2004, ir-Regolament 863/2007 u d-Deċiżjoni tal-Kunsill 2005/267/KE] u [r-Regolament (UE) Nru 439/2010].</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t xml:space="preserve">, </w:t>
      </w:r>
      <w:r>
        <w:t>Rachida Dati</w:t>
      </w:r>
      <w:r>
        <w:t xml:space="preserve">, </w:t>
      </w:r>
      <w:r>
        <w:t>Rachida Dati</w:t>
      </w:r>
      <w:r>
        <w:t xml:space="preserve">, </w:t>
      </w:r>
      <w:r>
        <w:t>Mariya Gabriel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10 – paragrafu 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3a.</w:t>
            </w:r>
            <w:r>
              <w:tab/>
            </w:r>
            <w:r>
              <w:rPr>
                <w:rFonts w:ascii="Times New Roman" w:eastAsia="Times New Roman" w:hAnsi="Times New Roman" w:cs="Times New Roman"/>
                <w:b/>
                <w:i/>
                <w:strike w:val="0"/>
                <w:color w:val="000000"/>
                <w:sz w:val="24"/>
                <w:highlight w:val="none"/>
                <w:u w:val="none" w:color="auto"/>
              </w:rPr>
              <w:t>Għall-finijiet tal-paragrafu 3, l-Aġenzija Ewropea għall-Gwardja tal-Fruntiera u l-Kosta u l-Aġenzija futura tal-Unjoni Ewropea għall-Asil għandhom jistabbilixxu u jmantnu interfaċċja teknika li tippermetti konnessjoni diretta mas-Sistema Ċentrali tal-Eurodac.</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Din l-emenda għandha tnaqqas id-dipendenza tal-Aġenzija fuq l-infrastruttura nazzjonali li tista' tkun piż reali għall-ħidma ta’ kuljum tal-aġenziji, peress li mhux kull infrastruttura nazzjonali hija tal-għola standards.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Malin Björk</w:t>
      </w:r>
      <w:r>
        <w:t xml:space="preserve">, </w:t>
      </w:r>
      <w:r>
        <w:t>Barbara Spinelli</w:t>
      </w:r>
      <w:r>
        <w:t xml:space="preserve">, </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xbiha tal-wiċċ;</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1 – punt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t>xbiha tal-wiċċ;</w:t>
            </w:r>
          </w:p>
        </w:tc>
        <w:tc>
          <w:tcPr/>
          <w:p>
            <w:pPr>
              <w:pStyle w:val="Normal6"/>
            </w:pPr>
            <w:r>
              <w:t>(b)</w:t>
            </w:r>
            <w:r>
              <w:tab/>
            </w:r>
            <w:r>
              <w:t>xbiha tal-wiċċ</w:t>
            </w:r>
            <w:r>
              <w:rPr>
                <w:rFonts w:ascii="Times New Roman" w:eastAsia="Times New Roman" w:hAnsi="Times New Roman" w:cs="Times New Roman"/>
                <w:b/>
                <w:i/>
                <w:strike w:val="0"/>
                <w:color w:val="000000"/>
                <w:sz w:val="24"/>
                <w:highlight w:val="none"/>
                <w:u w:val="none" w:color="auto"/>
              </w:rPr>
              <w:t xml:space="preserve"> fejn is-suġġett tad-data huwa minorenni</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1 – punt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(c)</w:t>
            </w:r>
            <w:r>
              <w:tab/>
            </w:r>
            <w:r>
              <w:t>kunjom(ijiet) u isem(ismijiet), isem(ismijiet) fit-twelid u ismijiet użat preċedentement</w:t>
            </w:r>
            <w:r>
              <w:rPr>
                <w:rFonts w:ascii="Times New Roman" w:eastAsia="Times New Roman" w:hAnsi="Times New Roman" w:cs="Times New Roman"/>
                <w:b/>
                <w:i/>
                <w:strike w:val="0"/>
                <w:color w:val="000000"/>
                <w:sz w:val="24"/>
                <w:highlight w:val="none"/>
                <w:u w:val="none" w:color="auto"/>
              </w:rPr>
              <w:t xml:space="preserve"> u kwalunkwe psewdonimu, li jistgħu jiddaħħlu separatament</w:t>
            </w:r>
            <w:r>
              <w:t>;</w:t>
            </w:r>
          </w:p>
        </w:tc>
        <w:tc>
          <w:tcPr/>
          <w:p>
            <w:pPr>
              <w:pStyle w:val="Normal6"/>
            </w:pPr>
            <w:r>
              <w:t>(c)</w:t>
            </w:r>
            <w:r>
              <w:tab/>
            </w:r>
            <w:r>
              <w:t>kunjom(ijiet) u isem(ismijiet), isem(ismijiet) fit-twelid u ismijiet użat preċedentement;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1 – punt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w:t>
            </w:r>
            <w:r>
              <w:tab/>
            </w:r>
            <w:r>
              <w:rPr>
                <w:rFonts w:ascii="Times New Roman" w:eastAsia="Times New Roman" w:hAnsi="Times New Roman" w:cs="Times New Roman"/>
                <w:b/>
                <w:i/>
                <w:strike w:val="0"/>
                <w:color w:val="000000"/>
                <w:sz w:val="24"/>
                <w:highlight w:val="none"/>
                <w:u w:val="none" w:color="auto"/>
              </w:rPr>
              <w:t>ċittadinanza(i);</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Sylvia-Yvonne Kaufmann</w:t>
      </w:r>
      <w:r>
        <w:t xml:space="preserve">, </w:t>
      </w:r>
      <w:r>
        <w:t>Josef Weidenholzer</w:t>
      </w:r>
      <w:r>
        <w:t xml:space="preserve">, </w:t>
      </w:r>
      <w:r>
        <w:t>Vilija Blinkevičiūtė</w:t>
      </w:r>
      <w:r>
        <w:t xml:space="preserve">, </w:t>
      </w:r>
      <w:r>
        <w:t>Péter Niedermüller</w:t>
      </w:r>
      <w:r>
        <w:t xml:space="preserve">, </w:t>
      </w:r>
      <w:r>
        <w:t>Kati Piri</w:t>
      </w:r>
      <w:r>
        <w:t xml:space="preserve">, </w:t>
      </w:r>
      <w:r>
        <w:t>Maria Grapini</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1 – punt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(d)</w:t>
            </w:r>
            <w:r>
              <w:tab/>
            </w:r>
            <w:r>
              <w:t>ċittadinanza(i);</w:t>
            </w:r>
          </w:p>
        </w:tc>
        <w:tc>
          <w:tcPr/>
          <w:p>
            <w:pPr>
              <w:pStyle w:val="Normal6"/>
            </w:pPr>
            <w:r>
              <w:t>(d)</w:t>
            </w:r>
            <w:r>
              <w:tab/>
            </w:r>
            <w:r>
              <w:t>ċittadinanza(i)</w:t>
            </w:r>
            <w:r>
              <w:rPr>
                <w:rFonts w:ascii="Times New Roman" w:eastAsia="Times New Roman" w:hAnsi="Times New Roman" w:cs="Times New Roman"/>
                <w:b/>
                <w:i/>
                <w:strike w:val="0"/>
                <w:color w:val="000000"/>
                <w:sz w:val="24"/>
                <w:highlight w:val="none"/>
                <w:u w:val="none" w:color="auto"/>
              </w:rPr>
              <w:t> jew ċittadinanza preżunta u dikjarata jew status ta' persuna apolida skont l-Artikolu 1(1) tal-Konvenzjoni tan-Nazzjonijiet Uniti tal-1954 dwar l-Istatus ta' Persuni Apolidi</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1 – punt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(e)</w:t>
            </w:r>
            <w:r>
              <w:tab/>
            </w:r>
            <w:r>
              <w:rPr>
                <w:rFonts w:ascii="Times New Roman" w:eastAsia="Times New Roman" w:hAnsi="Times New Roman" w:cs="Times New Roman"/>
                <w:b/>
                <w:i/>
                <w:strike w:val="0"/>
                <w:color w:val="000000"/>
                <w:sz w:val="24"/>
                <w:highlight w:val="none"/>
                <w:u w:val="none" w:color="auto"/>
              </w:rPr>
              <w:t>post u data tat-twelid;</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Kati Piri</w:t>
      </w:r>
      <w:r>
        <w:t xml:space="preserve">, </w:t>
      </w:r>
      <w:r>
        <w:t>Josef Weidenholzer</w:t>
      </w:r>
      <w:r>
        <w:t xml:space="preserve">, </w:t>
      </w:r>
      <w:r>
        <w:t>Vilija Blinkevičiūtė</w:t>
      </w:r>
      <w:r>
        <w:t xml:space="preserve">, </w:t>
      </w:r>
      <w:r>
        <w:t>Péter Niedermüller</w:t>
      </w:r>
      <w:r>
        <w:t xml:space="preserve">, </w:t>
      </w:r>
      <w:r>
        <w:t>Kati Piri</w:t>
      </w:r>
      <w:r>
        <w:t xml:space="preserve">, </w:t>
      </w:r>
      <w:r>
        <w:t>Maria Grapini</w:t>
      </w:r>
      <w:r>
        <w:t xml:space="preserve">, </w:t>
      </w:r>
      <w:r>
        <w:t>Juan Fernando López Aguilar</w:t>
      </w:r>
      <w:r>
        <w:t xml:space="preserve">, </w:t>
      </w:r>
      <w:r>
        <w:t>Caterina Chinnici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1 – punt ga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(ga)</w:t>
            </w:r>
            <w:r>
              <w:tab/>
            </w:r>
            <w:r>
              <w:rPr>
                <w:rFonts w:ascii="Times New Roman" w:eastAsia="Times New Roman" w:hAnsi="Times New Roman" w:cs="Times New Roman"/>
                <w:b/>
                <w:i/>
                <w:strike w:val="0"/>
                <w:color w:val="000000"/>
                <w:sz w:val="24"/>
                <w:highlight w:val="none"/>
                <w:u w:val="none" w:color="auto"/>
              </w:rPr>
              <w:t>detallji ta' rabtiet familjari ta' minorenni, bħall-ismijiet tal-membri tal-familja u persuni li jakkumpanjawhom jew kwalunkwe informazzjoni rilevanti oħra li tista' tgħin bir-rintraċċjar tal-familja jew ir-riunifikazzjoni possibbli;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 xml:space="preserve">f'isem il-Grupp </w:t>
      </w:r>
      <w:r>
        <w:t>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1 – punt h</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(h)</w:t>
            </w:r>
            <w:r>
              <w:tab/>
            </w:r>
            <w:r>
              <w:rPr>
                <w:rFonts w:ascii="Times New Roman" w:eastAsia="Times New Roman" w:hAnsi="Times New Roman" w:cs="Times New Roman"/>
                <w:b/>
                <w:i/>
                <w:strike w:val="0"/>
                <w:color w:val="000000"/>
                <w:sz w:val="24"/>
                <w:highlight w:val="none"/>
                <w:u w:val="none" w:color="auto"/>
              </w:rPr>
              <w:t>it-tip u n-numru tal-identità jew dokument tal-ivvjaġġar; il-kodiċi bi tliet ittri tal-pajjiż emittenti u l-validità;</w:t>
            </w:r>
          </w:p>
        </w:tc>
        <w:tc>
          <w:tcPr/>
          <w:p>
            <w:pPr>
              <w:pStyle w:val="Normal6"/>
            </w:pPr>
            <w:r>
              <w:rPr>
                <w:rFonts w:ascii="Times New Roman" w:eastAsia="Times New Roman" w:hAnsi="Times New Roman" w:cs="Times New Roman"/>
                <w:b/>
                <w:i/>
                <w:strike w:val="0"/>
                <w:color w:val="000000"/>
                <w:sz w:val="24"/>
                <w:highlight w:val="none"/>
                <w:u w:val="none" w:color="auto"/>
              </w:rPr>
              <w:t>imħassar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 xml:space="preserve"> </w:t>
      </w:r>
      <w:r>
        <w:tab/>
      </w:r>
      <w:r>
        <w:tab/>
      </w:r>
      <w:r>
        <w:rPr>
          <w:rStyle w:val="HideTWBExt"/>
        </w:rPr>
        <w:t>&lt;</w:t>
      </w:r>
      <w:r>
        <w:rPr>
          <w:rStyle w:val="HideTWBExt"/>
        </w:rPr>
        <w:t>NumAm</w:t>
      </w:r>
      <w:r>
        <w:rPr>
          <w:rStyle w:val="HideTWBExt"/>
        </w:rPr>
        <w:t>&gt;</w:t>
      </w:r>
      <w:r>
        <w:t>271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Proposta għal regolament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Artikolu 12 – paragrafu sa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Test propost mill-Kummissjoni</w:t>
            </w:r>
          </w:p>
        </w:tc>
        <w:tc>
          <w:tcPr/>
          <w:p>
            <w:pPr>
              <w:pStyle w:val="ColumnHeading"/>
            </w:pPr>
            <w:r>
              <w:t>Emenda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(sa)</w:t>
            </w:r>
            <w:r>
              <w:tab/>
            </w:r>
            <w:r>
              <w:rPr>
                <w:rFonts w:ascii="Times New Roman" w:eastAsia="Times New Roman" w:hAnsi="Times New Roman" w:cs="Times New Roman"/>
                <w:b/>
                <w:i/>
                <w:strike w:val="0"/>
                <w:color w:val="000000"/>
                <w:sz w:val="24"/>
                <w:highlight w:val="none"/>
                <w:u w:val="none" w:color="auto"/>
              </w:rPr>
              <w:t>fil-każ ta' minuri, u b'mod partikolari meta mhux akkumpanjat, fejn applikabbli, data dwar membri tal-familja, bħal kunjom(ijiet), isem(ismijiet), data tat-twelid, sess, nazzjonalità(nazzjonalitajiet), post tat-twelid, relazzjoni mal-minuri.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Ġustifikazzjoni</w:t>
      </w:r>
      <w:r>
        <w:rPr>
          <w:rStyle w:val="HideTWBExt"/>
        </w:rPr>
        <w:t>&lt;/</w:t>
      </w:r>
      <w:r>
        <w:rPr>
          <w:rStyle w:val="HideTWBExt"/>
        </w:rPr>
        <w:t>TitreJust</w:t>
      </w:r>
      <w:r>
        <w:rPr>
          <w:rStyle w:val="HideTWBExt"/>
        </w:rPr>
        <w:t>&gt;</w:t>
      </w:r>
    </w:p>
    <w:p>
      <w:pPr>
        <w:pStyle w:val="Normal12Italic"/>
      </w:pPr>
      <w:r>
        <w:t>L-aħjar interess tat-tfal għandu jkun parti essenzjali ta' dan ir-Regolament. Din l-emenda hija relatata mal-Artikolu 2.</w:t>
      </w:r>
    </w:p>
    <w:p>
      <w:r>
        <w:rPr>
          <w:rStyle w:val="HideTWBExt"/>
        </w:rPr>
        <w:t>&lt;/</w:t>
      </w:r>
      <w:r>
        <w:rPr>
          <w:rStyle w:val="HideTWBExt"/>
        </w:rPr>
        <w:t>Amend</w:t>
      </w:r>
      <w:r>
        <w:rPr>
          <w:rStyle w:val="HideTWBExt"/>
        </w:rPr>
        <w:t>&gt;</w:t>
      </w:r>
      <w:r>
        <w:rPr>
          <w:rStyle w:val="HideTWBExt"/>
        </w:rPr>
        <w:t>&lt;/</w:t>
      </w:r>
      <w:r>
        <w:rPr>
          <w:rStyle w:val="HideTWBExt"/>
        </w:rPr>
        <w:t>RepeatBlock-Amend</w:t>
      </w:r>
      <w:r>
        <w:rPr>
          <w:rStyle w:val="HideTWBExt"/>
        </w:rPr>
        <w:t>&gt;</w:t>
      </w:r>
    </w:p>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PE</w:t>
    </w:r>
    <w:r>
      <w:rPr>
        <w:rStyle w:val="HideTWBExt"/>
      </w:rPr>
      <w:t>&lt;</w:t>
    </w:r>
    <w:r>
      <w:rPr>
        <w:rStyle w:val="HideTWBExt"/>
      </w:rPr>
      <w:t>NoPE</w:t>
    </w:r>
    <w:r>
      <w:rPr>
        <w:rStyle w:val="HideTWBExt"/>
      </w:rPr>
      <w:t>&gt;</w:t>
    </w:r>
    <w:r>
      <w:t>601.040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fldChar w:fldCharType="end"/>
    </w:r>
    <w:r>
      <w:t>/</w:t>
    </w:r>
    <w:r>
      <w:fldChar w:fldCharType="begin"/>
    </w:r>
    <w:r>
      <w:instrText>NUMPAGES</w:instrText>
    </w:r>
    <w:r>
      <w:fldChar w:fldCharType="separate"/>
    </w:r>
    <w:r>
      <w:fldChar w:fldCharType="end"/>
    </w:r>
    <w:r>
      <w:tab/>
    </w:r>
    <w:r>
      <w:rPr>
        <w:rStyle w:val="HideTWBExt"/>
      </w:rPr>
      <w:t>&lt;</w:t>
    </w:r>
    <w:r>
      <w:rPr>
        <w:rStyle w:val="HideTWBExt"/>
      </w:rPr>
      <w:t>PathFdR</w:t>
    </w:r>
    <w:r>
      <w:rPr>
        <w:rStyle w:val="HideTWBExt"/>
      </w:rPr>
      <w:t>&gt;</w:t>
    </w:r>
    <w:r>
      <w:t>AM\1119113MT.docx</w:t>
    </w:r>
    <w:r>
      <w:rPr>
        <w:rStyle w:val="HideTWBExt"/>
      </w:rPr>
      <w:t>&lt;/</w:t>
    </w:r>
    <w:r>
      <w:rPr>
        <w:rStyle w:val="HideTWBExt"/>
      </w:rPr>
      <w:t>PathFdR</w:t>
    </w:r>
    <w:r>
      <w:rPr>
        <w:rStyle w:val="HideTWBExt"/>
      </w:rPr>
      <w:t>&gt;</w:t>
    </w:r>
  </w:p>
  <w:p>
    <w:pPr>
      <w:pStyle w:val="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rPr>
        <w:rStyle w:val="HideTWBExt"/>
      </w:rPr>
      <w:t>&lt;</w:t>
    </w:r>
    <w:r>
      <w:rPr>
        <w:rStyle w:val="HideTWBExt"/>
      </w:rPr>
      <w:t>PathFdR</w:t>
    </w:r>
    <w:r>
      <w:rPr>
        <w:rStyle w:val="HideTWBExt"/>
      </w:rPr>
      <w:t>&gt;</w:t>
    </w:r>
    <w:r>
      <w:t>AM\1119113MT.docx</w:t>
    </w:r>
    <w:r>
      <w:rPr>
        <w:rStyle w:val="HideTWBExt"/>
      </w:rPr>
      <w:t>&lt;/</w:t>
    </w:r>
    <w:r>
      <w:rPr>
        <w:rStyle w:val="HideTWBExt"/>
      </w:rPr>
      <w:t>PathFdR</w:t>
    </w:r>
    <w:r>
      <w:rPr>
        <w:rStyle w:val="HideTWBExt"/>
      </w:rPr>
      <w:t>&gt;</w:t>
    </w:r>
    <w:r>
      <w:tab/>
    </w:r>
    <w:r>
      <w:fldChar w:fldCharType="begin"/>
    </w:r>
    <w:r>
      <w:instrText>PAGE</w:instrText>
    </w:r>
    <w:r>
      <w:fldChar w:fldCharType="separate"/>
    </w:r>
    <w:r>
      <w:fldChar w:fldCharType="end"/>
    </w:r>
    <w:r>
      <w:t>/</w:t>
    </w:r>
    <w:r>
      <w:fldChar w:fldCharType="begin"/>
    </w:r>
    <w:r>
      <w:instrText>NUMPAGES</w:instrText>
    </w:r>
    <w:r>
      <w:fldChar w:fldCharType="separate"/>
    </w:r>
    <w:r>
      <w:fldChar w:fldCharType="end"/>
    </w:r>
    <w:r>
      <w:tab/>
    </w:r>
    <w:r>
      <w:t>PE</w:t>
    </w:r>
    <w:r>
      <w:rPr>
        <w:rStyle w:val="HideTWBExt"/>
      </w:rPr>
      <w:t>&lt;</w:t>
    </w:r>
    <w:r>
      <w:rPr>
        <w:rStyle w:val="HideTWBExt"/>
      </w:rPr>
      <w:t>NoPE</w:t>
    </w:r>
    <w:r>
      <w:rPr>
        <w:rStyle w:val="HideTWBExt"/>
      </w:rPr>
      <w:t>&gt;</w:t>
    </w:r>
    <w:r>
      <w:t>601.040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rPr>
        <w:rStyle w:val="HideTWBExt"/>
      </w:rPr>
      <w:t>&lt;</w:t>
    </w:r>
    <w:r>
      <w:rPr>
        <w:rStyle w:val="HideTWBExt"/>
      </w:rPr>
      <w:t>PathFdR</w:t>
    </w:r>
    <w:r>
      <w:rPr>
        <w:rStyle w:val="HideTWBExt"/>
      </w:rPr>
      <w:t>&gt;</w:t>
    </w:r>
    <w:r>
      <w:t>AM\1119113MT.docx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601.040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Footer2"/>
    </w:pPr>
    <w:r>
      <w:t>MT</w:t>
    </w:r>
    <w:r>
      <w:tab/>
    </w:r>
    <w:r>
      <w:rPr>
        <w:rStyle w:val="Footer2Middle"/>
      </w:rPr>
      <w:t>Magħquda fid-diversità</w:t>
    </w:r>
    <w:r>
      <w:tab/>
    </w:r>
    <w:r>
      <w:t>MT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3127606 HideTWBExt;}}{\*\rsidtbl \rsid24658\rsid735077\rsid2892074\rsid4666813\rsid6641733\rsid7286045\rsid9636012\rsid11215221\rsid12154954\rsid13127606\rsid14424199\rsid15204470&#13;&#10;\rsid15285974\rsid15950462\rsid16324206\rsid16662270}{\mmathPr\mmathFont34\mbrkBin0\mbrkBinSub0\msmallFrac0\mdispDef1\mlMargin0\mrMargin0\mdefJc1\mwrapIndent1440\mintLim0\mnaryLim1}{\info{\author FELIX Karina}{\operator FELIX Karina}&#13;&#10;{\creatim\yr2015\mo5\dy8\hr15\min23}{\revtim\yr2015\mo5\dy8\hr15\min23}{\version1}{\edmins0}{\nofpages1}{\nofwords6}{\nofchars33}{\*\company European Parliament}{\nofcharsws38}{\vern49165}}{\*\xmlnstbl {\xmlns1 http://schemas.microsoft.com/office/word/200&#13;&#1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3127606\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7286045 \chftnsep &#13;&#10;\par }}{\*\ftnsepc \ltrpar \pard\plain \ltrpar\ql \li0\ri0\widctlpar\wrapdefault\aspalpha\aspnum\faauto\adjustright\rin0\lin0\itap0 \rtlch\fcs1 \af0\afs20\alang1025 \ltrch\fcs0 \fs24\lang2057\langfe2057\cgrid\langnp2057\langfenp2057 {\rtlch\fcs1 \af0 &#13;&#10;\ltrch\fcs0 \insrsid7286045 \chftnsepc &#13;&#10;\par }}{\*\aftnsep \ltrpar \pard\plain \ltrpar\ql \li0\ri0\widctlpar\wrapdefault\aspalpha\aspnum\faauto\adjustright\rin0\lin0\itap0 \rtlch\fcs1 \af0\afs20\alang1025 \ltrch\fcs0 \fs24\lang2057\langfe2057\cgrid\langnp2057\langfenp2057 {\rtlch\fcs1 \af0 &#13;&#10;\ltrch\fcs0 \insrsid7286045 \chftnsep &#13;&#10;\par }}{\*\aftnsepc \ltrpar \pard\plain \ltrpar\ql \li0\ri0\widctlpar\wrapdefault\aspalpha\aspnum\faauto\adjustright\rin0\lin0\itap0 \rtlch\fcs1 \af0\afs20\alang1025 \ltrch\fcs0 \fs24\lang2057\langfe2057\cgrid\langnp2057\langfenp2057 {\rtlch\fcs1 \af0 &#13;&#10;\ltrch\fcs0 \insrsid7286045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ql \li0\ri0\widctlpar\wrapdefault\aspalpha\aspnum\faauto\adjustright\rin0\lin0\itap0\pararsid16390444 \rtlch\fcs1 \af0\afs20\alang1025 \ltrch\fcs0 \fs24\lang2057\langfe2057\cgrid\langnp2057\langfenp2057 {\rtlch\fcs1 \af0 \ltrch\fcs0 &#13;&#10;\cs15\v\f1\fs20\cf9\insrsid13127606\charrsid946740 {\*\bkmkstart EndA}&lt;&lt;&lt;}{\rtlch\fcs1 \af0 \ltrch\fcs0 \insrsid13127606\charrsid946740 #@&gt;ZOTHAMA&lt;@#}{\rtlch\fcs1 \af0 \ltrch\fcs0 \cs15\v\f1\fs20\cf9\insrsid13127606\charrsid946740 &lt;/RepeatBlock-AmendA&gt;}{&#13;&#10;\rtlch\fcs1 \af0 \ltrch\fcs0 \insrsid13127606\charrsid946740 &#13;&#10;\par }\pard \ltrpar\ql \li0\ri0\widctlpar\wrapdefault\aspalpha\aspnum\faauto\adjustright\rin0\lin0\itap0\pararsid16324206 {\rtlch\fcs1 \af0 \ltrch\fcs0 \insrsid24658\charrsid16324206 {\*\bkmkend EndA}&#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407c&#13;&#10;a320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0948606 HideTWBExt;}}{\*\rsidtbl \rsid24658\rsid735077\rsid2892074\rsid4666813\rsid6641733\rsid9636012\rsid10711257\rsid10948606\rsid11215221\rsid12154954\rsid14424199\rsid15204470&#13;&#10;\rsid15285974\rsid15950462\rsid16324206\rsid16662270}{\mmathPr\mmathFont34\mbrkBin0\mbrkBinSub0\msmallFrac0\mdispDef1\mlMargin0\mrMargin0\mdefJc1\mwrapIndent1440\mintLim0\mnaryLim1}{\info{\author FELIX Karina}{\operator FELIX Karina}&#13;&#10;{\creatim\yr2015\mo5\dy8\hr15\min23}{\revtim\yr2015\mo5\dy8\hr15\min23}{\version1}{\edmins0}{\nofpages1}{\nofwords5}{\nofchars33}{\*\company European Parliament}{\nofcharsws37}{\vern49165}}{\*\xmlnstbl {\xmlns1 http://schemas.microsoft.com/office/word/200&#13;&#1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0948606\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10711257 \chftnsep &#13;&#10;\par }}{\*\ftnsepc \ltrpar \pard\plain \ltrpar\ql \li0\ri0\widctlpar\wrapdefault\aspalpha\aspnum\faauto\adjustright\rin0\lin0\itap0 \rtlch\fcs1 \af0\afs20\alang1025 \ltrch\fcs0 \fs24\lang2057\langfe2057\cgrid\langnp2057\langfenp2057 {\rtlch\fcs1 \af0 &#13;&#10;\ltrch\fcs0 \insrsid10711257 \chftnsepc &#13;&#10;\par }}{\*\aftnsep \ltrpar \pard\plain \ltrpar\ql \li0\ri0\widctlpar\wrapdefault\aspalpha\aspnum\faauto\adjustright\rin0\lin0\itap0 \rtlch\fcs1 \af0\afs20\alang1025 \ltrch\fcs0 \fs24\lang2057\langfe2057\cgrid\langnp2057\langfenp2057 {\rtlch\fcs1 \af0 &#13;&#10;\ltrch\fcs0 \insrsid10711257 \chftnsep &#13;&#10;\par }}{\*\aftnsepc \ltrpar \pard\plain \ltrpar\ql \li0\ri0\widctlpar\wrapdefault\aspalpha\aspnum\faauto\adjustright\rin0\lin0\itap0 \rtlch\fcs1 \af0\afs20\alang1025 \ltrch\fcs0 \fs24\lang2057\langfe2057\cgrid\langnp2057\langfenp2057 {\rtlch\fcs1 \af0 &#13;&#10;\ltrch\fcs0 \insrsid10711257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ql \li0\ri0\widctlpar\wrapdefault\aspalpha\aspnum\faauto\adjustright\rin0\lin0\itap0\pararsid16324206 \rtlch\fcs1 \af0\afs20\alang1025 \ltrch\fcs0 \fs24\lang2057\langfe2057\cgrid\langnp2057\langfenp2057 {\rtlch\fcs1 \af0 \ltrch\fcs0 &#13;&#10;\cs15\v\f1\fs20\cf9\insrsid10948606\charrsid946740 {\*\bkmkstart EndB}&lt;&lt;&lt;}{\rtlch\fcs1 \af0 \ltrch\fcs0 \insrsid10948606\charrsid946740 #@&gt;ZOTHAMB&lt;@#}{\rtlch\fcs1 \af0 \ltrch\fcs0 \cs15\v\f1\fs20\cf9\insrsid10948606\charrsid946740 &lt;/RepeatBlock-AmendB&gt;}{&#13;&#10;\rtlch\fcs1 \af0 \ltrch\fcs0 \insrsid24658\charrsid16324206 {\*\bkmkend EndB}&#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0027&#13;&#10;2921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1163973 HideTWBExt;}}{\*\rsidtbl \rsid24658\rsid735077\rsid2892074\rsid4666813\rsid6057549\rsid6641733\rsid9636012\rsid11163973\rsid11215221\rsid12154954\rsid14424199\rsid15204470&#13;&#10;\rsid15285974\rsid15950462\rsid16324206\rsid16662270}{\mmathPr\mmathFont34\mbrkBin0\mbrkBinSub0\msmallFrac0\mdispDef1\mlMargin0\mrMargin0\mdefJc1\mwrapIndent1440\mintLim0\mnaryLim1}{\info{\author FELIX Karina}{\operator FELIX Karina}&#13;&#10;{\creatim\yr2015\mo5\dy8\hr15\min23}{\revtim\yr2015\mo5\dy8\hr15\min23}{\version1}{\edmins0}{\nofpages1}{\nofwords3}{\nofchars18}{\*\company European Parliament}{\nofcharsws20}{\vern49165}}{\*\xmlnstbl {\xmlns1 http://schemas.microsoft.com/office/word/200&#13;&#1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1163973\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6057549 \chftnsep &#13;&#10;\par }}{\*\ftnsepc \ltrpar \pard\plain \ltrpar\ql \li0\ri0\widctlpar\wrapdefault\aspalpha\aspnum\faauto\adjustright\rin0\lin0\itap0 \rtlch\fcs1 \af0\afs20\alang1025 \ltrch\fcs0 \fs24\lang2057\langfe2057\cgrid\langnp2057\langfenp2057 {\rtlch\fcs1 \af0 &#13;&#10;\ltrch\fcs0 \insrsid6057549 \chftnsepc &#13;&#10;\par }}{\*\aftnsep \ltrpar \pard\plain \ltrpar\ql \li0\ri0\widctlpar\wrapdefault\aspalpha\aspnum\faauto\adjustright\rin0\lin0\itap0 \rtlch\fcs1 \af0\afs20\alang1025 \ltrch\fcs0 \fs24\lang2057\langfe2057\cgrid\langnp2057\langfenp2057 {\rtlch\fcs1 \af0 &#13;&#10;\ltrch\fcs0 \insrsid6057549 \chftnsep &#13;&#10;\par }}{\*\aftnsepc \ltrpar \pard\plain \ltrpar\ql \li0\ri0\widctlpar\wrapdefault\aspalpha\aspnum\faauto\adjustright\rin0\lin0\itap0 \rtlch\fcs1 \af0\afs20\alang1025 \ltrch\fcs0 \fs24\lang2057\langfe2057\cgrid\langnp2057\langfenp2057 {\rtlch\fcs1 \af0 &#13;&#10;\ltrch\fcs0 \insrsid6057549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ql \li0\ri0\widctlpar\wrapdefault\aspalpha\aspnum\faauto\adjustright\rin0\lin0\itap0\pararsid16324206 \rtlch\fcs1 \af0\afs20\alang1025 \ltrch\fcs0 \fs24\lang2057\langfe2057\cgrid\langnp2057\langfenp2057 {\rtlch\fcs1 \af0 \ltrch\fcs0 &#13;&#10;\cs15\b\v\f1\fs20\cf9\insrsid11163973\charrsid946740 {\*\bkmkstart IntroA}&lt;RepeatBlock-AmendA&gt;}{\rtlch\fcs1 \af0 \ltrch\fcs0 \insrsid24658\charrsid16324206 {\*\bkmkend IntroA}&#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0095&#13;&#10;761f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2335126 HideTWBExt;}}{\*\rsidtbl \rsid24658\rsid735077\rsid2892074\rsid4666813\rsid6641733\rsid9636012\rsid11215221\rsid11358468\rsid12154954\rsid12335126\rsid14424199\rsid15204470&#13;&#10;\rsid15285974\rsid15950462\rsid16324206\rsid16662270}{\mmathPr\mmathFont34\mbrkBin0\mbrkBinSub0\msmallFrac0\mdispDef1\mlMargin0\mrMargin0\mdefJc1\mwrapIndent1440\mintLim0\mnaryLim1}{\info{\author FELIX Karina}{\operator FELIX Karina}&#13;&#10;{\creatim\yr2015\mo5\dy8\hr15\min23}{\revtim\yr2015\mo5\dy8\hr15\min23}{\version1}{\edmins0}{\nofpages1}{\nofwords3}{\nofchars18}{\*\company European Parliament}{\nofcharsws20}{\vern49165}}{\*\xmlnstbl {\xmlns1 http://schemas.microsoft.com/office/word/200&#13;&#1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2335126\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11358468 \chftnsep &#13;&#10;\par }}{\*\ftnsepc \ltrpar \pard\plain \ltrpar\ql \li0\ri0\widctlpar\wrapdefault\aspalpha\aspnum\faauto\adjustright\rin0\lin0\itap0 \rtlch\fcs1 \af0\afs20\alang1025 \ltrch\fcs0 \fs24\lang2057\langfe2057\cgrid\langnp2057\langfenp2057 {\rtlch\fcs1 \af0 &#13;&#10;\ltrch\fcs0 \insrsid11358468 \chftnsepc &#13;&#10;\par }}{\*\aftnsep \ltrpar \pard\plain \ltrpar\ql \li0\ri0\widctlpar\wrapdefault\aspalpha\aspnum\faauto\adjustright\rin0\lin0\itap0 \rtlch\fcs1 \af0\afs20\alang1025 \ltrch\fcs0 \fs24\lang2057\langfe2057\cgrid\langnp2057\langfenp2057 {\rtlch\fcs1 \af0 &#13;&#10;\ltrch\fcs0 \insrsid11358468 \chftnsep &#13;&#10;\par }}{\*\aftnsepc \ltrpar \pard\plain \ltrpar\ql \li0\ri0\widctlpar\wrapdefault\aspalpha\aspnum\faauto\adjustright\rin0\lin0\itap0 \rtlch\fcs1 \af0\afs20\alang1025 \ltrch\fcs0 \fs24\lang2057\langfe2057\cgrid\langnp2057\langfenp2057 {\rtlch\fcs1 \af0 &#13;&#10;\ltrch\fcs0 \insrsid11358468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ql \li0\ri0\widctlpar\wrapdefault\aspalpha\aspnum\faauto\adjustright\rin0\lin0\itap0\pararsid16324206 \rtlch\fcs1 \af0\afs20\alang1025 \ltrch\fcs0 \fs24\lang2057\langfe2057\cgrid\langnp2057\langfenp2057 {\rtlch\fcs1 \af0 \ltrch\fcs0 &#13;&#10;\cs15\b\v\f1\fs20\cf9\insrsid12335126\charrsid946740 {\*\bkmkstart IntroB}&lt;RepeatBlock-AmendB&gt;}{\rtlch\fcs1 \af0 \ltrch\fcs0 \insrsid24658\charrsid16324206 {\*\bkmkend IntroB}&#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c0fc&#13;&#10;1b20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5625260 HideTWBExt;}{\s16\ql \li0\ri0\sa120\nowidctlpar\wrapdefault\aspalpha\aspnum\faauto\adjustright\rin0\lin0\itap0 \rtlch\fcs1 \af0\afs20\alang1025 \ltrch\fcs0 &#13;&#10;\fs24\lang2057\langfe2057\cgrid\langnp2057\langfenp2057 \sbasedon0 \snext16 \slink17 \spriority0 \styrsid15625260 Normal6;}{\*\cs17 \additive \fs24\lang2057\langfe2057\langnp2057\langfenp2057 \slink16 \slocked \spriority0 \styrsid15625260 Normal6 Char;}{&#13;&#10;\s18\ql \li0\ri0\nowidctlpar\wrapdefault\aspalpha\aspnum\faauto\adjustright\rin0\lin0\itap0 \rtlch\fcs1 \af0\afs20\alang1025 \ltrch\fcs0 \b\fs24\lang2057\langfe2057\cgrid\langnp2057\langfenp2057 \sbasedon0 \snext18 \slink19 \spriority0 \styrsid15625260 &#13;&#10;NormalBold;}{\*\cs19 \additive \b\fs24\lang2057\langfe2057\langnp2057\langfenp2057 \slink18 \slocked \spriority0 \styrsid15625260 NormalBold Char;}{\s20\ql \li0\ri0\sa240\nowidctlpar\wrapdefault\aspalpha\aspnum\faauto\adjustright\rin0\lin0\itap0 &#13;&#10;\rtlch\fcs1 \af0\afs20\alang1025 \ltrch\fcs0 \i\fs24\lang1024\langfe1024\cgrid\noproof\langnp2057\langfenp2057 \sbasedon0 \snext20 \spriority0 \styrsid15625260 Normal12Italic;}{&#13;&#10;\s21\qc \li0\ri0\sb240\sa240\keepn\nowidctlpar\wrapdefault\aspalpha\aspnum\faauto\adjustright\rin0\lin0\itap0 \rtlch\fcs1 \af0\afs20\alang1025 \ltrch\fcs0 \i\fs24\lang1024\langfe1024\cgrid\noproof\langnp2057\langfenp2057 &#13;&#10;\sbasedon0 \snext0 \spriority0 \styrsid15625260 JustificationTitle;}{\s22\qr \li0\ri0\sb240\sa240\nowidctlpar\wrapdefault\aspalpha\aspnum\faauto\adjustright\rin0\lin0\itap0 \rtlch\fcs1 \af0\afs20\alang1025 \ltrch\fcs0 &#13;&#10;\fs24\lang1024\langfe1024\cgrid\noproof\langnp2057\langfenp2057 \sbasedon0 \snext22 \spriority0 \styrsid15625260 Olang;}{\s23\qc \li0\ri0\sa240\nowidctlpar\wrapdefault\aspalpha\aspnum\faauto\adjustright\rin0\lin0\itap0 \rtlch\fcs1 \af0\afs20\alang1025 &#13;&#10;\ltrch\fcs0 \i\fs24\lang2057\langfe2057\cgrid\langnp2057\langfenp2057 \sbasedon0 \snext23 \spriority0 \styrsid15625260 ColumnHeading;}{\s24\ql \li0\ri0\sb240\nowidctlpar&#13;&#10;\tx879\tx936\tx1021\tx1077\tx1134\tx1191\tx1247\tx1304\tx1361\tx1418\tx1474\tx1531\tx1588\tx1644\tx1701\tx1758\tx1814\tx1871\tx2070\tx2126\tx3374\tx3430\wrapdefault\aspalpha\aspnum\faauto\adjustright\rin0\lin0\itap0 \rtlch\fcs1 \af0\afs20\alang1025 &#13;&#10;\ltrch\fcs0 \b\fs24\lang2057\langfe2057\cgrid\langnp2057\langfenp2057 \sbasedon0 \snext24 \spriority0 \styrsid15625260 AMNumberTabs;}}{\*\rsidtbl \rsid24658\rsid735077\rsid2892074\rsid4666813\rsid6641733\rsid9636012\rsid11215221\rsid12154954\rsid14424199&#13;&#10;\rsid15204470\rsid15285974\rsid15625260\rsid15950462\rsid16324206\rsid16662270\rsid16743564}{\mmathPr\mmathFont34\mbrkBin0\mbrkBinSub0\msmallFrac0\mdispDef1\mlMargin0\mrMargin0\mdefJc1\mwrapIndent1440\mintLim0\mnaryLim1}{\info{\author FELIX Karina}&#13;&#10;{\operator FELIX Karina}{\creatim\yr2015\mo5\dy8\hr15\min23}{\revtim\yr2015\mo5\dy8\hr15\min23}{\version1}{\edmins0}{\nofpages1}{\nofwords62}{\nofchars342}{\*\company European Parliament}{\nofcharsws403}{\vern49165}}{\*\xmlnstbl {\xmlns1 http://schemas.mi&#13;&#10;crosoft.com/office/word/20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5625260\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16743564 \chftnsep &#13;&#10;\par }}{\*\ftnsepc \ltrpar \pard\plain \ltrpar\ql \li0\ri0\widctlpar\wrapdefault\aspalpha\aspnum\faauto\adjustright\rin0\lin0\itap0 \rtlch\fcs1 \af0\afs20\alang1025 \ltrch\fcs0 \fs24\lang2057\langfe2057\cgrid\langnp2057\langfenp2057 {\rtlch\fcs1 \af0 &#13;&#10;\ltrch\fcs0 \insrsid16743564 \chftnsepc &#13;&#10;\par }}{\*\aftnsep \ltrpar \pard\plain \ltrpar\ql \li0\ri0\widctlpar\wrapdefault\aspalpha\aspnum\faauto\adjustright\rin0\lin0\itap0 \rtlch\fcs1 \af0\afs20\alang1025 \ltrch\fcs0 \fs24\lang2057\langfe2057\cgrid\langnp2057\langfenp2057 {\rtlch\fcs1 \af0 &#13;&#10;\ltrch\fcs0 \insrsid16743564 \chftnsep &#13;&#10;\par }}{\*\aftnsepc \ltrpar \pard\plain \ltrpar\ql \li0\ri0\widctlpar\wrapdefault\aspalpha\aspnum\faauto\adjustright\rin0\lin0\itap0 \rtlch\fcs1 \af0\afs20\alang1025 \ltrch\fcs0 \fs24\lang2057\langfe2057\cgrid\langnp2057\langfenp2057 {\rtlch\fcs1 \af0 &#13;&#10;\ltrch\fcs0 \insrsid16743564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s24\ql \li0\ri0\sb240\keepn\nowidctlpar\tx879\tx936\tx1021\tx1077\tx1134\tx1191\tx1247\tx1304\tx1361\tx1418\tx1474\tx1531\tx1588\tx1644\tx1701\tx1758\tx1814\tx1871\tx2070\tx2126\tx3374\tx3430\wrapdefault\aspalpha\aspnum\faauto\adjustright\rin0&#13;&#10;\lin0\itap0\pararsid6905025 \rtlch\fcs1 \af0\afs20\alang1025 \ltrch\fcs0 \b\fs24\lang2057\langfe2057\cgrid\langnp2057\langfenp2057 {\rtlch\fcs1 \af0 \ltrch\fcs0 \cs15\b0\v\f1\fs20\cf9\insrsid15625260\charrsid946740 {\*\bkmkstart restartA}&lt;AmendA&gt;}{&#13;&#10;\rtlch\fcs1 \af0 \ltrch\fcs0 \insrsid15625260\charrsid946740 [ZAMENDMENT]\tab \tab }{\rtlch\fcs1 \af0 \ltrch\fcs0 \cs15\b0\v\f1\fs20\cf9\insrsid15625260\charrsid946740 &lt;NumAmA&gt;}{\rtlch\fcs1 \af0 \ltrch\fcs0 \insrsid15625260\charrsid946740 [ZNRAM]}{&#13;&#10;\rtlch\fcs1 \af0 \ltrch\fcs0 \cs15\b0\v\f1\fs20\cf9\insrsid15625260\charrsid946740 &lt;/NumAmA&gt;}{\rtlch\fcs1 \af0 \ltrch\fcs0 \insrsid15625260\charrsid946740 &#13;&#10;\par }\pard\plain \ltrpar\s18\ql \li0\ri0\nowidctlpar\wrapdefault\aspalpha\aspnum\faauto\adjustright\rin0\lin0\itap0\pararsid5976803 \rtlch\fcs1 \af0\afs20\alang1025 \ltrch\fcs0 \b\fs24\lang2057\langfe2057\cgrid\langnp2057\langfenp2057 {\rtlch\fcs1 \af0 &#13;&#10;\ltrch\fcs0 \cs15\b0\v\f1\fs20\cf9\lang1024\langfe1024\noproof\insrsid15625260\charrsid14699840 &lt;RepeatBlock-By&gt;}{\rtlch\fcs1 \af0 \ltrch\fcs0 \lang1024\langfe1024\noproof\insrsid15625260\charrsid14699840 [RepeatMembers]}{\rtlch\fcs1 \af0 \ltrch\fcs0 &#13;&#10;\cs15\b0\v\f1\fs20\cf9\lang1024\langfe1024\noproof\insrsid15625260\charrsid14699840 &lt;Members&gt;}{\rtlch\fcs1 \af0 \ltrch\fcs0 \insrsid15625260\charrsid14699840 [ZMEMBERS]}{\rtlch\fcs1 \af0 \ltrch\fcs0 &#13;&#10;\cs15\b0\v\f1\fs20\cf9\lang1024\langfe1024\noproof\insrsid15625260\charrsid14699840 &lt;/Members&gt;}{\rtlch\fcs1 \af0 \ltrch\fcs0 \insrsid15625260\charrsid14699840 &#13;&#10;\par }\pard\plain \ltrpar\ql \li0\ri0\widctlpar\wrapdefault\aspalpha\aspnum\faauto\adjustright\rin0\lin0\itap0\pararsid5976803 \rtlch\fcs1 \af0\afs20\alang1025 \ltrch\fcs0 \fs24\lang2057\langfe2057\cgrid\langnp2057\langfenp2057 {\rtlch\fcs1 \af0 \ltrch\fcs0 &#13;&#10;\cs15\v\f1\fs20\cf9\lang1024\langfe1024\noproof\insrsid15625260\charrsid14699840 &lt;AuNomDe&gt;&lt;OptDel&gt;}{\rtlch\fcs1 \af0 \ltrch\fcs0 \lang1024\langfe1024\noproof\insrsid15625260\charrsid14699840 [ZONBEHALF]}{\rtlch\fcs1 \af0 \ltrch\fcs0 &#13;&#10;\cs15\v\f1\fs20\cf9\lang1024\langfe1024\noproof\insrsid15625260\charrsid14699840 &lt;/OptDel&gt;&lt;/AuNomDe&gt;}{\rtlch\fcs1 \af0 \ltrch\fcs0 \insrsid15625260\charrsid14699840 &#13;&#10;\par &lt;&lt;&lt;}{\rtlch\fcs1 \af0 \ltrch\fcs0 \cs15\v\f1\fs20\cf9\lang1024\langfe1024\noproof\insrsid15625260\charrsid14699840 &lt;/RepeatBlock-By&gt;}{\rtlch\fcs1 \af0 \ltrch\fcs0 \insrsid15625260\charrsid14699840 &#13;&#10;\par }\pard\plain \ltrpar\s18\ql \li0\ri0\nowidctlpar\wrapdefault\aspalpha\aspnum\faauto\adjustright\rin0\lin0\itap0\pararsid5976803 \rtlch\fcs1 \af0\afs20\alang1025 \ltrch\fcs0 \b\fs24\lang2057\langfe2057\cgrid\langnp2057\langfenp2057 {\rtlch\fcs1 \af0 &#13;&#10;\ltrch\fcs0 \cs15\b0\v\f1\fs20\cf9\insrsid15625260\charrsid946740 &lt;DocAmend&gt;}{\rtlch\fcs1 \af0 \ltrch\fcs0 \insrsid15625260\charrsid946740 [ZRESOLUTION]}{\rtlch\fcs1 \af0 \ltrch\fcs0 \cs15\b0\v\f1\fs20\cf9\insrsid15625260\charrsid946740 &lt;/DocAmend&gt;}{&#13;&#10;\rtlch\fcs1 \af0 \ltrch\fcs0 \insrsid15625260\charrsid946740 &#13;&#10;\par }\pard \ltrpar\s18\ql \li0\ri0\nowidctlpar\wrapdefault\aspalpha\aspnum\faauto\adjustright\rin0\lin0\itap0\pararsid16013815 {\rtlch\fcs1 \af0 \ltrch\fcs0 \cs15\b0\v\f1\fs20\cf9\lang1024\langfe1024\noproof\insrsid15625260\charrsid16013815 &lt;Article&gt;}{&#13;&#10;\rtlch\fcs1 \af0 \ltrch\fcs0 \insrsid15625260\charrsid16013815 [ZRESPART]}{\rtlch\fcs1 \af0 \ltrch\fcs0 \cs15\b0\v\f1\fs20\cf9\lang1024\langfe1024\noproof\insrsid15625260\charrsid16013815 &lt;/Article&gt;}{\rtlch\fcs1 \af0 \ltrch\fcs0 &#13;&#10;\insrsid15625260\charrsid16013815 &#13;&#10;\par \ltrrow}\trowd \ltrrow\ts11\trqc\trgaph340\trleft-340\trftsWidth1\trftsWidthB3\trftsWidthA3\trpaddl340\trpaddr340\trpaddfl3\trpaddfr3\tblind0\tblindtype3 \clvertalt\clbrdrt\brdrtbl \clbrdrl\brdrtbl \clbrdrb\brdrtbl \clbrdrr\brdrtbl &#13;&#10;\cltxlrtb\clftsWidth3\clwWidth9752\clshdrawnil \cellx9412\pard\plain \ltrpar\ql \li0\ri0\keepn\widctlpar\intbl\wrapdefault\aspalpha\aspnum\faauto\adjustright\rin0\lin0\pararsid10630121 \rtlch\fcs1 \af0\afs20\alang1025 \ltrch\fcs0 &#13;&#10;\fs24\lang2057\langfe2057\cgrid\langnp2057\langfenp2057 {\rtlch\fcs1 \af0 \ltrch\fcs0 \insrsid15625260\charrsid946740 \cell }\pard \ltrpar\ql \li0\ri0\widctlpar\intbl\wrapdefault\aspalpha\aspnum\faauto\adjustright\rin0\lin0 {\rtlch\fcs1 \af0 \ltrch\fcs0 &#13;&#10;\insrsid15625260\charrsid946740 \trowd \ltrrow\ts11\trqc\trgaph340\trleft-340\trftsWidth1\trftsWidthB3\trftsWidthA3\trpaddl340\trpaddr340\trpaddfl3\trpaddfr3\tblind0\tblindtype3 \clvertalt\clbrdrt\brdrtbl \clbrdrl\brdrtbl \clbrdrb\brdrtbl \clbrdrr&#13;&#10;\brdrtbl \cltxlrtb\clftsWidth3\clwWidth9752\clshdrawnil \cellx9412\row \ltrrow}\trowd \ltrrow\ts11\trqc\trgaph340\trleft-340\trftsWidth1\trftsWidthB3\trftsWidthA3\trpaddl340\trpaddr340\trpaddfl3\trpaddfr3\tblind0\tblindtype3 \clvertalt\clbrdrt\brdrtbl &#13;&#10;\clbrdrl\brdrtbl \clbrdrb\brdrtbl \clbrdrr\brdrtbl \cltxlrtb\clftsWidth3\clwWidth4876\clshdrawnil \cellx4536\clvertalt\clbrdrt\brdrtbl \clbrdrl\brdrtbl \clbrdrb\brdrtbl \clbrdrr\brdrtbl \cltxlrtb\clftsWidth3\clwWidth4876\clshdrawnil \cellx9412&#13;&#10;\pard\plain \ltrpar\s23\qc \li0\ri0\sa240\keepn\nowidctlpar\intbl\wrapdefault\aspalpha\aspnum\faauto\adjustright\rin0\lin0\pararsid10630121 \rtlch\fcs1 \af0\afs20\alang1025 \ltrch\fcs0 \i\fs24\lang2057\langfe2057\cgrid\langnp2057\langfenp2057 {&#13;&#10;\rtlch\fcs1 \af0 \ltrch\fcs0 \insrsid15625260\charrsid946740 [ZLEFTA]\cell [ZRIGHT]\cell }\pard\plain \ltrpar\ql \li0\ri0\widctlpar\intbl\wrapdefault\aspalpha\aspnum\faauto\adjustright\rin0\lin0 \rtlch\fcs1 \af0\afs20\alang1025 \ltrch\fcs0 &#13;&#10;\fs24\lang2057\langfe2057\cgrid\langnp2057\langfenp2057 {\rtlch\fcs1 \af0 \ltrch\fcs0 \insrsid15625260\charrsid946740 \trowd \ltrrow&#13;&#10;\ts11\trqc\trgaph340\trleft-340\trftsWidth1\trftsWidthB3\trftsWidthA3\trpaddl340\trpaddr340\trpaddfl3\trpaddfr3\tblind0\tblindtype3 \clvertalt\clbrdrt\brdrtbl \clbrdrl\brdrtbl \clbrdrb\brdrtbl \clbrdrr\brdrtbl &#13;&#10;\cltxlrtb\clftsWidth3\clwWidth4876\clshdrawnil \cellx4536\clvertalt\clbrdrt\brdrtbl \clbrdrl\brdrtbl \clbrdrb\brdrtbl \clbrdrr\brdrtbl \cltxlrtb\clftsWidth3\clwWidth4876\clshdrawnil \cellx9412\row \ltrrow}\pard\plain \ltrpar&#13;&#10;\s16\ql \li0\ri0\sa120\nowidctlpar\intbl\wrapdefault\aspalpha\aspnum\faauto\adjustright\rin0\lin0\pararsid12024389 \rtlch\fcs1 \af0\afs20\alang1025 \ltrch\fcs0 \fs24\lang2057\langfe2057\cgrid\langnp2057\langfenp2057 {\rtlch\fcs1 \af0 \ltrch\fcs0 &#13;&#10;\insrsid15625260\charrsid946740 [ZTEXTL]\cell [ZTEXTR]}{\rtlch\fcs1 \af0\afs24 \ltrch\fcs0 \insrsid15625260\charrsid946740 \cell }\pard\plain \ltrpar\ql \li0\ri0\widctlpar\intbl\wrapdefault\aspalpha\aspnum\faauto\adjustright\rin0\lin0 \rtlch\fcs1 &#13;&#10;\af0\afs20\alang1025 \ltrch\fcs0 \fs24\lang2057\langfe2057\cgrid\langnp2057\langfenp2057 {\rtlch\fcs1 \af0 \ltrch\fcs0 \insrsid15625260\charrsid946740 \trowd \lastrow \ltrrow&#13;&#10;\ts11\trqc\trgaph340\trleft-340\trftsWidth1\trftsWidthB3\trftsWidthA3\trpaddl340\trpaddr340\trpaddfl3\trpaddfr3\tblind0\tblindtype3 \clvertalt\clbrdrt\brdrtbl \clbrdrl\brdrtbl \clbrdrb\brdrtbl \clbrdrr\brdrtbl &#13;&#10;\cltxlrtb\clftsWidth3\clwWidth4876\clshdrawnil \cellx4536\clvertalt\clbrdrt\brdrtbl \clbrdrl\brdrtbl \clbrdrb\brdrtbl \clbrdrr\brdrtbl \cltxlrtb\clftsWidth3\clwWidth4876\clshdrawnil \cellx9412\row }\pard\plain \ltrpar&#13;&#10;\s22\qr \li0\ri0\sb240\sa240\nowidctlpar\wrapdefault\aspalpha\aspnum\faauto\adjustright\rin0\lin0\itap0\pararsid10118616 \rtlch\fcs1 \af0\afs20\alang1025 \ltrch\fcs0 \fs24\lang1024\langfe1024\cgrid\noproof\langnp2057\langfenp2057 {\rtlch\fcs1 \af0 &#13;&#10;\ltrch\fcs0 \noproof0\insrsid15625260\charrsid946740 Or. }{\rtlch\fcs1 \af0 \ltrch\fcs0 \cs15\v\f1\fs20\cf9\noproof0\insrsid15625260\charrsid946740 &lt;Original&gt;}{\rtlch\fcs1 \af0 \ltrch\fcs0 \noproof0\insrsid15625260\charrsid946740 [ZORLANG]}{\rtlch\fcs1 &#13;&#10;\af0 \ltrch\fcs0 \cs15\v\f1\fs20\cf9\noproof0\insrsid15625260\charrsid946740 &lt;/Original&gt;}{\rtlch\fcs1 \af0 \ltrch\fcs0 \noproof0\insrsid15625260\charrsid946740 &#13;&#10;\par }\pard\plain \ltrpar\s21\qc \li0\ri0\sb240\sa240\keepn\nowidctlpar\wrapdefault\aspalpha\aspnum\faauto\adjustright\rin0\lin0\itap0\pararsid16390444 \rtlch\fcs1 \af0\afs20\alang1025 \ltrch\fcs0 &#13;&#10;\i\fs24\lang1024\langfe1024\cgrid\noproof\langnp2057\langfenp2057 {\rtlch\fcs1 \af0 \ltrch\fcs0 \cs15\i0\v\f1\fs20\cf9\noproof0\insrsid15625260\charrsid946740 &lt;TitreJust&gt;}{\rtlch\fcs1 \af0 \ltrch\fcs0 \noproof0\insrsid15625260\charrsid946740 &#13;&#10;[ZJUSTIFICATION]}{\rtlch\fcs1 \af0 \ltrch\fcs0 \cs15\i0\v\f1\fs20\cf9\noproof0\insrsid15625260\charrsid946740 &lt;/TitreJust&gt;}{\rtlch\fcs1 \af0 \ltrch\fcs0 \noproof0\insrsid15625260\charrsid946740 &#13;&#10;\par }\pard\plain \ltrpar\s20\ql \li0\ri0\sa240\nowidctlpar\wrapdefault\aspalpha\aspnum\faauto\adjustright\rin0\lin0\itap0\pararsid16390444 \rtlch\fcs1 \af0\afs20\alang1025 \ltrch\fcs0 \i\fs24\lang1024\langfe1024\cgrid\noproof\langnp2057\langfenp2057 {&#13;&#10;\rtlch\fcs1 \af0 \ltrch\fcs0 \cs15\i0\v\f1\fs20\cf9\noproof0\insrsid15625260\charrsid946740 &lt;OptDelPrev&gt;}{\rtlch\fcs1 \af0 \ltrch\fcs0 \noproof0\insrsid15625260\charrsid946740 [ZTEXTJUST]}{\rtlch\fcs1 \af0 \ltrch\fcs0 &#13;&#10;\cs15\i0\v\f1\fs20\cf9\noproof0\insrsid15625260\charrsid946740 &lt;/OptDelPrev&gt;}{\rtlch\fcs1 \af0 \ltrch\fcs0 \noproof0\insrsid15625260\charrsid946740 &#13;&#10;\par }\pard\plain \ltrpar\ql \li0\ri0\widctlpar\wrapdefault\aspalpha\aspnum\faauto\adjustright\rin0\lin0\itap0\pararsid16324206 \rtlch\fcs1 \af0\afs20\alang1025 \ltrch\fcs0 \fs24\lang2057\langfe2057\cgrid\langnp2057\langfenp2057 {\rtlch\fcs1 \af0 \ltrch\fcs0 &#13;&#10;\cs15\v\f1\fs20\cf9\insrsid15625260\charrsid946740 &lt;/AmendA&gt;}{\rtlch\fcs1 \af0 \ltrch\fcs0 \insrsid24658\charrsid16324206 {\*\bkmkend restartA}&#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a09a&#13;&#10;bf21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2490866 HideTWBExt;}{\s16\ql \li0\ri0\sa120\nowidctlpar\wrapdefault\aspalpha\aspnum\faauto\adjustright\rin0\lin0\itap0 \rtlch\fcs1 \af0\afs20\alang1025 \ltrch\fcs0 &#13;&#10;\fs24\lang2057\langfe2057\cgrid\langnp2057\langfenp2057 \sbasedon0 \snext16 \slink17 \spriority0 \styrsid2490866 Normal6;}{\*\cs17 \additive \fs24\lang2057\langfe2057\langnp2057\langfenp2057 \slink16 \slocked \spriority0 \styrsid2490866 Normal6 Char;}{&#13;&#10;\s18\ql \li0\ri0\nowidctlpar\wrapdefault\aspalpha\aspnum\faauto\adjustright\rin0\lin0\itap0 \rtlch\fcs1 \af0\afs20\alang1025 \ltrch\fcs0 \b\fs24\lang2057\langfe2057\cgrid\langnp2057\langfenp2057 \sbasedon0 \snext18 \slink19 \spriority0 \styrsid2490866 &#13;&#10;NormalBold;}{\*\cs19 \additive \b\fs24\lang2057\langfe2057\langnp2057\langfenp2057 \slink18 \slocked \spriority0 \styrsid2490866 NormalBold Char;}{\s20\ql \li0\ri0\sa240\nowidctlpar\wrapdefault\aspalpha\aspnum\faauto\adjustright\rin0\lin0\itap0 &#13;&#10;\rtlch\fcs1 \af0\afs20\alang1025 \ltrch\fcs0 \i\fs24\lang1024\langfe1024\cgrid\noproof\langnp2057\langfenp2057 \sbasedon0 \snext20 \spriority0 \styrsid2490866 Normal12Italic;}{&#13;&#10;\s21\qc \li0\ri0\sb240\nowidctlpar\wrapdefault\aspalpha\aspnum\faauto\adjustright\rin0\lin0\itap0 \rtlch\fcs1 \af0\afs20\alang1025 \ltrch\fcs0 \i\fs24\lang2057\langfe2057\cgrid\langnp2057\langfenp2057 \sbasedon0 \snext21 \spriority0 \styrsid2490866 &#13;&#10;CrossRef;}{\s22\qc \li0\ri0\sb240\sa240\keepn\nowidctlpar\wrapdefault\aspalpha\aspnum\faauto\adjustright\rin0\lin0\itap0 \rtlch\fcs1 \af0\afs20\alang1025 \ltrch\fcs0 \i\fs24\lang1024\langfe1024\cgrid\noproof\langnp2057\langfenp2057 &#13;&#10;\sbasedon0 \snext0 \spriority0 \styrsid2490866 JustificationTitle;}{\s23\qr \li0\ri0\sb240\sa240\nowidctlpar\wrapdefault\aspalpha\aspnum\faauto\adjustright\rin0\lin0\itap0 \rtlch\fcs1 \af0\afs20\alang1025 \ltrch\fcs0 &#13;&#10;\fs24\lang1024\langfe1024\cgrid\noproof\langnp2057\langfenp2057 \sbasedon0 \snext23 \spriority0 \styrsid2490866 Olang;}{\s24\qc \li0\ri0\sa240\nowidctlpar\wrapdefault\aspalpha\aspnum\faauto\adjustright\rin0\lin0\itap0 \rtlch\fcs1 \af0\afs20\alang1025 &#13;&#10;\ltrch\fcs0 \i\fs24\lang2057\langfe2057\cgrid\langnp2057\langfenp2057 \sbasedon0 \snext24 \spriority0 \styrsid2490866 ColumnHeading;}{\s25\ql \li0\ri0\sb240\nowidctlpar&#13;&#10;\tx879\tx936\tx1021\tx1077\tx1134\tx1191\tx1247\tx1304\tx1361\tx1418\tx1474\tx1531\tx1588\tx1644\tx1701\tx1758\tx1814\tx1871\tx2070\tx2126\tx3374\tx3430\wrapdefault\aspalpha\aspnum\faauto\adjustright\rin0\lin0\itap0 \rtlch\fcs1 \af0\afs20\alang1025 &#13;&#10;\ltrch\fcs0 \b\fs24\lang2057\langfe2057\cgrid\langnp2057\langfenp2057 \sbasedon0 \snext25 \spriority0 \styrsid2490866 AMNumberTabs;}}{\*\rsidtbl \rsid24658\rsid735077\rsid2490866\rsid2892074\rsid4666813\rsid6641733\rsid7298627\rsid9636012\rsid11215221&#13;&#10;\rsid12154954\rsid14424199\rsid15204470\rsid15285974\rsid15950462\rsid16324206\rsid16662270}{\mmathPr\mmathFont34\mbrkBin0\mbrkBinSub0\msmallFrac0\mdispDef1\mlMargin0\mrMargin0\mdefJc1\mwrapIndent1440\mintLim0\mnaryLim1}{\info{\author FELIX Karina}&#13;&#10;{\operator FELIX Karina}{\creatim\yr2015\mo5\dy8\hr15\min23}{\revtim\yr2015\mo5\dy8\hr15\min23}{\version1}{\edmins0}{\nofpages1}{\nofwords80}{\nofchars445}{\*\company European Parliament}{\nofcharsws524}{\vern49165}}{\*\xmlnstbl {\xmlns1 http://schemas.mi&#13;&#10;crosoft.com/office/word/20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2490866\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7298627 \chftnsep &#13;&#10;\par }}{\*\ftnsepc \ltrpar \pard\plain \ltrpar\ql \li0\ri0\widctlpar\wrapdefault\aspalpha\aspnum\faauto\adjustright\rin0\lin0\itap0 \rtlch\fcs1 \af0\afs20\alang1025 \ltrch\fcs0 \fs24\lang2057\langfe2057\cgrid\langnp2057\langfenp2057 {\rtlch\fcs1 \af0 &#13;&#10;\ltrch\fcs0 \insrsid7298627 \chftnsepc &#13;&#10;\par }}{\*\aftnsep \ltrpar \pard\plain \ltrpar\ql \li0\ri0\widctlpar\wrapdefault\aspalpha\aspnum\faauto\adjustright\rin0\lin0\itap0 \rtlch\fcs1 \af0\afs20\alang1025 \ltrch\fcs0 \fs24\lang2057\langfe2057\cgrid\langnp2057\langfenp2057 {\rtlch\fcs1 \af0 &#13;&#10;\ltrch\fcs0 \insrsid7298627 \chftnsep &#13;&#10;\par }}{\*\aftnsepc \ltrpar \pard\plain \ltrpar\ql \li0\ri0\widctlpar\wrapdefault\aspalpha\aspnum\faauto\adjustright\rin0\lin0\itap0 \rtlch\fcs1 \af0\afs20\alang1025 \ltrch\fcs0 \fs24\lang2057\langfe2057\cgrid\langnp2057\langfenp2057 {\rtlch\fcs1 \af0 &#13;&#10;\ltrch\fcs0 \insrsid7298627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s25\ql \li0\ri0\sb240\keepn\nowidctlpar\tx879\tx936\tx1021\tx1077\tx1134\tx1191\tx1247\tx1304\tx1361\tx1418\tx1474\tx1531\tx1588\tx1644\tx1701\tx1758\tx1814\tx1871\tx2070\tx2126\tx3374\tx3430\wrapdefault\aspalpha\aspnum\faauto\adjustright\rin0&#13;&#10;\lin0\itap0\pararsid3744759 \rtlch\fcs1 \af0\afs20\alang1025 \ltrch\fcs0 \b\fs24\lang2057\langfe2057\cgrid\langnp2057\langfenp2057 {\rtlch\fcs1 \af0 \ltrch\fcs0 \cs15\b0\v\f1\fs20\cf9\insrsid2490866\charrsid946740 {\*\bkmkstart restartB}&lt;AmendB&gt;}{&#13;&#10;\rtlch\fcs1 \af0 \ltrch\fcs0 \insrsid2490866\charrsid946740 [ZAMENDMENT]\tab \tab }{\rtlch\fcs1 \af0 \ltrch\fcs0 \cs15\b0\v\f1\fs20\cf9\insrsid2490866\charrsid946740 &lt;NumAmB&gt;}{\rtlch\fcs1 \af0 \ltrch\fcs0 \insrsid2490866\charrsid946740 [ZNRAM]}{&#13;&#10;\rtlch\fcs1 \af0 \ltrch\fcs0 \cs15\b0\v\f1\fs20\cf9\insrsid2490866\charrsid946740 &lt;/NumAmB&gt;}{\rtlch\fcs1 \af0 \ltrch\fcs0 \insrsid2490866\charrsid946740 &#13;&#10;\par }\pard\plain \ltrpar\s18\ql \li0\ri0\nowidctlpar\wrapdefault\aspalpha\aspnum\faauto\adjustright\rin0\lin0\itap0\pararsid5976803 \rtlch\fcs1 \af0\afs20\alang1025 \ltrch\fcs0 \b\fs24\lang2057\langfe2057\cgrid\langnp2057\langfenp2057 {\rtlch\fcs1 \af0 &#13;&#10;\ltrch\fcs0 \cs15\b0\v\f1\fs20\cf9\lang1024\langfe1024\noproof\insrsid2490866\charrsid14699840 &lt;RepeatBlock-By&gt;}{\rtlch\fcs1 \af0 \ltrch\fcs0 \lang1024\langfe1024\noproof\insrsid2490866\charrsid14699840 [RepeatMembers]}{\rtlch\fcs1 \af0 \ltrch\fcs0 &#13;&#10;\cs15\b0\v\f1\fs20\cf9\lang1024\langfe1024\noproof\insrsid2490866\charrsid14699840 &lt;Members&gt;}{\rtlch\fcs1 \af0 \ltrch\fcs0 \insrsid2490866\charrsid14699840 [ZMEMBERS]}{\rtlch\fcs1 \af0 \ltrch\fcs0 &#13;&#10;\cs15\b0\v\f1\fs20\cf9\lang1024\langfe1024\noproof\insrsid2490866\charrsid14699840 &lt;/Members&gt;}{\rtlch\fcs1 \af0 \ltrch\fcs0 \insrsid2490866\charrsid14699840 &#13;&#10;\par }\pard\plain \ltrpar\ql \li0\ri0\widctlpar\wrapdefault\aspalpha\aspnum\faauto\adjustright\rin0\lin0\itap0\pararsid5976803 \rtlch\fcs1 \af0\afs20\alang1025 \ltrch\fcs0 \fs24\lang2057\langfe2057\cgrid\langnp2057\langfenp2057 {\rtlch\fcs1 \af0 \ltrch\fcs0 &#13;&#10;\cs15\v\f1\fs20\cf9\lang1024\langfe1024\noproof\insrsid2490866\charrsid14699840 &lt;AuNomDe&gt;&lt;OptDel&gt;}{\rtlch\fcs1 \af0 \ltrch\fcs0 \lang1024\langfe1024\noproof\insrsid2490866\charrsid14699840 [ZONBEHALF]}{\rtlch\fcs1 \af0 \ltrch\fcs0 &#13;&#10;\cs15\v\f1\fs20\cf9\lang1024\langfe1024\noproof\insrsid2490866\charrsid14699840 &lt;/OptDel&gt;&lt;/AuNomDe&gt;}{\rtlch\fcs1 \af0 \ltrch\fcs0 \insrsid2490866\charrsid14699840 &#13;&#10;\par &lt;&lt;&lt;}{\rtlch\fcs1 \af0 \ltrch\fcs0 \cs15\v\f1\fs20\cf9\lang1024\langfe1024\noproof\insrsid2490866\charrsid14699840 &lt;/RepeatBlock-By&gt;}{\rtlch\fcs1 \af0 \ltrch\fcs0 \insrsid2490866\charrsid14699840 &#13;&#10;\par }\pard\plain \ltrpar\s18\ql \li0\ri0\nowidctlpar\wrapdefault\aspalpha\aspnum\faauto\adjustright\rin0\lin0\itap0\pararsid5976803 \rtlch\fcs1 \af0\afs20\alang1025 \ltrch\fcs0 \b\fs24\lang2057\langfe2057\cgrid\langnp2057\langfenp2057 {\rtlch\fcs1 \af0 &#13;&#10;\ltrch\fcs0 \cs15\b0\v\f1\fs20\cf9\insrsid2490866\charrsid946740 &lt;DocAmend&gt;}{\rtlch\fcs1 \af0 \ltrch\fcs0 \insrsid2490866\charrsid946740 [Z}{\rtlch\fcs1 \af0 \ltrch\fcs0 \insrsid2490866 AMDOC}{\rtlch\fcs1 \af0 \ltrch\fcs0 \insrsid2490866\charrsid946740 ]}&#13;&#10;{\rtlch\fcs1 \af0 \ltrch\fcs0 \cs15\b0\v\f1\fs20\cf9\insrsid2490866\charrsid946740 &lt;/DocAmend&gt;}{\rtlch\fcs1 \af0 \ltrch\fcs0 \insrsid2490866\charrsid946740 &#13;&#10;\par }\pard \ltrpar\s18\ql \li0\ri0\keepn\nowidctlpar\wrapdefault\aspalpha\aspnum\faauto\adjustright\rin0\lin0\itap0\pararsid10630121 {\rtlch\fcs1 \af0 \ltrch\fcs0 \cs15\b0\v\f1\fs20\cf9\insrsid2490866\charrsid946740 &lt;Article&gt;}{\rtlch\fcs1 \af0 \ltrch\fcs0 &#13;&#10;\insrsid2490866\charrsid946740 [ZAMPART]}{\rtlch\fcs1 \af0 \ltrch\fcs0 \cs15\b0\v\f1\fs20\cf9\insrsid2490866\charrsid946740 &lt;/Article&gt;}{\rtlch\fcs1 \af0 \ltrch\fcs0 \insrsid2490866\charrsid946740 &#13;&#10;\par }\pard\plain \ltrpar\ql \li0\ri0\keepn\widctlpar\wrapdefault\aspalpha\aspnum\faauto\adjustright\rin0\lin0\itap0\pararsid3744759 \rtlch\fcs1 \af0\afs20\alang1025 \ltrch\fcs0 \fs24\lang2057\langfe2057\cgrid\langnp2057\langfenp2057 {\rtlch\fcs1 \af0 &#13;&#10;\ltrch\fcs0 \cs15\v\f1\fs20\cf9\insrsid2490866\charrsid946740 &lt;DocAmend2&gt;&lt;OptDel&gt;}{\rtlch\fcs1 \af0 \ltrch\fcs0 \insrsid2490866\charrsid946740 [ZNRACT]}{\rtlch\fcs1 \af0 \ltrch\fcs0 \cs15\v\f1\fs20\cf9\insrsid2490866\charrsid946740 &lt;/OptDel&gt;&lt;/DocAmend2&gt;}{&#13;&#10;\rtlch\fcs1 \af0 \ltrch\fcs0 \insrsid2490866\charrsid946740 &#13;&#10;\par }\pard \ltrpar\ql \li0\ri0\widctlpar\wrapdefault\aspalpha\aspnum\faauto\adjustright\rin0\lin0\itap0\pararsid10158853 {\rtlch\fcs1 \af0 \ltrch\fcs0 \cs15\v\f1\fs20\cf9\insrsid2490866\charrsid946740 &lt;Article2&gt;&lt;OptDel&gt;}{\rtlch\fcs1 \af0 \ltrch\fcs0 &#13;&#10;\insrsid2490866\charrsid946740 [ZACTPART]}{\rtlch\fcs1 \af0 \ltrch\fcs0 \cs15\v\f1\fs20\cf9\insrsid2490866\charrsid946740 &lt;/OptDel&gt;&lt;/Article2&gt;}{\rtlch\fcs1 \af0 \ltrch\fcs0 \insrsid2490866\charrsid946740 &#13;&#10;\par \ltrrow}\trowd \ltrrow\ts11\trqc\trgaph340\trleft-340\trftsWidth3\trwWidth9752\trftsWidthB3\trftsWidthA3\trpaddl340\trpaddr340\trpaddfl3\trpaddfr3\tblind0\tblindtype3 \clvertalt\clbrdrt\brdrtbl \clbrdrl\brdrtbl \clbrdrb\brdrtbl \clbrdrr\brdrtbl &#13;&#10;\cltxlrtb\clftsWidth3\clwWidth9752\clshdrawnil \cellx9412\pard \ltrpar\ql \li0\ri0\keepn\widctlpar\intbl\wrapdefault\aspalpha\aspnum\faauto\adjustright\rin0\lin0\pararsid10630121 {\rtlch\fcs1 \af0 \ltrch\fcs0 \insrsid2490866\charrsid946740 \cell &#13;&#10;}\pard \ltrpar\ql \li0\ri0\widctlpar\intbl\wrapdefault\aspalpha\aspnum\faauto\adjustright\rin0\lin0 {\rtlch\fcs1 \af0 \ltrch\fcs0 \insrsid2490866\charrsid946740 \trowd \ltrrow&#13;&#10;\ts11\trqc\trgaph340\trleft-340\trftsWidth3\trwWidth9752\trftsWidthB3\trftsWidthA3\trpaddl340\trpaddr340\trpaddfl3\trpaddfr3\tblind0\tblindtype3 \clvertalt\clbrdrt\brdrtbl \clbrdrl\brdrtbl \clbrdrb\brdrtbl \clbrdrr\brdrtbl &#13;&#10;\cltxlrtb\clftsWidth3\clwWidth9752\clshdrawnil \cellx9412\row \ltrrow}\trowd \ltrrow\ts11\trqc\trgaph340\trleft-340\trftsWidth3\trwWidth9752\trftsWidthB3\trftsWidthA3\trpaddl340\trpaddr340\trpaddfl3\trpaddfr3\tblind0\tblindtype3 \clvertalt\clbrdrt&#13;&#10;\brdrtbl \clbrdrl\brdrtbl \clbrdrb\brdrtbl \clbrdrr\brdrtbl \cltxlrtb\clftsWidth3\clwWidth4876\clshdrawnil \cellx4536\clvertalt\clbrdrt\brdrtbl \clbrdrl\brdrtbl \clbrdrb\brdrtbl \clbrdrr\brdrtbl \cltxlrtb\clftsWidth3\clwWidth4876\clshdrawnil \cellx9412&#13;&#10;\pard\plain \ltrpar\s24\qc \li0\ri0\sa240\keepn\nowidctlpar\intbl\wrapdefault\aspalpha\aspnum\faauto\adjustright\rin0\lin0\pararsid10630121 \rtlch\fcs1 \af0\afs20\alang1025 \ltrch\fcs0 \i\fs24\lang2057\langfe2057\cgrid\langnp2057\langfenp2057 {&#13;&#10;\rtlch\fcs1 \af0 \ltrch\fcs0 \insrsid2490866\charrsid946740 [ZLEFTB]\cell [ZRIGHT]\cell }\pard\plain \ltrpar\ql \li0\ri0\widctlpar\intbl\wrapdefault\aspalpha\aspnum\faauto\adjustright\rin0\lin0 \rtlch\fcs1 \af0\afs20\alang1025 \ltrch\fcs0 &#13;&#10;\fs24\lang2057\langfe2057\cgrid\langnp2057\langfenp2057 {\rtlch\fcs1 \af0 \ltrch\fcs0 \insrsid2490866\charrsid946740 \trowd \ltrrow&#13;&#10;\ts11\trqc\trgaph340\trleft-340\trftsWidth3\trwWidth9752\trftsWidthB3\trftsWidthA3\trpaddl340\trpaddr340\trpaddfl3\trpaddfr3\tblind0\tblindtype3 \clvertalt\clbrdrt\brdrtbl \clbrdrl\brdrtbl \clbrdrb\brdrtbl \clbrdrr\brdrtbl &#13;&#10;\cltxlrtb\clftsWidth3\clwWidth4876\clshdrawnil \cellx4536\clvertalt\clbrdrt\brdrtbl \clbrdrl\brdrtbl \clbrdrb\brdrtbl \clbrdrr\brdrtbl \cltxlrtb\clftsWidth3\clwWidth4876\clshdrawnil \cellx9412\row \ltrrow}\pard\plain \ltrpar&#13;&#10;\s16\ql \li0\ri0\sa120\nowidctlpar\intbl\wrapdefault\aspalpha\aspnum\faauto\adjustright\rin0\lin0\pararsid12024389 \rtlch\fcs1 \af0\afs20\alang1025 \ltrch\fcs0 \fs24\lang2057\langfe2057\cgrid\langnp2057\langfenp2057 {\rtlch\fcs1 \af0 \ltrch\fcs0 &#13;&#10;\insrsid2490866\charrsid946740 [ZTEXTL]\cell [ZTEXTR]}{\rtlch\fcs1 \af0\afs24 \ltrch\fcs0 \insrsid2490866\charrsid946740 \cell }\pard\plain \ltrpar\ql \li0\ri0\widctlpar\intbl\wrapdefault\aspalpha\aspnum\faauto\adjustright\rin0\lin0 \rtlch\fcs1 &#13;&#10;\af0\afs20\alang1025 \ltrch\fcs0 \fs24\lang2057\langfe2057\cgrid\langnp2057\langfenp2057 {\rtlch\fcs1 \af0 \ltrch\fcs0 \insrsid2490866\charrsid946740 \trowd \lastrow \ltrrow&#13;&#10;\ts11\trqc\trgaph340\trleft-340\trftsWidth3\trwWidth9752\trftsWidthB3\trftsWidthA3\trpaddl340\trpaddr340\trpaddfl3\trpaddfr3\tblind0\tblindtype3 \clvertalt\clbrdrt\brdrtbl \clbrdrl\brdrtbl \clbrdrb\brdrtbl \clbrdrr\brdrtbl &#13;&#10;\cltxlrtb\clftsWidth3\clwWidth4876\clshdrawnil \cellx4536\clvertalt\clbrdrt\brdrtbl \clbrdrl\brdrtbl \clbrdrb\brdrtbl \clbrdrr\brdrtbl \cltxlrtb\clftsWidth3\clwWidth4876\clshdrawnil \cellx9412\row }\pard\plain \ltrpar&#13;&#10;\s23\qr \li0\ri0\sb240\sa240\nowidctlpar\wrapdefault\aspalpha\aspnum\faauto\adjustright\rin0\lin0\itap0\pararsid16390444 \rtlch\fcs1 \af0\afs20\alang1025 \ltrch\fcs0 \fs24\lang1024\langfe1024\cgrid\noproof\langnp2057\langfenp2057 {\rtlch\fcs1 \af0 &#13;&#10;\ltrch\fcs0 \noproof0\insrsid2490866\charrsid946740 Or. }{\rtlch\fcs1 \af0 \ltrch\fcs0 \cs15\v\f1\fs20\cf9\noproof0\insrsid2490866\charrsid946740 &lt;Original&gt;}{\rtlch\fcs1 \af0 \ltrch\fcs0 \noproof0\insrsid2490866\charrsid946740 [ZORLANG]}{\rtlch\fcs1 \af0 &#13;&#10;\ltrch\fcs0 \cs15\v\f1\fs20\cf9\noproof0\insrsid2490866\charrsid946740 &lt;/Original&gt;}{\rtlch\fcs1 \af0 \ltrch\fcs0 \noproof0\insrsid2490866\charrsid946740 &#13;&#10;\par }\pard\plain \ltrpar\s21\qc \li0\ri0\sb240\nowidctlpar\wrapdefault\aspalpha\aspnum\faauto\adjustright\rin0\lin0\itap0\pararsid10630121 \rtlch\fcs1 \af0\afs20\alang1025 \ltrch\fcs0 \i\fs24\lang2057\langfe2057\cgrid\langnp2057\langfenp2057 {\rtlch\fcs1 &#13;&#10;\af0 \ltrch\fcs0 \cs15\i0\v\f1\fs20\cf9\insrsid2490866\charrsid946740 &lt;OptDel&gt;}{\rtlch\fcs1 \af0 \ltrch\fcs0 \insrsid2490866\charrsid946740 [ZCROSSREF]}{\rtlch\fcs1 \af0 \ltrch\fcs0 \cs15\i0\v\f1\fs20\cf9\insrsid2490866\charrsid946740 &lt;/OptDel&gt;}{&#13;&#10;\rtlch\fcs1 \af0 \ltrch\fcs0 \insrsid2490866\charrsid946740 &#13;&#10;\par }\pard\plain \ltrpar\s22\qc \li0\ri0\sb240\sa240\keepn\nowidctlpar\wrapdefault\aspalpha\aspnum\faauto\adjustright\rin0\lin0\itap0\pararsid3744759 \rtlch\fcs1 \af0\afs20\alang1025 \ltrch\fcs0 &#13;&#10;\i\fs24\lang1024\langfe1024\cgrid\noproof\langnp2057\langfenp2057 {\rtlch\fcs1 \af0 \ltrch\fcs0 \cs15\i0\v\f1\fs20\cf9\noproof0\insrsid2490866\charrsid946740 &lt;TitreJust&gt;}{\rtlch\fcs1 \af0 \ltrch\fcs0 \noproof0\insrsid2490866\charrsid946740 &#13;&#10;[ZJUSTIFICATION]}{\rtlch\fcs1 \af0 \ltrch\fcs0 \cs15\i0\v\f1\fs20\cf9\noproof0\insrsid2490866\charrsid946740 &lt;/TitreJust&gt;}{\rtlch\fcs1 \af0 \ltrch\fcs0 \noproof0\insrsid2490866\charrsid946740 &#13;&#10;\par }\pard\plain \ltrpar\s20\ql \li0\ri0\sa240\nowidctlpar\wrapdefault\aspalpha\aspnum\faauto\adjustright\rin0\lin0\itap0\pararsid16390444 \rtlch\fcs1 \af0\afs20\alang1025 \ltrch\fcs0 \i\fs24\lang1024\langfe1024\cgrid\noproof\langnp2057\langfenp2057 {&#13;&#10;\rtlch\fcs1 \af0 \ltrch\fcs0 \cs15\i0\v\f1\fs20\cf9\noproof0\insrsid2490866\charrsid946740 &lt;OptDelPrev&gt;}{\rtlch\fcs1 \af0 \ltrch\fcs0 \noproof0\insrsid2490866\charrsid946740 [ZTEXTJUST]}{\rtlch\fcs1 \af0 \ltrch\fcs0 &#13;&#10;\cs15\i0\v\f1\fs20\cf9\noproof0\insrsid2490866\charrsid946740 &lt;/OptDelPrev&gt;}{\rtlch\fcs1 \af0 \ltrch\fcs0 \noproof0\insrsid2490866\charrsid946740 &#13;&#10;\par }\pard\plain \ltrpar\ql \li0\ri0\widctlpar\wrapdefault\aspalpha\aspnum\faauto\adjustright\rin0\lin0\itap0\pararsid16324206 \rtlch\fcs1 \af0\afs20\alang1025 \ltrch\fcs0 \fs24\lang2057\langfe2057\cgrid\langnp2057\langfenp2057 {\rtlch\fcs1 \af0 \ltrch\fcs0 &#13;&#10;\cs15\v\f1\fs20\cf9\insrsid2490866\charrsid946740 &lt;/AmendB&gt;}{\rtlch\fcs1 \af0 \ltrch\fcs0 \insrsid24658\charrsid16324206 {\*\bkmkend restartB}&#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c03f&#13;&#10;6d22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sz w:val="24"/>
      <w:szCs w:val="24"/>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sz w:val="24"/>
      <w:szCs w:val="24"/>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sz w:val="24"/>
      <w:szCs w:val="24"/>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next w:val="DefaultParagraphFont"/>
    <w:uiPriority w:val="1"/>
    <w:semiHidden/>
    <w:unhideWhenUsed/>
  </w:style>
  <w:style w:type="paragraph" w:customStyle="1" w:styleId="EPLogo">
    <w:name w:val="EPLogo"/>
    <w:basedOn w:val="Normal"/>
    <w:qFormat/>
    <w:rsid w:val="00D7732B"/>
    <w:pPr>
      <w:widowControl w:val="0"/>
      <w:jc w:val="right"/>
    </w:pPr>
    <w:rPr>
      <w:sz w:val="24"/>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6"/>
        <w:tab w:val="right" w:pos="9072"/>
      </w:tabs>
      <w:spacing w:before="0" w:after="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rsid w:val="00A801F5"/>
    <w:pPr>
      <w:tabs>
        <w:tab w:val="center" w:pos="4535"/>
        <w:tab w:val="right" w:pos="9923"/>
      </w:tabs>
      <w:spacing w:after="240"/>
      <w:ind w:left="-851"/>
    </w:pPr>
    <w:rPr>
      <w:rFonts w:ascii="Arial" w:eastAsia="Arial" w:hAnsi="Arial" w:cs="Arial"/>
      <w:b/>
      <w:color w:val="000000"/>
      <w:sz w:val="48"/>
      <w:szCs w:val="24"/>
    </w:rPr>
  </w:style>
  <w:style w:type="paragraph" w:customStyle="1" w:styleId="Footer2Landscape">
    <w:name w:val="Footer2Landscape"/>
    <w:qFormat/>
    <w:rsid w:val="00126EF9"/>
    <w:pPr>
      <w:tabs>
        <w:tab w:val="center" w:pos="4535"/>
        <w:tab w:val="center" w:pos="6804"/>
        <w:tab w:val="clear" w:pos="9923"/>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lear" w:pos="4536"/>
        <w:tab w:val="center" w:pos="6804"/>
        <w:tab w:val="clear" w:pos="9072"/>
        <w:tab w:val="center" w:pos="13608"/>
      </w:tabs>
      <w:spacing w:before="0" w:after="0"/>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szCs w:val="24"/>
    </w:rPr>
  </w:style>
  <w:style w:type="paragraph" w:customStyle="1" w:styleId="LineTop">
    <w:name w:val="LineTop"/>
    <w:basedOn w:val="Normal"/>
    <w:pPr>
      <w:pBdr>
        <w:top w:val="single" w:sz="4" w:space="0" w:color="auto"/>
      </w:pBdr>
      <w:jc w:val="center"/>
    </w:pPr>
    <w:rPr>
      <w:rFonts w:ascii="Arial" w:eastAsia="Arial" w:hAnsi="Arial" w:cs="Arial"/>
      <w:color w:val="000000"/>
      <w:sz w:val="16"/>
      <w:szCs w:val="24"/>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sz w:val="24"/>
      <w:szCs w:val="24"/>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sz w:val="24"/>
      <w:szCs w:val="24"/>
    </w:rPr>
  </w:style>
  <w:style w:type="paragraph" w:customStyle="1" w:styleId="Normal24">
    <w:name w:val="Normal24"/>
    <w:basedOn w:val="Normal"/>
    <w:pPr>
      <w:spacing w:after="480"/>
    </w:pPr>
    <w:rPr>
      <w:color w:val="000000"/>
      <w:sz w:val="24"/>
      <w:szCs w:val="24"/>
    </w:rPr>
  </w:style>
  <w:style w:type="paragraph" w:customStyle="1" w:styleId="Normal6">
    <w:name w:val="Normal6"/>
    <w:basedOn w:val="Normal"/>
    <w:pPr>
      <w:spacing w:after="120"/>
    </w:pPr>
    <w:rPr>
      <w:color w:val="000000"/>
      <w:sz w:val="24"/>
      <w:szCs w:val="24"/>
    </w:rPr>
  </w:style>
  <w:style w:type="paragraph" w:customStyle="1" w:styleId="Normal6Italic">
    <w:name w:val="Normal6Italic"/>
    <w:basedOn w:val="Normal"/>
    <w:pPr>
      <w:spacing w:after="120"/>
    </w:pPr>
    <w:rPr>
      <w:i/>
      <w:color w:val="000000"/>
      <w:sz w:val="24"/>
      <w:szCs w:val="24"/>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sz w:val="24"/>
      <w:szCs w:val="24"/>
    </w:rPr>
  </w:style>
  <w:style w:type="paragraph" w:customStyle="1" w:styleId="NormalBold12b">
    <w:name w:val="NormalBold12b"/>
    <w:basedOn w:val="Normal"/>
    <w:pPr>
      <w:spacing w:before="240"/>
    </w:pPr>
    <w:rPr>
      <w:b/>
      <w:color w:val="000000"/>
      <w:sz w:val="24"/>
      <w:szCs w:val="24"/>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sz w:val="24"/>
      <w:szCs w:val="24"/>
    </w:rPr>
  </w:style>
  <w:style w:type="paragraph" w:customStyle="1" w:styleId="RefProc">
    <w:name w:val="RefProc"/>
    <w:basedOn w:val="Normal"/>
    <w:pPr>
      <w:spacing w:after="240"/>
      <w:jc w:val="right"/>
    </w:pPr>
    <w:rPr>
      <w:rFonts w:ascii="Arial" w:eastAsia="Arial" w:hAnsi="Arial" w:cs="Arial"/>
      <w:b/>
      <w:caps/>
      <w:color w:val="000000"/>
      <w:sz w:val="22"/>
      <w:szCs w:val="24"/>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b w:val="0"/>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szCs w:val="24"/>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szCs w:val="24"/>
    </w:rPr>
  </w:style>
  <w:style w:type="paragraph" w:customStyle="1" w:styleId="ZDate">
    <w:name w:val="ZDate"/>
    <w:basedOn w:val="Normal"/>
    <w:pPr>
      <w:spacing w:after="1680"/>
    </w:pPr>
    <w:rPr>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1119113</vt:lpwstr>
  </property>
  <property fmtid="{D5CDD505-2E9C-101B-9397-08002B2CF9AE}" pid="4" name="&lt;FooterPath&gt;">
    <vt:lpwstr>AM\1119113MT.doc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20170320-162630-000541-252413</vt:lpwstr>
  </property>
  <property fmtid="{D5CDD505-2E9C-101B-9397-08002B2CF9AE}" pid="8" name="PE Number">
    <vt:lpwstr>601.040</vt:lpwstr>
  </property>
  <property fmtid="{D5CDD505-2E9C-101B-9397-08002B2CF9AE}" pid="9" name="UID">
    <vt:lpwstr>eu.europa.europarl-DIN1-2017-0000024575_02.00-mt-01.00_text-xml</vt:lpwstr>
  </property>
</Properties>
</file>