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C92E8F" w:rsidRPr="008947C5">
        <w:trPr>
          <w:trHeight w:hRule="exact" w:val="1417"/>
          <w:jc w:val="center"/>
        </w:trPr>
        <w:tc>
          <w:tcPr>
            <w:tcW w:w="6804" w:type="dxa"/>
            <w:vAlign w:val="center"/>
          </w:tcPr>
          <w:p w:rsidR="009E4524" w:rsidRPr="008947C5" w:rsidRDefault="00A050CF">
            <w:pPr>
              <w:pStyle w:val="EPName"/>
              <w:rPr>
                <w:color w:val="auto"/>
              </w:rPr>
            </w:pPr>
            <w:r w:rsidRPr="008947C5">
              <w:rPr>
                <w:color w:val="auto"/>
              </w:rPr>
              <w:t>Parlament Europejski</w:t>
            </w:r>
          </w:p>
          <w:p w:rsidR="00C92E8F" w:rsidRPr="008947C5" w:rsidRDefault="00A050CF">
            <w:pPr>
              <w:pStyle w:val="EPTerm"/>
            </w:pPr>
            <w:r w:rsidRPr="008947C5">
              <w:t>2014-2019</w:t>
            </w:r>
          </w:p>
        </w:tc>
        <w:tc>
          <w:tcPr>
            <w:tcW w:w="2268" w:type="dxa"/>
          </w:tcPr>
          <w:p w:rsidR="00C92E8F" w:rsidRPr="008947C5" w:rsidRDefault="00891D7C">
            <w:pPr>
              <w:pStyle w:val="EPLogo"/>
            </w:pPr>
            <w:r>
              <w:rPr>
                <w:lang w:val="en-GB" w:eastAsia="en-GB" w:bidi="ar-SA"/>
              </w:rPr>
              <w:drawing>
                <wp:inline distT="0" distB="0" distL="0" distR="0">
                  <wp:extent cx="116586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7700"/>
                          </a:xfrm>
                          <a:prstGeom prst="rect">
                            <a:avLst/>
                          </a:prstGeom>
                          <a:noFill/>
                          <a:ln>
                            <a:noFill/>
                          </a:ln>
                        </pic:spPr>
                      </pic:pic>
                    </a:graphicData>
                  </a:graphic>
                </wp:inline>
              </w:drawing>
            </w:r>
          </w:p>
        </w:tc>
      </w:tr>
    </w:tbl>
    <w:p w:rsidR="009E4524" w:rsidRPr="008947C5" w:rsidRDefault="009E4524">
      <w:pPr>
        <w:pStyle w:val="LineTop"/>
        <w:rPr>
          <w:color w:val="auto"/>
        </w:rPr>
      </w:pPr>
    </w:p>
    <w:p w:rsidR="00C92E8F" w:rsidRPr="008947C5" w:rsidRDefault="00A050CF">
      <w:pPr>
        <w:pStyle w:val="ZCommittee"/>
        <w:rPr>
          <w:color w:val="auto"/>
        </w:rPr>
      </w:pPr>
      <w:r w:rsidRPr="005B688F">
        <w:rPr>
          <w:rStyle w:val="HideTWBExt"/>
          <w:i w:val="0"/>
        </w:rPr>
        <w:t>&lt;Commission&gt;</w:t>
      </w:r>
      <w:r w:rsidRPr="005B688F">
        <w:rPr>
          <w:rStyle w:val="HideTWBInt"/>
          <w:rFonts w:ascii="Times New Roman" w:eastAsia="Times New Roman" w:hAnsi="Times New Roman" w:cs="Times New Roman"/>
          <w:i w:val="0"/>
        </w:rPr>
        <w:t>{LIBE}</w:t>
      </w:r>
      <w:r w:rsidRPr="008947C5">
        <w:rPr>
          <w:color w:val="auto"/>
        </w:rPr>
        <w:t>Komisja Wolności Obywatelskich, Sprawiedliwości i Spraw Wewnętrznych</w:t>
      </w:r>
      <w:r w:rsidRPr="005B688F">
        <w:rPr>
          <w:rStyle w:val="HideTWBExt"/>
          <w:i w:val="0"/>
        </w:rPr>
        <w:t>&lt;/Commission&gt;</w:t>
      </w:r>
    </w:p>
    <w:p w:rsidR="00C92E8F" w:rsidRPr="008947C5" w:rsidRDefault="00C92E8F">
      <w:pPr>
        <w:pStyle w:val="LineBottom"/>
        <w:rPr>
          <w:color w:val="auto"/>
        </w:rPr>
      </w:pPr>
    </w:p>
    <w:p w:rsidR="00C92E8F" w:rsidRPr="008947C5" w:rsidRDefault="00A050CF">
      <w:pPr>
        <w:pStyle w:val="RefProc"/>
        <w:rPr>
          <w:color w:val="auto"/>
        </w:rPr>
      </w:pPr>
      <w:r w:rsidRPr="005B688F">
        <w:rPr>
          <w:rStyle w:val="HideTWBExt"/>
          <w:b w:val="0"/>
          <w:caps w:val="0"/>
        </w:rPr>
        <w:t>&lt;RefProc&gt;</w:t>
      </w:r>
      <w:r w:rsidRPr="008947C5">
        <w:rPr>
          <w:color w:val="auto"/>
        </w:rPr>
        <w:t>2016/0132</w:t>
      </w:r>
      <w:r w:rsidRPr="005B688F">
        <w:rPr>
          <w:rStyle w:val="HideTWBExt"/>
          <w:b w:val="0"/>
          <w:caps w:val="0"/>
        </w:rPr>
        <w:t>&lt;/RefProc&gt;&lt;RefTypeProc&gt;</w:t>
      </w:r>
      <w:r w:rsidRPr="008947C5">
        <w:rPr>
          <w:color w:val="auto"/>
        </w:rPr>
        <w:t>(COD)</w:t>
      </w:r>
      <w:r w:rsidRPr="005B688F">
        <w:rPr>
          <w:rStyle w:val="HideTWBExt"/>
          <w:b w:val="0"/>
          <w:caps w:val="0"/>
        </w:rPr>
        <w:t>&lt;/RefTypeProc&gt;</w:t>
      </w:r>
    </w:p>
    <w:p w:rsidR="00C92E8F" w:rsidRPr="008947C5" w:rsidRDefault="00A050CF">
      <w:pPr>
        <w:pStyle w:val="ZDate"/>
        <w:rPr>
          <w:color w:val="auto"/>
        </w:rPr>
      </w:pPr>
      <w:r w:rsidRPr="005B688F">
        <w:rPr>
          <w:rStyle w:val="HideTWBExt"/>
        </w:rPr>
        <w:t>&lt;Date&gt;</w:t>
      </w:r>
      <w:r w:rsidRPr="005B688F">
        <w:rPr>
          <w:rStyle w:val="HideTWBInt"/>
        </w:rPr>
        <w:t>{03/03/2017}</w:t>
      </w:r>
      <w:r w:rsidRPr="008947C5">
        <w:rPr>
          <w:color w:val="auto"/>
        </w:rPr>
        <w:t>3.3.2017</w:t>
      </w:r>
      <w:r w:rsidRPr="005B688F">
        <w:rPr>
          <w:rStyle w:val="HideTWBExt"/>
        </w:rPr>
        <w:t>&lt;/Date&gt;</w:t>
      </w:r>
    </w:p>
    <w:p w:rsidR="00C92E8F" w:rsidRPr="008947C5" w:rsidRDefault="00A050CF">
      <w:pPr>
        <w:pStyle w:val="TypeDocAM"/>
        <w:rPr>
          <w:color w:val="auto"/>
        </w:rPr>
      </w:pPr>
      <w:r w:rsidRPr="005B688F">
        <w:rPr>
          <w:rStyle w:val="HideTWBExt"/>
          <w:b w:val="0"/>
        </w:rPr>
        <w:t>&lt;TypeAM&gt;</w:t>
      </w:r>
      <w:r w:rsidRPr="008947C5">
        <w:rPr>
          <w:color w:val="auto"/>
        </w:rPr>
        <w:t>POPRAWKI</w:t>
      </w:r>
      <w:r w:rsidRPr="005B688F">
        <w:rPr>
          <w:rStyle w:val="HideTWBExt"/>
          <w:b w:val="0"/>
        </w:rPr>
        <w:t>&lt;/TypeAM&gt;</w:t>
      </w:r>
    </w:p>
    <w:p w:rsidR="00C92E8F" w:rsidRPr="008947C5" w:rsidRDefault="00A050CF">
      <w:pPr>
        <w:pStyle w:val="NRAMS"/>
        <w:rPr>
          <w:color w:val="auto"/>
        </w:rPr>
      </w:pPr>
      <w:r w:rsidRPr="005B688F">
        <w:rPr>
          <w:rStyle w:val="HideTWBExt"/>
          <w:b w:val="0"/>
        </w:rPr>
        <w:t>&lt;RangeAM&gt;</w:t>
      </w:r>
      <w:r w:rsidRPr="008947C5">
        <w:rPr>
          <w:color w:val="auto"/>
        </w:rPr>
        <w:t>61 - 271</w:t>
      </w:r>
      <w:r w:rsidRPr="005B688F">
        <w:rPr>
          <w:rStyle w:val="HideTWBExt"/>
          <w:b w:val="0"/>
        </w:rPr>
        <w:t>&lt;/RangeAM&gt;</w:t>
      </w:r>
    </w:p>
    <w:p w:rsidR="00C92E8F" w:rsidRPr="008947C5" w:rsidRDefault="00A050CF">
      <w:pPr>
        <w:pStyle w:val="CoverBold"/>
        <w:rPr>
          <w:color w:val="auto"/>
        </w:rPr>
      </w:pPr>
      <w:r w:rsidRPr="005B688F">
        <w:rPr>
          <w:rStyle w:val="HideTWBExt"/>
          <w:b w:val="0"/>
        </w:rPr>
        <w:t>&lt;TitreType&gt;</w:t>
      </w:r>
      <w:r w:rsidRPr="008947C5">
        <w:rPr>
          <w:color w:val="auto"/>
        </w:rPr>
        <w:t>Projekt sprawozdania</w:t>
      </w:r>
      <w:r w:rsidRPr="005B688F">
        <w:rPr>
          <w:rStyle w:val="HideTWBExt"/>
          <w:b w:val="0"/>
        </w:rPr>
        <w:t>&lt;/TitreType&gt;</w:t>
      </w:r>
    </w:p>
    <w:p w:rsidR="00C92E8F" w:rsidRPr="008947C5" w:rsidRDefault="00A050CF">
      <w:pPr>
        <w:pStyle w:val="CoverBold"/>
        <w:rPr>
          <w:color w:val="auto"/>
        </w:rPr>
      </w:pPr>
      <w:r w:rsidRPr="005B688F">
        <w:rPr>
          <w:rStyle w:val="HideTWBExt"/>
          <w:b w:val="0"/>
        </w:rPr>
        <w:t>&lt;Rapporteur&gt;</w:t>
      </w:r>
      <w:r w:rsidRPr="008947C5">
        <w:rPr>
          <w:color w:val="auto"/>
        </w:rPr>
        <w:t>Monica Macovei</w:t>
      </w:r>
      <w:r w:rsidRPr="005B688F">
        <w:rPr>
          <w:rStyle w:val="HideTWBExt"/>
          <w:b w:val="0"/>
        </w:rPr>
        <w:t>&lt;/Rapporteur&gt;</w:t>
      </w:r>
    </w:p>
    <w:p w:rsidR="00C92E8F" w:rsidRPr="008947C5" w:rsidRDefault="00A050CF">
      <w:pPr>
        <w:pStyle w:val="Cover24"/>
        <w:rPr>
          <w:color w:val="auto"/>
        </w:rPr>
      </w:pPr>
      <w:r w:rsidRPr="008947C5">
        <w:rPr>
          <w:color w:val="auto"/>
        </w:rPr>
        <w:t>(PE597.620v02-00)</w:t>
      </w:r>
    </w:p>
    <w:p w:rsidR="00C92E8F" w:rsidRPr="008947C5" w:rsidRDefault="00A050CF">
      <w:pPr>
        <w:pStyle w:val="Cover24"/>
        <w:rPr>
          <w:color w:val="auto"/>
        </w:rPr>
      </w:pPr>
      <w:r w:rsidRPr="005B688F">
        <w:rPr>
          <w:rStyle w:val="HideTWBExt"/>
        </w:rPr>
        <w:t>&lt;Titre&gt;</w:t>
      </w:r>
      <w:bookmarkStart w:id="0" w:name="_GoBack"/>
      <w:bookmarkEnd w:id="0"/>
      <w:r w:rsidR="00AB03DD">
        <w:t xml:space="preserve">Ustanowienie </w:t>
      </w:r>
      <w:r w:rsidR="00564243" w:rsidRPr="008947C5">
        <w:t>systemu Eurodac do porównywania odcisków palców w celu skutecznego stosowania rozporządzenia (UE) nr 604/2013 w sprawie ustanowienia kryteriów i mechanizmów ustalania państwa członkowskiego odpowiedzialnego za rozpatrzenie wniosku o udzielenie ochrony międzynarodowej złożonego w jednym z państw członkowskich przez obywatela państwa trzeciego lub bezpaństwowca na potrzeby identyfikowania nielegalnie przebywających obywateli państw trzecich lub bezpaństwowców oraz w sprawie występowania o porównanie z danymi Eurodac przez organy ścigania państw członkowskich i Europol na potrzeby ochrony porządku publicznego (wersja przekształcona</w:t>
      </w:r>
      <w:r w:rsidRPr="008947C5">
        <w:rPr>
          <w:color w:val="auto"/>
        </w:rPr>
        <w:t>)</w:t>
      </w:r>
      <w:r w:rsidRPr="005B688F">
        <w:rPr>
          <w:rStyle w:val="HideTWBExt"/>
        </w:rPr>
        <w:t>&lt;/Titre&gt;</w:t>
      </w:r>
    </w:p>
    <w:p w:rsidR="00C92E8F" w:rsidRPr="008947C5" w:rsidRDefault="00A050CF">
      <w:pPr>
        <w:pStyle w:val="CoverNormal"/>
        <w:rPr>
          <w:color w:val="auto"/>
        </w:rPr>
      </w:pPr>
      <w:r w:rsidRPr="005B688F">
        <w:rPr>
          <w:rStyle w:val="HideTWBExt"/>
        </w:rPr>
        <w:t>&lt;DocAmend&gt;</w:t>
      </w:r>
      <w:r w:rsidRPr="008947C5">
        <w:rPr>
          <w:color w:val="auto"/>
        </w:rPr>
        <w:t>Wniosek dotyczący rozporządzenia</w:t>
      </w:r>
      <w:r w:rsidRPr="005B688F">
        <w:rPr>
          <w:rStyle w:val="HideTWBExt"/>
        </w:rPr>
        <w:t>&lt;/DocAmend&gt;</w:t>
      </w:r>
    </w:p>
    <w:p w:rsidR="00C92E8F" w:rsidRPr="008947C5" w:rsidRDefault="00A050CF">
      <w:pPr>
        <w:pStyle w:val="Cover24"/>
        <w:rPr>
          <w:color w:val="auto"/>
        </w:rPr>
      </w:pPr>
      <w:r w:rsidRPr="005B688F">
        <w:rPr>
          <w:rStyle w:val="HideTWBExt"/>
        </w:rPr>
        <w:t>&lt;DocRef&gt;</w:t>
      </w:r>
      <w:r w:rsidRPr="008947C5">
        <w:rPr>
          <w:color w:val="auto"/>
        </w:rPr>
        <w:t>(COM(2016)0272 – C8-0179/2016 – 2016/0132(COD))</w:t>
      </w:r>
      <w:r w:rsidRPr="005B688F">
        <w:rPr>
          <w:rStyle w:val="HideTWBExt"/>
        </w:rPr>
        <w:t>&lt;/DocRef&gt;</w:t>
      </w:r>
    </w:p>
    <w:p w:rsidR="00C92E8F" w:rsidRPr="008947C5" w:rsidRDefault="00A050CF">
      <w:r w:rsidRPr="008947C5">
        <w:br w:type="page"/>
      </w:r>
      <w:r w:rsidRPr="008947C5">
        <w:lastRenderedPageBreak/>
        <w:t>AM_Com_LegReport</w:t>
      </w:r>
    </w:p>
    <w:p w:rsidR="005E74C4" w:rsidRPr="008947C5" w:rsidRDefault="00A050CF" w:rsidP="005E74C4">
      <w:pPr>
        <w:pStyle w:val="AMNumberTabs"/>
        <w:rPr>
          <w:color w:val="auto"/>
        </w:rPr>
      </w:pPr>
      <w:r w:rsidRPr="008947C5">
        <w:rPr>
          <w:color w:val="auto"/>
        </w:rPr>
        <w:br w:type="page"/>
      </w:r>
    </w:p>
    <w:p w:rsidR="005E74C4" w:rsidRPr="008947C5" w:rsidRDefault="005E74C4" w:rsidP="005E74C4">
      <w:pPr>
        <w:pStyle w:val="AMNumberTabs"/>
        <w:rPr>
          <w:color w:val="auto"/>
        </w:rPr>
      </w:pPr>
      <w:r w:rsidRPr="005B688F">
        <w:rPr>
          <w:rStyle w:val="HideTWBExt"/>
          <w:b w:val="0"/>
        </w:rPr>
        <w:lastRenderedPageBreak/>
        <w:t>&lt;RepeatBlock-Amend&gt;&lt;Amend&gt;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Umocowanie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uwzględniając Traktat o funkcjonowaniu Unii Europejskiej, w szczególności jego art. 78 ust. 2 lit. e), art. 79 ust. 2 lit. c), art. 87 ust. 2 lit. a) i art. 88 ust. 2 lit. a),</w:t>
            </w:r>
          </w:p>
        </w:tc>
        <w:tc>
          <w:tcPr>
            <w:tcW w:w="4876" w:type="dxa"/>
          </w:tcPr>
          <w:p w:rsidR="005E74C4" w:rsidRPr="008947C5" w:rsidRDefault="005E74C4" w:rsidP="009E4524">
            <w:pPr>
              <w:pStyle w:val="Normal6"/>
              <w:rPr>
                <w:b/>
                <w:i/>
                <w:color w:val="auto"/>
              </w:rPr>
            </w:pPr>
            <w:r w:rsidRPr="008947C5">
              <w:rPr>
                <w:color w:val="auto"/>
              </w:rPr>
              <w:t>uwzględniając Traktat o funkcjonowaniu Unii Europejskiej, w szczególności jego art. 78 ust. 2 lit.</w:t>
            </w:r>
            <w:r w:rsidRPr="008947C5">
              <w:rPr>
                <w:b/>
                <w:i/>
                <w:color w:val="auto"/>
              </w:rPr>
              <w:t xml:space="preserve"> d) i</w:t>
            </w:r>
            <w:r w:rsidRPr="008947C5">
              <w:rPr>
                <w:color w:val="auto"/>
              </w:rPr>
              <w:t xml:space="preserve"> e), art. 79 ust. 2 lit. c), art. 87 ust. 2 lit. a) i art. 88 ust. 2 lit. 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chodzi o odpowiednią podstawę prawną wniosku dotyczącego rozporządzenia ustanawiającego unijne ramy przesiedleń. Dodanie litery jest konieczne, ponieważ proponuje się dodać do zakresu stosowania rozporządzenia Eurodac osoby, wobec których państwa członkowskie zamierzają przeprowadzić przesiedlenie zgodnie z art. 10 ust. 2 wniosku dotyczącego rozporządzenia ustanawiającego unijne ramy przesiedleń.</w:t>
      </w:r>
    </w:p>
    <w:p w:rsidR="00803CA7" w:rsidRPr="008947C5" w:rsidRDefault="00803CA7" w:rsidP="00803CA7">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Nadine Morano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Wspólna polityka azylowa, w tym wspólny europejski system azylowy, jest integralnym elementem wytyczonego przez Unię Europejską celu, polegającego na stopniowym ustanawianiu przestrzeni wolności, bezpieczeństwa i sprawiedliwości otwartej dla tych, którzy,</w:t>
            </w:r>
            <w:r w:rsidRPr="008947C5">
              <w:rPr>
                <w:b/>
                <w:i/>
                <w:color w:val="auto"/>
              </w:rPr>
              <w:t xml:space="preserve"> zmuszeni przez okoliczności</w:t>
            </w:r>
            <w:r w:rsidRPr="008947C5">
              <w:rPr>
                <w:color w:val="auto"/>
              </w:rPr>
              <w:t>, szukają ochrony międzynarodowej w Unii.</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Wspólna polityka azylowa, w tym wspólny europejski system azylowy, jest integralnym elementem wytyczonego przez Unię Europejską celu, polegającego na stopniowym ustanawianiu przestrzeni wolności, bezpieczeństwa i sprawiedliwości otwartej dla tych, którzy,</w:t>
            </w:r>
            <w:r w:rsidRPr="008947C5">
              <w:rPr>
                <w:b/>
                <w:i/>
                <w:color w:val="auto"/>
              </w:rPr>
              <w:t xml:space="preserve"> ze względu na sytuację osobistą</w:t>
            </w:r>
            <w:r w:rsidRPr="008947C5">
              <w:rPr>
                <w:color w:val="auto"/>
              </w:rPr>
              <w:t>,</w:t>
            </w:r>
            <w:r w:rsidRPr="008947C5">
              <w:rPr>
                <w:b/>
                <w:i/>
                <w:color w:val="auto"/>
              </w:rPr>
              <w:t xml:space="preserve"> zasadnie</w:t>
            </w:r>
            <w:r w:rsidRPr="008947C5">
              <w:rPr>
                <w:color w:val="auto"/>
              </w:rPr>
              <w:t xml:space="preserve"> szukają ochrony międzynarodowej w Unii.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1D7C">
        <w:rPr>
          <w:color w:val="auto"/>
          <w:lang w:val="fr-FR"/>
        </w:rPr>
        <w:t xml:space="preserve">Les termes "poussés par les circonstances" semblent trop généraux et laissent penser que toute circonstance, même imprécise, pourrait justifier une protection internationale. Or les taux de refus d'une protection internationale (plus de 66% en France en 2016) démontrent que la filière de la protection internationale est souvent détournée à des fins d'immigration clandestine contre laquelle nous devons mieux lutter. </w:t>
      </w:r>
      <w:r w:rsidRPr="008947C5">
        <w:rPr>
          <w:color w:val="auto"/>
        </w:rPr>
        <w:t>Il convient donc de rappeler que seule la situation personnelle d'un demandeur (ou de sa famille) motive au final une demande fondée de protection internationale dans l'Union.</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Do celów stosowania rozporządzenia</w:t>
            </w:r>
            <w:r w:rsidRPr="008947C5">
              <w:rPr>
                <w:b/>
                <w:i/>
                <w:color w:val="auto"/>
              </w:rPr>
              <w:t xml:space="preserve"> </w:t>
            </w:r>
            <w:r w:rsidRPr="008947C5">
              <w:rPr>
                <w:color w:val="auto"/>
              </w:rPr>
              <w:t>(UE) nr […/…] w sprawie ustanowienia kryteriów i mechanizmów ustalania państwa członkowskiego odpowiedzialnego za rozpatrzenie wniosku o udzielenie ochrony międzynarodowej złożonego w jednym z państw członkowskich przez obywatela państwa trzeciego lub bezpaństwowca konieczne jest ustalanie tożsamości osób ubiegających się o ochronę międzynarodową oraz osób zatrzymanych w związku z nielegalnym przekroczeniem granic zewnętrznych Unii</w:t>
            </w:r>
            <w:r w:rsidRPr="008947C5">
              <w:rPr>
                <w:rStyle w:val="Sup"/>
                <w:color w:val="auto"/>
              </w:rPr>
              <w:t>24</w:t>
            </w:r>
            <w:r w:rsidRPr="008947C5">
              <w:rPr>
                <w:color w:val="auto"/>
              </w:rPr>
              <w:t>. W celu skutecznego stosowania rozporządzenia</w:t>
            </w:r>
            <w:r w:rsidRPr="008947C5">
              <w:rPr>
                <w:b/>
                <w:i/>
                <w:color w:val="auto"/>
              </w:rPr>
              <w:t xml:space="preserve"> </w:t>
            </w:r>
            <w:r w:rsidRPr="008947C5">
              <w:rPr>
                <w:color w:val="auto"/>
              </w:rPr>
              <w:t>(UE) nr […/…], w szczególności jego art. [..] i [..], pożądane jest również umożliwienie każdemu z państw członkowskich sprawdzenia, czy obywatel państwa trzeciego lub bezpaństwowiec uznany za pozostającego nielegalnie na jego terytorium wystąpił o udzielenie ochrony międzynarodowej w innym państwie członkowskim.</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Do celów stosowania rozporządzenia</w:t>
            </w:r>
            <w:r w:rsidRPr="008947C5">
              <w:rPr>
                <w:b/>
                <w:i/>
                <w:color w:val="auto"/>
              </w:rPr>
              <w:t xml:space="preserve"> </w:t>
            </w:r>
            <w:r w:rsidRPr="008947C5">
              <w:rPr>
                <w:color w:val="auto"/>
              </w:rPr>
              <w:t>(UE) nr […/…] w sprawie ustanowienia kryteriów i mechanizmów ustalania państwa członkowskiego odpowiedzialnego za rozpatrzenie wniosku o udzielenie ochrony międzynarodowej złożonego w jednym z państw członkowskich przez obywatela państwa trzeciego lub bezpaństwowca</w:t>
            </w:r>
            <w:r w:rsidRPr="008947C5">
              <w:rPr>
                <w:b/>
                <w:i/>
                <w:color w:val="auto"/>
              </w:rPr>
              <w:t xml:space="preserve"> oraz rozporządzenia XXX/XXX ustanawiającego unijne ramy przesiedleń</w:t>
            </w:r>
            <w:r w:rsidRPr="008947C5">
              <w:rPr>
                <w:color w:val="auto"/>
              </w:rPr>
              <w:t xml:space="preserve"> konieczne jest ustalanie tożsamości osób ubiegających się o ochronę międzynarodową</w:t>
            </w:r>
            <w:r w:rsidRPr="008947C5">
              <w:rPr>
                <w:b/>
                <w:i/>
                <w:color w:val="auto"/>
              </w:rPr>
              <w:t>, osób, wobec których państwa członkowskie zamierzają zastosować procedurę przesiedlenia,</w:t>
            </w:r>
            <w:r w:rsidRPr="008947C5">
              <w:rPr>
                <w:color w:val="auto"/>
              </w:rPr>
              <w:t xml:space="preserve"> oraz osób zatrzymanych w związku z nielegalnym przekroczeniem granic zewnętrznych Unii</w:t>
            </w:r>
            <w:r w:rsidRPr="008947C5">
              <w:rPr>
                <w:rStyle w:val="Sup"/>
                <w:color w:val="auto"/>
              </w:rPr>
              <w:t>24</w:t>
            </w:r>
            <w:r w:rsidRPr="008947C5">
              <w:rPr>
                <w:color w:val="auto"/>
              </w:rPr>
              <w:t>. W celu skutecznego stosowania rozporządzenia</w:t>
            </w:r>
            <w:r w:rsidRPr="008947C5">
              <w:rPr>
                <w:b/>
                <w:i/>
                <w:color w:val="auto"/>
              </w:rPr>
              <w:t xml:space="preserve"> </w:t>
            </w:r>
            <w:r w:rsidRPr="008947C5">
              <w:rPr>
                <w:color w:val="auto"/>
              </w:rPr>
              <w:t>(UE) nr […/…], w szczególności jego art. [..] i [..], pożądane jest również umożliwienie każdemu z państw członkowskich sprawdzenia, czy obywatel państwa trzeciego lub bezpaństwowiec uznany za pozostającego nielegalnie na jego terytorium wystąpił o udzielenie ochrony międzynarodowej w innym państwie członkowskim.</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24</w:t>
            </w:r>
            <w:r w:rsidRPr="008947C5">
              <w:rPr>
                <w:color w:val="auto"/>
              </w:rPr>
              <w:t xml:space="preserve"> Zob. s. 31 tego Dziennika Urzędowego.</w:t>
            </w:r>
          </w:p>
        </w:tc>
        <w:tc>
          <w:tcPr>
            <w:tcW w:w="4876" w:type="dxa"/>
          </w:tcPr>
          <w:p w:rsidR="005E74C4" w:rsidRPr="008947C5" w:rsidRDefault="005E74C4" w:rsidP="009E4524">
            <w:pPr>
              <w:pStyle w:val="Normal6"/>
              <w:rPr>
                <w:b/>
                <w:i/>
                <w:color w:val="auto"/>
              </w:rPr>
            </w:pPr>
            <w:r w:rsidRPr="008947C5">
              <w:rPr>
                <w:rStyle w:val="Sup"/>
                <w:color w:val="auto"/>
              </w:rPr>
              <w:t>24</w:t>
            </w:r>
            <w:r w:rsidRPr="008947C5">
              <w:rPr>
                <w:color w:val="auto"/>
              </w:rPr>
              <w:t xml:space="preserve"> Zob. s. 31 tego Dziennika Urzędowego.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należy dodać zastosowanie przyszłego rozporządzenia ustanawiającego unijne ramy przesiedleń w związku z Eurodac, tak aby przewidzieć rejestrowanie osób, wobec których państwa członkowskie zamierzają zastosować procedurę przesiedlenia zgodnie z art. 10 ust. 2 tego rozporządzenia.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(4a)</w:t>
            </w:r>
            <w:r w:rsidRPr="008947C5">
              <w:rPr>
                <w:b/>
                <w:i/>
                <w:color w:val="auto"/>
              </w:rPr>
              <w:tab/>
              <w:t>Do celów stosowania rozporządzenia XXX/XXX ustanawiającego unijne ramy przesiedleń konieczne jest, aby każde państwo członkowskie rejestrowało w Eurodac dane obywateli państw trzecich lub bezpaństwowców, wobec których to państwo członkowskie zamierza zastosować procedurę przesiedlenia zgodnie z art. 10 ust. 2 tego rozporządzenia.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1D7C">
        <w:rPr>
          <w:color w:val="auto"/>
          <w:lang w:val="fr-FR"/>
        </w:rPr>
        <w:t xml:space="preserve">Recast : l’article 10 de la proposition de règlement relatif à la réinstallation prévoit que les États membres enregistrent les données des personnes qu’ils entendent réinstaller et les stockent ensuite. </w:t>
      </w:r>
      <w:r w:rsidRPr="008947C5">
        <w:rPr>
          <w:color w:val="auto"/>
        </w:rPr>
        <w:t>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 b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(4b)</w:t>
            </w:r>
            <w:r w:rsidRPr="008947C5">
              <w:rPr>
                <w:b/>
                <w:i/>
                <w:color w:val="auto"/>
              </w:rPr>
              <w:tab/>
              <w:t>Rejestracja w Eurodac ma na celu zagwarantowanie osobom, wobec których państwo członkowskie zamierza zastosować procedurę przesiedlenia, takiego samego poziomu ochrony i takich samych praw, które mają zastosowanie wobec pozostałych osób ubiegających się o ochronę międzynarodową i korzystających z ochrony międzynarodowej pod względem ochrony danych. Rejestracja powinna również umożliwić państwom członkowskim sprawdzenie, czy obywatel państwa trzeciego lub bezpaństwowiec nie został już przesiedlony w innym państwie członkowskim na mocy rozporządzenia XXX/XXX. Pozytywne trafienie powinno zatem pozwolić ustalić państwo członkowskie przesiedlenia, a także kontrolować ewentualne przepływy wtórne.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poprawki jest wyjaśnienie celu rejestracji w systemie Eurodac danych osób przesiedlonych na mocy rozporządzenia XXX/XXX.</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t>Dane biometryczne stanowią ważny element w dokładnym ustalaniu tożsamości</w:t>
            </w:r>
            <w:r w:rsidRPr="008947C5">
              <w:rPr>
                <w:color w:val="auto"/>
              </w:rPr>
              <w:t xml:space="preserve"> takich osób</w:t>
            </w:r>
            <w:r w:rsidRPr="008947C5">
              <w:rPr>
                <w:b/>
                <w:i/>
                <w:color w:val="auto"/>
              </w:rPr>
              <w:t>.</w:t>
            </w:r>
            <w:r w:rsidRPr="008947C5">
              <w:rPr>
                <w:color w:val="auto"/>
              </w:rPr>
              <w:t xml:space="preserve"> Konieczne jest ustanowienie systemu do porównywania ich danych daktyloskopijnych oraz danych dotyczących ich wizerunku twarzy.</w:t>
            </w:r>
          </w:p>
        </w:tc>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t>Aby zapewnić dużą dokładność identyfikacji</w:t>
            </w:r>
            <w:r w:rsidRPr="008947C5">
              <w:rPr>
                <w:color w:val="auto"/>
              </w:rPr>
              <w:t xml:space="preserve"> takich osób konieczne jest ustanowienie systemu do porównywania ich danych daktyloskopijnych oraz danych dotyczących ich wizerunku twarzy.</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Głównym celem systemu Eurodac jest rejestracja i umożliwienie dużej dokładności (ponownej) identyfikacji trzech kategorii osób wyszczególnionych w rozporządzeniu. Z tego względu należy to jasno wyrazić jako jeden z kluczowych motywów w tekście.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r>
            <w:r w:rsidRPr="008947C5">
              <w:rPr>
                <w:color w:val="auto"/>
              </w:rPr>
              <w:t>Dane biometryczne stanowią ważny element w dokładnym ustalaniu tożsamości takich osób. Konieczne jest ustanowienie systemu do porównywania ich danych daktyloskopijnych</w:t>
            </w:r>
            <w:r w:rsidRPr="008947C5">
              <w:rPr>
                <w:b/>
                <w:i/>
                <w:color w:val="auto"/>
              </w:rPr>
              <w:t xml:space="preserve"> oraz</w:t>
            </w:r>
            <w:r w:rsidRPr="008947C5">
              <w:rPr>
                <w:color w:val="auto"/>
              </w:rPr>
              <w:t xml:space="preserve"> danych dotyczących ich wizerunku twarzy.</w:t>
            </w:r>
          </w:p>
        </w:tc>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r>
            <w:r w:rsidRPr="008947C5">
              <w:rPr>
                <w:color w:val="auto"/>
              </w:rPr>
              <w:t>Dane biometryczne stanowią ważny element w dokładnym ustalaniu tożsamości takich osób. Konieczne jest ustanowienie systemu do porównywania ich danych daktyloskopijnych</w:t>
            </w:r>
            <w:r w:rsidRPr="008947C5">
              <w:rPr>
                <w:b/>
                <w:i/>
                <w:color w:val="auto"/>
              </w:rPr>
              <w:t>,</w:t>
            </w:r>
            <w:r w:rsidRPr="008947C5">
              <w:rPr>
                <w:color w:val="auto"/>
              </w:rPr>
              <w:t xml:space="preserve"> danych dotyczących ich wizerunku twarzy</w:t>
            </w:r>
            <w:r w:rsidRPr="008947C5">
              <w:rPr>
                <w:b/>
                <w:i/>
                <w:color w:val="auto"/>
              </w:rPr>
              <w:t xml:space="preserve"> lub obu tych rodzajów danych</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6</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(6)</w:t>
            </w:r>
            <w:r w:rsidRPr="008947C5">
              <w:rPr>
                <w:b/>
                <w:i/>
                <w:color w:val="auto"/>
              </w:rPr>
              <w:tab/>
            </w:r>
            <w:r w:rsidRPr="008947C5">
              <w:rPr>
                <w:color w:val="auto"/>
              </w:rPr>
              <w:t>W tym celu niezbędne jest ustanowienie systemu o nazwie Eurodac, składającego się z systemu centralnego, który będzie obsługiwał skomputeryzowaną centralną bazę danych daktyloskopijnych</w:t>
            </w:r>
            <w:r w:rsidRPr="008947C5">
              <w:rPr>
                <w:b/>
                <w:i/>
                <w:color w:val="auto"/>
              </w:rPr>
              <w:t xml:space="preserve"> oraz</w:t>
            </w:r>
            <w:r w:rsidRPr="008947C5">
              <w:rPr>
                <w:color w:val="auto"/>
              </w:rPr>
              <w:t xml:space="preserve"> danych dotyczących wizerunku twarzy, a także z elektronicznych narzędzi przesyłania danych między państwami członkowskimi a systemem centralnym, zwanych dalej</w:t>
            </w:r>
            <w:r w:rsidRPr="008947C5">
              <w:rPr>
                <w:b/>
                <w:i/>
                <w:color w:val="auto"/>
              </w:rPr>
              <w:t xml:space="preserve"> </w:t>
            </w:r>
            <w:r w:rsidRPr="008947C5">
              <w:rPr>
                <w:color w:val="auto"/>
              </w:rPr>
              <w:t>„infrastrukturą łączności”.</w:t>
            </w:r>
          </w:p>
        </w:tc>
        <w:tc>
          <w:tcPr>
            <w:tcW w:w="4876" w:type="dxa"/>
          </w:tcPr>
          <w:p w:rsidR="005E74C4" w:rsidRPr="008947C5" w:rsidRDefault="005E74C4" w:rsidP="009E4524">
            <w:pPr>
              <w:pStyle w:val="Normal6"/>
              <w:rPr>
                <w:b/>
                <w:i/>
                <w:color w:val="auto"/>
              </w:rPr>
            </w:pPr>
            <w:r w:rsidRPr="008947C5">
              <w:rPr>
                <w:color w:val="auto"/>
              </w:rPr>
              <w:t>(6)</w:t>
            </w:r>
            <w:r w:rsidRPr="008947C5">
              <w:rPr>
                <w:b/>
                <w:i/>
                <w:color w:val="auto"/>
              </w:rPr>
              <w:tab/>
            </w:r>
            <w:r w:rsidRPr="008947C5">
              <w:rPr>
                <w:color w:val="auto"/>
              </w:rPr>
              <w:t>W tym celu niezbędne jest ustanowienie systemu o nazwie Eurodac, składającego się z systemu centralnego, który będzie obsługiwał skomputeryzowaną centralną bazę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a także z elektronicznych narzędzi przesyłania danych między państwami członkowskimi a systemem centralnym, zwanych dalej</w:t>
            </w:r>
            <w:r w:rsidRPr="008947C5">
              <w:rPr>
                <w:b/>
                <w:i/>
                <w:color w:val="auto"/>
              </w:rPr>
              <w:t xml:space="preserve"> </w:t>
            </w:r>
            <w:r w:rsidRPr="008947C5">
              <w:rPr>
                <w:color w:val="auto"/>
              </w:rPr>
              <w:t>„infrastrukturą łączności”.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69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6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(6a)</w:t>
            </w:r>
            <w:r w:rsidRPr="008947C5">
              <w:rPr>
                <w:b/>
                <w:i/>
                <w:color w:val="auto"/>
              </w:rPr>
              <w:tab/>
              <w:t>Europejska Agencja ds. Zarządzania Operacyjnego Wielkoskalowymi Systemami Informatycznymi w Przestrzeni Wolności, Bezpieczeństwa i Sprawiedliwości (eu-LISA) powinna przeprowadzić badanie w celu ustalenia, czy konieczna jest harmonizacja połączeń identyfikatorów biometrycznych z różnych unijnych baz danych w dziedzinie wymiaru sprawiedliwości i spraw wewnętrznych. W szczególności należy ustalić, czy Eurodac miałby ograniczyć identyfikatory do czterech odcisków palców i wizerunku twarzy, tak jak ma</w:t>
            </w:r>
            <w:r w:rsidR="009E4524" w:rsidRPr="008947C5">
              <w:rPr>
                <w:b/>
                <w:i/>
                <w:color w:val="auto"/>
              </w:rPr>
              <w:t xml:space="preserve"> to</w:t>
            </w:r>
            <w:r w:rsidRPr="008947C5">
              <w:rPr>
                <w:b/>
                <w:i/>
                <w:color w:val="auto"/>
              </w:rPr>
              <w:t xml:space="preserve"> miejsce w przypadku systemu wjazdu/wyjazdu zgodnie z rozporządzeniem Parlamentu Europejskiego i Rady (UE) .../...</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należy zharmonizować połączenia identyfikatorów biometrycznych z różnych unijnych baz danych w dziedzinie wymiaru sprawiedliwości i spraw wewnętrznych.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9</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(9)</w:t>
            </w:r>
            <w:r w:rsidRPr="008947C5">
              <w:rPr>
                <w:b/>
                <w:i/>
                <w:color w:val="auto"/>
              </w:rPr>
              <w:tab/>
              <w:t>Kryzys uchodźczy i migracyjny z 2015 r. przyniósł ze sobą wyzwania, z którymi zmagają się niektóre państwa członkowskie</w:t>
            </w:r>
            <w:r w:rsidRPr="008947C5">
              <w:rPr>
                <w:color w:val="auto"/>
              </w:rPr>
              <w:t xml:space="preserve"> w</w:t>
            </w:r>
            <w:r w:rsidRPr="008947C5">
              <w:rPr>
                <w:b/>
                <w:i/>
                <w:color w:val="auto"/>
              </w:rPr>
              <w:t xml:space="preserve"> związku z pobieraniem odcisków palców nielegalnie przebywających obywateli państw trzecich lub bezpaństwowców, którzy usiłowali ominąć procedury związane z określaniem państwa członkowskiego odpowiedzialnego za rozpatrzenie wniosku o udzielenie ochrony międzynarodowej. </w:t>
            </w:r>
            <w:r w:rsidRPr="008947C5">
              <w:rPr>
                <w:color w:val="auto"/>
              </w:rPr>
              <w:t>W komunikacie Komisji z dnia 13 maja 2015 zatytułowanym</w:t>
            </w:r>
            <w:r w:rsidRPr="008947C5">
              <w:rPr>
                <w:b/>
                <w:i/>
                <w:color w:val="auto"/>
              </w:rPr>
              <w:t xml:space="preserve"> </w:t>
            </w:r>
            <w:r w:rsidRPr="008947C5">
              <w:rPr>
                <w:color w:val="auto"/>
              </w:rPr>
              <w:t>„Europejski Program w Zakresie Migracji”</w:t>
            </w:r>
            <w:r w:rsidRPr="008947C5">
              <w:rPr>
                <w:rStyle w:val="Sup"/>
                <w:color w:val="auto"/>
              </w:rPr>
              <w:t>25</w:t>
            </w:r>
            <w:r w:rsidRPr="008947C5">
              <w:rPr>
                <w:color w:val="auto"/>
              </w:rPr>
              <w:t xml:space="preserve"> odnotowano, że</w:t>
            </w:r>
            <w:r w:rsidRPr="008947C5">
              <w:rPr>
                <w:b/>
                <w:i/>
                <w:color w:val="auto"/>
              </w:rPr>
              <w:t xml:space="preserve"> </w:t>
            </w:r>
            <w:r w:rsidRPr="008947C5">
              <w:rPr>
                <w:color w:val="auto"/>
              </w:rPr>
              <w:t>„państwa członkowskie muszą również w pełni wdrożyć przepisy dotyczące pobierania odcisków palców od migrantów na granicach”, proponując jednocześnie, że</w:t>
            </w:r>
            <w:r w:rsidRPr="008947C5">
              <w:rPr>
                <w:b/>
                <w:i/>
                <w:color w:val="auto"/>
              </w:rPr>
              <w:t xml:space="preserve"> </w:t>
            </w:r>
            <w:r w:rsidRPr="008947C5">
              <w:rPr>
                <w:color w:val="auto"/>
              </w:rPr>
              <w:t>„Komisja zbada także, w jaki sposób identyfikatory biometryczne mogą być lepiej wykorzystywane w ramach systemu Eurodac</w:t>
            </w:r>
            <w:r w:rsidRPr="008947C5">
              <w:rPr>
                <w:b/>
                <w:i/>
                <w:color w:val="auto"/>
              </w:rPr>
              <w:t xml:space="preserve"> </w:t>
            </w:r>
            <w:r w:rsidRPr="008947C5">
              <w:rPr>
                <w:color w:val="auto"/>
              </w:rPr>
              <w:t>(np. stosowanie techniki rozpoznawania twarzy na podstawie fotografii cyfrowych)”.</w:t>
            </w:r>
          </w:p>
        </w:tc>
        <w:tc>
          <w:tcPr>
            <w:tcW w:w="4876" w:type="dxa"/>
          </w:tcPr>
          <w:p w:rsidR="005E74C4" w:rsidRPr="008947C5" w:rsidRDefault="005E74C4" w:rsidP="009E4524">
            <w:pPr>
              <w:pStyle w:val="Normal6"/>
              <w:rPr>
                <w:b/>
                <w:i/>
                <w:color w:val="auto"/>
              </w:rPr>
            </w:pPr>
            <w:r w:rsidRPr="008947C5">
              <w:rPr>
                <w:color w:val="auto"/>
              </w:rPr>
              <w:t>(9)</w:t>
            </w:r>
            <w:r w:rsidRPr="008947C5">
              <w:rPr>
                <w:b/>
                <w:i/>
                <w:color w:val="auto"/>
              </w:rPr>
              <w:tab/>
            </w:r>
            <w:r w:rsidRPr="008947C5">
              <w:rPr>
                <w:color w:val="auto"/>
              </w:rPr>
              <w:t>W komunikacie Komisji z dnia 13 maja 2015 zatytułowanym</w:t>
            </w:r>
            <w:r w:rsidRPr="008947C5">
              <w:rPr>
                <w:b/>
                <w:i/>
                <w:color w:val="auto"/>
              </w:rPr>
              <w:t xml:space="preserve"> </w:t>
            </w:r>
            <w:r w:rsidRPr="008947C5">
              <w:rPr>
                <w:color w:val="auto"/>
              </w:rPr>
              <w:t>„Europejski Program w Zakresie Migracji”</w:t>
            </w:r>
            <w:r w:rsidRPr="008947C5">
              <w:rPr>
                <w:rStyle w:val="Sup"/>
                <w:color w:val="auto"/>
              </w:rPr>
              <w:t>25</w:t>
            </w:r>
            <w:r w:rsidRPr="008947C5">
              <w:rPr>
                <w:color w:val="auto"/>
              </w:rPr>
              <w:t xml:space="preserve"> odnotowano, że</w:t>
            </w:r>
            <w:r w:rsidRPr="008947C5">
              <w:rPr>
                <w:b/>
                <w:i/>
                <w:color w:val="auto"/>
              </w:rPr>
              <w:t xml:space="preserve"> </w:t>
            </w:r>
            <w:r w:rsidRPr="008947C5">
              <w:rPr>
                <w:color w:val="auto"/>
              </w:rPr>
              <w:t>„państwa członkowskie muszą również w pełni wdrożyć przepisy dotyczące pobierania odcisków palców od migrantów na granicach”, proponując jednocześnie, że</w:t>
            </w:r>
            <w:r w:rsidRPr="008947C5">
              <w:rPr>
                <w:b/>
                <w:i/>
                <w:color w:val="auto"/>
              </w:rPr>
              <w:t xml:space="preserve"> </w:t>
            </w:r>
            <w:r w:rsidRPr="008947C5">
              <w:rPr>
                <w:color w:val="auto"/>
              </w:rPr>
              <w:t>„Komisja zbada także, w jaki sposób identyfikatory biometryczne mogą być lepiej wykorzystywane w ramach systemu Eurodac</w:t>
            </w:r>
            <w:r w:rsidRPr="008947C5">
              <w:rPr>
                <w:b/>
                <w:i/>
                <w:color w:val="auto"/>
              </w:rPr>
              <w:t xml:space="preserve"> </w:t>
            </w:r>
            <w:r w:rsidRPr="008947C5">
              <w:rPr>
                <w:color w:val="auto"/>
              </w:rPr>
              <w:t>(np. stosowanie techniki rozpoznawania twarzy na podstawie fotografii cyfrowych)”.</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25</w:t>
            </w:r>
            <w:r w:rsidRPr="008947C5">
              <w:rPr>
                <w:color w:val="auto"/>
              </w:rPr>
              <w:t xml:space="preserve"> COM(2015) 240 final z 13.5.2015</w:t>
            </w:r>
            <w:r w:rsidR="00447681" w:rsidRPr="008947C5">
              <w:rPr>
                <w:color w:val="auto"/>
              </w:rPr>
              <w:t xml:space="preserve"> </w:t>
            </w:r>
            <w:r w:rsidRPr="008947C5">
              <w:rPr>
                <w:color w:val="auto"/>
              </w:rPr>
              <w:t>r.</w:t>
            </w:r>
          </w:p>
        </w:tc>
        <w:tc>
          <w:tcPr>
            <w:tcW w:w="4876" w:type="dxa"/>
          </w:tcPr>
          <w:p w:rsidR="005E74C4" w:rsidRPr="008947C5" w:rsidRDefault="005E74C4" w:rsidP="009E4524">
            <w:pPr>
              <w:pStyle w:val="Normal6"/>
              <w:rPr>
                <w:b/>
                <w:i/>
                <w:color w:val="auto"/>
              </w:rPr>
            </w:pPr>
            <w:r w:rsidRPr="008947C5">
              <w:rPr>
                <w:rStyle w:val="Sup"/>
                <w:color w:val="auto"/>
              </w:rPr>
              <w:t>25</w:t>
            </w:r>
            <w:r w:rsidRPr="008947C5">
              <w:rPr>
                <w:color w:val="auto"/>
              </w:rPr>
              <w:t xml:space="preserve"> COM(2015) 240 final z 13.5.2015</w:t>
            </w:r>
            <w:r w:rsidR="00447681" w:rsidRPr="008947C5">
              <w:rPr>
                <w:color w:val="auto"/>
              </w:rPr>
              <w:t xml:space="preserve"> </w:t>
            </w:r>
            <w:r w:rsidRPr="008947C5">
              <w:rPr>
                <w:color w:val="auto"/>
              </w:rPr>
              <w:t>r.</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r>
            <w:r w:rsidRPr="008947C5">
              <w:rPr>
                <w:color w:val="auto"/>
              </w:rPr>
              <w:t>Aby pomóc państwom członkowskim w pokonywaniu wyzwań związanych z niepoddaniem się procedurze pobierania odcisków palców, niniejsze rozporządzenie</w:t>
            </w:r>
            <w:r w:rsidRPr="008947C5">
              <w:rPr>
                <w:b/>
                <w:i/>
                <w:color w:val="auto"/>
              </w:rPr>
              <w:t xml:space="preserve"> dopuszcza również jako ostateczność porównywanie wizerunku twarzy bez odcisków palców w sytuacjach, w których nie jest możliwe pobranie odcisków palców od obywatela państwa trzeciego lub bezpaństwowca, ponieważ jego opuszki palców są zniszczone, celowo lub nie, bądź amputowane. Zanim w sytuacji niepoddania się procedurze</w:t>
            </w:r>
            <w:r w:rsidRPr="008947C5">
              <w:rPr>
                <w:color w:val="auto"/>
              </w:rPr>
              <w:t xml:space="preserve"> pobierania odcisków palców z</w:t>
            </w:r>
            <w:r w:rsidRPr="008947C5">
              <w:rPr>
                <w:b/>
                <w:i/>
                <w:color w:val="auto"/>
              </w:rPr>
              <w:t xml:space="preserve"> powodów niepowiązanych ze stanem opuszków palców, przeprowadzone zostanie porównanie z wykorzystaniem jedynie wizerunku twarzy, państwa członkowskie powinny wyczerpać wszystkie możliwości pozwalające na zapewnienie pobrania odcisków palców od osoby, której dotyczą dane. Jeżeli wizerunki twarzy są używane w połączeniu z danymi daktyloskopijnymi, pozwala to na ograniczenie zarejestrowanych odcisków palców, przy jednoczesnym zapewnieniu takiego samego wyniku pod względem dokładności identyfikacji.</w:t>
            </w:r>
          </w:p>
        </w:tc>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r>
            <w:r w:rsidRPr="008947C5">
              <w:rPr>
                <w:color w:val="auto"/>
              </w:rPr>
              <w:t>Aby pomóc państwom członkowskim w pokonywaniu wyzwań związanych z niepoddaniem się procedurze pobierania odcisków palców, niniejsze rozporządzenie</w:t>
            </w:r>
            <w:r w:rsidRPr="008947C5">
              <w:rPr>
                <w:b/>
                <w:i/>
                <w:color w:val="auto"/>
              </w:rPr>
              <w:t xml:space="preserve"> powinno być wdrażane zgodnie z wytycznymi ustanowionymi przez Europejską Agencję Praw Podstawowych w dokumencie tematycznym pt. „Fundamental rights implications of the obligation to provide fingerprints for Eurodac” [„Obowiązek</w:t>
            </w:r>
            <w:r w:rsidRPr="008947C5">
              <w:rPr>
                <w:color w:val="auto"/>
              </w:rPr>
              <w:t xml:space="preserve"> pobierania odcisków palców</w:t>
            </w:r>
            <w:r w:rsidRPr="008947C5">
              <w:rPr>
                <w:b/>
                <w:i/>
                <w:color w:val="auto"/>
              </w:rPr>
              <w:t xml:space="preserve"> na potrzeby systemu Eurodac a prawa podstawowe”]</w:t>
            </w:r>
            <w:r w:rsidRPr="008947C5">
              <w:rPr>
                <w:color w:val="auto"/>
              </w:rPr>
              <w:t xml:space="preserve"> z</w:t>
            </w:r>
            <w:r w:rsidRPr="008947C5">
              <w:rPr>
                <w:b/>
                <w:i/>
                <w:color w:val="auto"/>
              </w:rPr>
              <w:t xml:space="preserve"> maja 2015</w:t>
            </w:r>
            <w:r w:rsidR="00447681" w:rsidRPr="008947C5">
              <w:rPr>
                <w:b/>
                <w:i/>
                <w:color w:val="auto"/>
              </w:rPr>
              <w:t xml:space="preserve"> </w:t>
            </w:r>
            <w:r w:rsidRPr="008947C5">
              <w:rPr>
                <w:b/>
                <w:i/>
                <w:color w:val="auto"/>
              </w:rPr>
              <w:t>r.</w:t>
            </w:r>
            <w:r w:rsidRPr="008947C5">
              <w:rPr>
                <w:b/>
                <w:i/>
                <w:color w:val="auto"/>
                <w:vertAlign w:val="superscript"/>
              </w:rPr>
              <w:t>1a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610A40"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1D7C" w:rsidRDefault="005E74C4" w:rsidP="009E4524">
            <w:pPr>
              <w:pStyle w:val="Normal6"/>
              <w:rPr>
                <w:b/>
                <w:i/>
                <w:color w:val="auto"/>
                <w:lang w:val="pt-PT"/>
              </w:rPr>
            </w:pPr>
            <w:r w:rsidRPr="00891D7C">
              <w:rPr>
                <w:b/>
                <w:i/>
                <w:color w:val="auto"/>
                <w:vertAlign w:val="superscript"/>
                <w:lang w:val="pt-PT"/>
              </w:rPr>
              <w:t>1a</w:t>
            </w:r>
            <w:r w:rsidRPr="00891D7C">
              <w:rPr>
                <w:b/>
                <w:i/>
                <w:color w:val="auto"/>
                <w:lang w:val="pt-PT"/>
              </w:rPr>
              <w:t xml:space="preserve"> http://fra.europa.eu/sites/default/files/fra_uploads/fra-2015-fingerprinting-focus-paper_en.pdf</w:t>
            </w:r>
            <w:r w:rsidR="00610A40">
              <w:rPr>
                <w:b/>
                <w:i/>
                <w:color w:val="auto"/>
                <w:lang w:val="pt-PT"/>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r>
            <w:r w:rsidRPr="008947C5">
              <w:rPr>
                <w:color w:val="auto"/>
              </w:rPr>
              <w:t>Aby pomóc państwom członkowskim w</w:t>
            </w:r>
            <w:r w:rsidRPr="008947C5">
              <w:rPr>
                <w:b/>
                <w:i/>
                <w:color w:val="auto"/>
              </w:rPr>
              <w:t xml:space="preserve"> pokonywaniu</w:t>
            </w:r>
            <w:r w:rsidRPr="008947C5">
              <w:rPr>
                <w:color w:val="auto"/>
              </w:rPr>
              <w:t xml:space="preserve"> wyzwań</w:t>
            </w:r>
            <w:r w:rsidRPr="008947C5">
              <w:rPr>
                <w:b/>
                <w:i/>
                <w:color w:val="auto"/>
              </w:rPr>
              <w:t xml:space="preserve"> związanych z niepoddaniem się procedurze pobierania odcisków palców, niniejsze rozporządzenie dopuszcza również jako ostateczność porównywanie wizerunku twarzy bez odcisków palców</w:t>
            </w:r>
            <w:r w:rsidRPr="008947C5">
              <w:rPr>
                <w:color w:val="auto"/>
              </w:rPr>
              <w:t xml:space="preserve"> w sytuacjach, w których nie jest możliwe pobranie odcisków palców od obywatela państwa trzeciego lub bezpaństwowca, ponieważ jego opuszki palców są zniszczone, celowo lub nie, bądź amputowane. Zanim</w:t>
            </w:r>
            <w:r w:rsidRPr="008947C5">
              <w:rPr>
                <w:b/>
                <w:i/>
                <w:color w:val="auto"/>
              </w:rPr>
              <w:t xml:space="preserve"> w sytuacji niepoddania się procedurze pobierania odcisków palców z powodów niepowiązanych ze stanem opuszków palców,</w:t>
            </w:r>
            <w:r w:rsidRPr="008947C5">
              <w:rPr>
                <w:color w:val="auto"/>
              </w:rPr>
              <w:t xml:space="preserve"> przeprowadzone zostanie porównanie z wykorzystaniem jedynie wizerunku twarzy, państwa członkowskie powinny wyczerpać wszystkie możliwości pozwalające na zapewnienie pobrania odcisków palców od osoby, której dotyczą dane.</w:t>
            </w:r>
            <w:r w:rsidRPr="008947C5">
              <w:rPr>
                <w:b/>
                <w:i/>
                <w:color w:val="auto"/>
              </w:rPr>
              <w:t xml:space="preserve"> Jeżeli wizerunki twarzy są używane w połączeniu z danymi daktyloskopijnymi, pozwala to na ograniczenie zarejestrowanych odcisków palców, przy jednoczesnym zapewnieniu takiego samego wyniku pod względem dokładności identyfikacji.</w:t>
            </w:r>
          </w:p>
        </w:tc>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t>W celu uzyskania dużej dokładności w identyfikacji odciski palców powinny być zawsze preferowane w stosunku do wizerunku twarzy.</w:t>
            </w:r>
            <w:r w:rsidRPr="008947C5">
              <w:rPr>
                <w:color w:val="auto"/>
              </w:rPr>
              <w:t xml:space="preserve"> Aby pomóc państwom członkowskim w</w:t>
            </w:r>
            <w:r w:rsidRPr="008947C5">
              <w:rPr>
                <w:b/>
                <w:i/>
                <w:color w:val="auto"/>
              </w:rPr>
              <w:t xml:space="preserve"> podjęciu tych</w:t>
            </w:r>
            <w:r w:rsidRPr="008947C5">
              <w:rPr>
                <w:color w:val="auto"/>
              </w:rPr>
              <w:t xml:space="preserve"> wyzwań</w:t>
            </w:r>
            <w:r w:rsidRPr="008947C5">
              <w:rPr>
                <w:b/>
                <w:i/>
                <w:color w:val="auto"/>
              </w:rPr>
              <w:t>,</w:t>
            </w:r>
            <w:r w:rsidRPr="008947C5">
              <w:rPr>
                <w:color w:val="auto"/>
              </w:rPr>
              <w:t xml:space="preserve"> w sytuacjach, w których nie jest możliwe pobranie odcisków palców od obywatela państwa trzeciego lub bezpaństwowca, ponieważ jego opuszki palców są zniszczone, celowo lub nie, bądź amputowane</w:t>
            </w:r>
            <w:r w:rsidRPr="008947C5">
              <w:rPr>
                <w:b/>
                <w:i/>
                <w:color w:val="auto"/>
              </w:rPr>
              <w:t>, niniejsze rozporządzenie powinno również dopuszczać rejestrację i porównywanie wizerunku twarzy bez odcisków palców</w:t>
            </w:r>
            <w:r w:rsidRPr="008947C5">
              <w:rPr>
                <w:color w:val="auto"/>
              </w:rPr>
              <w:t>. Zanim przeprowadzone zostanie porównanie z wykorzystaniem jedynie wizerunku twarzy, państwa członkowskie powinny wyczerpać wszystkie możliwości pozwalające na zapewnienie pobrania odcisków palców od osoby, której dotyczą dane.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r>
            <w:r w:rsidRPr="008947C5">
              <w:rPr>
                <w:color w:val="auto"/>
              </w:rPr>
              <w:t>Aby pomóc państwom członkowskim w pokonywaniu wyzwań związanych z niepoddaniem się procedurze pobierania odcisków palców, niniejsze rozporządzenie dopuszcza również jako ostateczność porównywanie wizerunku twarzy bez odcisków palców w sytuacjach, w których nie jest możliwe pobranie odcisków palców od obywatela państwa trzeciego lub bezpaństwowca, ponieważ jego opuszki palców są zniszczone, celowo lub nie, bądź amputowane. Zanim w sytuacji niepoddania się procedurze pobierania odcisków palców z powodów niepowiązanych ze stanem opuszków palców, przeprowadzone zostanie porównanie z wykorzystaniem jedynie wizerunku twarzy, państwa członkowskie powinny wyczerpać wszystkie możliwości pozwalające na zapewnienie pobrania odcisków palców od osoby, której dotyczą dane. Jeżeli wizerunki twarzy są używane w połączeniu z danymi daktyloskopijnymi,</w:t>
            </w:r>
            <w:r w:rsidRPr="008947C5">
              <w:rPr>
                <w:b/>
                <w:i/>
                <w:color w:val="auto"/>
              </w:rPr>
              <w:t xml:space="preserve"> pozwala to na ograniczenie</w:t>
            </w:r>
            <w:r w:rsidRPr="008947C5">
              <w:rPr>
                <w:color w:val="auto"/>
              </w:rPr>
              <w:t xml:space="preserve"> zarejestrowanych odcisków palców,</w:t>
            </w:r>
            <w:r w:rsidRPr="008947C5">
              <w:rPr>
                <w:b/>
                <w:i/>
                <w:color w:val="auto"/>
              </w:rPr>
              <w:t xml:space="preserve"> przy jednoczesnym zapewnieniu takiego samego wyniku</w:t>
            </w:r>
            <w:r w:rsidRPr="008947C5">
              <w:rPr>
                <w:color w:val="auto"/>
              </w:rPr>
              <w:t xml:space="preserve"> pod względem dokładności identyfikacji.</w:t>
            </w:r>
          </w:p>
        </w:tc>
        <w:tc>
          <w:tcPr>
            <w:tcW w:w="4876" w:type="dxa"/>
          </w:tcPr>
          <w:p w:rsidR="005E74C4" w:rsidRPr="008947C5" w:rsidRDefault="005E74C4" w:rsidP="009E4524">
            <w:pPr>
              <w:pStyle w:val="Normal6"/>
              <w:rPr>
                <w:b/>
                <w:i/>
                <w:color w:val="auto"/>
              </w:rPr>
            </w:pPr>
            <w:r w:rsidRPr="008947C5">
              <w:rPr>
                <w:color w:val="auto"/>
              </w:rPr>
              <w:t>(10)</w:t>
            </w:r>
            <w:r w:rsidRPr="008947C5">
              <w:rPr>
                <w:b/>
                <w:i/>
                <w:color w:val="auto"/>
              </w:rPr>
              <w:tab/>
            </w:r>
            <w:r w:rsidRPr="008947C5">
              <w:rPr>
                <w:color w:val="auto"/>
              </w:rPr>
              <w:t>Aby pomóc państwom członkowskim w pokonywaniu wyzwań związanych z niepoddaniem się procedurze pobierania odcisków palców, niniejsze rozporządzenie dopuszcza również jako ostateczność porównywanie wizerunku twarzy bez odcisków palców w sytuacjach, w których nie jest możliwe pobranie odcisków palców od obywatela państwa trzeciego lub bezpaństwowca, ponieważ jego opuszki palców są zniszczone, celowo lub nie, bądź amputowane.</w:t>
            </w:r>
            <w:r w:rsidRPr="008947C5">
              <w:rPr>
                <w:b/>
                <w:i/>
                <w:color w:val="auto"/>
              </w:rPr>
              <w:t xml:space="preserve"> Jeżeli fizyczny brak możliwości pobrania odcisków palców ma charakter tymczasowy, należy odnotować ten fakt, a proces pobrania odcisków palców należy przeprowadzić później, kiedy fizyczna integralność opuszków palców zostanie przywrócona.</w:t>
            </w:r>
            <w:r w:rsidRPr="008947C5">
              <w:rPr>
                <w:color w:val="auto"/>
              </w:rPr>
              <w:t xml:space="preserve"> Zanim w sytuacji niepoddania się procedurze pobierania odcisków palców z powodów niepowiązanych ze stanem opuszków palców, przeprowadzone zostanie porównanie z wykorzystaniem jedynie wizerunku twarzy, państwa członkowskie powinny wyczerpać wszystkie możliwości pozwalające na zapewnienie pobrania odcisków palców od osoby, której dotyczą dane. Jeżeli wizerunki twarzy</w:t>
            </w:r>
            <w:r w:rsidRPr="008947C5">
              <w:rPr>
                <w:b/>
                <w:i/>
                <w:color w:val="auto"/>
              </w:rPr>
              <w:t xml:space="preserve"> o dostatecznej rozdzielczości i jakości obrazu używane do automatycznego kojarzenia danych biometrycznych</w:t>
            </w:r>
            <w:r w:rsidRPr="008947C5">
              <w:rPr>
                <w:color w:val="auto"/>
              </w:rPr>
              <w:t xml:space="preserve"> są używane w połączeniu z danymi daktyloskopijnymi,</w:t>
            </w:r>
            <w:r w:rsidRPr="008947C5">
              <w:rPr>
                <w:b/>
                <w:i/>
                <w:color w:val="auto"/>
              </w:rPr>
              <w:t xml:space="preserve"> powinno być możliwe rozważenie ograniczenia liczby</w:t>
            </w:r>
            <w:r w:rsidRPr="008947C5">
              <w:rPr>
                <w:color w:val="auto"/>
              </w:rPr>
              <w:t xml:space="preserve"> zarejestrowanych odcisków palców, pod</w:t>
            </w:r>
            <w:r w:rsidRPr="008947C5">
              <w:rPr>
                <w:b/>
                <w:i/>
                <w:color w:val="auto"/>
              </w:rPr>
              <w:t xml:space="preserve"> warunkiem że pozwala to osiągnąć ten sam wynik pod</w:t>
            </w:r>
            <w:r w:rsidRPr="008947C5">
              <w:rPr>
                <w:color w:val="auto"/>
              </w:rPr>
              <w:t xml:space="preserve"> względem dokładności identyfikacji.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(11)</w:t>
            </w:r>
            <w:r w:rsidRPr="008947C5">
              <w:rPr>
                <w:b/>
                <w:i/>
                <w:color w:val="auto"/>
              </w:rPr>
              <w:tab/>
              <w:t>Zasadniczym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b/>
                <w:i/>
                <w:color w:val="auto"/>
                <w:vertAlign w:val="superscript"/>
              </w:rPr>
              <w:t>26</w:t>
            </w:r>
            <w:r w:rsidRPr="008947C5">
              <w:rPr>
                <w:b/>
                <w:i/>
                <w:color w:val="auto"/>
              </w:rPr>
              <w:t>. Zwiększenie skuteczności unijnego systemu powrotów nielegalnie przebywających obywateli państw trzecich jest konieczne dla utrzymania zaufania publicznego do unijnego systemu migracji i systemu azylowego; powinno towarzyszyć mu podejmowanie wysiłków na rzecz zapewnienia ochrony osobom jej potrzebującym.</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_________________</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vertAlign w:val="superscript"/>
              </w:rPr>
              <w:t>26</w:t>
            </w:r>
            <w:r w:rsidRPr="008947C5">
              <w:rPr>
                <w:b/>
                <w:i/>
                <w:color w:val="auto"/>
              </w:rPr>
              <w:t xml:space="preserve"> Dyrektywa Parlamentu Europejskiego i Rady z dnia 16 grudnia 2008 r. w sprawie wspólnych norm i procedur stosowanych do powrotów nielegalnie przebywających obywateli państw trzecich, Dz.U. L 348 z 24.12.2008, s. 98.</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w:t>
            </w:r>
            <w:r w:rsidRPr="008947C5">
              <w:rPr>
                <w:b/>
                <w:i/>
                <w:color w:val="auto"/>
              </w:rPr>
              <w:t xml:space="preserve"> szeroko zakrojonych wysiłków służących rozwiązaniu problemu migracji, a przede wszystkim</w:t>
            </w:r>
            <w:r w:rsidRPr="008947C5">
              <w:rPr>
                <w:color w:val="auto"/>
              </w:rPr>
              <w:t xml:space="preserve"> ograniczenia i powstrzymania migracji</w:t>
            </w:r>
            <w:r w:rsidRPr="008947C5">
              <w:rPr>
                <w:b/>
                <w:i/>
                <w:color w:val="auto"/>
              </w:rPr>
              <w:t xml:space="preserve"> nielegalnej</w:t>
            </w:r>
            <w:r w:rsidRPr="008947C5">
              <w:rPr>
                <w:color w:val="auto"/>
              </w:rPr>
              <w:t>,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w:t>
            </w:r>
            <w:r w:rsidRPr="008947C5">
              <w:rPr>
                <w:b/>
                <w:i/>
                <w:color w:val="auto"/>
              </w:rPr>
              <w:t xml:space="preserve"> unijnego</w:t>
            </w:r>
            <w:r w:rsidRPr="008947C5">
              <w:rPr>
                <w:color w:val="auto"/>
              </w:rPr>
              <w:t xml:space="preserve"> systemu</w:t>
            </w:r>
            <w:r w:rsidRPr="008947C5">
              <w:rPr>
                <w:b/>
                <w:i/>
                <w:color w:val="auto"/>
              </w:rPr>
              <w:t xml:space="preserve"> migracji i systemu</w:t>
            </w:r>
            <w:r w:rsidRPr="008947C5">
              <w:rPr>
                <w:color w:val="auto"/>
              </w:rPr>
              <w:t xml:space="preserve"> azylowego</w:t>
            </w:r>
            <w:r w:rsidRPr="008947C5">
              <w:rPr>
                <w:b/>
                <w:i/>
                <w:color w:val="auto"/>
              </w:rPr>
              <w:t>; powinno towarzyszyć mu podejmowanie wysiłków na rzecz</w:t>
            </w:r>
            <w:r w:rsidRPr="008947C5">
              <w:rPr>
                <w:color w:val="auto"/>
              </w:rPr>
              <w:t xml:space="preserve"> zapewnienia ochrony osobom jej potrzebującym.</w:t>
            </w:r>
          </w:p>
        </w:tc>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w:t>
            </w:r>
            <w:r w:rsidRPr="008947C5">
              <w:rPr>
                <w:b/>
                <w:i/>
                <w:color w:val="auto"/>
              </w:rPr>
              <w:t xml:space="preserve"> sprawiedliwego i skutecznego wspólnego europejskiego systemu azylowego, również w celu</w:t>
            </w:r>
            <w:r w:rsidRPr="008947C5">
              <w:rPr>
                <w:color w:val="auto"/>
              </w:rPr>
              <w:t xml:space="preserve"> ograniczenia i powstrzymania</w:t>
            </w:r>
            <w:r w:rsidRPr="008947C5">
              <w:rPr>
                <w:b/>
                <w:i/>
                <w:color w:val="auto"/>
              </w:rPr>
              <w:t xml:space="preserve"> nielegalnej</w:t>
            </w:r>
            <w:r w:rsidRPr="008947C5">
              <w:rPr>
                <w:color w:val="auto"/>
              </w:rPr>
              <w:t xml:space="preserve"> migracji,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w:t>
            </w:r>
            <w:r w:rsidRPr="008947C5">
              <w:rPr>
                <w:b/>
                <w:i/>
                <w:color w:val="auto"/>
              </w:rPr>
              <w:t xml:space="preserve"> wspólnego europejskiego</w:t>
            </w:r>
            <w:r w:rsidRPr="008947C5">
              <w:rPr>
                <w:color w:val="auto"/>
              </w:rPr>
              <w:t xml:space="preserve"> systemu azylowego</w:t>
            </w:r>
            <w:r w:rsidRPr="008947C5">
              <w:rPr>
                <w:b/>
                <w:i/>
                <w:color w:val="auto"/>
              </w:rPr>
              <w:t>, co ma kluczowe znaczenie dla utrzymania obowiązku</w:t>
            </w:r>
            <w:r w:rsidRPr="008947C5">
              <w:rPr>
                <w:color w:val="auto"/>
              </w:rPr>
              <w:t xml:space="preserve"> zapewnienia ochrony osobom jej potrzebującym.</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Nadine Morano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 unijnego systemu migracji i systemu azylowego; powinno</w:t>
            </w:r>
            <w:r w:rsidRPr="008947C5">
              <w:rPr>
                <w:b/>
                <w:i/>
                <w:color w:val="auto"/>
              </w:rPr>
              <w:t xml:space="preserve"> towarzyszyć mu podejmowanie wysiłków</w:t>
            </w:r>
            <w:r w:rsidRPr="008947C5">
              <w:rPr>
                <w:color w:val="auto"/>
              </w:rPr>
              <w:t xml:space="preserve"> na rzecz zapewnienia ochrony osobom jej potrzebującym.</w:t>
            </w:r>
          </w:p>
        </w:tc>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w:t>
            </w:r>
            <w:r w:rsidRPr="008947C5">
              <w:rPr>
                <w:b/>
                <w:i/>
                <w:color w:val="auto"/>
              </w:rPr>
              <w:t xml:space="preserve"> systematycznych</w:t>
            </w:r>
            <w:r w:rsidRPr="008947C5">
              <w:rPr>
                <w:color w:val="auto"/>
              </w:rPr>
              <w:t xml:space="preserve"> powrotów nielegalnie przebywających obywateli państw trzecich jest konieczne dla utrzymania zaufania publicznego do unijnego systemu migracji i systemu azylowego; powinno</w:t>
            </w:r>
            <w:r w:rsidRPr="008947C5">
              <w:rPr>
                <w:b/>
                <w:i/>
                <w:color w:val="auto"/>
              </w:rPr>
              <w:t xml:space="preserve"> być ono nierozłącznie powiązane z wysiłkami</w:t>
            </w:r>
            <w:r w:rsidRPr="008947C5">
              <w:rPr>
                <w:color w:val="auto"/>
              </w:rPr>
              <w:t xml:space="preserve"> na rzecz zapewnienia ochrony osobom jej potrzebującym</w:t>
            </w:r>
            <w:r w:rsidRPr="008947C5">
              <w:rPr>
                <w:b/>
                <w:i/>
                <w:color w:val="auto"/>
              </w:rPr>
              <w:t>, które jako pierwsze odczuwają negatywne skutki nielegalnej imigracji</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Le taux d'exécution des retours des ressortissants de pays tiers est incroyablement faible (pour la France, de 1% selon la Cour des Comptes à 10% selon la CIMADE). La politique d'asile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l'un des moteurs qui nourrissent la défiance des peuples européens vis-à-vis de l'immigration.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l'accueil.</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 unijnego systemu migracji i systemu azylowego; powinno towarzyszyć mu podejmowanie wysiłków na rzecz zapewnienia ochrony osobom jej potrzebującym.</w:t>
            </w:r>
          </w:p>
        </w:tc>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Zasadniczym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w:t>
            </w:r>
            <w:r w:rsidRPr="008947C5">
              <w:rPr>
                <w:b/>
                <w:i/>
                <w:color w:val="auto"/>
              </w:rPr>
              <w:t xml:space="preserve"> zasady non refoulement,</w:t>
            </w:r>
            <w:r w:rsidRPr="008947C5">
              <w:rPr>
                <w:color w:val="auto"/>
              </w:rPr>
              <w:t xml:space="preserve">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 unijnego systemu migracji i systemu azylowego; powinno towarzyszyć mu podejmowanie wysiłków na rzecz zapewnienia ochrony osobom jej potrzebującym.</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t>Zasadniczym</w:t>
            </w:r>
            <w:r w:rsidRPr="008947C5">
              <w:rPr>
                <w:color w:val="auto"/>
              </w:rPr>
              <w:t xml:space="preserve"> 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 unijnego systemu migracji i systemu azylowego; powinno towarzyszyć mu podejmowanie wysiłków na rzecz zapewnienia ochrony osobom jej potrzebującym.</w:t>
            </w:r>
          </w:p>
        </w:tc>
        <w:tc>
          <w:tcPr>
            <w:tcW w:w="4876" w:type="dxa"/>
          </w:tcPr>
          <w:p w:rsidR="005E74C4" w:rsidRPr="008947C5" w:rsidRDefault="005E74C4" w:rsidP="009E4524">
            <w:pPr>
              <w:pStyle w:val="Normal6"/>
              <w:rPr>
                <w:b/>
                <w:i/>
                <w:color w:val="auto"/>
              </w:rPr>
            </w:pPr>
            <w:r w:rsidRPr="008947C5">
              <w:rPr>
                <w:color w:val="auto"/>
              </w:rPr>
              <w:t>(11)</w:t>
            </w:r>
            <w:r w:rsidRPr="008947C5">
              <w:rPr>
                <w:b/>
                <w:i/>
                <w:color w:val="auto"/>
              </w:rPr>
              <w:tab/>
            </w:r>
            <w:r w:rsidRPr="008947C5">
              <w:rPr>
                <w:color w:val="auto"/>
              </w:rPr>
              <w:t>Elementem szeroko zakrojonych wysiłków służących rozwiązaniu problemu migracji, a przede wszystkim ograniczenia i powstrzymania migracji nielegalnej, jest realizacja powrotów obywateli państw trzecich, którzy nie mają prawa do pozostania w Unii, z poszanowaniem praw podstawowych jako ogólnych zasad prawa Unii oraz zgodnie z prawem międzynarodowym, w tym z obowiązkami wynikającymi z ochrony uchodźców i praw człowieka, w myśl dyrektywy 2008/115/WE</w:t>
            </w:r>
            <w:r w:rsidRPr="008947C5">
              <w:rPr>
                <w:rStyle w:val="Sup"/>
                <w:color w:val="auto"/>
              </w:rPr>
              <w:t>26</w:t>
            </w:r>
            <w:r w:rsidRPr="008947C5">
              <w:rPr>
                <w:color w:val="auto"/>
              </w:rPr>
              <w:t>. Zwiększenie skuteczności unijnego systemu powrotów nielegalnie przebywających obywateli państw trzecich jest konieczne dla utrzymania zaufania publicznego do unijnego systemu migracji i systemu azylowego; powinno towarzyszyć mu podejmowanie wysiłków na rzecz zapewnienia ochrony osobom jej potrzebującym.</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c>
          <w:tcPr>
            <w:tcW w:w="4876" w:type="dxa"/>
          </w:tcPr>
          <w:p w:rsidR="005E74C4" w:rsidRPr="008947C5" w:rsidRDefault="005E74C4" w:rsidP="009E4524">
            <w:pPr>
              <w:pStyle w:val="Normal6"/>
              <w:rPr>
                <w:b/>
                <w:i/>
                <w:color w:val="auto"/>
              </w:rPr>
            </w:pPr>
            <w:r w:rsidRPr="008947C5">
              <w:rPr>
                <w:rStyle w:val="Sup"/>
                <w:color w:val="auto"/>
              </w:rPr>
              <w:t>26</w:t>
            </w:r>
            <w:r w:rsidRPr="008947C5">
              <w:rPr>
                <w:color w:val="auto"/>
              </w:rPr>
              <w:t xml:space="preserve"> Dyrektywa Parlamentu Europejskiego i Rady z dnia 16 grudnia 2008 r. w sprawie wspólnych norm i procedur stosowanych do powrotów nielegalnie przebywających obywateli państw trzecich,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79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11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(11a)</w:t>
            </w:r>
            <w:r w:rsidRPr="008947C5">
              <w:rPr>
                <w:b/>
                <w:i/>
                <w:color w:val="auto"/>
              </w:rPr>
              <w:tab/>
              <w:t>Aby usprawnić współpracę między państwami członkowskimi w dziedzinie migracji nieuregulowanej</w:t>
            </w:r>
            <w:r w:rsidR="00610A40">
              <w:rPr>
                <w:b/>
                <w:i/>
                <w:color w:val="auto"/>
              </w:rPr>
              <w:t>,</w:t>
            </w:r>
            <w:r w:rsidRPr="008947C5">
              <w:rPr>
                <w:b/>
                <w:i/>
                <w:color w:val="auto"/>
              </w:rPr>
              <w:t xml:space="preserve"> osoby przebywające nielegalnie powinny zamiast numeru wniosku o udzielenie azylu podawać nazwę środka wydalenia zastosowanego przez państwo członkowskie, które wprowadziło dane do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Istnieje wiele środków wydalania osób przebywających nielegalnie. Przykłady: dobrowolny powrót, nakaz opuszczenia terytorium, nakaz deportacji, repatriacja, odesłanie itp. Każdy środek ma odmienne procedury i terminy stosowania. Z tego względu ważne jest, by dane państwo członkowskie mogło mieć wiedzę o środkach wydalenia zastosowanych przez inne państwo członkowskie wobec obywatela państwa trzeciego nielegalnie przebywającego na jego terytorium, co usprawni współpracę.</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(12)</w:t>
            </w:r>
            <w:r w:rsidRPr="008947C5">
              <w:rPr>
                <w:b/>
                <w:i/>
                <w:color w:val="auto"/>
              </w:rPr>
              <w:tab/>
              <w:t>Krajowe organy w państwach członkowskich mają trudności z identyfikacją nielegalnie przebywających obywateli państw trzecich, którzy korzystają z oszukańczych sposobów w celu unikania identyfikacji oraz uniemożliwiają przeprowadzanie procedury ponownego wydawania dokumentów na potrzeby powrotu i readmisji. Zasadnicze znaczenie ma zatem dopilnowanie, aby informacje o obywatelach państw trzecich lub bezpaństwowcach nielegalnie przebywających na terytorium UE były gromadzone i przekazywane do Eurodac oraz porównywane również z tymi informacjami, które są gromadzone i przekazywane na potrzeby ustalania tożsamości osób ubiegających się o ochronę międzynarodową oraz obywateli państw trzecich zatrzymywanych w związku z nielegalnym przekraczaniem zewnętrznej granicy UE, co ułatwiać będzie ich identyfikację oraz ponowne wydawanie dokumentów, a także zapewni przeprowadzanie ich powrotów i readmisji oraz ograniczy liczbę oszustw dotyczących tożsamości. Powinno to przyczynić się również do ograniczenia czasu trwania procedur administracyjnych niezbędnych dla zapewnienia powrotów i readmisji nielegalnie przebywających obywateli państw trzecich, w tym skrócenia okresu, przez jaki wobec tych osób można stosować środek administracyjny w formie zatrzymania w celu wydalenia. Powinno to także pozwolić na identyfikowanie państw tranzytu, do których może być przeprowadzana readmisja nielegalnie przebywających obywateli państw trzecich.</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(12)</w:t>
            </w:r>
            <w:r w:rsidRPr="008947C5">
              <w:rPr>
                <w:b/>
                <w:i/>
                <w:color w:val="auto"/>
              </w:rPr>
              <w:tab/>
              <w:t>Krajowe organy w państwach członkowskich mają trudności z identyfikacją nielegalnie przebywających obywateli państw trzecich, którzy korzystają z oszukańczych sposobów w celu unikania identyfikacji oraz uniemożliwiają przeprowadzanie procedury ponownego wydawania dokumentów na potrzeby powrotu i readmisji.</w:t>
            </w:r>
            <w:r w:rsidRPr="008947C5">
              <w:rPr>
                <w:color w:val="auto"/>
              </w:rPr>
              <w:t xml:space="preserve"> Zasadnicze znaczenie ma</w:t>
            </w:r>
            <w:r w:rsidRPr="008947C5">
              <w:rPr>
                <w:b/>
                <w:i/>
                <w:color w:val="auto"/>
              </w:rPr>
              <w:t xml:space="preserve"> zatem</w:t>
            </w:r>
            <w:r w:rsidRPr="008947C5">
              <w:rPr>
                <w:color w:val="auto"/>
              </w:rPr>
              <w:t xml:space="preserve"> dopilnowanie, aby informacje o obywatelach państw trzecich lub bezpaństwowcach nielegalnie przebywających na terytorium UE były gromadzone i przekazywane do Eurodac oraz porównywane również z tymi informacjami, które są gromadzone i przekazywane na potrzeby ustalania tożsamości osób ubiegających się o ochronę międzynarodową oraz obywateli państw trzecich zatrzymywanych w związku z nielegalnym przekraczaniem zewnętrznej granicy UE, co ułatwiać będzie ich identyfikację oraz ponowne wydawanie dokumentów, a także zapewni przeprowadzanie ich powrotów i readmisji oraz ograniczy liczbę oszustw dotyczących tożsamości. Powinno to przyczynić się również do ograniczenia czasu trwania procedur administracyjnych niezbędnych dla zapewnienia powrotów i readmisji nielegalnie przebywających obywateli państw trzecich, w tym skrócenia okresu, przez jaki wobec tych osób można stosować środek administracyjny w formie zatrzymania w celu wydalenia. Powinno to także pozwolić na identyfikowanie państw tranzytu, do których może być przeprowadzana readmisja nielegalnie przebywających obywateli państw trzecich.</w:t>
            </w:r>
          </w:p>
        </w:tc>
        <w:tc>
          <w:tcPr>
            <w:tcW w:w="4876" w:type="dxa"/>
          </w:tcPr>
          <w:p w:rsidR="005E74C4" w:rsidRPr="008947C5" w:rsidRDefault="005E74C4" w:rsidP="009E4524">
            <w:pPr>
              <w:pStyle w:val="Normal6"/>
              <w:rPr>
                <w:b/>
                <w:i/>
                <w:color w:val="auto"/>
              </w:rPr>
            </w:pPr>
            <w:r w:rsidRPr="008947C5">
              <w:rPr>
                <w:color w:val="auto"/>
              </w:rPr>
              <w:t>(12)</w:t>
            </w:r>
            <w:r w:rsidRPr="008947C5">
              <w:rPr>
                <w:b/>
                <w:i/>
                <w:color w:val="auto"/>
              </w:rPr>
              <w:tab/>
            </w:r>
            <w:r w:rsidRPr="008947C5">
              <w:rPr>
                <w:color w:val="auto"/>
              </w:rPr>
              <w:t>Zasadnicze znaczenie ma dopilnowanie, aby informacje o obywatelach państw trzecich lub bezpaństwowcach nielegalnie przebywających na terytorium UE były gromadzone i przekazywane do Eurodac oraz porównywane również z tymi informacjami, które są gromadzone i przekazywane na potrzeby ustalania tożsamości osób ubiegających się o ochronę międzynarodową oraz obywateli państw trzecich zatrzymywanych w związku z nielegalnym przekraczaniem zewnętrznej granicy UE, co ułatwiać będzie ich identyfikację oraz ponowne wydawanie dokumentów, a także zapewni przeprowadzanie ich powrotów i readmisji oraz ograniczy liczbę oszustw dotyczących tożsamości. Powinno to przyczynić się również do ograniczenia czasu trwania procedur administracyjnych niezbędnych dla zapewnienia powrotów i readmisji nielegalnie przebywających obywateli państw trzecich, w tym skrócenia okresu, przez jaki wobec tych osób można stosować środek administracyjny w formie zatrzymania w celu wydalenia. Powinno to także pozwolić na identyfikowanie państw tranzytu, do których może być przeprowadzana readmisja nielegalnie przebywających obywateli państw trzecich.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Carlos Coelho, 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(12)</w:t>
            </w:r>
            <w:r w:rsidRPr="008947C5">
              <w:rPr>
                <w:b/>
                <w:i/>
                <w:color w:val="auto"/>
              </w:rPr>
              <w:tab/>
            </w:r>
            <w:r w:rsidRPr="008947C5">
              <w:rPr>
                <w:color w:val="auto"/>
              </w:rPr>
              <w:t>Krajowe organy w państwach członkowskich mają trudności z identyfikacją nielegalnie przebywających obywateli państw trzecich, którzy korzystają z oszukańczych sposobów w celu unikania identyfikacji oraz uniemożliwiają przeprowadzanie procedury ponownego wydawania dokumentów na potrzeby powrotu i readmisji. Zasadnicze znaczenie ma zatem dopilnowanie, aby informacje o obywatelach państw trzecich lub bezpaństwowcach nielegalnie przebywających na terytorium UE były gromadzone i przekazywane do Eurodac oraz porównywane również z tymi informacjami, które są gromadzone i przekazywane na potrzeby ustalania tożsamości osób ubiegających się o ochronę międzynarodową oraz obywateli państw trzecich zatrzymywanych w związku z nielegalnym przekraczaniem zewnętrznej granicy UE, co ułatwiać będzie ich identyfikację oraz ponowne wydawanie dokumentów, a także zapewni przeprowadzanie ich powrotów i readmisji oraz ograniczy liczbę oszustw dotyczących tożsamości. Powinno to przyczynić się również do ograniczenia czasu trwania procedur administracyjnych niezbędnych dla zapewnienia powrotów i readmisji nielegalnie przebywających obywateli państw trzecich, w tym skrócenia okresu, przez jaki wobec tych osób można stosować środek administracyjny w formie zatrzymania w celu wydalenia. Powinno to także pozwolić na identyfikowanie państw tranzytu, do których może być przeprowadzana readmisja nielegalnie przebywających obywateli państw trzecich.</w:t>
            </w:r>
          </w:p>
        </w:tc>
        <w:tc>
          <w:tcPr>
            <w:tcW w:w="4876" w:type="dxa"/>
          </w:tcPr>
          <w:p w:rsidR="005E74C4" w:rsidRPr="008947C5" w:rsidRDefault="005E74C4" w:rsidP="009E4524">
            <w:pPr>
              <w:pStyle w:val="Normal6"/>
              <w:rPr>
                <w:b/>
                <w:i/>
                <w:color w:val="auto"/>
              </w:rPr>
            </w:pPr>
            <w:r w:rsidRPr="008947C5">
              <w:rPr>
                <w:color w:val="auto"/>
              </w:rPr>
              <w:t>(12)</w:t>
            </w:r>
            <w:r w:rsidRPr="008947C5">
              <w:rPr>
                <w:b/>
                <w:i/>
                <w:color w:val="auto"/>
              </w:rPr>
              <w:tab/>
            </w:r>
            <w:r w:rsidRPr="008947C5">
              <w:rPr>
                <w:color w:val="auto"/>
              </w:rPr>
              <w:t>Krajowe organy w państwach członkowskich mają trudności z identyfikacją nielegalnie przebywających obywateli państw trzecich, którzy korzystają z oszukańczych sposobów w celu unikania identyfikacji oraz uniemożliwiają przeprowadzanie procedury ponownego wydawania dokumentów na potrzeby powrotu i readmisji. Zasadnicze znaczenie ma zatem dopilnowanie, aby informacje o obywatelach państw trzecich lub bezpaństwowcach nielegalnie przebywających na terytorium UE były gromadzone i przekazywane do Eurodac oraz porównywane również z tymi informacjami, które są gromadzone i przekazywane na potrzeby ustalania tożsamości osób ubiegających się o ochronę międzynarodową oraz obywateli państw trzecich zatrzymywanych w związku z nielegalnym przekraczaniem zewnętrznej granicy UE, co ułatwiać będzie ich identyfikację oraz ponowne wydawanie dokumentów, a także zapewni przeprowadzanie ich powrotów i readmisji oraz ograniczy liczbę oszustw dotyczących tożsamości. Powinno to przyczynić się również do ograniczenia czasu trwania procedur administracyjnych niezbędnych dla zapewnienia powrotów i readmisji nielegalnie przebywających obywateli państw trzecich, w tym skrócenia okresu, przez jaki wobec tych osób można stosować środek administracyjny w formie zatrzymania w celu wydalenia. Powinno to także pozwolić na identyfikowanie państw tranzytu, do których może być przeprowadzana readmisja nielegalnie przebywających obywateli państw trzecich.</w:t>
            </w:r>
            <w:r w:rsidRPr="008947C5">
              <w:rPr>
                <w:b/>
                <w:i/>
                <w:color w:val="auto"/>
              </w:rPr>
              <w:t xml:space="preserve"> Działania te powinny być realizowane bez uszczerbku dla Systemu Informacyjnego Schengen (SIS), który pozostaje głównym systemem zapewniającym współpracę i wymianę informacji w dziedzinie powrotów.</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12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(12a)</w:t>
            </w:r>
            <w:r w:rsidRPr="008947C5">
              <w:rPr>
                <w:b/>
                <w:i/>
                <w:color w:val="auto"/>
              </w:rPr>
              <w:tab/>
              <w:t>W odniesieniu do nielegalnie przebywających obywateli państw trzecich, którzy jednak przybyli, nielegalnie przekraczając zewnętrzną granicę strefy Schengen, państwom członkowskim powinien przysługiwać rozsądny termin 15 dni, w którym można przekroczyć dozwolony okres pobytu, zanim będą musiały wypełnić wynikające z niniejszego rozporządzenia obowiązki dotyczące porównywania, gromadzenia i przesyłania danych daktyloskopijnych oraz danych dotyczących wizerunku twarzy.</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bezpośrednio powiązana z art. 14 wniosku Komisji. Rozszerzenie zakresu w celu uwzględnienia „obywateli państw trzecich i bezpaństwowców nielegalnie przebywających w państwie członkowskim” muszą uzupełniać zabezpieczenia na wypadek, gdyby taka osoba przybyła legalnie do UE i przedłużyła o kilka dni wizytę z powodów, które mogą być niezamierzone.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12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(12a)</w:t>
            </w:r>
            <w:r w:rsidRPr="008947C5">
              <w:rPr>
                <w:b/>
                <w:i/>
                <w:color w:val="auto"/>
              </w:rPr>
              <w:tab/>
              <w:t>W odniesieniu do obywateli państw trzecich, którzy przebywają nielegalnie, lecz którzy przybyli, legalnie przekraczając zewnętrzną granicę strefy Schengen, państwa członkowskie mogą przewidzieć rozsądny termin 15 dni, w którym można przekroczyć dozwolony okres pobytu, zanim państwa te będą musiały wypełnić obowiązki wynikające z art. 14.</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1D7C">
        <w:rPr>
          <w:color w:val="auto"/>
          <w:lang w:val="fr-FR"/>
        </w:rPr>
        <w:t xml:space="preserve">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w:t>
      </w:r>
      <w:r w:rsidRPr="008947C5">
        <w:rPr>
          <w:color w:val="auto"/>
        </w:rPr>
        <w:t>Il convient donc que pour les personnes entré illégalement sur le territoire d'un Etat membre, ces données soient directement enregistrées dans Eurodac mais que pour celles entré légalement un délai raisonnable de 15 jours leur soit laissé.</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(13)</w:t>
            </w:r>
            <w:r w:rsidRPr="008947C5">
              <w:rPr>
                <w:b/>
                <w:i/>
                <w:color w:val="auto"/>
              </w:rPr>
              <w:tab/>
              <w:t>W swoich konkluzjach z dnia 8 października 2015 r. w sprawie przyszłości polityki powrotów Rada poparła zapowiedzianą przez Komisję inicjatywę rozszerzenia zakresu i celu systemu Eurodac, a tym samym umożliwienia wykorzystywania danych na potrzeby powrotów27. Państwa członkowskie powinny mieć do dyspozycji niezbędne narzędzia, aby móc wykrywać nielegalną migrację do Unii oraz wtórne przemieszczanie się na terytorium Unii nielegalnie przebywających obywateli państw trzecich. Z tego względu wyznaczone organy państw członkowskich powinny mieć – na warunkach określonych w niniejszym rozporządzeniu – dostęp do danych zawartych w Eurodac na potrzeby porównywania.</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_________________</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27 Plan działania UE w zakresie powrotów, COM(2015) 453 final.</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w:t>
            </w:r>
            <w:r w:rsidRPr="008947C5">
              <w:rPr>
                <w:b/>
                <w:i/>
                <w:color w:val="auto"/>
              </w:rPr>
              <w:t xml:space="preserve"> do Unii oraz wtórne przemieszczanie się na terytorium Unii nielegalnie przebywających obywateli państw trzecich. Z tego względu wyznaczone organy państw członkowskich powinny mieć – na warunkach określonych w niniejszym rozporządzeniu – dostęp do danych zawartych w Eurodac na potrzeby porównywania.</w:t>
            </w:r>
          </w:p>
        </w:tc>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w:t>
            </w:r>
            <w:r w:rsidRPr="008947C5">
              <w:rPr>
                <w:b/>
                <w:i/>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Carlos Coelho, 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 do Unii</w:t>
            </w:r>
            <w:r w:rsidRPr="008947C5">
              <w:rPr>
                <w:b/>
                <w:i/>
                <w:color w:val="auto"/>
              </w:rPr>
              <w:t xml:space="preserve"> oraz wtórne przemieszczanie</w:t>
            </w:r>
            <w:r w:rsidRPr="008947C5">
              <w:rPr>
                <w:color w:val="auto"/>
              </w:rPr>
              <w:t xml:space="preserve"> się na terytorium Unii nielegalnie przebywających obywateli państw trzecich. Z tego względu wyznaczone organy państw członkowskich powinny mieć – na warunkach określonych w niniejszym rozporządzeniu – dostęp do danych zawartych w Eurodac na potrzeby porównywania.</w:t>
            </w:r>
          </w:p>
        </w:tc>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 do Unii</w:t>
            </w:r>
            <w:r w:rsidRPr="008947C5">
              <w:rPr>
                <w:b/>
                <w:i/>
                <w:color w:val="auto"/>
              </w:rPr>
              <w:t xml:space="preserve"> przez identyfikację wtórnego przemieszczania</w:t>
            </w:r>
            <w:r w:rsidRPr="008947C5">
              <w:rPr>
                <w:color w:val="auto"/>
              </w:rPr>
              <w:t xml:space="preserve"> się na terytorium Unii nielegalnie przebywających obywateli państw trzecich. Z tego względu wyznaczone organy państw członkowskich powinny mieć – na warunkach określonych w niniejszym rozporządzeniu – dostęp do danych zawartych w Eurodac na potrzeby porównywania.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 do Unii oraz wtórne przemieszczanie się na terytorium Unii nielegalnie przebywających obywateli państw trzecich. Z tego względu wyznaczone organy państw członkowskich powinny mieć – na warunkach określonych w niniejszym rozporządzeniu – dostęp do danych zawartych w Eurodac na potrzeby porównywania.</w:t>
            </w:r>
          </w:p>
        </w:tc>
        <w:tc>
          <w:tcPr>
            <w:tcW w:w="4876" w:type="dxa"/>
          </w:tcPr>
          <w:p w:rsidR="005E74C4" w:rsidRPr="008947C5" w:rsidRDefault="005E74C4" w:rsidP="009E4524">
            <w:pPr>
              <w:pStyle w:val="Normal6"/>
              <w:rPr>
                <w:b/>
                <w:i/>
                <w:color w:val="auto"/>
              </w:rPr>
            </w:pPr>
            <w:r w:rsidRPr="008947C5">
              <w:rPr>
                <w:color w:val="auto"/>
              </w:rPr>
              <w:t>(13)</w:t>
            </w:r>
            <w:r w:rsidRPr="008947C5">
              <w:rPr>
                <w:b/>
                <w:i/>
                <w:color w:val="auto"/>
              </w:rPr>
              <w:tab/>
            </w:r>
            <w:r w:rsidRPr="008947C5">
              <w:rPr>
                <w:color w:val="auto"/>
              </w:rPr>
              <w:t>W swoich konkluzjach z dnia 8 października 2015 r. w sprawie przyszłości polityki powrotów Rada poparła zapowiedzianą przez Komisję inicjatywę rozszerzenia zakresu i celu systemu Eurodac, a tym samym umożliwienia wykorzystywania danych na potrzeby powrotów</w:t>
            </w:r>
            <w:r w:rsidRPr="008947C5">
              <w:rPr>
                <w:rStyle w:val="Sup"/>
                <w:color w:val="auto"/>
              </w:rPr>
              <w:t>27</w:t>
            </w:r>
            <w:r w:rsidRPr="008947C5">
              <w:rPr>
                <w:color w:val="auto"/>
              </w:rPr>
              <w:t>. Państwa członkowskie powinny mieć do dyspozycji niezbędne narzędzia, aby móc wykrywać nielegalną migrację do Unii oraz wtórne przemieszczanie się na terytorium Unii nielegalnie przebywających obywateli państw trzecich</w:t>
            </w:r>
            <w:r w:rsidRPr="008947C5">
              <w:rPr>
                <w:b/>
                <w:i/>
                <w:color w:val="auto"/>
              </w:rPr>
              <w:t xml:space="preserve"> lub bezpaństwowców</w:t>
            </w:r>
            <w:r w:rsidRPr="008947C5">
              <w:rPr>
                <w:color w:val="auto"/>
              </w:rPr>
              <w:t>. Z tego względu wyznaczone organy państw członkowskich powinny mieć – na warunkach określonych w niniejszym rozporządzeniu – dostęp do danych zawartych w Eurodac na potrzeby porównywania.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c>
          <w:tcPr>
            <w:tcW w:w="4876" w:type="dxa"/>
          </w:tcPr>
          <w:p w:rsidR="005E74C4" w:rsidRPr="008947C5" w:rsidRDefault="005E74C4" w:rsidP="009E4524">
            <w:pPr>
              <w:pStyle w:val="Normal6"/>
              <w:rPr>
                <w:b/>
                <w:i/>
                <w:color w:val="auto"/>
              </w:rPr>
            </w:pPr>
            <w:r w:rsidRPr="008947C5">
              <w:rPr>
                <w:rStyle w:val="Sup"/>
                <w:color w:val="auto"/>
              </w:rPr>
              <w:t>27</w:t>
            </w:r>
            <w:r w:rsidRPr="008947C5">
              <w:rPr>
                <w:color w:val="auto"/>
              </w:rPr>
              <w:t xml:space="preserve"> Plan działania UE w zakresie powrotów, COM(2015) 453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89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Anna Maria Corazza Bildt, Damiano Zoffoli, Barbara Matera, Petras Auštrevičius, Beatriz Becerra Basterrechea, Hilde Vautmans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022DE7">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w:t>
            </w:r>
            <w:r w:rsidRPr="008947C5">
              <w:rPr>
                <w:b/>
                <w:i/>
                <w:color w:val="auto"/>
              </w:rPr>
              <w:t xml:space="preserve"> na potrzeby granic i bezpieczeństwa. Zadaniem tej grupy będzie dokonanie oceny konieczności i proporcjonalności ustanowienia interoperacyjności z Systemem Informacyjnym Schengen (SIS)</w:t>
            </w:r>
            <w:r w:rsidRPr="008947C5">
              <w:rPr>
                <w:color w:val="auto"/>
              </w:rPr>
              <w:t xml:space="preserve"> oraz</w:t>
            </w:r>
            <w:r w:rsidRPr="008947C5">
              <w:rPr>
                <w:b/>
                <w:i/>
                <w:color w:val="auto"/>
              </w:rPr>
              <w:t xml:space="preserve"> wizowym systemem </w:t>
            </w:r>
            <w:r w:rsidR="00DD1563" w:rsidRPr="008947C5">
              <w:rPr>
                <w:b/>
                <w:i/>
                <w:color w:val="auto"/>
              </w:rPr>
              <w:t>informa</w:t>
            </w:r>
            <w:r w:rsidR="00022DE7">
              <w:rPr>
                <w:b/>
                <w:i/>
                <w:color w:val="auto"/>
              </w:rPr>
              <w:t>tycz</w:t>
            </w:r>
            <w:r w:rsidRPr="008947C5">
              <w:rPr>
                <w:b/>
                <w:i/>
                <w:color w:val="auto"/>
              </w:rPr>
              <w:t>nym (VIS)</w:t>
            </w:r>
            <w:r w:rsidRPr="008947C5">
              <w:rPr>
                <w:color w:val="auto"/>
              </w:rPr>
              <w:t>,</w:t>
            </w:r>
            <w:r w:rsidRPr="008947C5">
              <w:rPr>
                <w:b/>
                <w:i/>
                <w:color w:val="auto"/>
              </w:rPr>
              <w:t xml:space="preserve"> a także sprawdzenie,</w:t>
            </w:r>
            <w:r w:rsidRPr="008947C5">
              <w:rPr>
                <w:color w:val="auto"/>
              </w:rPr>
              <w:t xml:space="preserve"> czy</w:t>
            </w:r>
            <w:r w:rsidRPr="008947C5">
              <w:rPr>
                <w:b/>
                <w:i/>
                <w:color w:val="auto"/>
              </w:rPr>
              <w:t xml:space="preserve"> istnieje</w:t>
            </w:r>
            <w:r w:rsidRPr="008947C5">
              <w:rPr>
                <w:color w:val="auto"/>
              </w:rPr>
              <w:t xml:space="preserve"> potrzeba</w:t>
            </w:r>
            <w:r w:rsidRPr="008947C5">
              <w:rPr>
                <w:b/>
                <w:i/>
                <w:color w:val="auto"/>
              </w:rPr>
              <w:t xml:space="preserve"> dokonania zmian</w:t>
            </w:r>
            <w:r w:rsidRPr="008947C5">
              <w:rPr>
                <w:color w:val="auto"/>
              </w:rPr>
              <w:t xml:space="preserve"> ram prawnych na potrzeby dostępu organów ścigania do Eurodac.</w:t>
            </w:r>
          </w:p>
        </w:tc>
        <w:tc>
          <w:tcPr>
            <w:tcW w:w="4876" w:type="dxa"/>
          </w:tcPr>
          <w:p w:rsidR="005E74C4" w:rsidRPr="008947C5" w:rsidRDefault="005E74C4" w:rsidP="00022DE7">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 oraz</w:t>
            </w:r>
            <w:r w:rsidRPr="008947C5">
              <w:rPr>
                <w:b/>
                <w:i/>
                <w:color w:val="auto"/>
              </w:rPr>
              <w:t xml:space="preserve"> zbadać</w:t>
            </w:r>
            <w:r w:rsidRPr="008947C5">
              <w:rPr>
                <w:color w:val="auto"/>
              </w:rPr>
              <w:t>, czy</w:t>
            </w:r>
            <w:r w:rsidRPr="008947C5">
              <w:rPr>
                <w:b/>
                <w:i/>
                <w:color w:val="auto"/>
              </w:rPr>
              <w:t xml:space="preserve"> występuje</w:t>
            </w:r>
            <w:r w:rsidRPr="008947C5">
              <w:rPr>
                <w:color w:val="auto"/>
              </w:rPr>
              <w:t xml:space="preserve"> potrzeba</w:t>
            </w:r>
            <w:r w:rsidRPr="008947C5">
              <w:rPr>
                <w:b/>
                <w:i/>
                <w:color w:val="auto"/>
              </w:rPr>
              <w:t xml:space="preserve"> przeglądu</w:t>
            </w:r>
            <w:r w:rsidRPr="008947C5">
              <w:rPr>
                <w:color w:val="auto"/>
              </w:rPr>
              <w:t xml:space="preserve"> ram prawnych na potrzeby dostępu organów ścigania do Eurodac.</w:t>
            </w:r>
            <w:r w:rsidRPr="008947C5">
              <w:rPr>
                <w:b/>
                <w:i/>
                <w:color w:val="auto"/>
              </w:rPr>
              <w:t xml:space="preserve"> W celu ustanowienia inteopreacyjności Eurodac z Systemem Informacyjnym Schengen (SI</w:t>
            </w:r>
            <w:r w:rsidR="00DD1563" w:rsidRPr="008947C5">
              <w:rPr>
                <w:b/>
                <w:i/>
                <w:color w:val="auto"/>
              </w:rPr>
              <w:t>S), wizowym systemem informa</w:t>
            </w:r>
            <w:r w:rsidR="00022DE7">
              <w:rPr>
                <w:b/>
                <w:i/>
                <w:color w:val="auto"/>
              </w:rPr>
              <w:t>tycz</w:t>
            </w:r>
            <w:r w:rsidRPr="008947C5">
              <w:rPr>
                <w:b/>
                <w:i/>
                <w:color w:val="auto"/>
              </w:rPr>
              <w:t>nym (VIS), Europolem i systemem wjazdu/wyjazdu należy opracować rozwiązania technologiczne mające na celu zacieśnienie skutecznej współpracy wśród państw członkowskich w zarządzaniu granicami zewnętrznymi i zwalczaniu poważnych przestępstw. Jeżeli dodatkowe dane na temat małoletnich miałyby zostać wprowadzone do przyszłej wersji Eurodac, państwa członkowskie powinny również odnotować powiązania rodzinne w celu ułatwienia łączenia rodzin i odnalezienia zaginionych dzieci.</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(13a)</w:t>
            </w:r>
            <w:r w:rsidRPr="008947C5">
              <w:rPr>
                <w:b/>
                <w:i/>
                <w:color w:val="auto"/>
              </w:rPr>
              <w:tab/>
              <w:t>Europejska Agencja Straży Granicznej i Przybrzeżnej ustanowiona zgodnie z rozporządzeniem Parlamentu Europejskiego i Rady (UE) 2016/16241a odgrywa kluczową rolę w podejmowanych przez Unię wysiłkach na rzecz lepszego zarządzania granicami zewnętrznymi oraz przeciwdziałania nielegalnej imigracji i wtórnemu przemieszczaniu się. W konsekwencji Europejska Agencja Straży Granicznej i Przybrzeżnej powinna mieć dostęp do danych Eurodac, aby móc przeprowadzać analizy ryzyka zgodnie z najwyższymi standardami i pomagać państwom członkowskim w zadaniach związanych z powrotami. Przetwarzania tych danych dokonuje się zgodnie z zabezpieczeniami w zakresie ochrony danych przewidzianymi w rozporządzeniu (UE) 2016/1624.</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1a Rozporządzenie Parlamentu Europejskiego i Rady (UE) 2016/1624 z dnia 14 września 2016 r. w sprawie Europejskiej Straży Granicznej i Przybrzeżnej oraz zmieniające rozporządzenie Parlamentu Europejskiego i Rady (UE) 2016/399 i uchylające rozporządzenie (WE) nr 863/2007 Parlamentu Europejskiego i Rady, rozporządzenie Rady (WE) nr 2007/2004 i decyzję Rady 2005/267/WE (Dz.U. L 251 z 16.9.2016, s.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odnosi się do nowej roli Eurodac, która została wyrażona w nowej lit. b) w art. 1. Eurodac będzie teraz wspomagał kontrolę nielegalnej imigracji i nieuregulowanego wtórnego przemieszczania się. W ramach nowego mandatu zadanie to realizuje również niedawno utworzona Europejska Agencja Straży Granicznej i Przybrzeżnej. Zapewnienie Europejskiej Agencji Straży Granicznej i Przybrzeżnej dostępu do Eurodac powinno umożliwić pełne wykorzystanie nowego potencjału tego systemu.</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13 b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(13b)</w:t>
            </w:r>
            <w:r w:rsidRPr="008947C5">
              <w:rPr>
                <w:b/>
                <w:i/>
                <w:color w:val="auto"/>
              </w:rPr>
              <w:tab/>
              <w:t>Jednym z głównym zadań Europejskiej Agencji Straży Granicznej i Przybrzeżnej oraz przyszłej Agencji Unii Europejskiej ds. Azylu ustanowionej na mocy niniejszego rozporządzenia jest pobieranie i przekazywanie danych biometrycznych. Europejska Agencja Straży Granicznej i Przybrzeżnej oraz Agencja Unii Europejskiej ds. Azylu powinny mieć własny interfejs, aby nie być zależne od infrastruktury krajowej. W dłuższej perspektywie interfejsy mogłyby być używane jako jednolity interfejs wyszukiwania, zgodnie z opisem w komunikacie Komisji z dnia 6 kwietnia 2016</w:t>
            </w:r>
            <w:r w:rsidR="00447681" w:rsidRPr="008947C5">
              <w:rPr>
                <w:b/>
                <w:i/>
                <w:color w:val="auto"/>
              </w:rPr>
              <w:t xml:space="preserve"> </w:t>
            </w:r>
            <w:r w:rsidRPr="008947C5">
              <w:rPr>
                <w:b/>
                <w:i/>
                <w:color w:val="auto"/>
              </w:rPr>
              <w:t>r. zatytułowanym „Sprawniejsze i bardziej inteligentne systemy informacyjne do celów zarządzania granicami i zapewnienia bezpieczeństwa”1a.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 xml:space="preserve">1a COM(2016) 205 final </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powinna ograniczyć zależność Agencji od infrastruktury krajowej, co może stanowić realne obciążenie dla codziennej pracy agencji, ponieważ nie każda infrastruktura spełnia najwyższe standardy.</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022DE7">
            <w:pPr>
              <w:pStyle w:val="Normal6"/>
              <w:rPr>
                <w:b/>
                <w:i/>
                <w:color w:val="auto"/>
              </w:rPr>
            </w:pPr>
            <w:r w:rsidRPr="008947C5">
              <w:rPr>
                <w:color w:val="auto"/>
              </w:rPr>
              <w:t>(14)</w:t>
            </w:r>
            <w:r w:rsidRPr="008947C5">
              <w:rPr>
                <w:b/>
                <w:i/>
                <w:color w:val="auto"/>
              </w:rPr>
              <w:tab/>
              <w:t>W komunikacie</w:t>
            </w:r>
            <w:r w:rsidRPr="008947C5">
              <w:rPr>
                <w:color w:val="auto"/>
              </w:rPr>
              <w:t xml:space="preserv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w:t>
            </w:r>
            <w:r w:rsidRPr="008947C5">
              <w:rPr>
                <w:b/>
                <w:i/>
                <w:color w:val="auto"/>
              </w:rPr>
              <w:t>. W komunikacie zaproponowano powołanie grupy</w:t>
            </w:r>
            <w:r w:rsidRPr="008947C5">
              <w:rPr>
                <w:color w:val="auto"/>
              </w:rPr>
              <w:t xml:space="preserve"> ekspertów ds. systemów informacyjnych i interoperacyjności, aby umożliwić osiągnięcie prawnej i technicznej interoperacyjności systemów informacyjnych na potrzeby granic i bezpieczeństwa. Zadaniem tej grupy będzie dokonanie oceny konieczności i proporcjonalności ustanowienia interoperacyjności</w:t>
            </w:r>
            <w:r w:rsidRPr="008947C5">
              <w:rPr>
                <w:b/>
                <w:i/>
                <w:color w:val="auto"/>
              </w:rPr>
              <w:t xml:space="preserve"> z Systemem Informacyjnym</w:t>
            </w:r>
            <w:r w:rsidRPr="008947C5">
              <w:rPr>
                <w:color w:val="auto"/>
              </w:rPr>
              <w:t xml:space="preserve"> Schengen</w:t>
            </w:r>
            <w:r w:rsidRPr="008947C5">
              <w:rPr>
                <w:b/>
                <w:i/>
                <w:color w:val="auto"/>
              </w:rPr>
              <w:t xml:space="preserve"> </w:t>
            </w:r>
            <w:r w:rsidRPr="008947C5">
              <w:rPr>
                <w:color w:val="auto"/>
              </w:rPr>
              <w:t>(SIS)</w:t>
            </w:r>
            <w:r w:rsidRPr="008947C5">
              <w:rPr>
                <w:b/>
                <w:i/>
                <w:color w:val="auto"/>
              </w:rPr>
              <w:t xml:space="preserve"> oraz wizowym systemem </w:t>
            </w:r>
            <w:r w:rsidR="00022DE7">
              <w:rPr>
                <w:b/>
                <w:i/>
                <w:color w:val="auto"/>
              </w:rPr>
              <w:t>informatycz</w:t>
            </w:r>
            <w:r w:rsidRPr="008947C5">
              <w:rPr>
                <w:b/>
                <w:i/>
                <w:color w:val="auto"/>
              </w:rPr>
              <w:t xml:space="preserve">nym </w:t>
            </w:r>
            <w:r w:rsidRPr="008947C5">
              <w:rPr>
                <w:color w:val="auto"/>
              </w:rPr>
              <w:t>(VIS),</w:t>
            </w:r>
            <w:r w:rsidRPr="008947C5">
              <w:rPr>
                <w:b/>
                <w:i/>
                <w:color w:val="auto"/>
              </w:rPr>
              <w:t xml:space="preserve"> a także sprawdzenie, czy istnieje potrzeba dokonania zmian ram prawnych na potrzeby dostępu organów ścigania do Eurodac</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(14)</w:t>
            </w:r>
            <w:r w:rsidRPr="008947C5">
              <w:rPr>
                <w:b/>
                <w:i/>
                <w:color w:val="auto"/>
              </w:rPr>
              <w:tab/>
              <w:t>Zgodnie z komunikatem</w:t>
            </w:r>
            <w:r w:rsidRPr="008947C5">
              <w:rPr>
                <w:color w:val="auto"/>
              </w:rPr>
              <w:t xml:space="preserve"> Komisji dotyczącym sprawniejszych i bardziej inteligentnych systemów informacyjnych do celów zarządzania granicami i zapewnienia bezpieczeństwa</w:t>
            </w:r>
            <w:r w:rsidRPr="008947C5">
              <w:rPr>
                <w:rStyle w:val="Sup"/>
                <w:color w:val="auto"/>
              </w:rPr>
              <w:t>28</w:t>
            </w:r>
            <w:r w:rsidRPr="008947C5">
              <w:rPr>
                <w:b/>
                <w:i/>
                <w:color w:val="auto"/>
              </w:rPr>
              <w:t>, w którym</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w:t>
            </w:r>
            <w:r w:rsidRPr="008947C5">
              <w:rPr>
                <w:b/>
                <w:i/>
                <w:color w:val="auto"/>
              </w:rPr>
              <w:t>, Komisja powołała grupę</w:t>
            </w:r>
            <w:r w:rsidRPr="008947C5">
              <w:rPr>
                <w:color w:val="auto"/>
              </w:rPr>
              <w:t xml:space="preserve"> ekspertów ds. systemów informacyjnych i interoperacyjności, aby umożliwić osiągnięcie prawnej i technicznej interoperacyjności systemów informacyjnych na potrzeby granic i bezpieczeństwa</w:t>
            </w:r>
            <w:r w:rsidRPr="008947C5">
              <w:rPr>
                <w:b/>
                <w:i/>
                <w:color w:val="auto"/>
              </w:rPr>
              <w:t>, których głównym celem ma być poprawa jakości usług świadczonych przez unijne bazy danych na rzecz ich użytkowników, takich jak lepszy, prostszy i szybszy dostęp do wszystkich odpowiednich informacji i zagwarantowanie wysokiej jakości danych</w:t>
            </w:r>
            <w:r w:rsidRPr="008947C5">
              <w:rPr>
                <w:color w:val="auto"/>
              </w:rPr>
              <w:t>.</w:t>
            </w:r>
            <w:r w:rsidRPr="008947C5">
              <w:rPr>
                <w:b/>
                <w:i/>
                <w:color w:val="auto"/>
              </w:rPr>
              <w:t xml:space="preserve"> Z tego względu</w:t>
            </w:r>
            <w:r w:rsidRPr="008947C5">
              <w:rPr>
                <w:color w:val="auto"/>
              </w:rPr>
              <w:t xml:space="preserve"> zadaniem tej grupy będzie dokonanie oceny konieczności i proporcjonalności ustanowienia interoperacyjności</w:t>
            </w:r>
            <w:r w:rsidRPr="008947C5">
              <w:rPr>
                <w:b/>
                <w:i/>
                <w:color w:val="auto"/>
              </w:rPr>
              <w:t xml:space="preserve"> między unijnymi systemami informacyjnymi takimi jak System Informacyjny</w:t>
            </w:r>
            <w:r w:rsidRPr="008947C5">
              <w:rPr>
                <w:color w:val="auto"/>
              </w:rPr>
              <w:t xml:space="preserve"> Schengen</w:t>
            </w:r>
            <w:r w:rsidRPr="008947C5">
              <w:rPr>
                <w:b/>
                <w:i/>
                <w:color w:val="auto"/>
              </w:rPr>
              <w:t xml:space="preserve"> </w:t>
            </w:r>
            <w:r w:rsidRPr="008947C5">
              <w:rPr>
                <w:color w:val="auto"/>
              </w:rPr>
              <w:t>(SIS)</w:t>
            </w:r>
            <w:r w:rsidR="00DD1563" w:rsidRPr="008947C5">
              <w:rPr>
                <w:b/>
                <w:i/>
                <w:color w:val="auto"/>
              </w:rPr>
              <w:t>, wizowy system informacyj</w:t>
            </w:r>
            <w:r w:rsidRPr="008947C5">
              <w:rPr>
                <w:b/>
                <w:i/>
                <w:color w:val="auto"/>
              </w:rPr>
              <w:t xml:space="preserve">ny </w:t>
            </w:r>
            <w:r w:rsidRPr="008947C5">
              <w:rPr>
                <w:color w:val="auto"/>
              </w:rPr>
              <w:t>(VIS),</w:t>
            </w:r>
            <w:r w:rsidRPr="008947C5">
              <w:rPr>
                <w:b/>
                <w:i/>
                <w:color w:val="auto"/>
              </w:rPr>
              <w:t xml:space="preserve"> Eurodac i odpowiednie nowe systemy informacyjne, które są aktualnie opracowywane</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Kinga Gál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022DE7">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w:t>
            </w:r>
            <w:r w:rsidRPr="008947C5">
              <w:rPr>
                <w:b/>
                <w:i/>
                <w:color w:val="auto"/>
              </w:rPr>
              <w:t xml:space="preserve"> na potrzeby granic i bezpieczeństwa. Zadaniem tej grupy będzie dokonanie oceny konieczności i proporcjonalności ustanowienia interoperacyjności z Systemem Informacyjnym Schengen (SIS)</w:t>
            </w:r>
            <w:r w:rsidRPr="008947C5">
              <w:rPr>
                <w:color w:val="auto"/>
              </w:rPr>
              <w:t xml:space="preserve"> oraz</w:t>
            </w:r>
            <w:r w:rsidRPr="008947C5">
              <w:rPr>
                <w:b/>
                <w:i/>
                <w:color w:val="auto"/>
              </w:rPr>
              <w:t xml:space="preserve"> wizowym systemem </w:t>
            </w:r>
            <w:r w:rsidR="00022DE7">
              <w:rPr>
                <w:b/>
                <w:i/>
                <w:color w:val="auto"/>
              </w:rPr>
              <w:t>informatycz</w:t>
            </w:r>
            <w:r w:rsidRPr="008947C5">
              <w:rPr>
                <w:b/>
                <w:i/>
                <w:color w:val="auto"/>
              </w:rPr>
              <w:t>nym (VIS)</w:t>
            </w:r>
            <w:r w:rsidRPr="008947C5">
              <w:rPr>
                <w:color w:val="auto"/>
              </w:rPr>
              <w:t>,</w:t>
            </w:r>
            <w:r w:rsidRPr="008947C5">
              <w:rPr>
                <w:b/>
                <w:i/>
                <w:color w:val="auto"/>
              </w:rPr>
              <w:t xml:space="preserve"> a także sprawdzenie,</w:t>
            </w:r>
            <w:r w:rsidRPr="008947C5">
              <w:rPr>
                <w:color w:val="auto"/>
              </w:rPr>
              <w:t xml:space="preserve"> czy</w:t>
            </w:r>
            <w:r w:rsidRPr="008947C5">
              <w:rPr>
                <w:b/>
                <w:i/>
                <w:color w:val="auto"/>
              </w:rPr>
              <w:t xml:space="preserve"> istnieje</w:t>
            </w:r>
            <w:r w:rsidRPr="008947C5">
              <w:rPr>
                <w:color w:val="auto"/>
              </w:rPr>
              <w:t xml:space="preserve"> potrzeba</w:t>
            </w:r>
            <w:r w:rsidRPr="008947C5">
              <w:rPr>
                <w:b/>
                <w:i/>
                <w:color w:val="auto"/>
              </w:rPr>
              <w:t xml:space="preserve"> dokonania zmian</w:t>
            </w:r>
            <w:r w:rsidRPr="008947C5">
              <w:rPr>
                <w:color w:val="auto"/>
              </w:rPr>
              <w:t xml:space="preserve"> ram prawnych na potrzeby dostępu organów ścigania do Eurodac.</w:t>
            </w:r>
          </w:p>
        </w:tc>
        <w:tc>
          <w:tcPr>
            <w:tcW w:w="4876" w:type="dxa"/>
          </w:tcPr>
          <w:p w:rsidR="005E74C4" w:rsidRPr="008947C5" w:rsidRDefault="005E74C4" w:rsidP="009E4524">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 oraz</w:t>
            </w:r>
            <w:r w:rsidRPr="008947C5">
              <w:rPr>
                <w:b/>
                <w:i/>
                <w:color w:val="auto"/>
              </w:rPr>
              <w:t xml:space="preserve"> zbadać</w:t>
            </w:r>
            <w:r w:rsidRPr="008947C5">
              <w:rPr>
                <w:color w:val="auto"/>
              </w:rPr>
              <w:t>, czy</w:t>
            </w:r>
            <w:r w:rsidRPr="008947C5">
              <w:rPr>
                <w:b/>
                <w:i/>
                <w:color w:val="auto"/>
              </w:rPr>
              <w:t xml:space="preserve"> występuje</w:t>
            </w:r>
            <w:r w:rsidRPr="008947C5">
              <w:rPr>
                <w:color w:val="auto"/>
              </w:rPr>
              <w:t xml:space="preserve"> potrzeba</w:t>
            </w:r>
            <w:r w:rsidRPr="008947C5">
              <w:rPr>
                <w:b/>
                <w:i/>
                <w:color w:val="auto"/>
              </w:rPr>
              <w:t xml:space="preserve"> przeglądu</w:t>
            </w:r>
            <w:r w:rsidRPr="008947C5">
              <w:rPr>
                <w:color w:val="auto"/>
              </w:rPr>
              <w:t xml:space="preserve"> ram prawnych na potrzeby dostępu organów ścigania do Eurodac.</w:t>
            </w:r>
            <w:r w:rsidRPr="008947C5">
              <w:rPr>
                <w:b/>
                <w:i/>
                <w:color w:val="auto"/>
              </w:rPr>
              <w:t xml:space="preserve"> W celu ustanowienia inteopreacyjności Eurodac z Systemem Informacyjnym Schengen (SI</w:t>
            </w:r>
            <w:r w:rsidR="00DD1563" w:rsidRPr="008947C5">
              <w:rPr>
                <w:b/>
                <w:i/>
                <w:color w:val="auto"/>
              </w:rPr>
              <w:t>S), wizowym systemem informacyj</w:t>
            </w:r>
            <w:r w:rsidRPr="008947C5">
              <w:rPr>
                <w:b/>
                <w:i/>
                <w:color w:val="auto"/>
              </w:rPr>
              <w:t>nym (VIS), Europolem i systemem wjazdu/wyjazdu należy opracować rozwiązania technologiczne mające na celu zacieśnienie skutecznej współpracy wśród państw członkowskich w zarządzaniu granicami zewnętrznymi i zwalczaniu poważnych przestępstw.</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2E25A7">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 na potrzeby granic i bezpieczeństwa. Zadaniem tej grupy będzie dokonanie oceny konieczności i proporcjonalności ustanowienia interoperacyjności z Systemem Informacyjnym Schengen</w:t>
            </w:r>
            <w:r w:rsidRPr="008947C5">
              <w:rPr>
                <w:b/>
                <w:i/>
                <w:color w:val="auto"/>
              </w:rPr>
              <w:t xml:space="preserve"> </w:t>
            </w:r>
            <w:r w:rsidRPr="008947C5">
              <w:rPr>
                <w:color w:val="auto"/>
              </w:rPr>
              <w:t xml:space="preserve">(SIS) oraz wizowym systemem </w:t>
            </w:r>
            <w:r w:rsidR="00DD1563" w:rsidRPr="008947C5">
              <w:rPr>
                <w:color w:val="auto"/>
              </w:rPr>
              <w:t>informa</w:t>
            </w:r>
            <w:r w:rsidR="002E25A7">
              <w:rPr>
                <w:color w:val="auto"/>
              </w:rPr>
              <w:t>tycz</w:t>
            </w:r>
            <w:r w:rsidRPr="008947C5">
              <w:rPr>
                <w:color w:val="auto"/>
              </w:rPr>
              <w:t>nym</w:t>
            </w:r>
            <w:r w:rsidRPr="008947C5">
              <w:rPr>
                <w:b/>
                <w:i/>
                <w:color w:val="auto"/>
              </w:rPr>
              <w:t xml:space="preserve"> </w:t>
            </w:r>
            <w:r w:rsidRPr="008947C5">
              <w:rPr>
                <w:color w:val="auto"/>
              </w:rPr>
              <w:t>(VIS), a także sprawdzenie, czy istnieje potrzeba dokonania zmian ram prawnych na potrzeby dostępu organów ścigania do Eurodac.</w:t>
            </w:r>
          </w:p>
        </w:tc>
        <w:tc>
          <w:tcPr>
            <w:tcW w:w="4876" w:type="dxa"/>
          </w:tcPr>
          <w:p w:rsidR="005E74C4" w:rsidRPr="008947C5" w:rsidRDefault="005E74C4" w:rsidP="002E25A7">
            <w:pPr>
              <w:pStyle w:val="Normal6"/>
              <w:rPr>
                <w:b/>
                <w:i/>
                <w:color w:val="auto"/>
              </w:rPr>
            </w:pPr>
            <w:r w:rsidRPr="008947C5">
              <w:rPr>
                <w:color w:val="auto"/>
              </w:rPr>
              <w:t>(14)</w:t>
            </w:r>
            <w:r w:rsidRPr="008947C5">
              <w:rPr>
                <w:b/>
                <w:i/>
                <w:color w:val="auto"/>
              </w:rPr>
              <w:tab/>
            </w:r>
            <w:r w:rsidRPr="008947C5">
              <w:rPr>
                <w:color w:val="auto"/>
              </w:rPr>
              <w:t>W komunikacie Komisji dotyczącym sprawniejszych i bardziej inteligentnych systemów informacyjnych do celów zarządzania granicami i zapewnienia bezpieczeństwa</w:t>
            </w:r>
            <w:r w:rsidRPr="008947C5">
              <w:rPr>
                <w:rStyle w:val="Sup"/>
                <w:color w:val="auto"/>
              </w:rPr>
              <w:t>28</w:t>
            </w:r>
            <w:r w:rsidRPr="008947C5">
              <w:rPr>
                <w:color w:val="auto"/>
              </w:rPr>
              <w:t xml:space="preserve"> podkreślono potrzebę zwiększenia interoperacyjności systemów informacyjnych</w:t>
            </w:r>
            <w:r w:rsidRPr="008947C5">
              <w:rPr>
                <w:b/>
                <w:i/>
                <w:color w:val="auto"/>
              </w:rPr>
              <w:t xml:space="preserve"> </w:t>
            </w:r>
            <w:r w:rsidRPr="008947C5">
              <w:rPr>
                <w:color w:val="auto"/>
              </w:rPr>
              <w:t>(cel długoterminowy), na co zwróciły również uwagę Rada Europejska i Rada UE. W komunikacie zaproponowano powołanie grupy ekspertów ds. systemów informacyjnych i interoperacyjności, aby umożliwić osiągnięcie prawnej i technicznej interoperacyjności systemów informacyjnych na potrzeby granic i bezpieczeństwa. Zadaniem tej grupy będzie dokonanie oceny konieczności i proporcjonalności ustanowienia interoperacyjności z Systemem Informacyjnym Schengen</w:t>
            </w:r>
            <w:r w:rsidRPr="008947C5">
              <w:rPr>
                <w:b/>
                <w:i/>
                <w:color w:val="auto"/>
              </w:rPr>
              <w:t xml:space="preserve"> </w:t>
            </w:r>
            <w:r w:rsidRPr="008947C5">
              <w:rPr>
                <w:color w:val="auto"/>
              </w:rPr>
              <w:t>(SIS)</w:t>
            </w:r>
            <w:r w:rsidRPr="008947C5">
              <w:rPr>
                <w:b/>
                <w:i/>
                <w:color w:val="auto"/>
              </w:rPr>
              <w:t>, systemem wjazdu/wyjazdu</w:t>
            </w:r>
            <w:r w:rsidRPr="008947C5">
              <w:rPr>
                <w:color w:val="auto"/>
              </w:rPr>
              <w:t xml:space="preserve"> oraz wizowym systemem </w:t>
            </w:r>
            <w:r w:rsidR="00DD1563" w:rsidRPr="008947C5">
              <w:rPr>
                <w:color w:val="auto"/>
              </w:rPr>
              <w:t>informa</w:t>
            </w:r>
            <w:r w:rsidR="002E25A7">
              <w:rPr>
                <w:color w:val="auto"/>
              </w:rPr>
              <w:t>tycz</w:t>
            </w:r>
            <w:r w:rsidRPr="008947C5">
              <w:rPr>
                <w:color w:val="auto"/>
              </w:rPr>
              <w:t>nym</w:t>
            </w:r>
            <w:r w:rsidRPr="008947C5">
              <w:rPr>
                <w:b/>
                <w:i/>
                <w:color w:val="auto"/>
              </w:rPr>
              <w:t xml:space="preserve"> </w:t>
            </w:r>
            <w:r w:rsidRPr="008947C5">
              <w:rPr>
                <w:color w:val="auto"/>
              </w:rPr>
              <w:t>(VIS), a także sprawdzenie, czy istnieje potrzeba dokonania zmian ram prawnych na potrzeby dostępu organów ścigania do Eurodac.</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c>
          <w:tcPr>
            <w:tcW w:w="4876" w:type="dxa"/>
          </w:tcPr>
          <w:p w:rsidR="005E74C4" w:rsidRPr="008947C5" w:rsidRDefault="005E74C4" w:rsidP="009E4524">
            <w:pPr>
              <w:pStyle w:val="Normal6"/>
              <w:rPr>
                <w:b/>
                <w:i/>
                <w:color w:val="auto"/>
              </w:rPr>
            </w:pPr>
            <w:r w:rsidRPr="008947C5">
              <w:rPr>
                <w:rStyle w:val="Sup"/>
                <w:color w:val="auto"/>
              </w:rPr>
              <w:t>28</w:t>
            </w:r>
            <w:r w:rsidRPr="008947C5">
              <w:rPr>
                <w:color w:val="auto"/>
              </w:rPr>
              <w:t xml:space="preserve"> COM(2016) 205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DD1563">
            <w:pPr>
              <w:pStyle w:val="Normal6"/>
              <w:rPr>
                <w:b/>
                <w:i/>
                <w:color w:val="auto"/>
              </w:rPr>
            </w:pPr>
            <w:r w:rsidRPr="008947C5">
              <w:rPr>
                <w:b/>
                <w:i/>
                <w:color w:val="auto"/>
              </w:rPr>
              <w:t>(14a)</w:t>
            </w:r>
            <w:r w:rsidRPr="008947C5">
              <w:rPr>
                <w:b/>
                <w:i/>
                <w:color w:val="auto"/>
              </w:rPr>
              <w:tab/>
              <w:t xml:space="preserve">eu-LISA ustanawia bezpieczny kanał komunikacyjny między centralnym systemem wjazdu/wyjazdu a centralnym systemem Eurodac w celu umożliwienia interoperacyjności między systemem wjazdu/wyjazdu a Eurodac. Konieczne jest połączenie między oboma systemami, </w:t>
            </w:r>
            <w:r w:rsidR="00DD1563" w:rsidRPr="008947C5">
              <w:rPr>
                <w:b/>
                <w:i/>
                <w:color w:val="auto"/>
              </w:rPr>
              <w:t>a</w:t>
            </w:r>
            <w:r w:rsidRPr="008947C5">
              <w:rPr>
                <w:b/>
                <w:i/>
                <w:color w:val="auto"/>
              </w:rPr>
              <w:t>by dane biometryczne obywatela państwa trzeciego zarejestrowane w EES mogły być przeniesione do Eurodac, jeżeli rejestracja takich danych biometrycznych jest przewidziana w niniejszym rozporządzeniu.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EES będzie miał na celu rejestrowanie daty wjazdu i wyjazdu obywateli państw trzecich przybywających do strefy Schengen na pobyt krótkoterminowy i zgłaszanie wszelkich przypadków przekroczenia terminu dozwolonego pobytu. Obywatel państwa trzeciego, który przekroczył termin pobytu, przebywa zatem nielegalnie, a więc powinien być zarejestrowany w systemie Eurodac zgodnie z art. 14. Interoperacyjność między dwoma systemami pozwala uniknąć powielania i sytuacji, w której państwo członkowskie musi szukać takich osób na swoim terytorium.</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Carlos Coelho, 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(14a)</w:t>
            </w:r>
            <w:r w:rsidRPr="008947C5">
              <w:rPr>
                <w:b/>
                <w:i/>
                <w:color w:val="auto"/>
              </w:rPr>
              <w:tab/>
              <w:t>Wniosek Komisji</w:t>
            </w:r>
            <w:r w:rsidRPr="008947C5">
              <w:rPr>
                <w:b/>
                <w:i/>
                <w:color w:val="auto"/>
                <w:vertAlign w:val="superscript"/>
              </w:rPr>
              <w:t>1a</w:t>
            </w:r>
            <w:r w:rsidRPr="008947C5">
              <w:rPr>
                <w:b/>
                <w:i/>
                <w:color w:val="auto"/>
              </w:rPr>
              <w:t xml:space="preserve"> zmieniający SIS w obszarze kontroli granicznych otwiera możliwość wykorzystywania wyszukiwania odcisków palców w SIS w celu natychmiastowego udostępnienia tożsamości i statusu obywateli państw trzecich, których dotyczą decyzje w sprawie powrotu. Państwa członkowskie powinny utworzyć możliwie jak najbliżej punkty kontaktowe odpowiedzialne za porównywanie danych Eurodac i krajowe punkty kontaktowe wprowadzające dodatkowe informacje do SIS.</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vertAlign w:val="superscript"/>
              </w:rPr>
              <w:t>1a</w:t>
            </w:r>
            <w:r w:rsidRPr="008947C5">
              <w:rPr>
                <w:b/>
                <w:i/>
                <w:color w:val="auto"/>
              </w:rPr>
              <w:t xml:space="preserve"> COM 2016(882) final</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wynika z motywu 14 i odnosi się do wniosku przedstawionego po wersji przekształconej.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14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(14a)</w:t>
            </w:r>
            <w:r w:rsidRPr="008947C5">
              <w:rPr>
                <w:b/>
                <w:i/>
                <w:color w:val="auto"/>
              </w:rPr>
              <w:tab/>
              <w:t>Oczekuje się, że grupa ekspertów wysokiego szczebla ds. systemów informacyjnych i interoperacyjności przedstawi wyniki prac wiosną 2017</w:t>
            </w:r>
            <w:r w:rsidR="00447681" w:rsidRPr="008947C5">
              <w:rPr>
                <w:b/>
                <w:i/>
                <w:color w:val="auto"/>
              </w:rPr>
              <w:t xml:space="preserve"> </w:t>
            </w:r>
            <w:r w:rsidRPr="008947C5">
              <w:rPr>
                <w:b/>
                <w:i/>
                <w:color w:val="auto"/>
              </w:rPr>
              <w:t>r. Wyniki te mogą być przydatne do rozbudowy Eurodac. Jeżeli tak będzie, należy ustanowić możliwie najlepsze podstawy prawne i techniczne dla potencjalnej interoperacyjności Eurodac z innymi systemami informacyjnymi do celów zarządzania granicami i zapewnienia bezpieczeństwa.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powiązana z nowym moty</w:t>
      </w:r>
      <w:r w:rsidR="00564243" w:rsidRPr="008947C5">
        <w:rPr>
          <w:color w:val="auto"/>
        </w:rPr>
        <w:t>wem 14 w wersji przekształconej</w:t>
      </w:r>
      <w:r w:rsidRPr="008947C5">
        <w:rPr>
          <w:color w:val="auto"/>
        </w:rPr>
        <w:t xml:space="preserve"> i wyraża wolę autora w kwestii ustanowienia podstaw prawnych i technicznych dla potencjalnej interoperacyjności Eurodac z innymi bazami danych.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(15)</w:t>
            </w:r>
            <w:r w:rsidRPr="008947C5">
              <w:rPr>
                <w:b/>
                <w:i/>
                <w:color w:val="auto"/>
              </w:rPr>
              <w:tab/>
            </w:r>
            <w:r w:rsidRPr="008947C5">
              <w:rPr>
                <w:color w:val="auto"/>
              </w:rPr>
              <w:t>Aby organy ścigania mogły wypełniać powierzone im zadania, istotne jest, aby w ramach zwalczania przestępstw terrorystycznych i innych poważnych przestępstw miały one dostęp do jak najpełniejszych i jak najbardziej aktualnych informacji. Informacje zawarte w Eurodac są niezbędne do zapobiegania przestępstwom terrorystycznym, o których mowa w</w:t>
            </w:r>
            <w:r w:rsidRPr="008947C5">
              <w:rPr>
                <w:b/>
                <w:i/>
                <w:color w:val="auto"/>
              </w:rPr>
              <w:t xml:space="preserve"> decyzji ramowej</w:t>
            </w:r>
            <w:r w:rsidRPr="008947C5">
              <w:rPr>
                <w:color w:val="auto"/>
              </w:rPr>
              <w:t xml:space="preserve"> Rady</w:t>
            </w:r>
            <w:r w:rsidRPr="008947C5">
              <w:rPr>
                <w:b/>
                <w:i/>
                <w:color w:val="auto"/>
              </w:rPr>
              <w:t xml:space="preserve"> 2002/475/WSiSW</w:t>
            </w:r>
            <w:r w:rsidRPr="008947C5">
              <w:rPr>
                <w:b/>
                <w:i/>
                <w:color w:val="auto"/>
                <w:vertAlign w:val="superscript"/>
              </w:rPr>
              <w:t>29</w:t>
            </w:r>
            <w:r w:rsidRPr="008947C5">
              <w:rPr>
                <w:color w:val="auto"/>
              </w:rPr>
              <w:t xml:space="preserve"> lub innym poważnym przestępstwom, o których mowa w decyzji ramowej Rady</w:t>
            </w:r>
            <w:r w:rsidRPr="008947C5">
              <w:rPr>
                <w:b/>
                <w:i/>
                <w:color w:val="auto"/>
              </w:rPr>
              <w:t xml:space="preserve"> 2002/584/WSiSW</w:t>
            </w:r>
            <w:r w:rsidRPr="008947C5">
              <w:rPr>
                <w:b/>
                <w:i/>
                <w:color w:val="auto"/>
                <w:vertAlign w:val="superscript"/>
              </w:rPr>
              <w:t>30</w:t>
            </w:r>
            <w:r w:rsidRPr="008947C5">
              <w:rPr>
                <w:color w:val="auto"/>
              </w:rPr>
              <w:t>, ich wykrywania lub</w:t>
            </w:r>
            <w:r w:rsidRPr="008947C5">
              <w:rPr>
                <w:b/>
                <w:i/>
                <w:color w:val="auto"/>
              </w:rPr>
              <w:t xml:space="preserve"> ścigania</w:t>
            </w:r>
            <w:r w:rsidRPr="008947C5">
              <w:rPr>
                <w:color w:val="auto"/>
              </w:rPr>
              <w:t>. Dlatego też wyznaczone organy państw członkowskich oraz Europejski Urząd Policji</w:t>
            </w:r>
            <w:r w:rsidRPr="008947C5">
              <w:rPr>
                <w:b/>
                <w:i/>
                <w:color w:val="auto"/>
              </w:rPr>
              <w:t xml:space="preserve"> </w:t>
            </w:r>
            <w:r w:rsidRPr="008947C5">
              <w:rPr>
                <w:color w:val="auto"/>
              </w:rPr>
              <w:t>(Europol) powinny mieć - na warunkach określonych w niniejszym rozporządzeniu - dostęp do danych zawartych w Eurodac na potrzeby porównywania.</w:t>
            </w:r>
          </w:p>
        </w:tc>
        <w:tc>
          <w:tcPr>
            <w:tcW w:w="4876" w:type="dxa"/>
          </w:tcPr>
          <w:p w:rsidR="005E74C4" w:rsidRPr="008947C5" w:rsidRDefault="005E74C4" w:rsidP="009E4524">
            <w:pPr>
              <w:pStyle w:val="Normal6"/>
              <w:rPr>
                <w:b/>
                <w:i/>
                <w:color w:val="auto"/>
              </w:rPr>
            </w:pPr>
            <w:r w:rsidRPr="008947C5">
              <w:rPr>
                <w:color w:val="auto"/>
              </w:rPr>
              <w:t>(15)</w:t>
            </w:r>
            <w:r w:rsidRPr="008947C5">
              <w:rPr>
                <w:b/>
                <w:i/>
                <w:color w:val="auto"/>
              </w:rPr>
              <w:tab/>
            </w:r>
            <w:r w:rsidRPr="008947C5">
              <w:rPr>
                <w:color w:val="auto"/>
              </w:rPr>
              <w:t>Aby organy ścigania mogły wypełniać powierzone im zadania, istotne jest, aby w ramach zwalczania przestępstw terrorystycznych i innych poważnych przestępstw miały one dostęp do jak najpełniejszych i jak najbardziej aktualnych informacji. Informacje zawarte w Eurodac są niezbędne do zapobiegania przestępstwom terrorystycznym, o których mowa w</w:t>
            </w:r>
            <w:r w:rsidRPr="008947C5">
              <w:rPr>
                <w:b/>
                <w:i/>
                <w:color w:val="auto"/>
              </w:rPr>
              <w:t xml:space="preserve"> dyrektywie Parlamentu Europejskiego i</w:t>
            </w:r>
            <w:r w:rsidRPr="008947C5">
              <w:rPr>
                <w:color w:val="auto"/>
              </w:rPr>
              <w:t xml:space="preserve"> Rady</w:t>
            </w:r>
            <w:r w:rsidRPr="008947C5">
              <w:rPr>
                <w:b/>
                <w:i/>
                <w:color w:val="auto"/>
              </w:rPr>
              <w:t xml:space="preserve"> (UE) 2017/... [w sprawie zwalczania terroryzmu i zastępującej decyzję ramową Rady 2002/475/WSiSW oraz zmieniającej decyzję Rady 2005/671/WSiSW],</w:t>
            </w:r>
            <w:r w:rsidRPr="008947C5">
              <w:rPr>
                <w:color w:val="auto"/>
              </w:rPr>
              <w:t xml:space="preserve"> lub innym poważnym przestępstwom, o których mowa w decyzji ramowej Rady</w:t>
            </w:r>
            <w:r w:rsidRPr="008947C5">
              <w:rPr>
                <w:b/>
                <w:i/>
                <w:color w:val="auto"/>
              </w:rPr>
              <w:t xml:space="preserve"> 2002/475/WSiSW</w:t>
            </w:r>
            <w:r w:rsidRPr="008947C5">
              <w:rPr>
                <w:color w:val="auto"/>
              </w:rPr>
              <w:t>, ich wykrywania</w:t>
            </w:r>
            <w:r w:rsidRPr="008947C5">
              <w:rPr>
                <w:b/>
                <w:i/>
                <w:color w:val="auto"/>
              </w:rPr>
              <w:t>, ścigania</w:t>
            </w:r>
            <w:r w:rsidRPr="008947C5">
              <w:rPr>
                <w:color w:val="auto"/>
              </w:rPr>
              <w:t xml:space="preserve"> lub</w:t>
            </w:r>
            <w:r w:rsidRPr="008947C5">
              <w:rPr>
                <w:b/>
                <w:i/>
                <w:color w:val="auto"/>
              </w:rPr>
              <w:t xml:space="preserve"> karania</w:t>
            </w:r>
            <w:r w:rsidRPr="008947C5">
              <w:rPr>
                <w:color w:val="auto"/>
              </w:rPr>
              <w:t>. Dlatego też wyznaczone organy państw członkowskich oraz Europejski Urząd Policji</w:t>
            </w:r>
            <w:r w:rsidRPr="008947C5">
              <w:rPr>
                <w:b/>
                <w:i/>
                <w:color w:val="auto"/>
              </w:rPr>
              <w:t xml:space="preserve"> </w:t>
            </w:r>
            <w:r w:rsidRPr="008947C5">
              <w:rPr>
                <w:color w:val="auto"/>
              </w:rPr>
              <w:t>(Europol) powinny mieć - na warunkach określonych w niniejszym rozporządzeniu - dostęp do danych zawartych w Eurodac na potrzeby porównywania.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_________________</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vertAlign w:val="superscript"/>
              </w:rPr>
              <w:t>29</w:t>
            </w:r>
            <w:r w:rsidRPr="008947C5">
              <w:rPr>
                <w:b/>
                <w:i/>
                <w:color w:val="auto"/>
              </w:rPr>
              <w:t xml:space="preserve"> Decyzja ramowa Rady 2002/475/WSiSW z dnia 13 czerwca 2002 r. w sprawie zwalczania terroryzmu (Dz.U. L 164 z 22.6.2002, s. 3).</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vertAlign w:val="superscript"/>
              </w:rPr>
              <w:t>30</w:t>
            </w:r>
            <w:r w:rsidRPr="008947C5">
              <w:rPr>
                <w:b/>
                <w:i/>
                <w:color w:val="auto"/>
              </w:rPr>
              <w:t xml:space="preserve"> Decyzja ramowa Rady 2002/584/WSiSW z dnia 13 czerwca 2002 r. w sprawie europejskiego nakazu aresztowania i procedury wydawania osób między państwami członkowskimi (Dz.U. L 190 z 18.7.2002, s. 1).</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Przepisy decyzji ramowej 2002/475/WSiSW zostały włączone do nowej dyrektywy w sprawie zwalczania terroryzmu, która została poddana pod głosowanie Parlamentu Europejskiego w dniu 16 lutego 2017</w:t>
      </w:r>
      <w:r w:rsidR="00447681" w:rsidRPr="008947C5">
        <w:rPr>
          <w:color w:val="auto"/>
        </w:rPr>
        <w:t xml:space="preserve"> </w:t>
      </w:r>
      <w:r w:rsidRPr="008947C5">
        <w:rPr>
          <w:color w:val="auto"/>
        </w:rPr>
        <w:t>r.</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99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19</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(19)</w:t>
            </w:r>
            <w:r w:rsidRPr="008947C5">
              <w:rPr>
                <w:b/>
                <w:i/>
                <w:color w:val="auto"/>
              </w:rPr>
              <w:tab/>
            </w:r>
            <w:r w:rsidRPr="008947C5">
              <w:rPr>
                <w:color w:val="auto"/>
              </w:rPr>
              <w:t>Wnioski o porównanie danych Eurodac przez Europol powinny być dozwolone jedynie w szczególnych przypadkach, w szczególnych okolicznościach i po spełnieniu ściśle określonych warunków.</w:t>
            </w:r>
          </w:p>
        </w:tc>
        <w:tc>
          <w:tcPr>
            <w:tcW w:w="4876" w:type="dxa"/>
          </w:tcPr>
          <w:p w:rsidR="005E74C4" w:rsidRPr="008947C5" w:rsidRDefault="005E74C4" w:rsidP="009E4524">
            <w:pPr>
              <w:pStyle w:val="Normal6"/>
              <w:rPr>
                <w:b/>
                <w:i/>
                <w:color w:val="auto"/>
              </w:rPr>
            </w:pPr>
            <w:r w:rsidRPr="008947C5">
              <w:rPr>
                <w:color w:val="auto"/>
              </w:rPr>
              <w:t>(19)</w:t>
            </w:r>
            <w:r w:rsidRPr="008947C5">
              <w:rPr>
                <w:b/>
                <w:i/>
                <w:color w:val="auto"/>
              </w:rPr>
              <w:tab/>
            </w:r>
            <w:r w:rsidRPr="008947C5">
              <w:rPr>
                <w:color w:val="auto"/>
              </w:rPr>
              <w:t>Wnioski o porównanie danych Eurodac przez Europol powinny być dozwolone jedynie w szczególnych przypadkach, w szczególnych okolicznościach i po spełnieniu ściśle określonych warunków</w:t>
            </w:r>
            <w:r w:rsidRPr="008947C5">
              <w:rPr>
                <w:b/>
                <w:i/>
                <w:color w:val="auto"/>
              </w:rPr>
              <w:t>, zgodnie z zasadami konieczności i proporcjonalności zapisanymi w art</w:t>
            </w:r>
            <w:r w:rsidRPr="008947C5">
              <w:rPr>
                <w:color w:val="auto"/>
              </w:rPr>
              <w:t>.</w:t>
            </w:r>
            <w:r w:rsidRPr="008947C5">
              <w:rPr>
                <w:b/>
                <w:i/>
                <w:color w:val="auto"/>
              </w:rPr>
              <w:t xml:space="preserve"> 52 ust. 1 Karty praw podstawowych Unii Europejskiej i zinterpretowanymi w orzecznictwie Trybunału Sprawiedliwości Unii Europejskiej</w:t>
            </w:r>
            <w:r w:rsidRPr="008947C5">
              <w:rPr>
                <w:b/>
                <w:i/>
                <w:color w:val="auto"/>
                <w:vertAlign w:val="superscript"/>
              </w:rPr>
              <w:t>1a</w:t>
            </w:r>
            <w:r w:rsidRPr="008947C5">
              <w:rPr>
                <w:b/>
                <w:i/>
                <w:color w:val="auto"/>
              </w:rPr>
              <w:t>.</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vertAlign w:val="superscript"/>
              </w:rPr>
              <w:t>1a</w:t>
            </w:r>
            <w:r w:rsidRPr="008947C5">
              <w:rPr>
                <w:b/>
                <w:i/>
                <w:color w:val="auto"/>
              </w:rPr>
              <w:t xml:space="preserve"> Trybunał Sprawiedliwości Unii Europejskiej, wyrok Sądu (wielka izba) z dnia 8 kwietnia 2014</w:t>
            </w:r>
            <w:r w:rsidR="00447681" w:rsidRPr="008947C5">
              <w:rPr>
                <w:b/>
                <w:i/>
                <w:color w:val="auto"/>
              </w:rPr>
              <w:t xml:space="preserve"> </w:t>
            </w:r>
            <w:r w:rsidRPr="008947C5">
              <w:rPr>
                <w:b/>
                <w:i/>
                <w:color w:val="auto"/>
              </w:rPr>
              <w:t>r. w sprawach połączonych C-293/12 i C-594/12 Digital Rights Ireland Ltd i Seitlinger i in. Trybunał Sprawiedliwości Unii Europejskiej, wyrok Sądu (wielka izba) z dnia 21 grudnia 2016</w:t>
            </w:r>
            <w:r w:rsidR="00447681" w:rsidRPr="008947C5">
              <w:rPr>
                <w:b/>
                <w:i/>
                <w:color w:val="auto"/>
              </w:rPr>
              <w:t xml:space="preserve"> </w:t>
            </w:r>
            <w:r w:rsidRPr="008947C5">
              <w:rPr>
                <w:b/>
                <w:i/>
                <w:color w:val="auto"/>
              </w:rPr>
              <w:t>r. w sprawach połączonych C-203/15 i C-698/15 Tele2 Sverige AB przeciwko Post-och telestyrelsen i Secretary of State for the Home Department przeciwko Tom Watson i in.</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niezbędna, ponieważ jest w nierozerwalny sposób powiązana z innymi dopuszczalnymi poprawkami związanymi z celami Eurodac (art. 1), wprowadzającymi odniesienia do zgodności z zasadami konieczności i proporcjonalności na podstawie art. 52 ust. 1 Karty praw podstawowych Unii Europejskiej i odpowiedniego orzecznictwa Trybunału Sprawiedliwości Unii Europejskiej.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(20)</w:t>
            </w:r>
            <w:r w:rsidRPr="008947C5">
              <w:rPr>
                <w:b/>
                <w:i/>
                <w:color w:val="auto"/>
              </w:rPr>
              <w:tab/>
            </w:r>
            <w:r w:rsidRPr="008947C5">
              <w:rPr>
                <w:color w:val="auto"/>
              </w:rPr>
              <w:t>Ponieważ Eurodac został pierwotnie ustanowiony celem ułatwienia stosowania konwencji dublińskiej, dostęp do Eurodac na potrzeby zapobiegania przestępstwom terrorystycznym lub innym poważnym przestępstwom, ich wykrywania lub ścigania stanowi zmianę pierwotnego celu Eurodac, oznaczającą ingerencję w prawo podstawowe do poszanowania życia prywatnego osób fizycznych, których dane przetwarzane są w Eurodac. Zgodnie z wymogami art. 52 ust. 1 Karty praw podstawowych Unii Europejskiej wszelkie takie ingerencje muszą być zgodne z prawem, które musi być sformułowane dostatecznie precyzyjnie, aby umożliwić osobom fizycznym dostosowanie swojego postępowania, oraz musi chronić te osoby przed arbitralnością, jak również wskazywać dostatecznie jasno zakres swobody uznania powierzonej właściwym organom oraz sposób korzystania z tej swobody. Wszelkie ingerencje muszą być konieczne dla</w:t>
            </w:r>
            <w:r w:rsidRPr="008947C5">
              <w:rPr>
                <w:b/>
                <w:i/>
                <w:color w:val="auto"/>
              </w:rPr>
              <w:t xml:space="preserve"> prawdziwego spełnienia celu leżącego w ogólnym interesie</w:t>
            </w:r>
            <w:r w:rsidRPr="008947C5">
              <w:rPr>
                <w:color w:val="auto"/>
              </w:rPr>
              <w:t xml:space="preserve"> oraz proporcjonalne w stosunku do uzasadnionego celu, którego osiągnięciu mają służyć.</w:t>
            </w:r>
          </w:p>
        </w:tc>
        <w:tc>
          <w:tcPr>
            <w:tcW w:w="4876" w:type="dxa"/>
          </w:tcPr>
          <w:p w:rsidR="005E74C4" w:rsidRPr="008947C5" w:rsidRDefault="005E74C4" w:rsidP="009E4524">
            <w:pPr>
              <w:pStyle w:val="Normal6"/>
              <w:rPr>
                <w:b/>
                <w:i/>
                <w:color w:val="auto"/>
              </w:rPr>
            </w:pPr>
            <w:r w:rsidRPr="008947C5">
              <w:rPr>
                <w:color w:val="auto"/>
              </w:rPr>
              <w:t>(20)</w:t>
            </w:r>
            <w:r w:rsidRPr="008947C5">
              <w:rPr>
                <w:b/>
                <w:i/>
                <w:color w:val="auto"/>
              </w:rPr>
              <w:tab/>
            </w:r>
            <w:r w:rsidRPr="008947C5">
              <w:rPr>
                <w:color w:val="auto"/>
              </w:rPr>
              <w:t>Ponieważ Eurodac został pierwotnie ustanowiony celem ułatwienia stosowania konwencji dublińskiej, dostęp do Eurodac na potrzeby zapobiegania przestępstwom terrorystycznym lub innym poważnym przestępstwom, ich wykrywania lub ścigania stanowi zmianę pierwotnego celu Eurodac, oznaczającą ingerencję w prawo podstawowe do poszanowania życia prywatnego osób fizycznych, których dane przetwarzane są w Eurodac. Zgodnie z wymogami art. 52 ust. 1 Karty praw podstawowych Unii Europejskiej wszelkie takie ingerencje muszą być zgodne z prawem, które musi być sformułowane dostatecznie precyzyjnie, aby umożliwić osobom fizycznym dostosowanie swojego postępowania, oraz musi chronić te osoby przed arbitralnością, jak również wskazywać dostatecznie jasno zakres swobody uznania powierzonej właściwym organom oraz sposób korzystania z tej swobody.</w:t>
            </w:r>
            <w:r w:rsidRPr="008947C5">
              <w:rPr>
                <w:b/>
                <w:i/>
                <w:color w:val="auto"/>
              </w:rPr>
              <w:t xml:space="preserve"> W społeczeństwie demokratycznym</w:t>
            </w:r>
            <w:r w:rsidRPr="008947C5">
              <w:rPr>
                <w:color w:val="auto"/>
              </w:rPr>
              <w:t xml:space="preserve"> wszelkie ingerencje muszą być konieczne dla</w:t>
            </w:r>
            <w:r w:rsidRPr="008947C5">
              <w:rPr>
                <w:b/>
                <w:i/>
                <w:color w:val="auto"/>
              </w:rPr>
              <w:t xml:space="preserve"> ochrony uzasadnionych i proporcjonalnych interesów</w:t>
            </w:r>
            <w:r w:rsidRPr="008947C5">
              <w:rPr>
                <w:color w:val="auto"/>
              </w:rPr>
              <w:t xml:space="preserve"> oraz proporcjonalne w stosunku do uzasadnionego celu, którego osiągnięciu mają służyć.</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Komisja wykreśliła ze swojego wniosku standardowe sformułowanie z art. 8 EKPC. Niniejsza poprawka wprowadza to sformułowanie zgodnie z brzmieniem w EKPC i wykładnią w orzecznictwie Trybunału Sprawiedliwości Unii Europejskiej.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(20)</w:t>
            </w:r>
            <w:r w:rsidRPr="008947C5">
              <w:rPr>
                <w:b/>
                <w:i/>
                <w:color w:val="auto"/>
              </w:rPr>
              <w:tab/>
            </w:r>
            <w:r w:rsidRPr="008947C5">
              <w:rPr>
                <w:color w:val="auto"/>
              </w:rPr>
              <w:t>Ponieważ Eurodac został pierwotnie ustanowiony celem ułatwienia stosowania konwencji dublińskiej, dostęp do Eurodac na potrzeby zapobiegania przestępstwom terrorystycznym lub innym poważnym przestępstwom, ich wykrywania lub</w:t>
            </w:r>
            <w:r w:rsidRPr="008947C5">
              <w:rPr>
                <w:b/>
                <w:i/>
                <w:color w:val="auto"/>
              </w:rPr>
              <w:t xml:space="preserve"> ścigania</w:t>
            </w:r>
            <w:r w:rsidRPr="008947C5">
              <w:rPr>
                <w:color w:val="auto"/>
              </w:rPr>
              <w:t xml:space="preserve"> stanowi</w:t>
            </w:r>
            <w:r w:rsidRPr="008947C5">
              <w:rPr>
                <w:b/>
                <w:i/>
                <w:color w:val="auto"/>
              </w:rPr>
              <w:t xml:space="preserve"> zmianę</w:t>
            </w:r>
            <w:r w:rsidRPr="008947C5">
              <w:rPr>
                <w:color w:val="auto"/>
              </w:rPr>
              <w:t xml:space="preserve"> pierwotnego celu Eurodac</w:t>
            </w:r>
            <w:r w:rsidRPr="008947C5">
              <w:rPr>
                <w:b/>
                <w:i/>
                <w:color w:val="auto"/>
              </w:rPr>
              <w:t>, oznaczającą ingerencję w prawo podstawowe do poszanowania życia prywatnego osób fizycznych, których dane przetwarzane są w Eurodac</w:t>
            </w:r>
            <w:r w:rsidRPr="008947C5">
              <w:rPr>
                <w:color w:val="auto"/>
              </w:rPr>
              <w:t>. Zgodnie z wymogami art. 52 ust. 1 Karty praw podstawowych Unii Europejskiej wszelkie takie ingerencje muszą być zgodne z prawem, które musi być sformułowane dostatecznie precyzyjnie, aby umożliwić osobom fizycznym dostosowanie swojego postępowania, oraz musi chronić te osoby przed arbitralnością, jak również wskazywać dostatecznie jasno zakres swobody uznania powierzonej właściwym organom oraz sposób korzystania z tej swobody. Wszelkie ingerencje muszą być konieczne dla prawdziwego spełnienia celu leżącego w ogólnym interesie oraz proporcjonalne w stosunku do uzasadnionego celu, którego osiągnięciu mają służyć.</w:t>
            </w:r>
          </w:p>
        </w:tc>
        <w:tc>
          <w:tcPr>
            <w:tcW w:w="4876" w:type="dxa"/>
          </w:tcPr>
          <w:p w:rsidR="005E74C4" w:rsidRPr="008947C5" w:rsidRDefault="005E74C4" w:rsidP="009E4524">
            <w:pPr>
              <w:pStyle w:val="Normal6"/>
              <w:rPr>
                <w:b/>
                <w:i/>
                <w:color w:val="auto"/>
              </w:rPr>
            </w:pPr>
            <w:r w:rsidRPr="008947C5">
              <w:rPr>
                <w:color w:val="auto"/>
              </w:rPr>
              <w:t>(20)</w:t>
            </w:r>
            <w:r w:rsidRPr="008947C5">
              <w:rPr>
                <w:b/>
                <w:i/>
                <w:color w:val="auto"/>
              </w:rPr>
              <w:tab/>
            </w:r>
            <w:r w:rsidRPr="008947C5">
              <w:rPr>
                <w:color w:val="auto"/>
              </w:rPr>
              <w:t>Ponieważ Eurodac został pierwotnie ustanowiony celem ułatwienia stosowania konwencji dublińskiej, dostęp do Eurodac na potrzeby zapobiegania przestępstwom terrorystycznym lub innym poważnym przestępstwom, ich wykrywania</w:t>
            </w:r>
            <w:r w:rsidRPr="008947C5">
              <w:rPr>
                <w:b/>
                <w:i/>
                <w:color w:val="auto"/>
              </w:rPr>
              <w:t>, ścigania</w:t>
            </w:r>
            <w:r w:rsidRPr="008947C5">
              <w:rPr>
                <w:color w:val="auto"/>
              </w:rPr>
              <w:t xml:space="preserve"> lub</w:t>
            </w:r>
            <w:r w:rsidRPr="008947C5">
              <w:rPr>
                <w:b/>
                <w:i/>
                <w:color w:val="auto"/>
              </w:rPr>
              <w:t xml:space="preserve"> karania</w:t>
            </w:r>
            <w:r w:rsidRPr="008947C5">
              <w:rPr>
                <w:color w:val="auto"/>
              </w:rPr>
              <w:t xml:space="preserve"> stanowi</w:t>
            </w:r>
            <w:r w:rsidRPr="008947C5">
              <w:rPr>
                <w:b/>
                <w:i/>
                <w:color w:val="auto"/>
              </w:rPr>
              <w:t xml:space="preserve"> dalsze rozszerzenie</w:t>
            </w:r>
            <w:r w:rsidRPr="008947C5">
              <w:rPr>
                <w:color w:val="auto"/>
              </w:rPr>
              <w:t xml:space="preserve"> pierwotnego celu Eurodac. Zgodnie z wymogami art. 52 ust. 1 Karty praw podstawowych Unii Europejskiej wszelkie takie ingerencje</w:t>
            </w:r>
            <w:r w:rsidRPr="008947C5">
              <w:rPr>
                <w:b/>
                <w:i/>
                <w:color w:val="auto"/>
              </w:rPr>
              <w:t xml:space="preserve"> w podstawowe prawo do poszanowania życia prywatnego osób fizycznych, których dane osobowe są przetwarzane w Eurodac</w:t>
            </w:r>
            <w:r w:rsidRPr="008947C5">
              <w:rPr>
                <w:color w:val="auto"/>
              </w:rPr>
              <w:t xml:space="preserve"> muszą być zgodne z prawem, które musi być sformułowane dostatecznie precyzyjnie, aby umożliwić osobom fizycznym dostosowanie swojego postępowania, oraz musi chronić te osoby przed arbitralnością, jak również wskazywać dostatecznie jasno zakres swobody uznania powierzonej właściwym organom oraz sposób korzystania z tej swobody. Wszelkie ingerencje muszą być konieczne dla prawdziwego spełnienia celu leżącego w ogólnym interesie oraz proporcjonalne w stosunku do uzasadnionego celu, którego osiągnięciu mają służyć.</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Ta poprawka jest powiązana ze zmianami wprowadzonymi w art. 1 ust. 1 lit. c).</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(22)</w:t>
            </w:r>
            <w:r w:rsidRPr="008947C5">
              <w:rPr>
                <w:b/>
                <w:i/>
                <w:color w:val="auto"/>
              </w:rPr>
              <w:tab/>
            </w:r>
            <w:r w:rsidRPr="008947C5">
              <w:rPr>
                <w:color w:val="auto"/>
              </w:rPr>
              <w:t>Niniejsze rozporządzenie określa również warunki, na jakich należy dopuścić występowanie z wnioskami o porównanie danych daktyloskopijnych z danymi Eurodac na potrzeby zapobiegania przestępstwom terrorystycznym lub innym poważnym przestępstwom, ich wykrywania lub ścigania, jak również niezbędne zabezpieczenia w celu zapewnienia ochrony prawa podstawowego do poszanowania życia prywatnego osób fizycznych, których dane osobowe przetwarzane są w Eurodac. Rygorystyczność tych warunków wynika z faktu, iż w bazie danych Eurodac rejestrowane są dane daktyloskopijne osób, które nie są podejrzewane o popełnienie przestępstwa terrorystycznego lub innego poważnego przestępstwa.</w:t>
            </w:r>
          </w:p>
        </w:tc>
        <w:tc>
          <w:tcPr>
            <w:tcW w:w="4876" w:type="dxa"/>
          </w:tcPr>
          <w:p w:rsidR="005E74C4" w:rsidRPr="008947C5" w:rsidRDefault="005E74C4" w:rsidP="009E4524">
            <w:pPr>
              <w:pStyle w:val="Normal6"/>
              <w:rPr>
                <w:b/>
                <w:i/>
                <w:color w:val="auto"/>
              </w:rPr>
            </w:pPr>
            <w:r w:rsidRPr="008947C5">
              <w:rPr>
                <w:color w:val="auto"/>
              </w:rPr>
              <w:t>(22)</w:t>
            </w:r>
            <w:r w:rsidRPr="008947C5">
              <w:rPr>
                <w:b/>
                <w:i/>
                <w:color w:val="auto"/>
              </w:rPr>
              <w:tab/>
            </w:r>
            <w:r w:rsidRPr="008947C5">
              <w:rPr>
                <w:color w:val="auto"/>
              </w:rPr>
              <w:t>Niniejsze rozporządzenie określa również warunki, na jakich należy dopuścić występowanie z wnioskami o porównanie danych daktyloskopijnych</w:t>
            </w:r>
            <w:r w:rsidRPr="008947C5">
              <w:rPr>
                <w:b/>
                <w:i/>
                <w:color w:val="auto"/>
              </w:rPr>
              <w:t>, alfanumerycznych lub wizerunku twarzy</w:t>
            </w:r>
            <w:r w:rsidRPr="008947C5">
              <w:rPr>
                <w:color w:val="auto"/>
              </w:rPr>
              <w:t xml:space="preserve"> z danymi Eurodac na potrzeby zapobiegania przestępstwom terrorystycznym lub innym poważnym przestępstwom, ich wykrywania lub ścigania, jak również niezbędne zabezpieczenia w celu zapewnienia ochrony prawa podstawowego do poszanowania życia prywatnego osób fizycznych, których dane osobowe przetwarzane są w Eurodac. Rygorystyczność tych warunków wynika z faktu, iż w bazie danych Eurodac rejestrowane są dane daktyloskopijne</w:t>
            </w:r>
            <w:r w:rsidRPr="008947C5">
              <w:rPr>
                <w:b/>
                <w:i/>
                <w:color w:val="auto"/>
              </w:rPr>
              <w:t>, alfanumeryczne i wizerunki twarzy</w:t>
            </w:r>
            <w:r w:rsidRPr="008947C5">
              <w:rPr>
                <w:color w:val="auto"/>
              </w:rPr>
              <w:t xml:space="preserve"> osób, które nie są podejrzewane o popełnienie przestępstwa terrorystycznego lub innego poważnego przestępstwa.</w:t>
            </w:r>
            <w:r w:rsidRPr="008947C5">
              <w:rPr>
                <w:b/>
                <w:i/>
                <w:color w:val="auto"/>
              </w:rPr>
              <w:t xml:space="preserve"> Chociaż porównanie na podstawie danych daktyloskopijnych i wizerunku twarzy daje dokładniejsze wyniki wyszukiwania, wiadomo, że organy ścigania i Europol nie zawsze dysponują danymi daktyloskopijnymi i wizerunkami twarzy osób podejrzanych lub ofiar, w sprawie których prowadzą postępowanie, co mogłoby obniżyć ich zdolność do kojarzenia danych daktyloskopijnych i wizerunków danych w bazach takich jak Eurodac. W celu ułatwienia tym organom i Europolowi prowadzenia postępowań należy umożliwić przeszukiwanie Eurodac w oparciu o dane alfanumeryczne, zwłaszcza w przypadkach gdy te organy i Europol posiadają dowody w postaci danych osobowych lub dokumentów tożsamości podejrzanego lub ofiary przestępstwa.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lang w:val="en-US"/>
        </w:rPr>
      </w:pPr>
      <w:r w:rsidRPr="008947C5">
        <w:rPr>
          <w:color w:val="auto"/>
          <w:lang w:val="en-US"/>
        </w:rPr>
        <w:t>Under the proposal, national law enforcement</w:t>
      </w:r>
      <w:r w:rsidR="008947C5" w:rsidRPr="008947C5">
        <w:rPr>
          <w:color w:val="auto"/>
          <w:lang w:val="en-US"/>
        </w:rPr>
        <w:t xml:space="preserve"> </w:t>
      </w:r>
      <w:r w:rsidRPr="008947C5">
        <w:rPr>
          <w:color w:val="auto"/>
          <w:lang w:val="en-US"/>
        </w:rPr>
        <w:t>authorities and Europol cannot request comparison with specific alphanumeric data, which is</w:t>
      </w:r>
      <w:r w:rsidR="008947C5">
        <w:rPr>
          <w:color w:val="auto"/>
          <w:lang w:val="en-US"/>
        </w:rPr>
        <w:t xml:space="preserve"> </w:t>
      </w:r>
      <w:r w:rsidRPr="008947C5">
        <w:rPr>
          <w:color w:val="auto"/>
          <w:lang w:val="en-US"/>
        </w:rPr>
        <w:t>highly detrimental to investigations, especially in the counter-terrorism</w:t>
      </w:r>
      <w:r w:rsidR="008947C5">
        <w:rPr>
          <w:color w:val="auto"/>
          <w:lang w:val="en-US"/>
        </w:rPr>
        <w:t xml:space="preserve"> </w:t>
      </w:r>
      <w:r w:rsidRPr="008947C5">
        <w:rPr>
          <w:color w:val="auto"/>
          <w:lang w:val="en-US"/>
        </w:rPr>
        <w:t>field, trying to establish the places and dates of entry in the EU of suspects</w:t>
      </w:r>
      <w:r w:rsidR="008947C5">
        <w:rPr>
          <w:color w:val="auto"/>
          <w:lang w:val="en-US"/>
        </w:rPr>
        <w:t xml:space="preserve"> </w:t>
      </w:r>
      <w:r w:rsidRPr="008947C5">
        <w:rPr>
          <w:color w:val="auto"/>
          <w:lang w:val="en-US"/>
        </w:rPr>
        <w:t>for which a used identity is known, but no fingerprint is available. In this</w:t>
      </w:r>
      <w:r w:rsidR="008947C5" w:rsidRPr="008947C5">
        <w:rPr>
          <w:color w:val="auto"/>
          <w:lang w:val="en-US"/>
        </w:rPr>
        <w:t xml:space="preserve"> </w:t>
      </w:r>
      <w:r w:rsidRPr="008947C5">
        <w:rPr>
          <w:color w:val="auto"/>
          <w:lang w:val="en-US"/>
        </w:rPr>
        <w:t>context, and given that Art.1.1(c) of the proposal, extends its scope of</w:t>
      </w:r>
      <w:r w:rsidR="008947C5">
        <w:rPr>
          <w:color w:val="auto"/>
          <w:lang w:val="en-US"/>
        </w:rPr>
        <w:t xml:space="preserve"> </w:t>
      </w:r>
      <w:r w:rsidRPr="008947C5">
        <w:rPr>
          <w:color w:val="auto"/>
          <w:lang w:val="en-US"/>
        </w:rPr>
        <w:t>Eurodac to law enforcement purposes, it would be essential for national law enforcement</w:t>
      </w:r>
      <w:r w:rsidR="008947C5">
        <w:rPr>
          <w:color w:val="auto"/>
          <w:lang w:val="en-US"/>
        </w:rPr>
        <w:t xml:space="preserve"> </w:t>
      </w:r>
      <w:r w:rsidRPr="008947C5">
        <w:rPr>
          <w:color w:val="auto"/>
          <w:lang w:val="en-US"/>
        </w:rPr>
        <w:t>authorities and Europol to have access to all data contained in Eurodac in</w:t>
      </w:r>
      <w:r w:rsidR="008947C5">
        <w:rPr>
          <w:color w:val="auto"/>
          <w:lang w:val="en-US"/>
        </w:rPr>
        <w:t xml:space="preserve"> </w:t>
      </w:r>
      <w:r w:rsidRPr="008947C5">
        <w:rPr>
          <w:color w:val="auto"/>
          <w:lang w:val="en-US"/>
        </w:rPr>
        <w:t>order to properly carry out their tasks.</w:t>
      </w:r>
    </w:p>
    <w:p w:rsidR="005E74C4" w:rsidRPr="008947C5" w:rsidRDefault="005E74C4" w:rsidP="005E74C4">
      <w:pPr>
        <w:rPr>
          <w:lang w:val="en-US"/>
        </w:rPr>
      </w:pPr>
      <w:r w:rsidRPr="005B688F">
        <w:rPr>
          <w:rStyle w:val="HideTWBExt"/>
          <w:lang w:val="en-US"/>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(23)</w:t>
            </w:r>
            <w:r w:rsidRPr="008947C5">
              <w:rPr>
                <w:b/>
                <w:i/>
                <w:color w:val="auto"/>
              </w:rPr>
              <w:tab/>
            </w:r>
            <w:r w:rsidRPr="008947C5">
              <w:rPr>
                <w:color w:val="auto"/>
              </w:rPr>
              <w:t>W celu zapewnienia równego traktowania wszystkich osób ubiegających się o ochronę międzynarodową i beneficjentów ochrony międzynarodowej, jak również w celu zapewnienia spójności z obecnym dorobkiem prawnym UE w dziedzinie azylu, w szczególności z dyrektywą Parlamentu Europejskiego i Rady 2011/95/UE</w:t>
            </w:r>
            <w:r w:rsidRPr="008947C5">
              <w:rPr>
                <w:rStyle w:val="Sup"/>
                <w:color w:val="auto"/>
              </w:rPr>
              <w:t>32</w:t>
            </w:r>
            <w:r w:rsidRPr="008947C5">
              <w:rPr>
                <w:color w:val="auto"/>
              </w:rPr>
              <w:t>, a także z rozporządzeniem</w:t>
            </w:r>
            <w:r w:rsidRPr="008947C5">
              <w:rPr>
                <w:b/>
                <w:i/>
                <w:color w:val="auto"/>
              </w:rPr>
              <w:t xml:space="preserve"> </w:t>
            </w:r>
            <w:r w:rsidRPr="008947C5">
              <w:rPr>
                <w:color w:val="auto"/>
              </w:rPr>
              <w:t>(UE) nr […/…], niniejsze rozporządzenie obejmuje swoim zakresem stosowania osoby ubiegające się o ochronę uzupełniającą oraz osoby kwalifikujące się do otrzymania ochrony uzupełniającej.</w:t>
            </w:r>
          </w:p>
        </w:tc>
        <w:tc>
          <w:tcPr>
            <w:tcW w:w="4876" w:type="dxa"/>
          </w:tcPr>
          <w:p w:rsidR="005E74C4" w:rsidRPr="008947C5" w:rsidRDefault="005E74C4" w:rsidP="009E4524">
            <w:pPr>
              <w:pStyle w:val="Normal6"/>
              <w:rPr>
                <w:b/>
                <w:i/>
                <w:color w:val="auto"/>
              </w:rPr>
            </w:pPr>
            <w:r w:rsidRPr="008947C5">
              <w:rPr>
                <w:color w:val="auto"/>
              </w:rPr>
              <w:t>(23)</w:t>
            </w:r>
            <w:r w:rsidRPr="008947C5">
              <w:rPr>
                <w:b/>
                <w:i/>
                <w:color w:val="auto"/>
              </w:rPr>
              <w:tab/>
            </w:r>
            <w:r w:rsidRPr="008947C5">
              <w:rPr>
                <w:color w:val="auto"/>
              </w:rPr>
              <w:t>W celu zapewnienia równego traktowania wszystkich osób ubiegających się o ochronę międzynarodową i beneficjentów ochrony międzynarodowej, jak również w celu zapewnienia spójności z obecnym dorobkiem prawnym UE w dziedzinie azylu, w szczególności z dyrektywą Parlamentu Europejskiego i Rady 2011/95/UE</w:t>
            </w:r>
            <w:r w:rsidRPr="008947C5">
              <w:rPr>
                <w:rStyle w:val="Sup"/>
                <w:color w:val="auto"/>
              </w:rPr>
              <w:t>32</w:t>
            </w:r>
            <w:r w:rsidRPr="008947C5">
              <w:rPr>
                <w:color w:val="auto"/>
              </w:rPr>
              <w:t>,</w:t>
            </w:r>
            <w:r w:rsidRPr="008947C5">
              <w:rPr>
                <w:b/>
                <w:i/>
                <w:color w:val="auto"/>
              </w:rPr>
              <w:t xml:space="preserve"> rozporządzeniem XXX/XXX ustanawiającym unijne ramy przesiedleń,</w:t>
            </w:r>
            <w:r w:rsidRPr="008947C5">
              <w:rPr>
                <w:color w:val="auto"/>
              </w:rPr>
              <w:t xml:space="preserve"> a także z rozporządzeniem</w:t>
            </w:r>
            <w:r w:rsidRPr="008947C5">
              <w:rPr>
                <w:b/>
                <w:i/>
                <w:color w:val="auto"/>
              </w:rPr>
              <w:t xml:space="preserve"> </w:t>
            </w:r>
            <w:r w:rsidRPr="008947C5">
              <w:rPr>
                <w:color w:val="auto"/>
              </w:rPr>
              <w:t>(UE) nr […/…], niniejsze rozporządzenie obejmuje swoim zakresem stosowania osoby ubiegające się o ochronę uzupełniającą oraz osoby kwalifikujące się do otrzymania ochrony uzupełniającej</w:t>
            </w:r>
            <w:r w:rsidRPr="008947C5">
              <w:rPr>
                <w:b/>
                <w:i/>
                <w:color w:val="auto"/>
              </w:rPr>
              <w:t>, a także osoby korzystające z ochrony międzynarodowej w wyniku przesiedlenia zgodnie z rozporządzeniem XXX/XXX</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32</w:t>
            </w:r>
            <w:r w:rsidRPr="008947C5">
              <w:rPr>
                <w:color w:val="auto"/>
              </w:rPr>
              <w:t xml:space="preserve"> Dyrektywa Parlamentu Europejskiego i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8947C5">
              <w:rPr>
                <w:b/>
                <w:i/>
                <w:color w:val="auto"/>
              </w:rPr>
              <w:t xml:space="preserve"> </w:t>
            </w:r>
            <w:r w:rsidRPr="008947C5">
              <w:rPr>
                <w:color w:val="auto"/>
              </w:rPr>
              <w:t>(wersja przekształcona)</w:t>
            </w:r>
            <w:r w:rsidRPr="008947C5">
              <w:rPr>
                <w:b/>
                <w:i/>
                <w:color w:val="auto"/>
              </w:rPr>
              <w:t xml:space="preserve"> </w:t>
            </w:r>
            <w:r w:rsidRPr="008947C5">
              <w:rPr>
                <w:color w:val="auto"/>
              </w:rPr>
              <w:t>(Dz.U. L 337 z 20.12.2011, s. 9).</w:t>
            </w:r>
          </w:p>
        </w:tc>
        <w:tc>
          <w:tcPr>
            <w:tcW w:w="4876" w:type="dxa"/>
          </w:tcPr>
          <w:p w:rsidR="005E74C4" w:rsidRPr="008947C5" w:rsidRDefault="005E74C4" w:rsidP="009E4524">
            <w:pPr>
              <w:pStyle w:val="Normal6"/>
              <w:rPr>
                <w:b/>
                <w:i/>
                <w:color w:val="auto"/>
              </w:rPr>
            </w:pPr>
            <w:r w:rsidRPr="008947C5">
              <w:rPr>
                <w:rStyle w:val="Sup"/>
                <w:color w:val="auto"/>
              </w:rPr>
              <w:t>32</w:t>
            </w:r>
            <w:r w:rsidRPr="008947C5">
              <w:rPr>
                <w:color w:val="auto"/>
              </w:rPr>
              <w:t xml:space="preserve"> Dyrektywa Parlamentu Europejskiego i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8947C5">
              <w:rPr>
                <w:b/>
                <w:i/>
                <w:color w:val="auto"/>
              </w:rPr>
              <w:t xml:space="preserve"> </w:t>
            </w:r>
            <w:r w:rsidRPr="008947C5">
              <w:rPr>
                <w:color w:val="auto"/>
              </w:rPr>
              <w:t>(wersja przekształcona)</w:t>
            </w:r>
            <w:r w:rsidRPr="008947C5">
              <w:rPr>
                <w:b/>
                <w:i/>
                <w:color w:val="auto"/>
              </w:rPr>
              <w:t xml:space="preserve"> </w:t>
            </w:r>
            <w:r w:rsidRPr="008947C5">
              <w:rPr>
                <w:color w:val="auto"/>
              </w:rPr>
              <w:t>(Dz.U. L 337 z 20.12.2011, s. 9).</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poprawki jest dodanie odniesienia do przyszłego rozporządzenia ustanawiającego unijne ramy przesiedleń, ponieważ proponuje się włączyć do zakresu stosowania Eurodac osoby, wobec których państwa członkowskie zamierzają zastosować procedurę przesiedlenia zgodnie z tym rozporządzeniem.</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w:t>
            </w:r>
            <w:r w:rsidRPr="008947C5">
              <w:rPr>
                <w:b/>
                <w:i/>
                <w:color w:val="auto"/>
              </w:rPr>
              <w:t xml:space="preserve"> daktyloskopijnych</w:t>
            </w:r>
            <w:r w:rsidRPr="008947C5">
              <w:rPr>
                <w:color w:val="auto"/>
              </w:rPr>
              <w:t xml:space="preserve"> każdej osoby ubiegającej się o ochronę międzynarodową oraz każdego obywatela państwa trzeciego lub bezpaństwowca zatrzymanego w związku z nielegalnym przekroczeniem granicy zewnętrznej państwa członkowskiego</w:t>
            </w:r>
            <w:r w:rsidRPr="008947C5">
              <w:rPr>
                <w:b/>
                <w:i/>
                <w:color w:val="auto"/>
              </w:rPr>
              <w:t xml:space="preserve"> </w:t>
            </w:r>
            <w:r w:rsidRPr="008947C5">
              <w:rPr>
                <w:color w:val="auto"/>
              </w:rPr>
              <w:t>, lub który nielegalnie przebywa w jednym z państw członkowskich</w:t>
            </w:r>
            <w:r w:rsidRPr="008947C5">
              <w:rPr>
                <w:b/>
                <w:i/>
                <w:color w:val="auto"/>
              </w:rPr>
              <w:t xml:space="preserve"> </w:t>
            </w:r>
            <w:r w:rsidRPr="008947C5">
              <w:rPr>
                <w:color w:val="auto"/>
              </w:rPr>
              <w:t>, jeżeli ma on przynajmniej sześć lat.</w:t>
            </w:r>
          </w:p>
        </w:tc>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w:t>
            </w:r>
            <w:r w:rsidRPr="008947C5">
              <w:rPr>
                <w:b/>
                <w:i/>
                <w:color w:val="auto"/>
              </w:rPr>
              <w:t xml:space="preserve"> biometrycznych</w:t>
            </w:r>
            <w:r w:rsidRPr="008947C5">
              <w:rPr>
                <w:color w:val="auto"/>
              </w:rPr>
              <w:t xml:space="preserve"> każdej osoby ubiegającej się o ochronę międzynarodową</w:t>
            </w:r>
            <w:r w:rsidRPr="008947C5">
              <w:rPr>
                <w:b/>
                <w:i/>
                <w:color w:val="auto"/>
              </w:rPr>
              <w:t>, każdego obywatela państwa trzeciego lub bezpaństwowca, wobec którego państwa członkowskie zamierzają zastosować procedurę przesiedlenia zgodnie z rozporządzeniem XXX/XXX,</w:t>
            </w:r>
            <w:r w:rsidRPr="008947C5">
              <w:rPr>
                <w:color w:val="auto"/>
              </w:rPr>
              <w:t xml:space="preserve"> oraz każdego obywatela państwa trzeciego lub bezpaństwowca zatrzymanego w związku z nielegalnym przekroczeniem granicy zewnętrznej państwa członkowskiego, lub który nielegalnie przebywa w jednym z państw członkowskich, jeżeli ma on przynajmniej sześć lat.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poprawki jest wprowadzenie odniesienia do osób, wobec których państwa członkowskie zamierzają zastosować procedurę przesiedlenia, ponieważ proponuje się objąć te osoby zakresem stosowania niniejszego rozporządzenia.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 daktyloskopijnych każdej osoby ubiegającej się o ochronę międzynarodową oraz każdego obywatela państwa trzeciego lub bezpaństwowca zatrzymanego w związku z nielegalnym przekroczeniem granicy zewnętrznej państwa członkowskiego,</w:t>
            </w:r>
            <w:r w:rsidRPr="008947C5">
              <w:rPr>
                <w:b/>
                <w:i/>
                <w:color w:val="auto"/>
              </w:rPr>
              <w:t xml:space="preserve"> lub który nielegalnie przebywa w jednym z państw członkowskich,</w:t>
            </w:r>
            <w:r w:rsidRPr="008947C5">
              <w:rPr>
                <w:color w:val="auto"/>
              </w:rPr>
              <w:t xml:space="preserve"> jeżeli ma on przynajmniej sześć lat.</w:t>
            </w:r>
          </w:p>
        </w:tc>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 daktyloskopijnych każdej osoby ubiegającej się o ochronę międzynarodową oraz każdego obywatela państwa trzeciego lub bezpaństwowca zatrzymanego w związku z nielegalnym przekroczeniem granicy zewnętrznej państwa członkowskiego, jeżeli ma on przynajmniej sześć lat.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 daktyloskopijnych każdej osoby ubiegającej się o ochronę międzynarodową oraz każdego obywatela państwa trzeciego lub bezpaństwowca zatrzymanego w związku z nielegalnym przekroczeniem granicy zewnętrznej państwa członkowskiego, lub który nielegalnie przebywa w jednym z państw członkowskich, jeżeli ma on przynajmniej sześć lat.</w:t>
            </w:r>
          </w:p>
        </w:tc>
        <w:tc>
          <w:tcPr>
            <w:tcW w:w="4876" w:type="dxa"/>
          </w:tcPr>
          <w:p w:rsidR="005E74C4" w:rsidRPr="008947C5" w:rsidRDefault="005E74C4" w:rsidP="009E4524">
            <w:pPr>
              <w:pStyle w:val="Normal6"/>
              <w:rPr>
                <w:b/>
                <w:i/>
                <w:color w:val="auto"/>
              </w:rPr>
            </w:pPr>
            <w:r w:rsidRPr="008947C5">
              <w:rPr>
                <w:color w:val="auto"/>
              </w:rPr>
              <w:t>(24)</w:t>
            </w:r>
            <w:r w:rsidRPr="008947C5">
              <w:rPr>
                <w:b/>
                <w:i/>
                <w:color w:val="auto"/>
              </w:rPr>
              <w:tab/>
            </w:r>
            <w:r w:rsidRPr="008947C5">
              <w:rPr>
                <w:color w:val="auto"/>
              </w:rPr>
              <w:t>Niezbędne jest również niezwłoczne wprowadzenie dla wszystkich państw członkowskich wymogu pobierania i przekazywania danych daktyloskopijnych</w:t>
            </w:r>
            <w:r w:rsidRPr="008947C5">
              <w:rPr>
                <w:b/>
                <w:i/>
                <w:color w:val="auto"/>
              </w:rPr>
              <w:t xml:space="preserve"> i wizerunku twarzy</w:t>
            </w:r>
            <w:r w:rsidRPr="008947C5">
              <w:rPr>
                <w:color w:val="auto"/>
              </w:rPr>
              <w:t xml:space="preserve"> każdej osoby ubiegającej się o ochronę międzynarodową oraz każdego obywatela państwa trzeciego lub bezpaństwowca zatrzymanego w związku z nielegalnym przekroczeniem granicy zewnętrznej państwa członkowskiego, lub który nielegalnie przebywa w jednym z państw członkowskich, jeżeli ma on przynajmniej sześć lat.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„dane daktyloskopijne” i „wizerunek twarzy”, zgodnie z określonym w art. 2 ogólnym obowiązkiem pobierania odcisków palców i wykonywania zdjęcia wizerunku twarzy.</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r>
            <w:r w:rsidRPr="008947C5">
              <w:rPr>
                <w:color w:val="auto"/>
              </w:rPr>
              <w:t>Mając na względzie wzmocnienie ochrony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 jako że ułatwia to ustalenie tożsamości</w:t>
            </w:r>
            <w:r w:rsidRPr="008947C5">
              <w:rPr>
                <w:b/>
                <w:i/>
                <w:color w:val="auto"/>
              </w:rPr>
              <w:t xml:space="preserve"> dziecka</w:t>
            </w:r>
            <w:r w:rsidRPr="008947C5">
              <w:rPr>
                <w:color w:val="auto"/>
              </w:rPr>
              <w:t xml:space="preserve"> i stanowi dla państwa członkowskiego pomoc w odnalezieniu rodziny lub powiązań, jakie dane dziecko może mieć w innym państwie członkowskim. Nawiązanie rodzinnych kontaktów to zasadniczy element w przywracaniu jedności rodziny</w:t>
            </w:r>
            <w:r w:rsidRPr="008947C5">
              <w:rPr>
                <w:b/>
                <w:i/>
                <w:color w:val="auto"/>
              </w:rPr>
              <w:t xml:space="preserve"> i</w:t>
            </w:r>
            <w:r w:rsidRPr="008947C5">
              <w:rPr>
                <w:color w:val="auto"/>
              </w:rPr>
              <w:t xml:space="preserve"> musi być ściśle</w:t>
            </w:r>
            <w:r w:rsidRPr="008947C5">
              <w:rPr>
                <w:b/>
                <w:i/>
                <w:color w:val="auto"/>
              </w:rPr>
              <w:t xml:space="preserve"> połączone</w:t>
            </w:r>
            <w:r w:rsidRPr="008947C5">
              <w:rPr>
                <w:color w:val="auto"/>
              </w:rPr>
              <w:t xml:space="preserve"> z określaniem nadrzędnego interesu dziecka, a w efekcie z określeniem trwałego rozwiązania.</w:t>
            </w:r>
          </w:p>
        </w:tc>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r>
            <w:r w:rsidRPr="008947C5">
              <w:rPr>
                <w:color w:val="auto"/>
              </w:rPr>
              <w:t>Mając na względzie wzmocnienie ochrony</w:t>
            </w:r>
            <w:r w:rsidRPr="008947C5">
              <w:rPr>
                <w:b/>
                <w:i/>
                <w:color w:val="auto"/>
              </w:rPr>
              <w:t xml:space="preserve"> wszystkich dzieci będących migrantami i uchodźcami, w tym</w:t>
            </w:r>
            <w:r w:rsidRPr="008947C5">
              <w:rPr>
                <w:color w:val="auto"/>
              </w:rPr>
              <w:t xml:space="preserve">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w:t>
            </w:r>
            <w:r w:rsidRPr="008947C5">
              <w:rPr>
                <w:b/>
                <w:i/>
                <w:color w:val="auto"/>
              </w:rPr>
              <w:t xml:space="preserve"> do czasu ukończenia przez nich 18 lat</w:t>
            </w:r>
            <w:r w:rsidRPr="008947C5">
              <w:rPr>
                <w:color w:val="auto"/>
              </w:rPr>
              <w:t>, jako że ułatwia to ustalenie</w:t>
            </w:r>
            <w:r w:rsidRPr="008947C5">
              <w:rPr>
                <w:b/>
                <w:i/>
                <w:color w:val="auto"/>
              </w:rPr>
              <w:t xml:space="preserve"> ich</w:t>
            </w:r>
            <w:r w:rsidRPr="008947C5">
              <w:rPr>
                <w:color w:val="auto"/>
              </w:rPr>
              <w:t xml:space="preserve"> tożsamości i stanowi dla państwa członkowskiego pomoc w odnalezieniu rodziny lub powiązań, jakie dane dziecko może mieć w innym państwie członkowskim.</w:t>
            </w:r>
            <w:r w:rsidRPr="008947C5">
              <w:rPr>
                <w:b/>
                <w:i/>
                <w:color w:val="auto"/>
              </w:rPr>
              <w:t xml:space="preserve"> Dane daktyloskopijne i wizerunki twarzy należy gromadzić w tym konkretnym celu oraz odpowiednio przetwarzać i wykorzystywać.</w:t>
            </w:r>
            <w:r w:rsidRPr="008947C5">
              <w:rPr>
                <w:color w:val="auto"/>
              </w:rPr>
              <w:t xml:space="preserve"> Nawiązanie rodzinnych kontaktów to zasadniczy element w przywracaniu jedności rodziny</w:t>
            </w:r>
            <w:r w:rsidRPr="008947C5">
              <w:rPr>
                <w:b/>
                <w:i/>
                <w:color w:val="auto"/>
              </w:rPr>
              <w:t>, który</w:t>
            </w:r>
            <w:r w:rsidRPr="008947C5">
              <w:rPr>
                <w:color w:val="auto"/>
              </w:rPr>
              <w:t xml:space="preserve"> musi być ściśle</w:t>
            </w:r>
            <w:r w:rsidRPr="008947C5">
              <w:rPr>
                <w:b/>
                <w:i/>
                <w:color w:val="auto"/>
              </w:rPr>
              <w:t xml:space="preserve"> połączony</w:t>
            </w:r>
            <w:r w:rsidRPr="008947C5">
              <w:rPr>
                <w:color w:val="auto"/>
              </w:rPr>
              <w:t xml:space="preserve"> z określaniem nadrzędnego interesu dziecka, a w efekcie z określeniem trwałego rozwiązania.</w:t>
            </w:r>
            <w:r w:rsidRPr="008947C5">
              <w:rPr>
                <w:b/>
                <w:i/>
                <w:color w:val="auto"/>
              </w:rPr>
              <w:t xml:space="preserve"> Lepsze procedury identyfikacji zaginionych dzieci ułatwią państwom członkowskim zagwarantowanie odpowiedniej ochrony dzieciom. W tym celu państwa członkowskie, po zidentyfikowaniu zaginionego dziecka lub dziecka, które jest ofiarą przestępstwa, powinny szybko skontaktować się z właściwymi organami krajowymi odpowiedzialnymi za ochronę dzieci i przeprowadzić ocenę potrzeb w celu znalezienia trwałego rozwiązania dla dziecka zgodnie z jego najlepszym interesem.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Fabio Massimo Castaldo, Laura Ferrara, Ignazio Corrao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r>
            <w:r w:rsidRPr="008947C5">
              <w:rPr>
                <w:color w:val="auto"/>
              </w:rPr>
              <w:t>Mając na względzie wzmocnienie ochrony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 jako że ułatwia to ustalenie tożsamości dziecka i stanowi dla państwa członkowskiego pomoc w odnalezieniu rodziny lub powiązań, jakie dane dziecko może mieć w innym państwie członkowskim. Nawiązanie rodzinnych kontaktów to zasadniczy element w przywracaniu jedności rodziny i musi być ściśle połączone z określaniem nadrzędnego interesu dziecka, a w efekcie z określeniem trwałego rozwiązania.</w:t>
            </w:r>
          </w:p>
        </w:tc>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r>
            <w:r w:rsidRPr="008947C5">
              <w:rPr>
                <w:color w:val="auto"/>
              </w:rPr>
              <w:t>Mając na względzie wzmocnienie ochrony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 jako że ułatwia to ustalenie tożsamości dziecka i stanowi dla państwa członkowskiego pomoc w odnalezieniu rodziny lub powiązań, jakie dane dziecko może mieć w innym państwie członkowskim. Nawiązanie rodzinnych kontaktów to zasadniczy element w przywracaniu jedności rodziny i musi być ściśle połączone z określaniem nadrzędnego interesu dziecka, a w efekcie z określeniem trwałego rozwiązania.</w:t>
            </w:r>
            <w:r w:rsidRPr="008947C5">
              <w:rPr>
                <w:b/>
                <w:i/>
                <w:color w:val="auto"/>
              </w:rPr>
              <w:t xml:space="preserve"> Państwa członkowskie muszą przeprowadzać wszelkie czynności zgodnie z zasadami zawartymi w Konwencji ONZ o prawach dziecka z 1989 r.</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109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Hilde Vautmans,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r>
            <w:r w:rsidRPr="008947C5">
              <w:rPr>
                <w:color w:val="auto"/>
              </w:rPr>
              <w:t>Mając na względzie wzmocnienie ochrony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 jako że ułatwia to ustalenie tożsamości dziecka i stanowi dla państwa członkowskiego pomoc w odnalezieniu rodziny lub powiązań, jakie dane dziecko może mieć w innym państwie członkowskim. Nawiązanie rodzinnych kontaktów to zasadniczy element w przywracaniu jedności rodziny i musi być ściśle połączone z określaniem nadrzędnego interesu dziecka, a w efekcie z określeniem trwałego rozwiązania.</w:t>
            </w:r>
          </w:p>
        </w:tc>
        <w:tc>
          <w:tcPr>
            <w:tcW w:w="4876" w:type="dxa"/>
          </w:tcPr>
          <w:p w:rsidR="005E74C4" w:rsidRPr="008947C5" w:rsidRDefault="005E74C4" w:rsidP="009E4524">
            <w:pPr>
              <w:pStyle w:val="Normal6"/>
              <w:rPr>
                <w:b/>
                <w:i/>
                <w:color w:val="auto"/>
              </w:rPr>
            </w:pPr>
            <w:r w:rsidRPr="008947C5">
              <w:rPr>
                <w:color w:val="auto"/>
              </w:rPr>
              <w:t>(25)</w:t>
            </w:r>
            <w:r w:rsidRPr="008947C5">
              <w:rPr>
                <w:b/>
                <w:i/>
                <w:color w:val="auto"/>
              </w:rPr>
              <w:tab/>
              <w:t>Aby zapewnić ochronę i identyfikację dzieci będących ofiarami handlu ludźmi, dzieci zaginionych lub uprowadzonych, a także</w:t>
            </w:r>
            <w:r w:rsidRPr="008947C5">
              <w:rPr>
                <w:color w:val="auto"/>
              </w:rPr>
              <w:t xml:space="preserve"> mając na względzie wzmocnienie ochrony małoletnich bez opieki, którzy nie ubiegają się o udzielenie ochrony międzynarodowej, oraz dzieci, które mogą zostać odłączone od swoich rodzin, także w ich przypadku niezbędne jest pobieranie odcisków palców i wykonywanie zdjęć wizerunku twarzy oraz ich przechowywanie w systemie centralnym, jako że ułatwia to ustalenie tożsamości dziecka i stanowi dla państwa członkowskiego pomoc w odnalezieniu rodziny lub powiązań, jakie dane dziecko może mieć w innym państwie członkowskim. Nawiązanie rodzinnych kontaktów to zasadniczy element w przywracaniu jedności rodziny i musi być ściśle połączone z określaniem nadrzędnego interesu dziecka, a w efekcie z określeniem trwałego rozwiązania.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26</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 zabezpieczenie</w:t>
            </w:r>
            <w:r w:rsidRPr="008947C5">
              <w:rPr>
                <w:b/>
                <w:i/>
                <w:color w:val="auto"/>
              </w:rPr>
              <w:t xml:space="preserve"> nadrzędnego interesu osoby małoletniej</w:t>
            </w:r>
            <w:r w:rsidRPr="008947C5">
              <w:rPr>
                <w:color w:val="auto"/>
              </w:rPr>
              <w:t>. W przypadku gdy wnioskujące państwo członkowskie stwierdzi, że dane Eurodac dotyczą dziecka, dane te mogą być wykorzystane</w:t>
            </w:r>
            <w:r w:rsidRPr="008947C5">
              <w:rPr>
                <w:b/>
                <w:i/>
                <w:color w:val="auto"/>
              </w:rPr>
              <w:t xml:space="preserve"> przez to państwo</w:t>
            </w:r>
            <w:r w:rsidRPr="008947C5">
              <w:rPr>
                <w:color w:val="auto"/>
              </w:rPr>
              <w:t xml:space="preserve"> wyłącznie na potrzeby ochrony</w:t>
            </w:r>
            <w:r w:rsidRPr="008947C5">
              <w:rPr>
                <w:b/>
                <w:i/>
                <w:color w:val="auto"/>
              </w:rPr>
              <w:t xml:space="preserve"> porządku publicznego zgodnie z prawem tego państwa mającym zastosowanie do małoletnich oraz zgodnie z obowiązkiem zadbania w pierwszym rzędzie o zabezpieczenie nadrzędnego interesu dziecka</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w:t>
            </w:r>
            <w:r w:rsidRPr="008947C5">
              <w:rPr>
                <w:b/>
                <w:i/>
                <w:color w:val="auto"/>
              </w:rPr>
              <w:t xml:space="preserve"> najlepsze</w:t>
            </w:r>
            <w:r w:rsidRPr="008947C5">
              <w:rPr>
                <w:color w:val="auto"/>
              </w:rPr>
              <w:t xml:space="preserve"> zabezpieczenie</w:t>
            </w:r>
            <w:r w:rsidRPr="008947C5">
              <w:rPr>
                <w:b/>
                <w:i/>
                <w:color w:val="auto"/>
              </w:rPr>
              <w:t xml:space="preserve"> interesów dziecka</w:t>
            </w:r>
            <w:r w:rsidRPr="008947C5">
              <w:rPr>
                <w:color w:val="auto"/>
              </w:rPr>
              <w:t>. W przypadku gdy wnioskujące państwo członkowskie stwierdzi, że dane Eurodac dotyczą dziecka, dane te mogą być wykorzystane wyłącznie na potrzeby</w:t>
            </w:r>
            <w:r w:rsidRPr="008947C5">
              <w:rPr>
                <w:b/>
                <w:i/>
                <w:color w:val="auto"/>
              </w:rPr>
              <w:t xml:space="preserve"> związane z zapobieganiem handlowi dziećmi, wykrywaniem i ściganiem takiego procederu oraz na potrzeby</w:t>
            </w:r>
            <w:r w:rsidRPr="008947C5">
              <w:rPr>
                <w:color w:val="auto"/>
              </w:rPr>
              <w:t xml:space="preserve"> ochrony</w:t>
            </w:r>
            <w:r w:rsidRPr="008947C5">
              <w:rPr>
                <w:b/>
                <w:i/>
                <w:color w:val="auto"/>
              </w:rPr>
              <w:t xml:space="preserve"> zaginionych dzieci</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Należy zastosować prawidłową terminologię z art. 3.1 Konwencji ONZ o prawach dziecka: Artykuł 3.1 Konwencji ONZ o prawach dziecka ma następujące brzmienie: „We wszystkich działaniach dotyczących dzieci, podejmowanych przez publiczne lub prywatne instytucje opieki społecznej, sądy, władze administracyjne lub ciała ustawodawcze, sprawą nadrzędną będzie najlepsze zabezpieczenie interesów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26</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 zabezpieczenie nadrzędnego interesu osoby małoletniej. W przypadku gdy wnioskujące państwo członkowskie stwierdzi, że dane Eurodac dotyczą dziecka, dane te mogą być wykorzystane</w:t>
            </w:r>
            <w:r w:rsidRPr="008947C5">
              <w:rPr>
                <w:b/>
                <w:i/>
                <w:color w:val="auto"/>
              </w:rPr>
              <w:t xml:space="preserve"> przez to państwo</w:t>
            </w:r>
            <w:r w:rsidRPr="008947C5">
              <w:rPr>
                <w:color w:val="auto"/>
              </w:rPr>
              <w:t xml:space="preserve"> wyłącznie na potrzeby ochrony porządku publicznego</w:t>
            </w:r>
            <w:r w:rsidRPr="008947C5">
              <w:rPr>
                <w:b/>
                <w:i/>
                <w:color w:val="auto"/>
              </w:rPr>
              <w:t xml:space="preserve"> zgodnie z prawem</w:t>
            </w:r>
            <w:r w:rsidRPr="008947C5">
              <w:rPr>
                <w:color w:val="auto"/>
              </w:rPr>
              <w:t xml:space="preserve"> tego</w:t>
            </w:r>
            <w:r w:rsidRPr="008947C5">
              <w:rPr>
                <w:b/>
                <w:i/>
                <w:color w:val="auto"/>
              </w:rPr>
              <w:t xml:space="preserve"> państwa mającym zastosowanie do małoletnich</w:t>
            </w:r>
            <w:r w:rsidRPr="008947C5">
              <w:rPr>
                <w:color w:val="auto"/>
              </w:rPr>
              <w:t xml:space="preserve"> oraz</w:t>
            </w:r>
            <w:r w:rsidRPr="008947C5">
              <w:rPr>
                <w:b/>
                <w:i/>
                <w:color w:val="auto"/>
              </w:rPr>
              <w:t xml:space="preserve"> zgodnie z obowiązkiem zadbania w pierwszym rzędzie o zabezpieczenie nadrzędnego interesu dziecka</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 zabezpieczenie nadrzędnego interesu osoby małoletniej. W przypadku gdy wnioskujące państwo członkowskie stwierdzi, że dane Eurodac dotyczą dziecka, dane te mogą być wykorzystane wyłącznie na potrzeby ochrony porządku publicznego</w:t>
            </w:r>
            <w:r w:rsidRPr="008947C5">
              <w:rPr>
                <w:b/>
                <w:i/>
                <w:color w:val="auto"/>
              </w:rPr>
              <w:t xml:space="preserve"> w związku z zapobieganiem handlowi dziećmi, wykrywaniem i ściganiem</w:t>
            </w:r>
            <w:r w:rsidRPr="008947C5">
              <w:rPr>
                <w:color w:val="auto"/>
              </w:rPr>
              <w:t xml:space="preserve"> tego</w:t>
            </w:r>
            <w:r w:rsidRPr="008947C5">
              <w:rPr>
                <w:b/>
                <w:i/>
                <w:color w:val="auto"/>
              </w:rPr>
              <w:t xml:space="preserve"> procederu</w:t>
            </w:r>
            <w:r w:rsidRPr="008947C5">
              <w:rPr>
                <w:color w:val="auto"/>
              </w:rPr>
              <w:t xml:space="preserve"> oraz</w:t>
            </w:r>
            <w:r w:rsidRPr="008947C5">
              <w:rPr>
                <w:b/>
                <w:i/>
                <w:color w:val="auto"/>
              </w:rPr>
              <w:t xml:space="preserve"> na potrzeby ochrony zaginionych dzieci, a także podejmowania środków w celu odnalezienia rodziny i łączenia rodzin</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Anna Maria Corazza Bildt, Damiano Zoffoli, Barbara Matera, Petras Auštrevičius, Carlos Coelho, Hilde Vautmans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26</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 zabezpieczenie nadrzędnego interesu osoby małoletniej. W przypadku gdy wnioskujące państwo członkowskie stwierdzi, że dane Eurodac dotyczą dziecka, dane te mogą być wykorzystane</w:t>
            </w:r>
            <w:r w:rsidRPr="008947C5">
              <w:rPr>
                <w:b/>
                <w:i/>
                <w:color w:val="auto"/>
              </w:rPr>
              <w:t xml:space="preserve"> przez to państwo</w:t>
            </w:r>
            <w:r w:rsidRPr="008947C5">
              <w:rPr>
                <w:color w:val="auto"/>
              </w:rPr>
              <w:t xml:space="preserve"> wyłącznie na potrzeby ochrony porządku publicznego zgodnie z prawem tego państwa mającym zastosowanie do małoletnich oraz zgodnie z obowiązkiem zadbania w pierwszym rzędzie o zabezpieczenie nadrzędnego interesu dziecka.</w:t>
            </w:r>
          </w:p>
        </w:tc>
        <w:tc>
          <w:tcPr>
            <w:tcW w:w="4876" w:type="dxa"/>
          </w:tcPr>
          <w:p w:rsidR="005E74C4" w:rsidRPr="008947C5" w:rsidRDefault="005E74C4" w:rsidP="009E4524">
            <w:pPr>
              <w:pStyle w:val="Normal6"/>
              <w:rPr>
                <w:b/>
                <w:i/>
                <w:color w:val="auto"/>
              </w:rPr>
            </w:pPr>
            <w:r w:rsidRPr="008947C5">
              <w:rPr>
                <w:color w:val="auto"/>
              </w:rPr>
              <w:t>(26)</w:t>
            </w:r>
            <w:r w:rsidRPr="008947C5">
              <w:rPr>
                <w:b/>
                <w:i/>
                <w:color w:val="auto"/>
              </w:rPr>
              <w:tab/>
            </w:r>
            <w:r w:rsidRPr="008947C5">
              <w:rPr>
                <w:color w:val="auto"/>
              </w:rPr>
              <w:t>Stosując niniejsze rozporządzenie, państwa członkowskie powinny dbać w pierwszym rzędzie o zabezpieczenie nadrzędnego interesu osoby małoletniej. W przypadku gdy wnioskujące państwo członkowskie stwierdzi, że dane Eurodac dotyczą dziecka, dane te mogą być wykorzystane wyłącznie na potrzeby ochrony porządku publicznego</w:t>
            </w:r>
            <w:r w:rsidRPr="008947C5">
              <w:rPr>
                <w:b/>
                <w:i/>
                <w:color w:val="auto"/>
              </w:rPr>
              <w:t>, w celu zapewnienia dostępu do systemów ochrony i odnalezienia zaginionych dzieci</w:t>
            </w:r>
            <w:r w:rsidRPr="008947C5">
              <w:rPr>
                <w:color w:val="auto"/>
              </w:rPr>
              <w:t xml:space="preserve"> zgodnie z prawem tego państwa mającym zastosowanie do małoletnich oraz zgodnie z obowiązkiem zadbania w pierwszym rzędzie o zabezpieczenie nadrzędnego interesu dziecka.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27</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(27)</w:t>
            </w:r>
            <w:r w:rsidRPr="008947C5">
              <w:rPr>
                <w:b/>
                <w:i/>
                <w:color w:val="auto"/>
              </w:rPr>
              <w:tab/>
            </w:r>
            <w:r w:rsidRPr="008947C5">
              <w:rPr>
                <w:color w:val="auto"/>
              </w:rPr>
              <w:t>Konieczne jest ustanowienie precyzyjnych przepisów regulujących przekazywanie takich danych daktyloskopijnych</w:t>
            </w:r>
            <w:r w:rsidRPr="008947C5">
              <w:rPr>
                <w:b/>
                <w:i/>
                <w:color w:val="auto"/>
              </w:rPr>
              <w:t xml:space="preserve"> oraz</w:t>
            </w:r>
            <w:r w:rsidRPr="008947C5">
              <w:rPr>
                <w:color w:val="auto"/>
              </w:rPr>
              <w:t xml:space="preserve"> danych dotyczących wizerunku twarzy do systemu centralnego, zapisywanie takich danych daktyloskopijnych, danych dotyczących wizerunku twarzy oraz innych stosownych danych osobowych w systemie centralnym, ich przechowywanie, porównywanie z innymi danymi daktyloskopijnymi</w:t>
            </w:r>
            <w:r w:rsidRPr="008947C5">
              <w:rPr>
                <w:b/>
                <w:i/>
                <w:color w:val="auto"/>
              </w:rPr>
              <w:t xml:space="preserve"> oraz</w:t>
            </w:r>
            <w:r w:rsidRPr="008947C5">
              <w:rPr>
                <w:color w:val="auto"/>
              </w:rPr>
              <w:t xml:space="preserve"> danymi dotyczącymi wizerunku twarzy, przekazywanie wyników takich porównań oraz oznaczanie i usuwanie zapisanych danych. Przepisy te mogą być różne dla różnych kategorii obywateli państw trzecich lub bezpaństwowców oraz powinny być dostosowane do ich sytuacji.</w:t>
            </w:r>
          </w:p>
        </w:tc>
        <w:tc>
          <w:tcPr>
            <w:tcW w:w="4876" w:type="dxa"/>
          </w:tcPr>
          <w:p w:rsidR="005E74C4" w:rsidRPr="008947C5" w:rsidRDefault="005E74C4" w:rsidP="009E4524">
            <w:pPr>
              <w:pStyle w:val="Normal6"/>
              <w:rPr>
                <w:b/>
                <w:i/>
                <w:color w:val="auto"/>
              </w:rPr>
            </w:pPr>
            <w:r w:rsidRPr="008947C5">
              <w:rPr>
                <w:color w:val="auto"/>
              </w:rPr>
              <w:t>(27)</w:t>
            </w:r>
            <w:r w:rsidRPr="008947C5">
              <w:rPr>
                <w:b/>
                <w:i/>
                <w:color w:val="auto"/>
              </w:rPr>
              <w:tab/>
            </w:r>
            <w:r w:rsidRPr="008947C5">
              <w:rPr>
                <w:color w:val="auto"/>
              </w:rPr>
              <w:t>Konieczne jest ustanowienie precyzyjnych przepisów regulujących przekazywanie takich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xml:space="preserve"> do systemu centralnego, zapisywanie takich danych daktyloskopijnych, danych dotyczących wizerunku twarzy oraz innych stosownych danych osobowych w systemie centralnym, ich przechowywanie, porównywanie z innymi danymi daktyloskopijnymi</w:t>
            </w:r>
            <w:r w:rsidRPr="008947C5">
              <w:rPr>
                <w:b/>
                <w:i/>
                <w:color w:val="auto"/>
              </w:rPr>
              <w:t>,</w:t>
            </w:r>
            <w:r w:rsidRPr="008947C5">
              <w:rPr>
                <w:color w:val="auto"/>
              </w:rPr>
              <w:t xml:space="preserve"> danymi dotyczącymi wizerunku twarzy</w:t>
            </w:r>
            <w:r w:rsidRPr="008947C5">
              <w:rPr>
                <w:b/>
                <w:i/>
                <w:color w:val="auto"/>
              </w:rPr>
              <w:t xml:space="preserve"> lub jednym i drugim rodzajem danych</w:t>
            </w:r>
            <w:r w:rsidRPr="008947C5">
              <w:rPr>
                <w:color w:val="auto"/>
              </w:rPr>
              <w:t>, przekazywanie wyników takich porównań oraz oznaczanie i usuwanie zapisanych danych. Przepisy te mogą być różne dla różnych kategorii obywateli państw trzecich lub bezpaństwowców oraz powinny być dostosowane do ich sytuacji.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28</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(28)</w:t>
            </w:r>
            <w:r w:rsidRPr="008947C5">
              <w:rPr>
                <w:b/>
                <w:i/>
                <w:color w:val="auto"/>
              </w:rPr>
              <w:tab/>
            </w:r>
            <w:r w:rsidRPr="008947C5">
              <w:rPr>
                <w:color w:val="auto"/>
              </w:rPr>
              <w:t>Państwa członkowskie powinny zapewnić odpowiednią jakość przekazywanych danych daktyloskopijnych</w:t>
            </w:r>
            <w:r w:rsidRPr="008947C5">
              <w:rPr>
                <w:b/>
                <w:i/>
                <w:color w:val="auto"/>
              </w:rPr>
              <w:t xml:space="preserve"> oraz</w:t>
            </w:r>
            <w:r w:rsidRPr="008947C5">
              <w:rPr>
                <w:color w:val="auto"/>
              </w:rPr>
              <w:t xml:space="preserve"> danych dotyczących wizerunku twarzy, umożliwiającą porównywanie za pomocą skomputeryzowanego systemu rozpoznawania odcisków palców oraz wizerunków twarzy. Wszystkie organy uprawnione do dostępu do Eurodac powinny zainwestować w odpowiednie szkolenia oraz w niezbędne wyposażenie techniczne. Organy uprawnione do dostępu do Eurodac powinny informować Europejską Agencję ds. Zarządzania Operacyjnego Wielkoskalowymi Systemami Informatycznymi w Przestrzeni Wolności, Bezpieczeństwa i Sprawiedliwości ustanowioną na mocy rozporządzenia Parlamentu Europejskiego i Rady</w:t>
            </w:r>
            <w:r w:rsidRPr="008947C5">
              <w:rPr>
                <w:b/>
                <w:i/>
                <w:color w:val="auto"/>
              </w:rPr>
              <w:t xml:space="preserve"> </w:t>
            </w:r>
            <w:r w:rsidRPr="008947C5">
              <w:rPr>
                <w:color w:val="auto"/>
              </w:rPr>
              <w:t>(UE) nr 1077/2011</w:t>
            </w:r>
            <w:r w:rsidRPr="008947C5">
              <w:rPr>
                <w:rStyle w:val="Sup"/>
                <w:color w:val="auto"/>
              </w:rPr>
              <w:t>33</w:t>
            </w:r>
            <w:r w:rsidRPr="008947C5">
              <w:rPr>
                <w:b/>
                <w:i/>
                <w:color w:val="auto"/>
              </w:rPr>
              <w:t xml:space="preserve"> </w:t>
            </w:r>
            <w:r w:rsidRPr="008947C5">
              <w:rPr>
                <w:color w:val="auto"/>
              </w:rPr>
              <w:t>(„eu-LISA”) o konkretnych problemach napotkanych w związku z jakością danych w celu ich rozwiązania.</w:t>
            </w:r>
          </w:p>
        </w:tc>
        <w:tc>
          <w:tcPr>
            <w:tcW w:w="4876" w:type="dxa"/>
          </w:tcPr>
          <w:p w:rsidR="005E74C4" w:rsidRPr="008947C5" w:rsidRDefault="005E74C4" w:rsidP="009E4524">
            <w:pPr>
              <w:pStyle w:val="Normal6"/>
              <w:rPr>
                <w:b/>
                <w:i/>
                <w:color w:val="auto"/>
              </w:rPr>
            </w:pPr>
            <w:r w:rsidRPr="008947C5">
              <w:rPr>
                <w:color w:val="auto"/>
              </w:rPr>
              <w:t>(28)</w:t>
            </w:r>
            <w:r w:rsidRPr="008947C5">
              <w:rPr>
                <w:b/>
                <w:i/>
                <w:color w:val="auto"/>
              </w:rPr>
              <w:tab/>
            </w:r>
            <w:r w:rsidRPr="008947C5">
              <w:rPr>
                <w:color w:val="auto"/>
              </w:rPr>
              <w:t>Państwa członkowskie powinny zapewnić odpowiednią jakość przekazywanych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umożliwiającą porównywanie za pomocą skomputeryzowanego systemu rozpoznawania odcisków palców oraz wizerunków twarzy. Wszystkie organy uprawnione do dostępu do Eurodac powinny zainwestować w odpowiednie szkolenia oraz w niezbędne wyposażenie techniczne. Organy uprawnione do dostępu do Eurodac powinny informować Europejską Agencję ds. Zarządzania Operacyjnego Wielkoskalowymi Systemami Informatycznymi w Przestrzeni Wolności, Bezpieczeństwa i Sprawiedliwości ustanowioną na mocy rozporządzenia Parlamentu Europejskiego i Rady</w:t>
            </w:r>
            <w:r w:rsidRPr="008947C5">
              <w:rPr>
                <w:b/>
                <w:i/>
                <w:color w:val="auto"/>
              </w:rPr>
              <w:t xml:space="preserve"> </w:t>
            </w:r>
            <w:r w:rsidRPr="008947C5">
              <w:rPr>
                <w:color w:val="auto"/>
              </w:rPr>
              <w:t>(UE) nr 1077/2011</w:t>
            </w:r>
            <w:r w:rsidRPr="008947C5">
              <w:rPr>
                <w:rStyle w:val="Sup"/>
                <w:color w:val="auto"/>
              </w:rPr>
              <w:t>33</w:t>
            </w:r>
            <w:r w:rsidRPr="008947C5">
              <w:rPr>
                <w:b/>
                <w:i/>
                <w:color w:val="auto"/>
              </w:rPr>
              <w:t xml:space="preserve"> </w:t>
            </w:r>
            <w:r w:rsidRPr="008947C5">
              <w:rPr>
                <w:color w:val="auto"/>
              </w:rPr>
              <w:t>(„eu-LISA”) o konkretnych problemach napotkanych w związku z jakością danych w celu ich rozwiązania.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33</w:t>
            </w:r>
            <w:r w:rsidRPr="008947C5">
              <w:rPr>
                <w:color w:val="auto"/>
              </w:rPr>
              <w:t xml:space="preserve"> Rozporządzenie</w:t>
            </w:r>
            <w:r w:rsidRPr="008947C5">
              <w:rPr>
                <w:b/>
                <w:i/>
                <w:color w:val="auto"/>
              </w:rPr>
              <w:t xml:space="preserve"> </w:t>
            </w:r>
            <w:r w:rsidRPr="008947C5">
              <w:rPr>
                <w:color w:val="auto"/>
              </w:rPr>
              <w:t>(UE) nr 1077/2011 ustanawiające Europejską Agencję ds. Zarządzania Operacyjnego Wielkoskalowymi Systemami Informatycznymi w Przestrzeni Wolności, Bezpieczeństwa i Sprawiedliwości</w:t>
            </w:r>
            <w:r w:rsidRPr="008947C5">
              <w:rPr>
                <w:b/>
                <w:i/>
                <w:color w:val="auto"/>
              </w:rPr>
              <w:t xml:space="preserve"> </w:t>
            </w:r>
            <w:r w:rsidRPr="008947C5">
              <w:rPr>
                <w:color w:val="auto"/>
              </w:rPr>
              <w:t>(Dz.U. L 286 z 1.11.2011, s. 1).</w:t>
            </w:r>
          </w:p>
        </w:tc>
        <w:tc>
          <w:tcPr>
            <w:tcW w:w="4876" w:type="dxa"/>
          </w:tcPr>
          <w:p w:rsidR="005E74C4" w:rsidRPr="008947C5" w:rsidRDefault="005E74C4" w:rsidP="009E4524">
            <w:pPr>
              <w:pStyle w:val="Normal6"/>
              <w:rPr>
                <w:b/>
                <w:i/>
                <w:color w:val="auto"/>
              </w:rPr>
            </w:pPr>
            <w:r w:rsidRPr="008947C5">
              <w:rPr>
                <w:rStyle w:val="Sup"/>
                <w:color w:val="auto"/>
              </w:rPr>
              <w:t>33</w:t>
            </w:r>
            <w:r w:rsidRPr="008947C5">
              <w:rPr>
                <w:color w:val="auto"/>
              </w:rPr>
              <w:t xml:space="preserve"> Rozporządzenie</w:t>
            </w:r>
            <w:r w:rsidRPr="008947C5">
              <w:rPr>
                <w:b/>
                <w:i/>
                <w:color w:val="auto"/>
              </w:rPr>
              <w:t xml:space="preserve"> </w:t>
            </w:r>
            <w:r w:rsidRPr="008947C5">
              <w:rPr>
                <w:color w:val="auto"/>
              </w:rPr>
              <w:t>(UE) nr 1077/2011 ustanawiające Europejską Agencję ds. Zarządzania Operacyjnego Wielkoskalowymi Systemami Informatycznymi w Przestrzeni Wolności, Bezpieczeństwa i Sprawiedliwości</w:t>
            </w:r>
            <w:r w:rsidRPr="008947C5">
              <w:rPr>
                <w:b/>
                <w:i/>
                <w:color w:val="auto"/>
              </w:rPr>
              <w:t xml:space="preserve"> </w:t>
            </w:r>
            <w:r w:rsidRPr="008947C5">
              <w:rPr>
                <w:color w:val="auto"/>
              </w:rPr>
              <w:t>(Dz.U. L 286 z 1.11.2011, s.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Nadine Morano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28</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(28)</w:t>
            </w:r>
            <w:r w:rsidRPr="008947C5">
              <w:rPr>
                <w:b/>
                <w:i/>
                <w:color w:val="auto"/>
              </w:rPr>
              <w:tab/>
            </w:r>
            <w:r w:rsidRPr="008947C5">
              <w:rPr>
                <w:color w:val="auto"/>
              </w:rPr>
              <w:t>Państwa członkowskie powinny zapewnić odpowiednią jakość przekazywanych danych daktyloskopijnych oraz danych dotyczących wizerunku twarzy</w:t>
            </w:r>
            <w:r w:rsidRPr="008947C5">
              <w:rPr>
                <w:b/>
                <w:i/>
                <w:color w:val="auto"/>
              </w:rPr>
              <w:t xml:space="preserve"> </w:t>
            </w:r>
            <w:r w:rsidRPr="008947C5">
              <w:rPr>
                <w:color w:val="auto"/>
              </w:rPr>
              <w:t>, umożliwiającą porównywanie za pomocą skomputeryzowanego systemu rozpoznawania odcisków palców oraz wizerunków twarzy</w:t>
            </w:r>
            <w:r w:rsidRPr="008947C5">
              <w:rPr>
                <w:b/>
                <w:i/>
                <w:color w:val="auto"/>
              </w:rPr>
              <w:t xml:space="preserve"> </w:t>
            </w:r>
            <w:r w:rsidRPr="008947C5">
              <w:rPr>
                <w:color w:val="auto"/>
              </w:rPr>
              <w:t>. Wszystkie organy uprawnione do dostępu do Eurodac powinny zainwestować w odpowiednie szkolenia oraz w niezbędne wyposażenie techniczne. Organy uprawnione do dostępu do Eurodac powinny informować Europejską Agencję ds. Zarządzania Operacyjnego Wielkoskalowymi Systemami Informatycznymi w Przestrzeni Wolności, Bezpieczeństwa i Sprawiedliwości ustanowioną na mocy rozporządzenia Parlamentu Europejskiego i Rady</w:t>
            </w:r>
            <w:r w:rsidRPr="008947C5">
              <w:rPr>
                <w:b/>
                <w:i/>
                <w:color w:val="auto"/>
              </w:rPr>
              <w:t xml:space="preserve"> </w:t>
            </w:r>
            <w:r w:rsidRPr="008947C5">
              <w:rPr>
                <w:color w:val="auto"/>
              </w:rPr>
              <w:t>(UE) nr 1077/2011</w:t>
            </w:r>
            <w:r w:rsidRPr="008947C5">
              <w:rPr>
                <w:rStyle w:val="Sup"/>
                <w:color w:val="auto"/>
              </w:rPr>
              <w:t>33</w:t>
            </w:r>
            <w:r w:rsidRPr="008947C5">
              <w:rPr>
                <w:b/>
                <w:i/>
                <w:color w:val="auto"/>
              </w:rPr>
              <w:t xml:space="preserve"> </w:t>
            </w:r>
            <w:r w:rsidRPr="008947C5">
              <w:rPr>
                <w:color w:val="auto"/>
              </w:rPr>
              <w:t>(</w:t>
            </w:r>
            <w:r w:rsidRPr="008947C5">
              <w:rPr>
                <w:b/>
                <w:i/>
                <w:color w:val="auto"/>
              </w:rPr>
              <w:t xml:space="preserve"> </w:t>
            </w:r>
            <w:r w:rsidRPr="008947C5">
              <w:rPr>
                <w:color w:val="auto"/>
              </w:rPr>
              <w:t>„eu-LISA”</w:t>
            </w:r>
            <w:r w:rsidRPr="008947C5">
              <w:rPr>
                <w:b/>
                <w:i/>
                <w:color w:val="auto"/>
              </w:rPr>
              <w:t xml:space="preserve"> </w:t>
            </w:r>
            <w:r w:rsidRPr="008947C5">
              <w:rPr>
                <w:color w:val="auto"/>
              </w:rPr>
              <w:t>) o konkretnych problemach napotkanych w związku z jakością danych w celu ich rozwiązania.</w:t>
            </w:r>
          </w:p>
        </w:tc>
        <w:tc>
          <w:tcPr>
            <w:tcW w:w="4876" w:type="dxa"/>
          </w:tcPr>
          <w:p w:rsidR="005E74C4" w:rsidRPr="008947C5" w:rsidRDefault="005E74C4" w:rsidP="009E4524">
            <w:pPr>
              <w:pStyle w:val="Normal6"/>
              <w:rPr>
                <w:b/>
                <w:i/>
                <w:color w:val="auto"/>
              </w:rPr>
            </w:pPr>
            <w:r w:rsidRPr="008947C5">
              <w:rPr>
                <w:color w:val="auto"/>
              </w:rPr>
              <w:t>(28)</w:t>
            </w:r>
            <w:r w:rsidRPr="008947C5">
              <w:rPr>
                <w:b/>
                <w:i/>
                <w:color w:val="auto"/>
              </w:rPr>
              <w:tab/>
            </w:r>
            <w:r w:rsidRPr="008947C5">
              <w:rPr>
                <w:color w:val="auto"/>
              </w:rPr>
              <w:t>Państwa członkowskie powinny zapewnić odpowiednią jakość przekazywanych danych daktyloskopijnych oraz danych dotyczących wizerunku twarzy</w:t>
            </w:r>
            <w:r w:rsidRPr="008947C5">
              <w:rPr>
                <w:b/>
                <w:i/>
                <w:color w:val="auto"/>
              </w:rPr>
              <w:t xml:space="preserve"> </w:t>
            </w:r>
            <w:r w:rsidRPr="008947C5">
              <w:rPr>
                <w:color w:val="auto"/>
              </w:rPr>
              <w:t>, umożliwiającą porównywanie za pomocą skomputeryzowanego systemu rozpoznawania odcisków palców oraz wizerunków twarzy</w:t>
            </w:r>
            <w:r w:rsidRPr="008947C5">
              <w:rPr>
                <w:b/>
                <w:i/>
                <w:color w:val="auto"/>
              </w:rPr>
              <w:t xml:space="preserve"> </w:t>
            </w:r>
            <w:r w:rsidRPr="008947C5">
              <w:rPr>
                <w:color w:val="auto"/>
              </w:rPr>
              <w:t>. Wszystkie organy uprawnione do dostępu do Eurodac powinny zainwestować w odpowiednie szkolenia oraz w niezbędne wyposażenie techniczne. Organy uprawnione do dostępu do Eurodac powinny informować Europejską Agencję ds. Zarządzania Operacyjnego Wielkoskalowymi Systemami Informatycznymi w Przestrzeni Wolności, Bezpieczeństwa i Sprawiedliwości ustanowioną na mocy rozporządzenia Parlamentu Europejskiego i Rady</w:t>
            </w:r>
            <w:r w:rsidRPr="008947C5">
              <w:rPr>
                <w:b/>
                <w:i/>
                <w:color w:val="auto"/>
              </w:rPr>
              <w:t xml:space="preserve"> </w:t>
            </w:r>
            <w:r w:rsidRPr="008947C5">
              <w:rPr>
                <w:color w:val="auto"/>
              </w:rPr>
              <w:t>(UE) nr 1077/2011</w:t>
            </w:r>
            <w:r w:rsidRPr="008947C5">
              <w:rPr>
                <w:rStyle w:val="Sup"/>
                <w:color w:val="auto"/>
              </w:rPr>
              <w:t>33</w:t>
            </w:r>
            <w:r w:rsidRPr="008947C5">
              <w:rPr>
                <w:b/>
                <w:i/>
                <w:color w:val="auto"/>
              </w:rPr>
              <w:t xml:space="preserve"> </w:t>
            </w:r>
            <w:r w:rsidRPr="008947C5">
              <w:rPr>
                <w:color w:val="auto"/>
              </w:rPr>
              <w:t>(</w:t>
            </w:r>
            <w:r w:rsidRPr="008947C5">
              <w:rPr>
                <w:b/>
                <w:i/>
                <w:color w:val="auto"/>
              </w:rPr>
              <w:t xml:space="preserve"> </w:t>
            </w:r>
            <w:r w:rsidRPr="008947C5">
              <w:rPr>
                <w:color w:val="auto"/>
              </w:rPr>
              <w:t>„eu-LISA”</w:t>
            </w:r>
            <w:r w:rsidRPr="008947C5">
              <w:rPr>
                <w:b/>
                <w:i/>
                <w:color w:val="auto"/>
              </w:rPr>
              <w:t xml:space="preserve"> </w:t>
            </w:r>
            <w:r w:rsidRPr="008947C5">
              <w:rPr>
                <w:color w:val="auto"/>
              </w:rPr>
              <w:t>) o konkretnych problemach napotkanych w związku z jakością danych w celu ich rozwiązania</w:t>
            </w:r>
            <w:r w:rsidRPr="008947C5">
              <w:rPr>
                <w:b/>
                <w:i/>
                <w:color w:val="auto"/>
              </w:rPr>
              <w:t xml:space="preserve"> i promowania wspólnych standardów</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33</w:t>
            </w:r>
            <w:r w:rsidRPr="008947C5">
              <w:rPr>
                <w:color w:val="auto"/>
              </w:rPr>
              <w:t xml:space="preserve"> Rozporządzenie</w:t>
            </w:r>
            <w:r w:rsidRPr="008947C5">
              <w:rPr>
                <w:b/>
                <w:i/>
                <w:color w:val="auto"/>
              </w:rPr>
              <w:t xml:space="preserve"> </w:t>
            </w:r>
            <w:r w:rsidRPr="008947C5">
              <w:rPr>
                <w:color w:val="auto"/>
              </w:rPr>
              <w:t>(UE) nr 1077/2011 ustanawiające Europejską Agencję ds. Zarządzania Operacyjnego Wielkoskalowymi Systemami Informatycznymi w Przestrzeni Wolności, Bezpieczeństwa i Sprawiedliwości</w:t>
            </w:r>
            <w:r w:rsidRPr="008947C5">
              <w:rPr>
                <w:b/>
                <w:i/>
                <w:color w:val="auto"/>
              </w:rPr>
              <w:t xml:space="preserve"> </w:t>
            </w:r>
            <w:r w:rsidRPr="008947C5">
              <w:rPr>
                <w:color w:val="auto"/>
              </w:rPr>
              <w:t>(Dz.U. L 286 z 1.11.2011, s. 1).</w:t>
            </w:r>
          </w:p>
        </w:tc>
        <w:tc>
          <w:tcPr>
            <w:tcW w:w="4876" w:type="dxa"/>
          </w:tcPr>
          <w:p w:rsidR="005E74C4" w:rsidRPr="008947C5" w:rsidRDefault="005E74C4" w:rsidP="009E4524">
            <w:pPr>
              <w:pStyle w:val="Normal6"/>
              <w:rPr>
                <w:b/>
                <w:i/>
                <w:color w:val="auto"/>
              </w:rPr>
            </w:pPr>
            <w:r w:rsidRPr="008947C5">
              <w:rPr>
                <w:rStyle w:val="Sup"/>
                <w:color w:val="auto"/>
              </w:rPr>
              <w:t>33</w:t>
            </w:r>
            <w:r w:rsidRPr="008947C5">
              <w:rPr>
                <w:color w:val="auto"/>
              </w:rPr>
              <w:t xml:space="preserve"> Rozporządzenie</w:t>
            </w:r>
            <w:r w:rsidRPr="008947C5">
              <w:rPr>
                <w:b/>
                <w:i/>
                <w:color w:val="auto"/>
              </w:rPr>
              <w:t xml:space="preserve"> </w:t>
            </w:r>
            <w:r w:rsidRPr="008947C5">
              <w:rPr>
                <w:color w:val="auto"/>
              </w:rPr>
              <w:t>(UE) nr 1077/2011 ustanawiające Europejską Agencję ds. Zarządzania Operacyjnego Wielkoskalowymi Systemami Informatycznymi w Przestrzeni Wolności, Bezpieczeństwa i Sprawiedliwości</w:t>
            </w:r>
            <w:r w:rsidRPr="008947C5">
              <w:rPr>
                <w:b/>
                <w:i/>
                <w:color w:val="auto"/>
              </w:rPr>
              <w:t xml:space="preserve"> </w:t>
            </w:r>
            <w:r w:rsidRPr="008947C5">
              <w:rPr>
                <w:color w:val="auto"/>
              </w:rPr>
              <w:t>(Dz.U. L 286 z 1.11.2011, s.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Jeżeli opracowywanie i przesyłanie danych przez państwa członkowskie ma być skuteczne, powinno zostać zharmonizowane. Informacje zwrotne na temat zdobytych doświadczeń powinny stanowić dla eu-LISA okazję do opracowania i promowania wspólnych standardów.</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29</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(29)</w:t>
            </w:r>
            <w:r w:rsidRPr="008947C5">
              <w:rPr>
                <w:b/>
                <w:i/>
                <w:color w:val="auto"/>
              </w:rPr>
              <w:tab/>
            </w:r>
            <w:r w:rsidRPr="008947C5">
              <w:rPr>
                <w:color w:val="auto"/>
              </w:rPr>
              <w:t>Fakt czasowego lub trwałego braku możliwości pobrania lub przekazania danych daktyloskopijnych</w:t>
            </w:r>
            <w:r w:rsidRPr="008947C5">
              <w:rPr>
                <w:b/>
                <w:i/>
                <w:color w:val="auto"/>
              </w:rPr>
              <w:t xml:space="preserve"> oraz</w:t>
            </w:r>
            <w:r w:rsidRPr="008947C5">
              <w:rPr>
                <w:color w:val="auto"/>
              </w:rPr>
              <w:t xml:space="preserve"> danych dotyczących wizerunku twarzy, z przyczyn takich jak jakość danych niewystarczająca do odpowiedniego porównania, problemy techniczne, przyczyny związane z ochroną zdrowia lub wynikające ze stanu osoby, której dane dotyczą, uniemożliwiającego pobranie odcisków jej palców lub wykonanie zdjęcia wizerunku jej twarzy ze względu na okoliczności pozostające poza jej kontrolą, nie powinny wpływać negatywnie na rozpatrzenie złożonego przez tę osobę wniosku o udzielenie ochrony międzynarodowej ani na decyzję w tej sprawie.</w:t>
            </w:r>
          </w:p>
        </w:tc>
        <w:tc>
          <w:tcPr>
            <w:tcW w:w="4876" w:type="dxa"/>
          </w:tcPr>
          <w:p w:rsidR="005E74C4" w:rsidRPr="008947C5" w:rsidRDefault="005E74C4" w:rsidP="009E4524">
            <w:pPr>
              <w:pStyle w:val="Normal6"/>
              <w:rPr>
                <w:b/>
                <w:i/>
                <w:color w:val="auto"/>
              </w:rPr>
            </w:pPr>
            <w:r w:rsidRPr="008947C5">
              <w:rPr>
                <w:color w:val="auto"/>
              </w:rPr>
              <w:t>(29)</w:t>
            </w:r>
            <w:r w:rsidRPr="008947C5">
              <w:rPr>
                <w:b/>
                <w:i/>
                <w:color w:val="auto"/>
              </w:rPr>
              <w:tab/>
            </w:r>
            <w:r w:rsidRPr="008947C5">
              <w:rPr>
                <w:color w:val="auto"/>
              </w:rPr>
              <w:t>Fakt czasowego lub trwałego braku możliwości pobrania lub przekazania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z przyczyn takich jak jakość danych niewystarczająca do odpowiedniego porównania, problemy techniczne, przyczyny związane z ochroną zdrowia lub wynikające ze stanu osoby, której dane dotyczą, uniemożliwiającego pobranie odcisków jej palców lub wykonanie zdjęcia wizerunku jej twarzy ze względu na okoliczności pozostające poza jej kontrolą, nie powinny wpływać negatywnie na rozpatrzenie złożonego przez tę osobę wniosku o udzielenie ochrony międzynarodowej ani na decyzję w tej sprawie.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t>Jeżeli chodzi o obowiązek</w:t>
            </w:r>
            <w:r w:rsidRPr="008947C5">
              <w:rPr>
                <w:color w:val="auto"/>
              </w:rPr>
              <w:t xml:space="preserve"> pobierania odcisków palców</w:t>
            </w:r>
            <w:r w:rsidRPr="008947C5">
              <w:rPr>
                <w:b/>
                <w:i/>
                <w:color w:val="auto"/>
              </w:rPr>
              <w:t>, państwa członkowskie powinny odwoływać się do dokumentu roboczego służb Komisji przyjętego przez Radę w dniu 20 lipca 2015 r.</w:t>
            </w:r>
            <w:r w:rsidRPr="00AA6414">
              <w:rPr>
                <w:b/>
                <w:i/>
                <w:color w:val="auto"/>
                <w:vertAlign w:val="superscript"/>
              </w:rPr>
              <w:t>34</w:t>
            </w:r>
            <w:r w:rsidRPr="008947C5">
              <w:rPr>
                <w:b/>
                <w:i/>
                <w:color w:val="auto"/>
              </w:rPr>
              <w:t>, w którym określono najlepsze podejście praktyczne do pobierania odcisków palców</w:t>
            </w:r>
            <w:r w:rsidRPr="008947C5">
              <w:rPr>
                <w:color w:val="auto"/>
              </w:rPr>
              <w:t xml:space="preserve"> nielegalnie przebywających obywateli państw trzecich. Jeżeli przepisy krajowe danego państwa członkowskiego dopuszczają, jako ostateczny środek, pobranie odcisków palców</w:t>
            </w:r>
            <w:r w:rsidRPr="008947C5">
              <w:rPr>
                <w:b/>
                <w:i/>
                <w:color w:val="auto"/>
              </w:rPr>
              <w:t xml:space="preserve"> z użyciem siły lub</w:t>
            </w:r>
            <w:r w:rsidRPr="008947C5">
              <w:rPr>
                <w:color w:val="auto"/>
              </w:rPr>
              <w:t xml:space="preserve">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w:t>
            </w:r>
            <w:r w:rsidRPr="008947C5">
              <w:rPr>
                <w:b/>
                <w:i/>
                <w:color w:val="auto"/>
              </w:rPr>
              <w:t>, z wyjątkiem należycie uzasadnionych okoliczności dopuszczanych na mocy przepisów krajowych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t>Państwa członkowskie powinny stosować wytyczne ustanowione i monitorowane wspólnie przez Agencję Unii Europejskiej ds. Azylu i Agencję Praw Podstawowych Unii Europejskiej (FRA) w zakresie wspólnej praktyki</w:t>
            </w:r>
            <w:r w:rsidRPr="008947C5">
              <w:rPr>
                <w:color w:val="auto"/>
              </w:rPr>
              <w:t xml:space="preserve"> pobierania odcisków palców</w:t>
            </w:r>
            <w:r w:rsidRPr="008947C5">
              <w:rPr>
                <w:b/>
                <w:i/>
                <w:color w:val="auto"/>
              </w:rPr>
              <w:t xml:space="preserve"> i wykonywania zdjęcia wizerunku twarzy</w:t>
            </w:r>
            <w:r w:rsidRPr="008947C5">
              <w:rPr>
                <w:color w:val="auto"/>
              </w:rPr>
              <w:t xml:space="preserve"> nielegalnie przebywających obywateli państw trzecich</w:t>
            </w:r>
            <w:r w:rsidRPr="008947C5">
              <w:rPr>
                <w:b/>
                <w:i/>
                <w:color w:val="auto"/>
              </w:rPr>
              <w:t xml:space="preserve"> zgodnie z Kartą praw podstawowych Unii Europejskiej, z wykorzystaniem listy kontrolnej FRA z 2015</w:t>
            </w:r>
            <w:r w:rsidR="00447681" w:rsidRPr="008947C5">
              <w:rPr>
                <w:b/>
                <w:i/>
                <w:color w:val="auto"/>
              </w:rPr>
              <w:t xml:space="preserve"> </w:t>
            </w:r>
            <w:r w:rsidRPr="008947C5">
              <w:rPr>
                <w:b/>
                <w:i/>
                <w:color w:val="auto"/>
              </w:rPr>
              <w:t>r</w:t>
            </w:r>
            <w:r w:rsidRPr="008947C5">
              <w:rPr>
                <w:color w:val="auto"/>
              </w:rPr>
              <w:t>.</w:t>
            </w:r>
            <w:r w:rsidRPr="00AA6414">
              <w:rPr>
                <w:b/>
                <w:i/>
                <w:color w:val="auto"/>
                <w:vertAlign w:val="superscript"/>
              </w:rPr>
              <w:t>1a</w:t>
            </w:r>
            <w:r w:rsidRPr="008947C5">
              <w:rPr>
                <w:b/>
                <w:i/>
                <w:color w:val="auto"/>
              </w:rPr>
              <w:t>.</w:t>
            </w:r>
            <w:r w:rsidRPr="008947C5">
              <w:rPr>
                <w:color w:val="auto"/>
              </w:rPr>
              <w:t xml:space="preserve"> Jeżeli przepisy krajowe danego państwa członkowskiego dopuszczają, jako ostateczny środek, pobranie odcisków palców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AA6414">
              <w:rPr>
                <w:b/>
                <w:i/>
                <w:color w:val="auto"/>
                <w:vertAlign w:val="superscript"/>
              </w:rPr>
              <w:t>1a</w:t>
            </w:r>
            <w:r w:rsidRPr="008947C5">
              <w:rPr>
                <w:b/>
                <w:i/>
                <w:color w:val="auto"/>
              </w:rPr>
              <w:t xml:space="preserve"> Lista kontrolna FRA do celów związanych z pozyskiwaniem odcisków palców do Eurodac zgodnie z prawami podstawowymi, 2015 http://fra.europa.eu/en/publication/2015/fundamental-rights-implications-obligation-provide-fingerprints-eurodac#checklist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AA6414">
              <w:rPr>
                <w:b/>
                <w:i/>
                <w:color w:val="auto"/>
                <w:vertAlign w:val="superscript"/>
              </w:rPr>
              <w:t>34</w:t>
            </w:r>
            <w:r w:rsidRPr="008947C5">
              <w:rPr>
                <w:b/>
                <w:i/>
                <w:color w:val="auto"/>
              </w:rPr>
              <w:t xml:space="preserve"> COM(2015) 150 final z 27.5.2015</w:t>
            </w:r>
            <w:r w:rsidR="00447681" w:rsidRPr="008947C5">
              <w:rPr>
                <w:b/>
                <w:i/>
                <w:color w:val="auto"/>
              </w:rPr>
              <w:t xml:space="preserve"> </w:t>
            </w:r>
            <w:r w:rsidRPr="008947C5">
              <w:rPr>
                <w:b/>
                <w:i/>
                <w:color w:val="auto"/>
              </w:rPr>
              <w:t>r.</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w:t>
            </w:r>
            <w:r w:rsidRPr="008947C5">
              <w:rPr>
                <w:b/>
                <w:i/>
                <w:color w:val="auto"/>
              </w:rPr>
              <w:t>, których uznaje się za osoby wymagające szczególnego traktowania,</w:t>
            </w:r>
            <w:r w:rsidRPr="008947C5">
              <w:rPr>
                <w:color w:val="auto"/>
              </w:rPr>
              <w:t xml:space="preserve"> oraz wobec małoletnich nie należy stosować przymusu w celu pobrania od nich odcisków palców lub wykonania zdjęcia wizerunku twarzy</w:t>
            </w:r>
            <w:r w:rsidRPr="008947C5">
              <w:rPr>
                <w:b/>
                <w:i/>
                <w:color w:val="auto"/>
              </w:rPr>
              <w:t>, z wyjątkiem należycie uzasadnionych okoliczności dopuszczanych na mocy przepisów krajowych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w:t>
            </w:r>
            <w:r w:rsidRPr="008947C5">
              <w:rPr>
                <w:b/>
                <w:i/>
                <w:color w:val="auto"/>
              </w:rPr>
              <w:t xml:space="preserve"> Ponadto państwa członkowskie powinny odnosić się do wytycznych ustanowionych przez Agencję Praw Podstawowych Unii Europejskiej w dokumencie tematycznym „Fundamental rights implications of the obligation to provide fingerprints for Eurodac” [„Obowiązek pobierania odcisków palców na potrzeby systemu Eurodac a prawa podstawowe”] z maja 2015</w:t>
            </w:r>
            <w:r w:rsidR="00447681" w:rsidRPr="008947C5">
              <w:rPr>
                <w:b/>
                <w:i/>
                <w:color w:val="auto"/>
              </w:rPr>
              <w:t xml:space="preserve"> </w:t>
            </w:r>
            <w:r w:rsidRPr="008947C5">
              <w:rPr>
                <w:b/>
                <w:i/>
                <w:color w:val="auto"/>
              </w:rPr>
              <w:t>r.</w:t>
            </w:r>
            <w:r w:rsidRPr="00022DE7">
              <w:rPr>
                <w:b/>
                <w:i/>
                <w:color w:val="auto"/>
                <w:vertAlign w:val="superscript"/>
              </w:rPr>
              <w:t>34a</w:t>
            </w:r>
            <w:r w:rsidRPr="008947C5">
              <w:rPr>
                <w:b/>
                <w:i/>
                <w:color w:val="auto"/>
              </w:rPr>
              <w:t>.</w:t>
            </w:r>
            <w:r w:rsidRPr="008947C5">
              <w:rPr>
                <w:color w:val="auto"/>
              </w:rPr>
              <w:t xml:space="preserve">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 oraz wobec małoletnich nie należy stosować przymusu w celu pobrania od nich odcisków palców lub wykonania zdjęcia wizerunku twarzy.</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r>
      <w:tr w:rsidR="00447681" w:rsidRPr="00891D7C"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1D7C" w:rsidRDefault="005E74C4" w:rsidP="009E4524">
            <w:pPr>
              <w:pStyle w:val="Normal6"/>
              <w:rPr>
                <w:b/>
                <w:i/>
                <w:color w:val="auto"/>
                <w:lang w:val="pt-PT"/>
              </w:rPr>
            </w:pPr>
            <w:r w:rsidRPr="00891D7C">
              <w:rPr>
                <w:b/>
                <w:i/>
                <w:color w:val="auto"/>
                <w:vertAlign w:val="superscript"/>
                <w:lang w:val="pt-PT"/>
              </w:rPr>
              <w:t>34a</w:t>
            </w:r>
            <w:r w:rsidRPr="00891D7C">
              <w:rPr>
                <w:b/>
                <w:i/>
                <w:color w:val="auto"/>
                <w:lang w:val="pt-PT"/>
              </w:rPr>
              <w:t xml:space="preserve"> http://fra.europa.eu/sites/default/files/fra_uploads/fra-2015-fingerprinting-focus-paper_en.pdf</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119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w:t>
            </w:r>
            <w:r w:rsidRPr="008947C5">
              <w:rPr>
                <w:b/>
                <w:i/>
                <w:color w:val="auto"/>
              </w:rPr>
              <w:t>, z wyjątkiem należycie uzasadnionych okoliczności dopuszczanych na mocy przepisów krajowych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w:t>
            </w:r>
            <w:r w:rsidRPr="008947C5">
              <w:rPr>
                <w:b/>
                <w:i/>
                <w:color w:val="auto"/>
              </w:rPr>
              <w:t>, oraz listy kontrolnej Agencji Praw Podstawowych Unii Europejskiej (FRA), aby postępować zgodnie z prawami podstawowymi przy pozyskiwaniu odcisków palców do Eurodac</w:t>
            </w:r>
            <w:r w:rsidRPr="00022DE7">
              <w:rPr>
                <w:b/>
                <w:i/>
                <w:color w:val="auto"/>
                <w:vertAlign w:val="superscript"/>
              </w:rPr>
              <w:t>34a</w:t>
            </w:r>
            <w:r w:rsidRPr="008947C5">
              <w:rPr>
                <w:color w:val="auto"/>
              </w:rPr>
              <w:t>.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w:t>
            </w:r>
            <w:r w:rsidRPr="008947C5">
              <w:rPr>
                <w:b/>
                <w:i/>
                <w:color w:val="auto"/>
              </w:rPr>
              <w:t xml:space="preserve"> i bezpaństwowców</w:t>
            </w:r>
            <w:r w:rsidRPr="008947C5">
              <w:rPr>
                <w:color w:val="auto"/>
              </w:rPr>
              <w:t>, których uznaje się za osoby wymagające szczególnego traktowania, oraz wobec małoletnich nie należy stosować przymusu w celu pobrania od nich odcisków palców lub wykonania zdjęcia wizerunku twarzy.</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022DE7">
              <w:rPr>
                <w:b/>
                <w:i/>
                <w:color w:val="auto"/>
                <w:vertAlign w:val="superscript"/>
              </w:rPr>
              <w:t>34a</w:t>
            </w:r>
            <w:r w:rsidRPr="008947C5">
              <w:rPr>
                <w:b/>
                <w:i/>
                <w:color w:val="auto"/>
              </w:rPr>
              <w:t xml:space="preserve"> FRA (2015), „Fundamental rights implications of the obligation to provide fingerprints for Eurodac” [„Obowiązek pobierania odcisków palców na potrzeby systemu Eurodac a prawa podstawowe”], 22.10.2015 r.</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w:t>
            </w:r>
            <w:r w:rsidRPr="008947C5">
              <w:rPr>
                <w:b/>
                <w:i/>
                <w:color w:val="auto"/>
              </w:rPr>
              <w:t xml:space="preserve"> odwoływać się do dokumentu roboczego służb</w:t>
            </w:r>
            <w:r w:rsidRPr="008947C5">
              <w:rPr>
                <w:color w:val="auto"/>
              </w:rPr>
              <w:t xml:space="preserve"> Komisji</w:t>
            </w:r>
            <w:r w:rsidRPr="008947C5">
              <w:rPr>
                <w:b/>
                <w:i/>
                <w:color w:val="auto"/>
              </w:rPr>
              <w:t xml:space="preserve"> przyjętego</w:t>
            </w:r>
            <w:r w:rsidRPr="008947C5">
              <w:rPr>
                <w:color w:val="auto"/>
              </w:rPr>
              <w:t xml:space="preserve">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 z wyjątkiem należycie uzasadnionych okoliczności dopuszczanych na mocy przepisów krajowych.</w:t>
            </w:r>
          </w:p>
        </w:tc>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w:t>
            </w:r>
            <w:r w:rsidRPr="008947C5">
              <w:rPr>
                <w:b/>
                <w:i/>
                <w:color w:val="auto"/>
              </w:rPr>
              <w:t xml:space="preserve"> stosować opracowane przez służby</w:t>
            </w:r>
            <w:r w:rsidRPr="008947C5">
              <w:rPr>
                <w:color w:val="auto"/>
              </w:rPr>
              <w:t xml:space="preserve"> Komisji</w:t>
            </w:r>
            <w:r w:rsidRPr="008947C5">
              <w:rPr>
                <w:b/>
                <w:i/>
                <w:color w:val="auto"/>
              </w:rPr>
              <w:t xml:space="preserve"> wspólne podejście w sprawie wdrożenia rozporządzenia dotyczącego Eurodac przyjęte</w:t>
            </w:r>
            <w:r w:rsidRPr="008947C5">
              <w:rPr>
                <w:color w:val="auto"/>
              </w:rPr>
              <w:t xml:space="preserve"> przez Radę w dniu 20 lipca 2015 r.</w:t>
            </w:r>
            <w:r w:rsidRPr="008947C5">
              <w:rPr>
                <w:rStyle w:val="Sup"/>
                <w:color w:val="auto"/>
              </w:rPr>
              <w:t>34</w:t>
            </w:r>
            <w:r w:rsidRPr="008947C5">
              <w:rPr>
                <w:b/>
                <w:i/>
                <w:color w:val="auto"/>
              </w:rPr>
              <w:t xml:space="preserve"> i dołączone w postaci załącznika do niniejszego rozporządzenia</w:t>
            </w:r>
            <w:r w:rsidRPr="008947C5">
              <w:rPr>
                <w:color w:val="auto"/>
              </w:rPr>
              <w:t>, w którym określono najlepsze podejście praktyczne do pobierania odcisków palców nielegalnie przebywających obywateli państw trzecich.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 z wyjątkiem należycie uzasadnionych okoliczności dopuszczanych na mocy przepisów krajowych.</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w:t>
            </w:r>
            <w:r w:rsidR="00022DE7">
              <w:rPr>
                <w:color w:val="auto"/>
              </w:rPr>
              <w:t xml:space="preserve"> r.</w:t>
            </w:r>
          </w:p>
        </w:tc>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w:t>
            </w:r>
            <w:r w:rsidR="00022DE7">
              <w:rPr>
                <w:color w:val="auto"/>
              </w:rPr>
              <w:t xml:space="preserve"> r.</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z wyników ankiety wynika, że niektóre państwa członkowskie dopuszczają zatrzymanie, aby dopilnować pobrania odcisków palców od migrantów, inne dopuszczają stosowanie proporcjonalnego stopnia przymusu, jeszcze inne natomiast nie stosują ani zatrzymania, ani przymusu. Należy zatem zharmonizować istniejące praktyki, aby upewnić się, że obowiązki ciążące na państwach na mocy rozporządzenia Eurodac są wypełniane przy takim samym poziomie gwarancji. Wspólne podejście opracowane przez Komisję w dokumenc</w:t>
      </w:r>
      <w:r w:rsidR="00022DE7">
        <w:rPr>
          <w:color w:val="auto"/>
        </w:rPr>
        <w:t>ie SWD</w:t>
      </w:r>
      <w:r w:rsidRPr="008947C5">
        <w:rPr>
          <w:color w:val="auto"/>
        </w:rPr>
        <w:t>(2015) 150 final.</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r>
            <w:r w:rsidRPr="008947C5">
              <w:rPr>
                <w:color w:val="auto"/>
              </w:rPr>
              <w:t>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 których uznaje się za osoby wymagające szczególnego traktowania, oraz wobec małoletnich nie należy stosować przymusu w celu pobrania od nich odcisków palców lub wykonania zdjęcia wizerunku twarzy, z wyjątkiem należycie uzasadnionych okoliczności dopuszczanych na mocy przepisów krajowych.</w:t>
            </w:r>
          </w:p>
        </w:tc>
        <w:tc>
          <w:tcPr>
            <w:tcW w:w="4876" w:type="dxa"/>
          </w:tcPr>
          <w:p w:rsidR="005E74C4" w:rsidRPr="008947C5" w:rsidRDefault="005E74C4" w:rsidP="009E4524">
            <w:pPr>
              <w:pStyle w:val="Normal6"/>
              <w:rPr>
                <w:b/>
                <w:i/>
                <w:color w:val="auto"/>
              </w:rPr>
            </w:pPr>
            <w:r w:rsidRPr="008947C5">
              <w:rPr>
                <w:color w:val="auto"/>
              </w:rPr>
              <w:t>(30)</w:t>
            </w:r>
            <w:r w:rsidRPr="008947C5">
              <w:rPr>
                <w:b/>
                <w:i/>
                <w:color w:val="auto"/>
              </w:rPr>
              <w:tab/>
              <w:t>Rejestrowanie 100 % wniosków o ochronę międzynarodową złożonych w jednym z państw członkowskich przez obywateli państw trzecich lub bezpaństwowców, osoby zatrzymane w związku z nielegalnym przekroczeniem granicy zewnętrznej Unii oraz obywateli państw trzecich lub bezpaństwowców przebywających nielegalnie na jej terytorium ma kluczowe znaczenie dla prawidłowego funkcjonowania wspólnego europejskiego systemu azylowego. Aby osiągnąć taki odsetek rejestracji,</w:t>
            </w:r>
            <w:r w:rsidRPr="008947C5">
              <w:rPr>
                <w:color w:val="auto"/>
              </w:rPr>
              <w:t xml:space="preserve"> jeżeli chodzi o obowiązek pobierania odcisków palców, państwa członkowskie powinny odwoływać się do dokumentu roboczego służb Komisji przyjętego przez Radę w dniu 20 lipca 2015 r.</w:t>
            </w:r>
            <w:r w:rsidRPr="008947C5">
              <w:rPr>
                <w:rStyle w:val="Sup"/>
                <w:color w:val="auto"/>
              </w:rPr>
              <w:t>34</w:t>
            </w:r>
            <w:r w:rsidRPr="008947C5">
              <w:rPr>
                <w:color w:val="auto"/>
              </w:rPr>
              <w:t>, w którym określono najlepsze podejście praktyczne do pobierania odcisków palców nielegalnie przebywających obywateli państw trzecich</w:t>
            </w:r>
            <w:r w:rsidRPr="008947C5">
              <w:rPr>
                <w:b/>
                <w:i/>
                <w:color w:val="auto"/>
              </w:rPr>
              <w:t xml:space="preserve"> lub bezpaństwowców</w:t>
            </w:r>
            <w:r w:rsidRPr="008947C5">
              <w:rPr>
                <w:color w:val="auto"/>
              </w:rPr>
              <w:t>. Jeżeli przepisy krajowe danego państwa członkowskiego dopuszczają, jako ostateczny środek, pobranie odcisków palców z użyciem siły lub pod przymusem, środek ten musi być stosowany z pełnym poszanowaniem Karty praw podstawowych Unii Europejskiej. Wobec obywateli państw trzecich</w:t>
            </w:r>
            <w:r w:rsidRPr="008947C5">
              <w:rPr>
                <w:b/>
                <w:i/>
                <w:color w:val="auto"/>
              </w:rPr>
              <w:t xml:space="preserve"> lub bezpaństwowców</w:t>
            </w:r>
            <w:r w:rsidRPr="008947C5">
              <w:rPr>
                <w:color w:val="auto"/>
              </w:rPr>
              <w:t>, których uznaje się za osoby wymagające szczególnego traktowania, oraz wobec małoletnich nie należy stosować przymusu w celu pobrania od nich odcisków palców lub wykonania zdjęcia wizerunku twarzy, z wyjątkiem należycie uzasadnionych okoliczności dopuszczanych na mocy przepisów krajowych.</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c>
          <w:tcPr>
            <w:tcW w:w="4876" w:type="dxa"/>
          </w:tcPr>
          <w:p w:rsidR="005E74C4" w:rsidRPr="008947C5" w:rsidRDefault="005E74C4" w:rsidP="009E4524">
            <w:pPr>
              <w:pStyle w:val="Normal6"/>
              <w:rPr>
                <w:b/>
                <w:i/>
                <w:color w:val="auto"/>
              </w:rPr>
            </w:pPr>
            <w:r w:rsidRPr="008947C5">
              <w:rPr>
                <w:rStyle w:val="Sup"/>
                <w:color w:val="auto"/>
              </w:rPr>
              <w:t>34</w:t>
            </w:r>
            <w:r w:rsidRPr="008947C5">
              <w:rPr>
                <w:color w:val="auto"/>
              </w:rPr>
              <w:t xml:space="preserve"> COM(2015) 150 final z 27.5.2015 r.</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(31)</w:t>
            </w:r>
            <w:r w:rsidRPr="008947C5">
              <w:rPr>
                <w:b/>
                <w:i/>
                <w:color w:val="auto"/>
              </w:rPr>
              <w:tab/>
            </w:r>
            <w:r w:rsidRPr="008947C5">
              <w:rPr>
                <w:color w:val="auto"/>
              </w:rPr>
              <w:t>Trafienia uzyskane z Eurodac powinny być weryfikowane przez wyszkolonego eksperta w dziedzinie daktyloskopii w celu zapewnienia dokładnego ustalenia odpowiedzialności na mocy rozporządzenia</w:t>
            </w:r>
            <w:r w:rsidRPr="008947C5">
              <w:rPr>
                <w:b/>
                <w:i/>
                <w:color w:val="auto"/>
              </w:rPr>
              <w:t xml:space="preserve"> </w:t>
            </w:r>
            <w:r w:rsidRPr="008947C5">
              <w:rPr>
                <w:color w:val="auto"/>
              </w:rPr>
              <w:t>(UE) nr […/…]; dokładnej identyfikacji obywatela państwa trzeciego lub bezpaństwowca oraz dokładnej identyfikacji podejrzanego lub ofiary przestępstwa, których dane mogą być przechowywane w systemie Eurodac.</w:t>
            </w:r>
            <w:r w:rsidRPr="008947C5">
              <w:rPr>
                <w:b/>
                <w:i/>
                <w:color w:val="auto"/>
              </w:rPr>
              <w:t xml:space="preserve"> Trafienia uzyskane z Eurodac oparte na wizerunkach twarzy również powinny być weryfikowane, jeżeli istnieje wątpliwość co do tego, że wynik odnosi się do tej samej osoby.</w:t>
            </w:r>
          </w:p>
        </w:tc>
        <w:tc>
          <w:tcPr>
            <w:tcW w:w="4876" w:type="dxa"/>
          </w:tcPr>
          <w:p w:rsidR="005E74C4" w:rsidRPr="008947C5" w:rsidRDefault="005E74C4" w:rsidP="009E4524">
            <w:pPr>
              <w:pStyle w:val="Normal6"/>
              <w:rPr>
                <w:b/>
                <w:i/>
                <w:color w:val="auto"/>
              </w:rPr>
            </w:pPr>
            <w:r w:rsidRPr="008947C5">
              <w:rPr>
                <w:color w:val="auto"/>
              </w:rPr>
              <w:t>(31)</w:t>
            </w:r>
            <w:r w:rsidRPr="008947C5">
              <w:rPr>
                <w:b/>
                <w:i/>
                <w:color w:val="auto"/>
              </w:rPr>
              <w:tab/>
            </w:r>
            <w:r w:rsidRPr="008947C5">
              <w:rPr>
                <w:color w:val="auto"/>
              </w:rPr>
              <w:t>Trafienia uzyskane z Eurodac powinny być weryfikowane przez wyszkolonego eksperta w dziedzinie daktyloskopii</w:t>
            </w:r>
            <w:r w:rsidRPr="008947C5">
              <w:rPr>
                <w:b/>
                <w:i/>
                <w:color w:val="auto"/>
              </w:rPr>
              <w:t xml:space="preserve"> i identyfikacji wizerunku twarzy</w:t>
            </w:r>
            <w:r w:rsidRPr="008947C5">
              <w:rPr>
                <w:color w:val="auto"/>
              </w:rPr>
              <w:t xml:space="preserve"> w celu zapewnienia dokładnego ustalenia odpowiedzialności na mocy rozporządzenia</w:t>
            </w:r>
            <w:r w:rsidRPr="008947C5">
              <w:rPr>
                <w:b/>
                <w:i/>
                <w:color w:val="auto"/>
              </w:rPr>
              <w:t xml:space="preserve"> </w:t>
            </w:r>
            <w:r w:rsidRPr="008947C5">
              <w:rPr>
                <w:color w:val="auto"/>
              </w:rPr>
              <w:t>(UE) nr […/…]; dokładnej identyfikacji obywatela państwa trzeciego lub bezpaństwowca oraz dokładnej identyfikacji podejrzanego lub ofiary przestępstwa, których dane mogą być przechowywane w systemie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konieczna, ponieważ jest w nierozerwalny sposób powiązana z innymi dopuszczalnymi poprawkami związanymi z celami Eurodac (art. 1) dotyczącymi zabezpieczeń w zakresie identyfikacji.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t>Obywatele</w:t>
            </w:r>
            <w:r w:rsidRPr="008947C5">
              <w:rPr>
                <w:color w:val="auto"/>
              </w:rPr>
              <w:t xml:space="preserve"> państw trzecich lub</w:t>
            </w:r>
            <w:r w:rsidRPr="008947C5">
              <w:rPr>
                <w:b/>
                <w:i/>
                <w:color w:val="auto"/>
              </w:rPr>
              <w:t xml:space="preserve"> bezpaństwowcy, którzy wystąpili o ochronę międzynarodową w jednym z państw członkowskich, mogą przez wiele kolejnych lat próbować występować o ochronę międzynarodową w innym państwie członkowskim. Zatem</w:t>
            </w:r>
            <w:r w:rsidRPr="008947C5">
              <w:rPr>
                <w:color w:val="auto"/>
              </w:rPr>
              <w:t xml:space="preserve"> maksymalny okres przechowywania danych daktyloskopijnych oraz danych dotyczących wizerunków twarzy w systemie centralnym powinien być dość długi. Za rozsądny okres przechowywania danych daktyloskopijnych oraz danych dotyczących wizerunków twarzy należy uznać okres dziesięcioletni, zważywszy, że większość obywateli państw trzecich lub bezpaństwowców, którzy pozostawali w Unii przez wiele lat, uzyska prawo do zamieszkiwania lub nawet obywatelstwo państwa członkowskiego po upływie tego okresu.</w:t>
            </w:r>
          </w:p>
        </w:tc>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t>W celu zapewnienia skutecznej pomocy przy kontroli nielegalnej imigracji i identyfikacji nielegalnie przebywających obywateli</w:t>
            </w:r>
            <w:r w:rsidRPr="008947C5">
              <w:rPr>
                <w:color w:val="auto"/>
              </w:rPr>
              <w:t xml:space="preserve"> państw trzecich lub</w:t>
            </w:r>
            <w:r w:rsidRPr="008947C5">
              <w:rPr>
                <w:b/>
                <w:i/>
                <w:color w:val="auto"/>
              </w:rPr>
              <w:t xml:space="preserve"> bezpaństwowców</w:t>
            </w:r>
            <w:r w:rsidRPr="008947C5">
              <w:rPr>
                <w:color w:val="auto"/>
              </w:rPr>
              <w:t xml:space="preserve"> maksymalny okres przechowywania danych daktyloskopijnych oraz danych dotyczących wizerunków twarzy w systemie centralnym powinien być dość długi</w:t>
            </w:r>
            <w:r w:rsidRPr="008947C5">
              <w:rPr>
                <w:b/>
                <w:i/>
                <w:color w:val="auto"/>
              </w:rPr>
              <w:t>, aby powstrzymać obywateli państw trzecich lub bezpaństwowców, którzy złożyli wniosek o ochronę międzynarodową w jednym państwie członkowskim, od składania takiego samego wniosku w innym państwie członkowskim</w:t>
            </w:r>
            <w:r w:rsidRPr="008947C5">
              <w:rPr>
                <w:color w:val="auto"/>
              </w:rPr>
              <w:t>. Za rozsądny okres przechowywania danych daktyloskopijnych oraz danych dotyczących wizerunków twarzy należy uznać okres dziesięcioletni, zważywszy, że większość obywateli państw trzecich lub bezpaństwowców, którzy pozostawali w Unii przez wiele lat, uzyska prawo do zamieszkiwania lub nawet obywatelstwo państwa członkowskiego po upływie tego okresu.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W celu zapewnienia przejrzystości za pośrednictwem tej poprawki nieznacznie dostosowano wyjaśnienie, dlaczego dane należy przechowywać przez okres 10 lat.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t>Obywatele</w:t>
            </w:r>
            <w:r w:rsidRPr="008947C5">
              <w:rPr>
                <w:color w:val="auto"/>
              </w:rPr>
              <w:t xml:space="preserve"> państw trzecich lub</w:t>
            </w:r>
            <w:r w:rsidRPr="008947C5">
              <w:rPr>
                <w:b/>
                <w:i/>
                <w:color w:val="auto"/>
              </w:rPr>
              <w:t xml:space="preserve"> bezpaństwowcy</w:t>
            </w:r>
            <w:r w:rsidRPr="008947C5">
              <w:rPr>
                <w:color w:val="auto"/>
              </w:rPr>
              <w:t>, którzy wystąpili o ochronę międzynarodową w</w:t>
            </w:r>
            <w:r w:rsidRPr="008947C5">
              <w:rPr>
                <w:b/>
                <w:i/>
                <w:color w:val="auto"/>
              </w:rPr>
              <w:t xml:space="preserve"> jednym z państw członkowskich, mogą przez wiele kolejnych lat próbować występować o ochronę międzynarodową w innym państwie członkowskim. Zatem maksymalny okres przechowywania danych daktyloskopijnych oraz danych dotyczących wizerunków twarzy w</w:t>
            </w:r>
            <w:r w:rsidRPr="008947C5">
              <w:rPr>
                <w:color w:val="auto"/>
              </w:rPr>
              <w:t xml:space="preserve"> systemie centralnym powinien być</w:t>
            </w:r>
            <w:r w:rsidRPr="008947C5">
              <w:rPr>
                <w:b/>
                <w:i/>
                <w:color w:val="auto"/>
              </w:rPr>
              <w:t xml:space="preserve"> dość długi</w:t>
            </w:r>
            <w:r w:rsidRPr="008947C5">
              <w:rPr>
                <w:color w:val="auto"/>
              </w:rPr>
              <w:t>. Za rozsądny okres przechowywania danych daktyloskopijnych oraz danych dotyczących wizerunków twarzy należy uznać okres</w:t>
            </w:r>
            <w:r w:rsidRPr="008947C5">
              <w:rPr>
                <w:b/>
                <w:i/>
                <w:color w:val="auto"/>
              </w:rPr>
              <w:t xml:space="preserve"> dziesięcioletni</w:t>
            </w:r>
            <w:r w:rsidRPr="008947C5">
              <w:rPr>
                <w:color w:val="auto"/>
              </w:rPr>
              <w:t>, zważywszy, że większość obywateli państw trzecich lub bezpaństwowców, którzy pozostawali w Unii przez wiele lat, uzyska prawo do zamieszkiwania lub nawet obywatelstwo państwa członkowskiego po upływie tego okresu.</w:t>
            </w:r>
          </w:p>
        </w:tc>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t>Maksymalny okres, w czasie którego dane daktyloskopijne i wizerunki twarzy obywateli</w:t>
            </w:r>
            <w:r w:rsidRPr="008947C5">
              <w:rPr>
                <w:color w:val="auto"/>
              </w:rPr>
              <w:t xml:space="preserve"> państw trzecich lub</w:t>
            </w:r>
            <w:r w:rsidRPr="008947C5">
              <w:rPr>
                <w:b/>
                <w:i/>
                <w:color w:val="auto"/>
              </w:rPr>
              <w:t xml:space="preserve"> bezpaństwowców</w:t>
            </w:r>
            <w:r w:rsidRPr="008947C5">
              <w:rPr>
                <w:color w:val="auto"/>
              </w:rPr>
              <w:t>, którzy wystąpili o ochronę międzynarodową</w:t>
            </w:r>
            <w:r w:rsidRPr="008947C5">
              <w:rPr>
                <w:b/>
                <w:i/>
                <w:color w:val="auto"/>
              </w:rPr>
              <w:t>, powinny być przechowywane</w:t>
            </w:r>
            <w:r w:rsidRPr="008947C5">
              <w:rPr>
                <w:color w:val="auto"/>
              </w:rPr>
              <w:t xml:space="preserve"> w systemie centralnym</w:t>
            </w:r>
            <w:r w:rsidRPr="008947C5">
              <w:rPr>
                <w:b/>
                <w:i/>
                <w:color w:val="auto"/>
              </w:rPr>
              <w:t>,</w:t>
            </w:r>
            <w:r w:rsidRPr="008947C5">
              <w:rPr>
                <w:color w:val="auto"/>
              </w:rPr>
              <w:t xml:space="preserve"> powinien być</w:t>
            </w:r>
            <w:r w:rsidRPr="008947C5">
              <w:rPr>
                <w:b/>
                <w:i/>
                <w:color w:val="auto"/>
              </w:rPr>
              <w:t xml:space="preserve"> ograniczony do tego, co jest ściśle konieczne i proporcjonalne, zgodnie z zasadą proporcjonalności zapisaną w art</w:t>
            </w:r>
            <w:r w:rsidRPr="008947C5">
              <w:rPr>
                <w:color w:val="auto"/>
              </w:rPr>
              <w:t>.</w:t>
            </w:r>
            <w:r w:rsidRPr="008947C5">
              <w:rPr>
                <w:b/>
                <w:i/>
                <w:color w:val="auto"/>
              </w:rPr>
              <w:t xml:space="preserve"> 52 ust. 1 Karty i jej wykładnią w orzecznictwie Trybunału Sprawiedliwości Unii Europejskiej.</w:t>
            </w:r>
            <w:r w:rsidRPr="008947C5">
              <w:rPr>
                <w:color w:val="auto"/>
              </w:rPr>
              <w:t xml:space="preserve"> Za rozsądny okres przechowywania danych daktyloskopijnych oraz danych dotyczących wizerunków twarzy należy uznać okres</w:t>
            </w:r>
            <w:r w:rsidRPr="008947C5">
              <w:rPr>
                <w:b/>
                <w:i/>
                <w:color w:val="auto"/>
              </w:rPr>
              <w:t xml:space="preserve"> pięcioletni</w:t>
            </w:r>
            <w:r w:rsidRPr="008947C5">
              <w:rPr>
                <w:color w:val="auto"/>
              </w:rPr>
              <w:t>, zważywszy, że większość obywateli państw trzecich lub bezpaństwowców, którzy pozostawali w Unii przez wiele lat, uzyska prawo do zamieszkiwania lub nawet obywatelstwo państwa członkowskiego po upływie tego okresu.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niezbędna, ponieważ jest w nierozerwalny sposób powiązana z innymi dopuszczalnymi poprawkami związanymi z celami Eurodac (art. 1), wprowadzającymi odniesienia do zgodności z zasadami konieczności i proporcjonalności na podstawie art. 52 ust. 1 Karty praw podstawowych Unii Europejskiej i odpowiedniego orzecznictwa Trybunału Sprawiedliwości Unii Europejskiej.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r>
            <w:r w:rsidRPr="008947C5">
              <w:rPr>
                <w:color w:val="auto"/>
              </w:rPr>
              <w:t>Obywatele państw trzecich lub bezpaństwowcy, którzy wystąpili o ochronę międzynarodową w jednym z państw członkowskich, mogą przez wiele kolejnych lat próbować występować o ochronę międzynarodową w innym państwie członkowskim. Zatem maksymalny okres przechowywania danych</w:t>
            </w:r>
            <w:r w:rsidRPr="008947C5">
              <w:rPr>
                <w:b/>
                <w:i/>
                <w:color w:val="auto"/>
              </w:rPr>
              <w:t xml:space="preserve"> daktyloskopijnych oraz danych dotyczących wizerunków twarzy</w:t>
            </w:r>
            <w:r w:rsidRPr="008947C5">
              <w:rPr>
                <w:color w:val="auto"/>
              </w:rPr>
              <w:t xml:space="preserve"> w systemie centralnym powinien być dość długi. Za rozsądny okres przechowywania danych</w:t>
            </w:r>
            <w:r w:rsidRPr="008947C5">
              <w:rPr>
                <w:b/>
                <w:i/>
                <w:color w:val="auto"/>
              </w:rPr>
              <w:t xml:space="preserve"> daktyloskopijnych oraz danych dotyczących wizerunków twarzy</w:t>
            </w:r>
            <w:r w:rsidRPr="008947C5">
              <w:rPr>
                <w:color w:val="auto"/>
              </w:rPr>
              <w:t xml:space="preserve"> należy uznać okres dziesięcioletni, zważywszy, że większość obywateli państw trzecich lub bezpaństwowców, którzy pozostawali w Unii przez wiele lat, uzyska prawo do zamieszkiwania lub nawet obywatelstwo państwa członkowskiego po upływie tego okresu.</w:t>
            </w:r>
          </w:p>
        </w:tc>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r>
            <w:r w:rsidRPr="008947C5">
              <w:rPr>
                <w:color w:val="auto"/>
              </w:rPr>
              <w:t>Obywatele państw trzecich lub bezpaństwowcy, którzy wystąpili o ochronę międzynarodową w jednym z państw członkowskich, mogą przez wiele kolejnych lat próbować występować o ochronę międzynarodową w innym państwie członkowskim. Zatem maksymalny okres przechowywania danych</w:t>
            </w:r>
            <w:r w:rsidRPr="008947C5">
              <w:rPr>
                <w:b/>
                <w:i/>
                <w:color w:val="auto"/>
              </w:rPr>
              <w:t xml:space="preserve"> biometrycznych i alfanumerycznych</w:t>
            </w:r>
            <w:r w:rsidRPr="008947C5">
              <w:rPr>
                <w:color w:val="auto"/>
              </w:rPr>
              <w:t xml:space="preserve"> w systemie centralnym powinien być dość długi. Za rozsądny okres przechowywania danych</w:t>
            </w:r>
            <w:r w:rsidRPr="008947C5">
              <w:rPr>
                <w:b/>
                <w:i/>
                <w:color w:val="auto"/>
              </w:rPr>
              <w:t xml:space="preserve"> biometrycznych i alfanumerycznych</w:t>
            </w:r>
            <w:r w:rsidRPr="008947C5">
              <w:rPr>
                <w:color w:val="auto"/>
              </w:rPr>
              <w:t xml:space="preserve"> należy uznać okres dziesięcioletni, zważywszy, że większość obywateli państw trzecich lub bezpaństwowców, którzy pozostawali w Unii przez wiele lat, uzyska prawo do zamieszkiwania lub nawet obywatelstwo państwa członkowskiego po upływie tego okresu.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Krajowe organy ścigania i Europol nie mogą domagać się porównania ze specjalnymi danymi alfanumerycznymi; w niektórych przypadkach krajowe organy ścigania nie dysponują odciskami palców, jednak posiadają dane alfanumeryczne.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r>
            <w:r w:rsidRPr="008947C5">
              <w:rPr>
                <w:color w:val="auto"/>
              </w:rPr>
              <w:t>Obywatele państw trzecich lub bezpaństwowcy, którzy wystąpili o ochronę międzynarodową w jednym z państw członkowskich, mogą przez wiele kolejnych lat</w:t>
            </w:r>
            <w:r w:rsidRPr="008947C5">
              <w:rPr>
                <w:b/>
                <w:i/>
                <w:color w:val="auto"/>
              </w:rPr>
              <w:t xml:space="preserve"> próbować</w:t>
            </w:r>
            <w:r w:rsidRPr="008947C5">
              <w:rPr>
                <w:color w:val="auto"/>
              </w:rPr>
              <w:t xml:space="preserve"> występować o ochronę międzynarodową w innym państwie członkowskim. Zatem maksymalny okres przechowywania danych daktyloskopijnych oraz danych dotyczących wizerunków twarzy w systemie centralnym powinien być dość długi. Za rozsądny okres przechowywania danych daktyloskopijnych</w:t>
            </w:r>
            <w:r w:rsidRPr="008947C5">
              <w:rPr>
                <w:b/>
                <w:i/>
                <w:color w:val="auto"/>
              </w:rPr>
              <w:t xml:space="preserve"> oraz</w:t>
            </w:r>
            <w:r w:rsidRPr="008947C5">
              <w:rPr>
                <w:color w:val="auto"/>
              </w:rPr>
              <w:t xml:space="preserve"> danych dotyczących wizerunków twarzy należy uznać okres dziesięcioletni, zważywszy, że większość obywateli państw trzecich lub bezpaństwowców, którzy pozostawali w Unii przez wiele lat, uzyska prawo do zamieszkiwania lub nawet obywatelstwo państwa członkowskiego po upływie tego okresu.</w:t>
            </w:r>
          </w:p>
        </w:tc>
        <w:tc>
          <w:tcPr>
            <w:tcW w:w="4876" w:type="dxa"/>
          </w:tcPr>
          <w:p w:rsidR="005E74C4" w:rsidRPr="008947C5" w:rsidRDefault="005E74C4" w:rsidP="009E4524">
            <w:pPr>
              <w:pStyle w:val="Normal6"/>
              <w:rPr>
                <w:b/>
                <w:i/>
                <w:color w:val="auto"/>
              </w:rPr>
            </w:pPr>
            <w:r w:rsidRPr="008947C5">
              <w:rPr>
                <w:color w:val="auto"/>
              </w:rPr>
              <w:t>(32)</w:t>
            </w:r>
            <w:r w:rsidRPr="008947C5">
              <w:rPr>
                <w:b/>
                <w:i/>
                <w:color w:val="auto"/>
              </w:rPr>
              <w:tab/>
            </w:r>
            <w:r w:rsidRPr="008947C5">
              <w:rPr>
                <w:color w:val="auto"/>
              </w:rPr>
              <w:t>Obywatele państw trzecich lub bezpaństwowcy, którzy wystąpili o ochronę międzynarodową w jednym z państw członkowskich, mogą przez wiele kolejnych lat występować o ochronę międzynarodową w innym państwie członkowskim. Zatem maksymalny okres przechowywania danych daktyloskopijnych oraz danych dotyczących wizerunków twarzy w systemie centralnym powinien być dość długi. Za rozsądny okres przechowywania danych daktyloskopijnych</w:t>
            </w:r>
            <w:r w:rsidRPr="008947C5">
              <w:rPr>
                <w:b/>
                <w:i/>
                <w:color w:val="auto"/>
              </w:rPr>
              <w:t>,</w:t>
            </w:r>
            <w:r w:rsidRPr="008947C5">
              <w:rPr>
                <w:color w:val="auto"/>
              </w:rPr>
              <w:t xml:space="preserve"> danych dotyczących wizerunków twarzy</w:t>
            </w:r>
            <w:r w:rsidRPr="008947C5">
              <w:rPr>
                <w:b/>
                <w:i/>
                <w:color w:val="auto"/>
              </w:rPr>
              <w:t xml:space="preserve"> lub obu tych rodzajów danych</w:t>
            </w:r>
            <w:r w:rsidRPr="008947C5">
              <w:rPr>
                <w:color w:val="auto"/>
              </w:rPr>
              <w:t xml:space="preserve"> należy uznać okres dziesięcioletni, zważywszy, że większość obywateli państw trzecich lub bezpaństwowców, którzy pozostawali w Unii przez wiele lat, uzyska prawo do zamieszkiwania lub nawet obywatelstwo państwa członkowskiego po upływie tego okresu.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(32a)</w:t>
            </w:r>
            <w:r w:rsidRPr="008947C5">
              <w:rPr>
                <w:b/>
                <w:i/>
                <w:color w:val="auto"/>
              </w:rPr>
              <w:tab/>
              <w:t>Dane dotyczące obywateli państw trzecich lub bezpaństwowców przesiedlonych w państwie członkowskim na mocy rozporządzenia XXX/XXX należy przechowywać przez okres 10 lat. Taki okres przechowywania jest już stosowany w odniesieniu do innych osób ubiegających się o ochronę międzynarodową i objętych taką ochroną.</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motywu jest doprecyzowanie okresu przechowywania danych osób przesiedlonych w państwie członkowskim na mocy rozporządzenia XXX/XXX. Proponuje się okres 10 lat, aby dostosować przetwarzanie danych osób przesiedlonych do przetwarzania danych pozostałych osób objętych ochroną międzynarodową.</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32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(32a)</w:t>
            </w:r>
            <w:r w:rsidRPr="008947C5">
              <w:rPr>
                <w:b/>
                <w:i/>
                <w:color w:val="auto"/>
              </w:rPr>
              <w:tab/>
              <w:t>W konkluzjach w sprawie bezpaństwowości z dnia 4 grudnia 2015 r. Rada i przedstawiciele rządów państw członkowskich przypomnieli o zobowiązaniu UE z września 2012 r., że wszystkie państwa członkowskie UE przystąpią do Konwencji dotyczącej statusu bezpaństwowców z 1954 r. i rozważą przys</w:t>
            </w:r>
            <w:r w:rsidR="00022DE7">
              <w:rPr>
                <w:b/>
                <w:i/>
                <w:color w:val="auto"/>
              </w:rPr>
              <w:t>tąpienie do konwencji z 1961 r.</w:t>
            </w:r>
            <w:r w:rsidRPr="008947C5">
              <w:rPr>
                <w:b/>
                <w:i/>
                <w:color w:val="auto"/>
              </w:rPr>
              <w:t xml:space="preserve"> W rezolucji z dnia 25 października 2016</w:t>
            </w:r>
            <w:r w:rsidR="00447681" w:rsidRPr="008947C5">
              <w:rPr>
                <w:b/>
                <w:i/>
                <w:color w:val="auto"/>
              </w:rPr>
              <w:t xml:space="preserve"> </w:t>
            </w:r>
            <w:r w:rsidRPr="008947C5">
              <w:rPr>
                <w:b/>
                <w:i/>
                <w:color w:val="auto"/>
              </w:rPr>
              <w:t>r. w sprawie praw człowieka i migracji w państwach trzecich Parlament Europejski przypomniał o znaczeniu identyfikowania bezpaństwowców w celu zapewnienia im ochrony na mocy prawa międzynarodowego.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Ta poprawka jest powiązana ze zmianami wprowadzonymi w art. 12 ust. 1 lit. d).</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129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(33)</w:t>
            </w:r>
            <w:r w:rsidRPr="008947C5">
              <w:rPr>
                <w:b/>
                <w:i/>
                <w:color w:val="auto"/>
              </w:rPr>
              <w:tab/>
              <w:t>Mając na uwadze skuteczne zapobieganie niedozwolonemu przemieszczaniu się obywateli państw trzecich lub bezpaństwowców, którzy nie mają prawa do przebywania na terytorium Unii, oraz monitorowanie takiego przemieszczania się, a także podejmowanie niezbędnych działań na rzecz efektywnego egzekwowania skutecznych powrotów do państw trzecich</w:t>
            </w:r>
            <w:r w:rsidR="00564243" w:rsidRPr="008947C5">
              <w:rPr>
                <w:b/>
                <w:i/>
                <w:color w:val="auto"/>
              </w:rPr>
              <w:t xml:space="preserve"> w myśl dyrektywy 2008/115/WE</w:t>
            </w:r>
            <w:r w:rsidR="00564243" w:rsidRPr="00022DE7">
              <w:rPr>
                <w:b/>
                <w:i/>
                <w:color w:val="auto"/>
                <w:vertAlign w:val="superscript"/>
              </w:rPr>
              <w:t>35</w:t>
            </w:r>
            <w:r w:rsidRPr="008947C5">
              <w:rPr>
                <w:b/>
                <w:i/>
                <w:color w:val="auto"/>
              </w:rPr>
              <w:t xml:space="preserve"> oraz prawa do ochrony danych osobowych, za niezbędny okres przechowywania danych daktyloskopijnych oraz danych dotyczących wizerunku twarzy należy uznać okres pięcioletni.</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_________________</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022DE7">
              <w:rPr>
                <w:b/>
                <w:i/>
                <w:color w:val="auto"/>
                <w:vertAlign w:val="superscript"/>
              </w:rPr>
              <w:t>35</w:t>
            </w:r>
            <w:r w:rsidRPr="008947C5">
              <w:rPr>
                <w:b/>
                <w:i/>
                <w:color w:val="auto"/>
              </w:rPr>
              <w:t xml:space="preserve"> Dz.U. L 348 z 24.12.2008, s. 98</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(33)</w:t>
            </w:r>
            <w:r w:rsidRPr="008947C5">
              <w:rPr>
                <w:b/>
                <w:i/>
                <w:color w:val="auto"/>
              </w:rPr>
              <w:tab/>
            </w:r>
            <w:r w:rsidRPr="008947C5">
              <w:rPr>
                <w:color w:val="auto"/>
              </w:rPr>
              <w:t>Mając na uwadze skuteczne zapobieganie niedozwolonemu przemieszczaniu się obywateli państw trzecich lub bezpaństwowców, którzy nie mają prawa do przebywania na terytorium Unii, oraz monitorowanie takiego przemieszczania się, a także podejmowanie niezbędnych działań na rzecz efektywnego egzekwowania skutecznych powrotów do państw trzecich w myśl dyrektywy 2008/115/WE</w:t>
            </w:r>
            <w:r w:rsidRPr="008947C5">
              <w:rPr>
                <w:rStyle w:val="Sup"/>
                <w:color w:val="auto"/>
              </w:rPr>
              <w:t>35</w:t>
            </w:r>
            <w:r w:rsidRPr="008947C5">
              <w:rPr>
                <w:color w:val="auto"/>
              </w:rPr>
              <w:t xml:space="preserve"> oraz prawa do ochrony danych osobowych, za niezbędny okres przechowywania danych</w:t>
            </w:r>
            <w:r w:rsidRPr="008947C5">
              <w:rPr>
                <w:b/>
                <w:i/>
                <w:color w:val="auto"/>
              </w:rPr>
              <w:t xml:space="preserve"> daktyloskopijnych oraz danych dotyczących wizerunku twarzy</w:t>
            </w:r>
            <w:r w:rsidRPr="008947C5">
              <w:rPr>
                <w:color w:val="auto"/>
              </w:rPr>
              <w:t xml:space="preserve"> należy uznać okres</w:t>
            </w:r>
            <w:r w:rsidRPr="008947C5">
              <w:rPr>
                <w:b/>
                <w:i/>
                <w:color w:val="auto"/>
              </w:rPr>
              <w:t xml:space="preserve"> pięcioletni</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(33)</w:t>
            </w:r>
            <w:r w:rsidRPr="008947C5">
              <w:rPr>
                <w:b/>
                <w:i/>
                <w:color w:val="auto"/>
              </w:rPr>
              <w:tab/>
            </w:r>
            <w:r w:rsidRPr="008947C5">
              <w:rPr>
                <w:color w:val="auto"/>
              </w:rPr>
              <w:t>Mając na uwadze skuteczne zapobieganie niedozwolonemu przemieszczaniu się obywateli państw trzecich lub bezpaństwowców, którzy nie mają prawa do przebywania na terytorium Unii, oraz monitorowanie takiego przemieszczania się, a także podejmowanie niezbędnych działań na rzecz efektywnego egzekwowania skutecznych powrotów do państw trzecich w myśl dyrektywy 2008/115/WE</w:t>
            </w:r>
            <w:r w:rsidRPr="008947C5">
              <w:rPr>
                <w:rStyle w:val="Sup"/>
                <w:color w:val="auto"/>
              </w:rPr>
              <w:t>35</w:t>
            </w:r>
            <w:r w:rsidRPr="008947C5">
              <w:rPr>
                <w:color w:val="auto"/>
              </w:rPr>
              <w:t xml:space="preserve"> oraz prawa do ochrony danych osobowych, za niezbędny okres przechowywania danych</w:t>
            </w:r>
            <w:r w:rsidRPr="008947C5">
              <w:rPr>
                <w:b/>
                <w:i/>
                <w:color w:val="auto"/>
              </w:rPr>
              <w:t xml:space="preserve"> biometrycznych i alfanumerycznych</w:t>
            </w:r>
            <w:r w:rsidRPr="008947C5">
              <w:rPr>
                <w:color w:val="auto"/>
              </w:rPr>
              <w:t xml:space="preserve"> należy uznać okres</w:t>
            </w:r>
            <w:r w:rsidRPr="008947C5">
              <w:rPr>
                <w:b/>
                <w:i/>
                <w:color w:val="auto"/>
              </w:rPr>
              <w:t xml:space="preserve"> dziesięcioletni</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35</w:t>
            </w:r>
            <w:r w:rsidRPr="008947C5">
              <w:rPr>
                <w:color w:val="auto"/>
              </w:rPr>
              <w:t xml:space="preserve"> Dz.U. L 348 z 24.12.2008, s. 98</w:t>
            </w:r>
          </w:p>
        </w:tc>
        <w:tc>
          <w:tcPr>
            <w:tcW w:w="4876" w:type="dxa"/>
          </w:tcPr>
          <w:p w:rsidR="005E74C4" w:rsidRPr="008947C5" w:rsidRDefault="005E74C4" w:rsidP="009E4524">
            <w:pPr>
              <w:pStyle w:val="Normal6"/>
              <w:rPr>
                <w:b/>
                <w:i/>
                <w:color w:val="auto"/>
              </w:rPr>
            </w:pPr>
            <w:r w:rsidRPr="008947C5">
              <w:rPr>
                <w:rStyle w:val="Sup"/>
                <w:color w:val="auto"/>
              </w:rPr>
              <w:t>35</w:t>
            </w:r>
            <w:r w:rsidRPr="008947C5">
              <w:rPr>
                <w:color w:val="auto"/>
              </w:rPr>
              <w:t xml:space="preserve">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(33)</w:t>
            </w:r>
            <w:r w:rsidRPr="008947C5">
              <w:rPr>
                <w:b/>
                <w:i/>
                <w:color w:val="auto"/>
              </w:rPr>
              <w:tab/>
            </w:r>
            <w:r w:rsidRPr="008947C5">
              <w:rPr>
                <w:color w:val="auto"/>
              </w:rPr>
              <w:t>Mając na uwadze skuteczne zapobieganie niedozwolonemu przemieszczaniu się obywateli państw trzecich lub bezpaństwowców, którzy nie mają prawa do przebywania na terytorium Unii, oraz monitorowanie takiego przemieszczania się, a także podejmowanie niezbędnych działań na rzecz efektywnego egzekwowania skutecznych powrotów do państw trzecich w myśl dyrektywy 2008/115/WE</w:t>
            </w:r>
            <w:r w:rsidRPr="008947C5">
              <w:rPr>
                <w:rStyle w:val="Sup"/>
                <w:color w:val="auto"/>
              </w:rPr>
              <w:t>35</w:t>
            </w:r>
            <w:r w:rsidRPr="008947C5">
              <w:rPr>
                <w:color w:val="auto"/>
              </w:rPr>
              <w:t xml:space="preserve"> oraz prawa do ochrony danych osobowych, za niezbędny okres przechowywania danych daktyloskopijnych oraz danych dotyczących wizerunku twarzy należy uznać okres</w:t>
            </w:r>
            <w:r w:rsidRPr="008947C5">
              <w:rPr>
                <w:b/>
                <w:i/>
                <w:color w:val="auto"/>
              </w:rPr>
              <w:t xml:space="preserve"> pięcioletni</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(33)</w:t>
            </w:r>
            <w:r w:rsidRPr="008947C5">
              <w:rPr>
                <w:b/>
                <w:i/>
                <w:color w:val="auto"/>
              </w:rPr>
              <w:tab/>
            </w:r>
            <w:r w:rsidRPr="008947C5">
              <w:rPr>
                <w:color w:val="auto"/>
              </w:rPr>
              <w:t>Mając na uwadze skuteczne zapobieganie niedozwolonemu przemieszczaniu się obywateli państw trzecich lub bezpaństwowców, którzy nie mają prawa do przebywania na terytorium Unii, oraz monitorowanie takiego przemieszczania się, a także podejmowanie niezbędnych działań na rzecz efektywnego egzekwowania skutecznych powrotów do państw trzecich w myśl dyrektywy 2008/115/WE</w:t>
            </w:r>
            <w:r w:rsidRPr="008947C5">
              <w:rPr>
                <w:rStyle w:val="Sup"/>
                <w:color w:val="auto"/>
              </w:rPr>
              <w:t>35</w:t>
            </w:r>
            <w:r w:rsidRPr="008947C5">
              <w:rPr>
                <w:color w:val="auto"/>
              </w:rPr>
              <w:t xml:space="preserve"> oraz prawa do ochrony danych osobowych, za niezbędny okres przechowywania danych daktyloskopijnych oraz danych dotyczących wizerunku twarzy należy uznać okres</w:t>
            </w:r>
            <w:r w:rsidRPr="008947C5">
              <w:rPr>
                <w:b/>
                <w:i/>
                <w:color w:val="auto"/>
              </w:rPr>
              <w:t xml:space="preserve"> dziesięcioletni</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35</w:t>
            </w:r>
            <w:r w:rsidRPr="008947C5">
              <w:rPr>
                <w:color w:val="auto"/>
              </w:rPr>
              <w:t xml:space="preserve"> Dz.U. L 348 z 24.12.2008, s. 98</w:t>
            </w:r>
          </w:p>
        </w:tc>
        <w:tc>
          <w:tcPr>
            <w:tcW w:w="4876" w:type="dxa"/>
          </w:tcPr>
          <w:p w:rsidR="005E74C4" w:rsidRPr="008947C5" w:rsidRDefault="005E74C4" w:rsidP="009E4524">
            <w:pPr>
              <w:pStyle w:val="Normal6"/>
              <w:rPr>
                <w:b/>
                <w:i/>
                <w:color w:val="auto"/>
              </w:rPr>
            </w:pPr>
            <w:r w:rsidRPr="008947C5">
              <w:rPr>
                <w:rStyle w:val="Sup"/>
                <w:color w:val="auto"/>
              </w:rPr>
              <w:t>35</w:t>
            </w:r>
            <w:r w:rsidRPr="008947C5">
              <w:rPr>
                <w:color w:val="auto"/>
              </w:rPr>
              <w:t xml:space="preserve"> Dz.U. L 348 z 24.12.2008, s. 98</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w:t>
            </w:r>
            <w:r w:rsidRPr="008947C5">
              <w:rPr>
                <w:b/>
                <w:i/>
                <w:color w:val="auto"/>
              </w:rPr>
              <w:t xml:space="preserve"> oraz</w:t>
            </w:r>
            <w:r w:rsidRPr="008947C5">
              <w:rPr>
                <w:color w:val="auto"/>
              </w:rPr>
              <w:t xml:space="preserve"> danych dotyczących wizerunku twarzy, a także wszystkich pozostałych danych osobowych powinien być krótszy w niektórych szczególnych sytuacjach, gdy nie ma potrzeby ich przechowywania przez tak długi czas. Dane daktyloskopijne</w:t>
            </w:r>
            <w:r w:rsidRPr="008947C5">
              <w:rPr>
                <w:b/>
                <w:i/>
                <w:color w:val="auto"/>
              </w:rPr>
              <w:t xml:space="preserve"> i</w:t>
            </w:r>
            <w:r w:rsidRPr="008947C5">
              <w:rPr>
                <w:color w:val="auto"/>
              </w:rPr>
              <w:t xml:space="preserve"> dane dotyczące wizerunku twarzy, a także wszystkie pozostałe dane osobowe należące do obywatela państwa trzeciego powinny być usuwane natychmiast po uzyskaniu przez obywateli państw trzecich lub bezpaństwowców obywatelstwa państwa członkowskiego.</w:t>
            </w:r>
          </w:p>
        </w:tc>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a także wszystkich pozostałych danych osobowych powinien być krótszy w niektórych szczególnych sytuacjach, gdy nie ma potrzeby ich przechowywania przez tak długi czas. Dane daktyloskopijne</w:t>
            </w:r>
            <w:r w:rsidRPr="008947C5">
              <w:rPr>
                <w:b/>
                <w:i/>
                <w:color w:val="auto"/>
              </w:rPr>
              <w:t>,</w:t>
            </w:r>
            <w:r w:rsidRPr="008947C5">
              <w:rPr>
                <w:color w:val="auto"/>
              </w:rPr>
              <w:t xml:space="preserve"> dane dotyczące wizerunku twarzy</w:t>
            </w:r>
            <w:r w:rsidRPr="008947C5">
              <w:rPr>
                <w:b/>
                <w:i/>
                <w:color w:val="auto"/>
              </w:rPr>
              <w:t xml:space="preserve"> lub oba te rodzaje danych</w:t>
            </w:r>
            <w:r w:rsidRPr="008947C5">
              <w:rPr>
                <w:color w:val="auto"/>
              </w:rPr>
              <w:t>, a także wszystkie pozostałe dane osobowe należące do obywatela państwa trzeciego powinny być usuwane natychmiast po uzyskaniu przez obywateli państw trzecich lub bezpaństwowców obywatelstwa państwa członkowskiego</w:t>
            </w:r>
            <w:r w:rsidRPr="008947C5">
              <w:rPr>
                <w:b/>
                <w:i/>
                <w:color w:val="auto"/>
              </w:rPr>
              <w:t xml:space="preserve"> lub, w przypadku dzieci, po ukończeniu 18</w:t>
            </w:r>
            <w:r w:rsidRPr="008947C5">
              <w:rPr>
                <w:color w:val="auto"/>
              </w:rPr>
              <w:t>.</w:t>
            </w:r>
            <w:r w:rsidRPr="008947C5">
              <w:rPr>
                <w:b/>
                <w:i/>
                <w:color w:val="auto"/>
              </w:rPr>
              <w:t xml:space="preserve"> roku życia.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konieczna dla zachowania logiki tekstu, ponieważ chodzi o ochronę dzieci będących ofiarami handlu ludźmi i pomoc w identyfikacji dzieci bez opieki, które giną, znikają lub uciekają, co podkreśliła Komisja Europejska w uzasadnieniu do proponowanego przekształcenia rozporządzenia w sprawie systemu Eurodac. Aby zapewnić zgodność z art. 7, 8 i 24 Karty, przetwarzanie danych biometrycznych dzieci w wieku sześciu lat jest uzasadnione tylko wtedy, gdy wyraźnie wiąże się z celem ochrony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 oraz danych dotyczących wizerunku twarzy, a także wszystkich pozostałych danych osobowych powinien być krótszy w niektórych szczególnych sytuacjach, gdy nie ma potrzeby ich przechowywania przez tak długi czas. Dane daktyloskopijne i dane dotyczące wizerunku twarzy, a także wszystkie pozostałe dane osobowe należące do obywatela państwa trzeciego powinny być usuwane natychmiast po uzyskaniu przez obywateli państw trzecich lub bezpaństwowców obywatelstwa państwa członkowskiego.</w:t>
            </w:r>
          </w:p>
        </w:tc>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 oraz danych dotyczących wizerunku twarzy, a także wszystkich pozostałych danych osobowych powinien być krótszy w niektórych szczególnych sytuacjach, gdy nie ma potrzeby ich przechowywania przez tak długi czas. Dane daktyloskopijne i dane dotyczące wizerunku twarzy, a także wszystkie pozostałe dane osobowe należące do obywatela państwa trzeciego powinny być usuwane natychmiast</w:t>
            </w:r>
            <w:r w:rsidRPr="008947C5">
              <w:rPr>
                <w:b/>
                <w:i/>
                <w:color w:val="auto"/>
              </w:rPr>
              <w:t xml:space="preserve"> i w sposób trwały</w:t>
            </w:r>
            <w:r w:rsidRPr="008947C5">
              <w:rPr>
                <w:color w:val="auto"/>
              </w:rPr>
              <w:t xml:space="preserve"> po uzyskaniu przez obywateli państw trzecich lub bezpaństwowców obywatelstwa państwa członkowskiego.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niezbędna, ponieważ jest w nierozerwalny sposób powiązana z innymi dopuszczalnymi poprawkami związanymi z celami Eurodac (art. 1), wprowadzającymi odniesienia do zgodności z zasadami konieczności i proporcjonalności na podstawie art. 52 ust. 1 Karty praw podstawowych Unii Europejskiej i odpowiedniego orzecznictwa Trybunału Sprawiedliwości Unii Europejskiej.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 oraz danych dotyczących wizerunku twarzy, a także wszystkich pozostałych danych osobowych powinien być krótszy w niektórych szczególnych sytuacjach, gdy nie ma potrzeby ich przechowywania przez tak długi czas. Dane daktyloskopijne i dane dotyczące wizerunku twarzy, a także wszystkie pozostałe dane osobowe należące do obywatela państwa trzeciego powinny być usuwane natychmiast po uzyskaniu przez obywateli państw trzecich lub bezpaństwowców obywatelstwa państwa członkowskiego.</w:t>
            </w:r>
          </w:p>
        </w:tc>
        <w:tc>
          <w:tcPr>
            <w:tcW w:w="4876" w:type="dxa"/>
          </w:tcPr>
          <w:p w:rsidR="005E74C4" w:rsidRPr="008947C5" w:rsidRDefault="005E74C4" w:rsidP="009E4524">
            <w:pPr>
              <w:pStyle w:val="Normal6"/>
              <w:rPr>
                <w:b/>
                <w:i/>
                <w:color w:val="auto"/>
              </w:rPr>
            </w:pPr>
            <w:r w:rsidRPr="008947C5">
              <w:rPr>
                <w:color w:val="auto"/>
              </w:rPr>
              <w:t>(34)</w:t>
            </w:r>
            <w:r w:rsidRPr="008947C5">
              <w:rPr>
                <w:b/>
                <w:i/>
                <w:color w:val="auto"/>
              </w:rPr>
              <w:tab/>
            </w:r>
            <w:r w:rsidRPr="008947C5">
              <w:rPr>
                <w:color w:val="auto"/>
              </w:rPr>
              <w:t>Okres przechowywania danych daktyloskopijnych oraz danych dotyczących wizerunku twarzy, a także wszystkich pozostałych danych osobowych powinien być krótszy w niektórych szczególnych sytuacjach, gdy nie ma potrzeby ich przechowywania przez tak długi czas. Dane daktyloskopijne i dane dotyczące wizerunku twarzy, a także wszystkie pozostałe dane osobowe należące do obywatela państwa trzeciego</w:t>
            </w:r>
            <w:r w:rsidRPr="008947C5">
              <w:rPr>
                <w:b/>
                <w:i/>
                <w:color w:val="auto"/>
              </w:rPr>
              <w:t xml:space="preserve"> lub bezpaństwowca</w:t>
            </w:r>
            <w:r w:rsidRPr="008947C5">
              <w:rPr>
                <w:color w:val="auto"/>
              </w:rPr>
              <w:t xml:space="preserve"> powinny być usuwane natychmiast po uzyskaniu przez obywateli państw trzecich lub bezpaństwowców obywatelstwa państwa członkowskiego.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 xml:space="preserve">Korekta wniosku Komisji, w którym nie we wszystkich wymaganych miejscach wprowadzono sformułowanie „i bezpaństwowców”, co odpowiada </w:t>
      </w:r>
      <w:r w:rsidR="00564243" w:rsidRPr="008947C5">
        <w:rPr>
          <w:color w:val="auto"/>
        </w:rPr>
        <w:t xml:space="preserve">celowi </w:t>
      </w:r>
      <w:r w:rsidRPr="008947C5">
        <w:rPr>
          <w:color w:val="auto"/>
        </w:rPr>
        <w:t>Eurodac określonemu w art. 1 lit. 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37</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(37)</w:t>
            </w:r>
            <w:r w:rsidRPr="008947C5">
              <w:rPr>
                <w:b/>
                <w:i/>
                <w:color w:val="auto"/>
              </w:rPr>
              <w:tab/>
            </w:r>
            <w:r w:rsidRPr="008947C5">
              <w:rPr>
                <w:color w:val="auto"/>
              </w:rPr>
              <w:t>Niezbędne jest wyraźne określenie obowiązków odpowiednio Komisji i eu-LISA w odniesieniu do systemu centralnego</w:t>
            </w:r>
            <w:r w:rsidRPr="008947C5">
              <w:rPr>
                <w:b/>
                <w:i/>
                <w:color w:val="auto"/>
              </w:rPr>
              <w:t xml:space="preserve"> i</w:t>
            </w:r>
            <w:r w:rsidRPr="008947C5">
              <w:rPr>
                <w:color w:val="auto"/>
              </w:rPr>
              <w:t xml:space="preserve"> infrastruktury łączności oraz obowiązków państw członkowskich w zakresie przetwarzania danych i bezpieczeństwa danych oraz dostępu do zapisanych danych i ich poprawiania.</w:t>
            </w:r>
          </w:p>
        </w:tc>
        <w:tc>
          <w:tcPr>
            <w:tcW w:w="4876" w:type="dxa"/>
          </w:tcPr>
          <w:p w:rsidR="005E74C4" w:rsidRPr="008947C5" w:rsidRDefault="005E74C4" w:rsidP="009E4524">
            <w:pPr>
              <w:pStyle w:val="Normal6"/>
              <w:rPr>
                <w:b/>
                <w:i/>
                <w:color w:val="auto"/>
              </w:rPr>
            </w:pPr>
            <w:r w:rsidRPr="008947C5">
              <w:rPr>
                <w:color w:val="auto"/>
              </w:rPr>
              <w:t>(37)</w:t>
            </w:r>
            <w:r w:rsidRPr="008947C5">
              <w:rPr>
                <w:b/>
                <w:i/>
                <w:color w:val="auto"/>
              </w:rPr>
              <w:tab/>
            </w:r>
            <w:r w:rsidRPr="008947C5">
              <w:rPr>
                <w:color w:val="auto"/>
              </w:rPr>
              <w:t>Niezbędne jest wyraźne określenie obowiązków odpowiednio Komisji i eu-LISA w odniesieniu do systemu centralnego</w:t>
            </w:r>
            <w:r w:rsidRPr="008947C5">
              <w:rPr>
                <w:b/>
                <w:i/>
                <w:color w:val="auto"/>
              </w:rPr>
              <w:t>,</w:t>
            </w:r>
            <w:r w:rsidRPr="008947C5">
              <w:rPr>
                <w:color w:val="auto"/>
              </w:rPr>
              <w:t xml:space="preserve"> infrastruktury łączności</w:t>
            </w:r>
            <w:r w:rsidRPr="008947C5">
              <w:rPr>
                <w:b/>
                <w:i/>
                <w:color w:val="auto"/>
              </w:rPr>
              <w:t xml:space="preserve"> i interoperacyjności z innymi systemami informacyjnymi</w:t>
            </w:r>
            <w:r w:rsidRPr="008947C5">
              <w:rPr>
                <w:color w:val="auto"/>
              </w:rPr>
              <w:t xml:space="preserve"> oraz obowiązków państw członkowskich w zakresie przetwarzania danych i bezpieczeństwa danych oraz dostępu do zapisanych danych i ich poprawiania.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Należy jasno określić odpowiedzialność eu-LISA za przyszłe opracowanie systemu, jeżeli chodzi o interoperacyjność z innymi systemami informatycznymi.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(41)</w:t>
            </w:r>
            <w:r w:rsidRPr="008947C5">
              <w:rPr>
                <w:b/>
                <w:i/>
                <w:color w:val="auto"/>
              </w:rPr>
              <w:tab/>
              <w:t>Na potrzeby ochrony danych osobowych oraz aby wykluczyć systematyczne porównywanie, które powinno być zabronione,</w:t>
            </w:r>
            <w:r w:rsidRPr="008947C5">
              <w:rPr>
                <w:color w:val="auto"/>
              </w:rPr>
              <w:t xml:space="preserve"> przetwarzanie danych Eurodac powinno odbywać się wyłącznie w szczególnych przypadkach i tylko, gdy jest niezbędne do zapobiegania przestępstwom terrorystycznym lub innym poważnym przestępstwom, ich wykrywania lub ścigania. Szczególny przypadek zachodzi zwłaszcza wtedy, gdy wniosek o porównanie ma związek ze szczególną i konkretną sytuacją lub szczególnym i konkretnym zagrożeniem związanym z przestępstwem terrorystycznym lub innym poważnym przestępstwem, lub też z konkretnymi osobami, co do których istnieją poważne powody, by sądzić, że popełnią one lub popełniły jakiekolwiek takie przestępstwo. Szczególny przypadek zachodzi również wtedy, gdy wniosek o porównanie ma związek z osobą będącą ofiarą przestępstwa terrorystycznego lub innego poważnego przestępstwa. Dlatego wyznaczone organy i Europol powinny występować o porównanie z danymi Eurodac wyłącznie wtedy, kiedy mają uzasadnione powody, by sądzić, że takie porównanie dostarczy informacji, które w znacznym stopniu pomogą im w zapobieżeniu przestępstwu terrorystycznemu lub innemu poważnemu przestępstwu, ich wykryciu lub ściganiu.</w:t>
            </w:r>
          </w:p>
        </w:tc>
        <w:tc>
          <w:tcPr>
            <w:tcW w:w="4876" w:type="dxa"/>
          </w:tcPr>
          <w:p w:rsidR="005E74C4" w:rsidRPr="008947C5" w:rsidRDefault="005E74C4" w:rsidP="009E4524">
            <w:pPr>
              <w:pStyle w:val="Normal6"/>
              <w:rPr>
                <w:b/>
                <w:i/>
                <w:color w:val="auto"/>
              </w:rPr>
            </w:pPr>
            <w:r w:rsidRPr="008947C5">
              <w:rPr>
                <w:color w:val="auto"/>
              </w:rPr>
              <w:t>(41)</w:t>
            </w:r>
            <w:r w:rsidRPr="008947C5">
              <w:rPr>
                <w:b/>
                <w:i/>
                <w:color w:val="auto"/>
              </w:rPr>
              <w:tab/>
            </w:r>
            <w:r w:rsidRPr="008947C5">
              <w:rPr>
                <w:color w:val="auto"/>
              </w:rPr>
              <w:t>Przetwarzanie danych Eurodac powinno odbywać się wyłącznie w szczególnych przypadkach</w:t>
            </w:r>
            <w:r w:rsidRPr="008947C5">
              <w:rPr>
                <w:b/>
                <w:i/>
                <w:color w:val="auto"/>
              </w:rPr>
              <w:t>, zgodnie z prawem UE dotyczącym ochrony danych osobowych,</w:t>
            </w:r>
            <w:r w:rsidRPr="008947C5">
              <w:rPr>
                <w:color w:val="auto"/>
              </w:rPr>
              <w:t xml:space="preserve"> i tylko, gdy jest niezbędne do zapobiegania przestępstwom terrorystycznym lub innym poważnym przestępstwom, ich wykrywania lub ścigania. Szczególny przypadek zachodzi zwłaszcza wtedy, gdy wniosek o porównanie ma związek ze szczególną i konkretną sytuacją lub szczególnym i konkretnym zagrożeniem związanym z przestępstwem terrorystycznym lub innym poważnym przestępstwem, lub też z konkretnymi osobami, co do których istnieją poważne powody, by sądzić, że popełnią one lub popełniły jakiekolwiek takie przestępstwo. Szczególny przypadek zachodzi również wtedy, gdy wniosek o porównanie ma związek z osobą będącą ofiarą przestępstwa terrorystycznego lub innego poważnego przestępstwa. Dlatego wyznaczone organy i Europol powinny występować o porównanie z danymi Eurodac wyłącznie wtedy, kiedy mają uzasadnione powody, by sądzić, że takie porównanie dostarczy informacji, które w znacznym stopniu pomogą im w zapobieżeniu przestępstwu terrorystycznemu lub innemu poważnemu przestępstwu, ich wykryciu lub ściganiu.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Przetwarzanie danych Eurodac powinno odbywać się tylko w specjalnych przypadkach i zgodnie z unijnym prawodawstwem regulującym wykorzystanie danych osobowych.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(42)</w:t>
            </w:r>
            <w:r w:rsidRPr="008947C5">
              <w:rPr>
                <w:b/>
                <w:i/>
                <w:color w:val="auto"/>
              </w:rPr>
              <w:tab/>
            </w:r>
            <w:r w:rsidRPr="008947C5">
              <w:rPr>
                <w:color w:val="auto"/>
              </w:rPr>
              <w:t>Ponadto na dostęp należy zezwolić wyłącznie pod warunkiem, że</w:t>
            </w:r>
            <w:r w:rsidRPr="008947C5">
              <w:rPr>
                <w:b/>
                <w:i/>
                <w:color w:val="auto"/>
              </w:rPr>
              <w:t xml:space="preserve"> porównania z krajowymi bazami daktyloskopijnymi</w:t>
            </w:r>
            <w:r w:rsidRPr="008947C5">
              <w:rPr>
                <w:color w:val="auto"/>
              </w:rPr>
              <w:t xml:space="preserve"> państwa członkowskiego oraz</w:t>
            </w:r>
            <w:r w:rsidRPr="008947C5">
              <w:rPr>
                <w:b/>
                <w:i/>
                <w:color w:val="auto"/>
              </w:rPr>
              <w:t xml:space="preserve"> ze zautomatyzowanymi systemami</w:t>
            </w:r>
            <w:r w:rsidRPr="008947C5">
              <w:rPr>
                <w:color w:val="auto"/>
              </w:rPr>
              <w:t xml:space="preserve"> identyfikacji daktyloskopijnej wszystkich innych państw członkowskich na mocy decyzji Rady 2008/615/WSiSW</w:t>
            </w:r>
            <w:r w:rsidRPr="008947C5">
              <w:rPr>
                <w:rStyle w:val="Sup"/>
                <w:color w:val="auto"/>
              </w:rPr>
              <w:t>36</w:t>
            </w:r>
            <w:r w:rsidRPr="008947C5">
              <w:rPr>
                <w:b/>
                <w:i/>
                <w:color w:val="auto"/>
              </w:rPr>
              <w:t xml:space="preserve"> nie doprowadziły do ustalenia tożsamości osoby, której dane dotyczą</w:t>
            </w:r>
            <w:r w:rsidRPr="008947C5">
              <w:rPr>
                <w:color w:val="auto"/>
              </w:rPr>
              <w:t>. Warunek ten wymaga, aby wnioskujące państwo członkowskie przeprowadziło porównania ze zautomatyzowanymi systemami identyfikacji daktyloskopijnej wszystkich innych państw członkowskich na mocy decyzji 2008/615/WSiSW, gdy porównanie jest technicznie możliwe, chyba że państwa członkowskie mogą wykazać, że istnieją uzasadnione powody, by sądzić, iż nie doprowadziłoby to do ustalenia tożsamości osoby, której dane dotyczą. Takie uzasadnione powody istnieją w szczególności, gdy w danym przypadku nie występują jakiejkolwiek powiązania operacyjne lub dochodzeniowe z danym państwem członkowskim. Warunek ten wymaga wcześniejszego wdrożenia pod względem technicznym i prawnym decyzji 2008/615/WSiSW przez wnioskujące państwo członkowskie w zakresie danych daktyloskopijnych, ponieważ nie powinno się zezwalać na dokonywanie sprawdzeń w Eurodac na potrzeby ochrony porządku publicznego, jeżeli nie zostały najpierw podjęte powyższe działania.</w:t>
            </w:r>
          </w:p>
        </w:tc>
        <w:tc>
          <w:tcPr>
            <w:tcW w:w="4876" w:type="dxa"/>
          </w:tcPr>
          <w:p w:rsidR="005E74C4" w:rsidRPr="008947C5" w:rsidRDefault="005E74C4" w:rsidP="009E4524">
            <w:pPr>
              <w:pStyle w:val="Normal6"/>
              <w:rPr>
                <w:b/>
                <w:i/>
                <w:color w:val="auto"/>
              </w:rPr>
            </w:pPr>
            <w:r w:rsidRPr="008947C5">
              <w:rPr>
                <w:color w:val="auto"/>
              </w:rPr>
              <w:t>(42)</w:t>
            </w:r>
            <w:r w:rsidRPr="008947C5">
              <w:rPr>
                <w:b/>
                <w:i/>
                <w:color w:val="auto"/>
              </w:rPr>
              <w:tab/>
            </w:r>
            <w:r w:rsidRPr="008947C5">
              <w:rPr>
                <w:color w:val="auto"/>
              </w:rPr>
              <w:t>Ponadto na dostęp należy zezwolić wyłącznie pod warunkiem, że</w:t>
            </w:r>
            <w:r w:rsidRPr="008947C5">
              <w:rPr>
                <w:b/>
                <w:i/>
                <w:color w:val="auto"/>
              </w:rPr>
              <w:t xml:space="preserve"> dokonano uprzedniego przeszukania krajowych baz danych daktyloskopijnych i danych dotyczących wizerunku twarzy</w:t>
            </w:r>
            <w:r w:rsidRPr="008947C5">
              <w:rPr>
                <w:color w:val="auto"/>
              </w:rPr>
              <w:t xml:space="preserve"> państwa członkowskiego oraz</w:t>
            </w:r>
            <w:r w:rsidRPr="008947C5">
              <w:rPr>
                <w:b/>
                <w:i/>
                <w:color w:val="auto"/>
              </w:rPr>
              <w:t xml:space="preserve"> zautomatyzowanych systemów</w:t>
            </w:r>
            <w:r w:rsidRPr="008947C5">
              <w:rPr>
                <w:color w:val="auto"/>
              </w:rPr>
              <w:t xml:space="preserve"> identyfikacji daktyloskopijnej wszystkich innych państw członkowskich na mocy decyzji Rady 2008/615/WSiSW</w:t>
            </w:r>
            <w:r w:rsidRPr="008947C5">
              <w:rPr>
                <w:rStyle w:val="Sup"/>
                <w:color w:val="auto"/>
              </w:rPr>
              <w:t>36</w:t>
            </w:r>
            <w:r w:rsidRPr="008947C5">
              <w:rPr>
                <w:color w:val="auto"/>
              </w:rPr>
              <w:t>. Warunek ten wymaga, aby wnioskujące państwo członkowskie przeprowadziło porównania ze zautomatyzowanymi systemami identyfikacji daktyloskopijnej wszystkich innych państw członkowskich na mocy decyzji 2008/615/WSiSW, gdy porównanie jest technicznie możliwe, chyba że państwa członkowskie mogą wykazać, że istnieją uzasadnione powody, by sądzić, iż nie doprowadziłoby to do ustalenia tożsamości osoby, której dane dotyczą. Takie uzasadnione powody istnieją w szczególności, gdy w danym przypadku nie występują jakiejkolwiek powiązania operacyjne lub dochodzeniowe z danym państwem członkowskim. Warunek ten wymaga wcześniejszego wdrożenia pod względem technicznym i prawnym decyzji 2008/615/WSiSW przez wnioskujące państwo członkowskie w zakresie danych daktyloskopijnych, ponieważ nie powinno się zezwalać na dokonywanie sprawdzeń w Eurodac na potrzeby ochrony porządku publicznego, jeżeli nie zostały najpierw podjęte powyższe działania.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_________________</w:t>
            </w:r>
          </w:p>
        </w:tc>
        <w:tc>
          <w:tcPr>
            <w:tcW w:w="4876" w:type="dxa"/>
          </w:tcPr>
          <w:p w:rsidR="005E74C4" w:rsidRPr="008947C5" w:rsidRDefault="005E74C4" w:rsidP="009E4524">
            <w:pPr>
              <w:pStyle w:val="Normal6"/>
              <w:rPr>
                <w:b/>
                <w:i/>
                <w:color w:val="auto"/>
              </w:rPr>
            </w:pPr>
            <w:r w:rsidRPr="008947C5">
              <w:rPr>
                <w:color w:val="auto"/>
              </w:rPr>
              <w:t>_________________</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rStyle w:val="Sup"/>
                <w:color w:val="auto"/>
              </w:rPr>
              <w:t>36</w:t>
            </w:r>
            <w:r w:rsidRPr="008947C5">
              <w:rPr>
                <w:color w:val="auto"/>
              </w:rPr>
              <w:t xml:space="preserve"> Decyzja Rady 2008/615/WSiSW z dnia 23 czerwca 2008 r. w sprawie intensyfikacji współpracy transgranicznej, szczególnie w zwalczaniu terroryzmu i przestępczości transgranicznej</w:t>
            </w:r>
            <w:r w:rsidRPr="008947C5">
              <w:rPr>
                <w:b/>
                <w:i/>
                <w:color w:val="auto"/>
              </w:rPr>
              <w:t xml:space="preserve"> </w:t>
            </w:r>
            <w:r w:rsidRPr="008947C5">
              <w:rPr>
                <w:color w:val="auto"/>
              </w:rPr>
              <w:t>(Dz.U. 210 z 6.8.2008, s. 1).</w:t>
            </w:r>
          </w:p>
        </w:tc>
        <w:tc>
          <w:tcPr>
            <w:tcW w:w="4876" w:type="dxa"/>
          </w:tcPr>
          <w:p w:rsidR="005E74C4" w:rsidRPr="008947C5" w:rsidRDefault="005E74C4" w:rsidP="009E4524">
            <w:pPr>
              <w:pStyle w:val="Normal6"/>
              <w:rPr>
                <w:b/>
                <w:i/>
                <w:color w:val="auto"/>
              </w:rPr>
            </w:pPr>
            <w:r w:rsidRPr="008947C5">
              <w:rPr>
                <w:rStyle w:val="Sup"/>
                <w:color w:val="auto"/>
              </w:rPr>
              <w:t>36</w:t>
            </w:r>
            <w:r w:rsidRPr="008947C5">
              <w:rPr>
                <w:color w:val="auto"/>
              </w:rPr>
              <w:t xml:space="preserve"> Decyzja Rady 2008/615/WSiSW z dnia 23 czerwca 2008 r. w sprawie intensyfikacji współpracy transgranicznej, szczególnie w zwalczaniu terroryzmu i przestępczości transgranicznej</w:t>
            </w:r>
            <w:r w:rsidRPr="008947C5">
              <w:rPr>
                <w:b/>
                <w:i/>
                <w:color w:val="auto"/>
              </w:rPr>
              <w:t xml:space="preserve"> </w:t>
            </w:r>
            <w:r w:rsidRPr="008947C5">
              <w:rPr>
                <w:color w:val="auto"/>
              </w:rPr>
              <w:t>(Dz.U. 210 z 6.8.2008, s.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celem rozszerzenia w art. 1 ust. 1 lit. c) wniosku (nieujednoliconego), który przewiduje, że Eurodac będzie służył nie tylko do wdrażania rozporządzenia dublińskiego, ale także do egzekwowania prawa. W związku z obowiązkiem spoczywającym na wyznaczonych organach państw członkowskich i Europolu procedura dostępu do Eurodac powinna być szybka i skuteczna, jednak wciąż należy mieć na uwadze, że główne zadanie Eurodac polega na zapewnieniu państwom członkowskim wsparcia w stosowaniu rozporządzenia dublińskiego.</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(43)</w:t>
            </w:r>
            <w:r w:rsidRPr="008947C5">
              <w:rPr>
                <w:b/>
                <w:i/>
                <w:color w:val="auto"/>
              </w:rPr>
              <w:tab/>
              <w:t>Przed sprawdzeniem w systemie Eurodac wyznaczone organy powinny także – pod warunkiem, że spełnione są warunki umożliwiające porównanie – dokonać sprawdzenia w wizowym systemie informacyjnym na mocy decyzji Rady 2008/633/WSiSW</w:t>
            </w:r>
            <w:r w:rsidRPr="002E25A7">
              <w:rPr>
                <w:b/>
                <w:i/>
                <w:color w:val="auto"/>
                <w:vertAlign w:val="superscript"/>
              </w:rPr>
              <w:t>37</w:t>
            </w:r>
            <w:r w:rsidRPr="008947C5">
              <w:rPr>
                <w:b/>
                <w:i/>
                <w:color w:val="auto"/>
              </w:rPr>
              <w:t>.</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_________________</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2E25A7">
              <w:rPr>
                <w:b/>
                <w:i/>
                <w:color w:val="auto"/>
                <w:vertAlign w:val="superscript"/>
              </w:rPr>
              <w:t>37</w:t>
            </w:r>
            <w:r w:rsidRPr="008947C5">
              <w:rPr>
                <w:b/>
                <w:i/>
                <w:color w:val="auto"/>
              </w:rPr>
              <w:t xml:space="preserve"> Decyzja Rady 2008/633/WSiSW z dnia 23</w:t>
            </w:r>
            <w:r w:rsidR="00447681" w:rsidRPr="008947C5">
              <w:rPr>
                <w:b/>
                <w:i/>
                <w:color w:val="auto"/>
              </w:rPr>
              <w:t xml:space="preserve"> </w:t>
            </w:r>
            <w:r w:rsidRPr="008947C5">
              <w:rPr>
                <w:b/>
                <w:i/>
                <w:color w:val="auto"/>
              </w:rPr>
              <w:t>czerwca 2008 r. w sprawie dostępu wyznaczonych organów państw członkowskich i Europolu do Wizowego Systemu Informacyjnego (VIS) do celów jego przeglądania, w celu zapobiegania przestępstwom terrorystycznym i innym poważnym przestępstwom, ich wykrywania i ścigania (Dz.U. L 218 z 13.8.2008, s. 129).</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celem rozszerzenia w art. 1 ust. 1 lit. c) wniosku (nieujednoliconego), który przewiduje, że Eurodac będzie służył nie tylko do wdrażania rozporządzenia dublińskiego, ale także do egzekwowania prawa. W związku z obowiązkiem spoczywającym na wyznaczonych organach państw członkowskich i Europolu na mocy rozporządzenia procedura dostępu do Eurodac powinna być szybka i skuteczna, jednak wciąż należy mieć na uwadze, że główne zadanie Eurodac polega na zapewnieniu państwom członkowskim wsparcia w stosowaniu rozporządzenia dublińskiego.</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139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46</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(46)</w:t>
            </w:r>
            <w:r w:rsidRPr="008947C5">
              <w:rPr>
                <w:b/>
                <w:i/>
                <w:color w:val="auto"/>
              </w:rPr>
              <w:tab/>
            </w:r>
            <w:r w:rsidRPr="008947C5">
              <w:rPr>
                <w:color w:val="auto"/>
              </w:rPr>
              <w:t>Ponieważ cel niniejszego rozporządzenia, a mianowicie stworzenie systemu do porównywania danych daktyloskopijnych</w:t>
            </w:r>
            <w:r w:rsidRPr="008947C5">
              <w:rPr>
                <w:b/>
                <w:i/>
                <w:color w:val="auto"/>
              </w:rPr>
              <w:t xml:space="preserve"> oraz</w:t>
            </w:r>
            <w:r w:rsidRPr="008947C5">
              <w:rPr>
                <w:color w:val="auto"/>
              </w:rPr>
              <w:t xml:space="preserve"> danych dotyczących wizerunku twarzy służącego wdrażaniu unijnej polityki azylowej i migracyjnej, nie może zostać, ze względu na swój charakter, osiągnięty w sposób wystarczający przez państwa członkowskie, natomiast możliwe jest lepsze jego osiągnięcie na poziomie Unii, Unia może podjąć działania zgodnie z zasadą pomocniczości, o której mowa w art. 5 Traktatu o Unii Europejskiej</w:t>
            </w:r>
            <w:r w:rsidRPr="008947C5">
              <w:rPr>
                <w:b/>
                <w:i/>
                <w:color w:val="auto"/>
              </w:rPr>
              <w:t xml:space="preserve"> </w:t>
            </w:r>
            <w:r w:rsidRPr="008947C5">
              <w:rPr>
                <w:color w:val="auto"/>
              </w:rPr>
              <w:t>(TUE). Zgodnie z zasadą proporcjonalności określoną w tym artykule niniejsze rozporządzenie nie wykracza poza to, co jest konieczne do osiągnięcia tego celu,</w:t>
            </w:r>
          </w:p>
        </w:tc>
        <w:tc>
          <w:tcPr>
            <w:tcW w:w="4876" w:type="dxa"/>
          </w:tcPr>
          <w:p w:rsidR="005E74C4" w:rsidRPr="008947C5" w:rsidRDefault="005E74C4" w:rsidP="009E4524">
            <w:pPr>
              <w:pStyle w:val="Normal6"/>
              <w:rPr>
                <w:b/>
                <w:i/>
                <w:color w:val="auto"/>
              </w:rPr>
            </w:pPr>
            <w:r w:rsidRPr="008947C5">
              <w:rPr>
                <w:color w:val="auto"/>
              </w:rPr>
              <w:t>(46)</w:t>
            </w:r>
            <w:r w:rsidRPr="008947C5">
              <w:rPr>
                <w:b/>
                <w:i/>
                <w:color w:val="auto"/>
              </w:rPr>
              <w:tab/>
            </w:r>
            <w:r w:rsidRPr="008947C5">
              <w:rPr>
                <w:color w:val="auto"/>
              </w:rPr>
              <w:t>Ponieważ cel niniejszego rozporządzenia, a mianowicie stworzenie systemu do porównywania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xml:space="preserve"> służącego wdrażaniu unijnej polityki azylowej i migracyjnej, nie może zostać, ze względu na swój charakter, osiągnięty w sposób wystarczający przez państwa członkowskie, natomiast możliwe jest lepsze jego osiągnięcie na poziomie Unii, Unia może podjąć działania zgodnie z zasadą pomocniczości, o której mowa w art. 5 Traktatu o Unii Europejskiej</w:t>
            </w:r>
            <w:r w:rsidRPr="008947C5">
              <w:rPr>
                <w:b/>
                <w:i/>
                <w:color w:val="auto"/>
              </w:rPr>
              <w:t xml:space="preserve"> </w:t>
            </w:r>
            <w:r w:rsidRPr="008947C5">
              <w:rPr>
                <w:color w:val="auto"/>
              </w:rPr>
              <w:t>(TUE). Zgodnie z zasadą proporcjonalności określoną w tym artykule niniejsze rozporządzenie nie wykracza poza to, co jest konieczne do osiągnięcia tego celu,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50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(50)</w:t>
            </w:r>
            <w:r w:rsidRPr="008947C5">
              <w:rPr>
                <w:b/>
                <w:i/>
                <w:color w:val="auto"/>
              </w:rPr>
              <w:tab/>
            </w:r>
            <w:r w:rsidRPr="008947C5">
              <w:rPr>
                <w:color w:val="auto"/>
              </w:rPr>
              <w:t>Należy zakazać przekazywania danych osobowych uzyskanych przez państwo członkowskie lub Europol na mocy niniejszego rozporządzenia z systemu centralnego do jakiegokolwiek państwa trzeciego, organizacji międzynarodowej lub podmiotu prywatnego z siedzibą w Unii lub poza nią, aby zapewnić prawo do azylu oraz zabezpieczyć osoby ubiegające się o ochronę międzynarodową przed ujawnieniem ich danych państwu trzeciemu. Oznacza to, że państwa członkowskie nie powinny przekazywać informacji uzyskanych z systemu centralnego dotyczących: nazwiska</w:t>
            </w:r>
            <w:r w:rsidRPr="008947C5">
              <w:rPr>
                <w:b/>
                <w:i/>
                <w:color w:val="auto"/>
              </w:rPr>
              <w:t xml:space="preserve"> </w:t>
            </w:r>
            <w:r w:rsidRPr="008947C5">
              <w:rPr>
                <w:color w:val="auto"/>
              </w:rPr>
              <w:t>(nazwisk); daty urodzenia; obywatelstwa; państwa</w:t>
            </w:r>
            <w:r w:rsidRPr="008947C5">
              <w:rPr>
                <w:b/>
                <w:i/>
                <w:color w:val="auto"/>
              </w:rPr>
              <w:t>(</w:t>
            </w:r>
            <w:r w:rsidRPr="008947C5">
              <w:rPr>
                <w:color w:val="auto"/>
              </w:rPr>
              <w:t>państw</w:t>
            </w:r>
            <w:r w:rsidRPr="008947C5">
              <w:rPr>
                <w:b/>
                <w:i/>
                <w:color w:val="auto"/>
              </w:rPr>
              <w:t>) członkowskiego(-ch)</w:t>
            </w:r>
            <w:r w:rsidRPr="008947C5">
              <w:rPr>
                <w:color w:val="auto"/>
              </w:rPr>
              <w:t xml:space="preserve"> pochodzenia lub państwa członkowskiego przydzielenia; szczegółów dotyczących tożsamości lub dokumentu podróży</w:t>
            </w:r>
            <w:r w:rsidRPr="008947C5">
              <w:rPr>
                <w:b/>
                <w:i/>
                <w:color w:val="auto"/>
              </w:rPr>
              <w:t xml:space="preserve"> </w:t>
            </w:r>
            <w:r w:rsidRPr="008947C5">
              <w:rPr>
                <w:color w:val="auto"/>
              </w:rPr>
              <w:t>; miejsca i daty złożenia wniosku o udzielenie ochrony międzynarodowej; numeru referencyjnego użytego przez państwo członkowskie pochodzenia; daty pobrania odcisków palców, a także daty przekazania danych przez państwo(-a) członkowskie do Eurodac; numeru identyfikacyjnego operatora; oraz wszelkich informacji związanych z jakimkolwiek przekazaniem osoby, której dane dotyczą, na mocy [rozporządzenia</w:t>
            </w:r>
            <w:r w:rsidRPr="008947C5">
              <w:rPr>
                <w:b/>
                <w:i/>
                <w:color w:val="auto"/>
              </w:rPr>
              <w:t xml:space="preserve"> </w:t>
            </w:r>
            <w:r w:rsidRPr="008947C5">
              <w:rPr>
                <w:color w:val="auto"/>
              </w:rPr>
              <w:t>(UE) nr 604/2013]. Zakaz ten powinien pozostawać bez uszczerbku dla prawa państw członkowskich do przekazywania takich danych do państw trzecich, do których stosuje się [rozporządzenie</w:t>
            </w:r>
            <w:r w:rsidRPr="008947C5">
              <w:rPr>
                <w:b/>
                <w:i/>
                <w:color w:val="auto"/>
              </w:rPr>
              <w:t xml:space="preserve"> </w:t>
            </w:r>
            <w:r w:rsidRPr="008947C5">
              <w:rPr>
                <w:color w:val="auto"/>
              </w:rPr>
              <w:t>(UE) nr 604/2013] [ zgodnie z rozporządzeniem</w:t>
            </w:r>
            <w:r w:rsidRPr="008947C5">
              <w:rPr>
                <w:b/>
                <w:i/>
                <w:color w:val="auto"/>
              </w:rPr>
              <w:t xml:space="preserve"> </w:t>
            </w:r>
            <w:r w:rsidRPr="008947C5">
              <w:rPr>
                <w:color w:val="auto"/>
              </w:rPr>
              <w:t>(UE) nr […/2016] odpowiednio do krajowych przepisów przyjętych na podstawie dyrektywy [2016/…/UE]</w:t>
            </w:r>
            <w:r w:rsidRPr="008947C5">
              <w:rPr>
                <w:b/>
                <w:i/>
                <w:color w:val="auto"/>
              </w:rPr>
              <w:t xml:space="preserve"> </w:t>
            </w:r>
            <w:r w:rsidRPr="008947C5">
              <w:rPr>
                <w:color w:val="auto"/>
              </w:rPr>
              <w:t>, w celu zapewnienia państwom członkowskim możliwości współpracy z takimi państwami trzecimi do celów tego rozporządzenia.</w:t>
            </w:r>
          </w:p>
        </w:tc>
        <w:tc>
          <w:tcPr>
            <w:tcW w:w="4876" w:type="dxa"/>
          </w:tcPr>
          <w:p w:rsidR="005E74C4" w:rsidRPr="008947C5" w:rsidRDefault="005E74C4" w:rsidP="009E4524">
            <w:pPr>
              <w:pStyle w:val="Normal6"/>
              <w:rPr>
                <w:b/>
                <w:i/>
                <w:color w:val="auto"/>
              </w:rPr>
            </w:pPr>
            <w:r w:rsidRPr="008947C5">
              <w:rPr>
                <w:color w:val="auto"/>
              </w:rPr>
              <w:t>(50)</w:t>
            </w:r>
            <w:r w:rsidRPr="008947C5">
              <w:rPr>
                <w:b/>
                <w:i/>
                <w:color w:val="auto"/>
              </w:rPr>
              <w:tab/>
            </w:r>
            <w:r w:rsidRPr="008947C5">
              <w:rPr>
                <w:color w:val="auto"/>
              </w:rPr>
              <w:t>Należy zakazać przekazywania danych osobowych uzyskanych przez państwo członkowskie lub Europol na mocy niniejszego rozporządzenia z systemu centralnego do jakiegokolwiek państwa trzeciego, organizacji międzynarodowej lub podmiotu prywatnego z siedzibą w Unii lub poza nią, aby zapewnić prawo do azylu oraz zabezpieczyć osoby ubiegające się o ochronę międzynarodową</w:t>
            </w:r>
            <w:r w:rsidRPr="008947C5">
              <w:rPr>
                <w:b/>
                <w:i/>
                <w:color w:val="auto"/>
              </w:rPr>
              <w:t xml:space="preserve"> i obywateli państw trzecich lub bezpaństwowców, wobec których państwa członkowskie zamierzają zastosować procedurę przesiedlenia zgodnie z rozporządzeniem XXX/XXX,</w:t>
            </w:r>
            <w:r w:rsidRPr="008947C5">
              <w:rPr>
                <w:color w:val="auto"/>
              </w:rPr>
              <w:t xml:space="preserve"> przed ujawnieniem ich danych państwu trzeciemu. Oznacza to, że państwa członkowskie nie powinny przekazywać informacji uzyskanych z systemu centralnego dotyczących: nazwiska</w:t>
            </w:r>
            <w:r w:rsidRPr="008947C5">
              <w:rPr>
                <w:b/>
                <w:i/>
                <w:color w:val="auto"/>
              </w:rPr>
              <w:t xml:space="preserve"> </w:t>
            </w:r>
            <w:r w:rsidRPr="008947C5">
              <w:rPr>
                <w:color w:val="auto"/>
              </w:rPr>
              <w:t>(nazwisk); daty urodzenia; obywatelstwa; państwa</w:t>
            </w:r>
            <w:r w:rsidRPr="008947C5">
              <w:rPr>
                <w:b/>
                <w:i/>
                <w:color w:val="auto"/>
              </w:rPr>
              <w:t xml:space="preserve"> członkowskiego lub</w:t>
            </w:r>
            <w:r w:rsidRPr="008947C5">
              <w:rPr>
                <w:color w:val="auto"/>
              </w:rPr>
              <w:t xml:space="preserve"> państw</w:t>
            </w:r>
            <w:r w:rsidRPr="008947C5">
              <w:rPr>
                <w:b/>
                <w:i/>
                <w:color w:val="auto"/>
              </w:rPr>
              <w:t xml:space="preserve"> członkowskich</w:t>
            </w:r>
            <w:r w:rsidRPr="008947C5">
              <w:rPr>
                <w:color w:val="auto"/>
              </w:rPr>
              <w:t xml:space="preserve"> pochodzenia lub państwa członkowskiego przydzielenia</w:t>
            </w:r>
            <w:r w:rsidRPr="008947C5">
              <w:rPr>
                <w:b/>
                <w:i/>
                <w:color w:val="auto"/>
              </w:rPr>
              <w:t>, lub państwa członkowskiego przesiedlenia</w:t>
            </w:r>
            <w:r w:rsidRPr="008947C5">
              <w:rPr>
                <w:color w:val="auto"/>
              </w:rPr>
              <w:t>; szczegółów dotyczących tożsamości lub dokumentu podróży</w:t>
            </w:r>
            <w:r w:rsidRPr="008947C5">
              <w:rPr>
                <w:b/>
                <w:i/>
                <w:color w:val="auto"/>
              </w:rPr>
              <w:t xml:space="preserve"> </w:t>
            </w:r>
            <w:r w:rsidRPr="008947C5">
              <w:rPr>
                <w:color w:val="auto"/>
              </w:rPr>
              <w:t>; miejsca i daty złożenia wniosku o udzielenie ochrony międzynarodowej</w:t>
            </w:r>
            <w:r w:rsidRPr="008947C5">
              <w:rPr>
                <w:b/>
                <w:i/>
                <w:color w:val="auto"/>
              </w:rPr>
              <w:t xml:space="preserve"> lub przesiedlenie</w:t>
            </w:r>
            <w:r w:rsidRPr="008947C5">
              <w:rPr>
                <w:color w:val="auto"/>
              </w:rPr>
              <w:t>; numeru referencyjnego użytego przez państwo członkowskie pochodzenia; daty pobrania odcisków palców, a także daty przekazania danych przez państwo(-a) członkowskie do Eurodac; numeru identyfikacyjnego operatora; oraz wszelkich informacji związanych z jakimkolwiek przekazaniem osoby, której dane dotyczą, na mocy [rozporządzenia</w:t>
            </w:r>
            <w:r w:rsidRPr="008947C5">
              <w:rPr>
                <w:b/>
                <w:i/>
                <w:color w:val="auto"/>
              </w:rPr>
              <w:t xml:space="preserve"> </w:t>
            </w:r>
            <w:r w:rsidRPr="008947C5">
              <w:rPr>
                <w:color w:val="auto"/>
              </w:rPr>
              <w:t>(UE) nr 604/2013]. Zakaz ten powinien pozostawać bez uszczerbku dla prawa państw członkowskich do przekazywania takich danych do państw trzecich, do których stosuje się [rozporządzenie</w:t>
            </w:r>
            <w:r w:rsidRPr="008947C5">
              <w:rPr>
                <w:b/>
                <w:i/>
                <w:color w:val="auto"/>
              </w:rPr>
              <w:t xml:space="preserve"> </w:t>
            </w:r>
            <w:r w:rsidRPr="008947C5">
              <w:rPr>
                <w:color w:val="auto"/>
              </w:rPr>
              <w:t>(UE) nr 604/2013] [ zgodnie z rozporządzeniem</w:t>
            </w:r>
            <w:r w:rsidRPr="008947C5">
              <w:rPr>
                <w:b/>
                <w:i/>
                <w:color w:val="auto"/>
              </w:rPr>
              <w:t xml:space="preserve"> </w:t>
            </w:r>
            <w:r w:rsidRPr="008947C5">
              <w:rPr>
                <w:color w:val="auto"/>
              </w:rPr>
              <w:t>(UE) nr […/2016] odpowiednio do krajowych przepisów przyjętych na podstawie dyrektywy [2016/…/UE]</w:t>
            </w:r>
            <w:r w:rsidRPr="008947C5">
              <w:rPr>
                <w:b/>
                <w:i/>
                <w:color w:val="auto"/>
              </w:rPr>
              <w:t xml:space="preserve"> </w:t>
            </w:r>
            <w:r w:rsidRPr="008947C5">
              <w:rPr>
                <w:color w:val="auto"/>
              </w:rPr>
              <w:t>, w celu zapewnienia państwom członkowskim możliwości współpracy z takimi państwami trzecimi do celów tego rozporządzenia.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tej poprawki jest zapewnienie takiego samego poziomu ochrony danych osobowych obywateli państw trzecich lub bezpaństwowców, wobec których państwa członkowskie zamierzają zastosować procedurę przesiedlenia zgodnie z rozporządzeniem ustanawiającym unijne ramy przesiedleń.</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50</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(50)</w:t>
            </w:r>
            <w:r w:rsidRPr="008947C5">
              <w:rPr>
                <w:b/>
                <w:i/>
                <w:color w:val="auto"/>
              </w:rPr>
              <w:tab/>
            </w:r>
            <w:r w:rsidRPr="008947C5">
              <w:rPr>
                <w:color w:val="auto"/>
              </w:rPr>
              <w:t>Należy zakazać przekazywania danych osobowych uzyskanych przez państwo członkowskie lub Europol na mocy niniejszego rozporządzenia z systemu centralnego do jakiegokolwiek państwa trzeciego, organizacji międzynarodowej lub podmiotu prywatnego z siedzibą w Unii lub poza nią, aby zapewnić prawo do azylu oraz zabezpieczyć osoby ubiegające się o ochronę międzynarodową przed ujawnieniem ich danych państwu trzeciemu. Oznacza to, że państwa członkowskie nie powinny przekazywać informacji uzyskanych z systemu centralnego dotyczących: nazwiska</w:t>
            </w:r>
            <w:r w:rsidRPr="008947C5">
              <w:rPr>
                <w:b/>
                <w:i/>
                <w:color w:val="auto"/>
              </w:rPr>
              <w:t xml:space="preserve"> </w:t>
            </w:r>
            <w:r w:rsidRPr="008947C5">
              <w:rPr>
                <w:color w:val="auto"/>
              </w:rPr>
              <w:t>(nazwisk); daty urodzenia; obywatelstwa; państwa(państw) członkowskiego(-ch) pochodzenia lub państwa członkowskiego przydzielenia; szczegółów dotyczących tożsamości lub dokumentu podróży;</w:t>
            </w:r>
            <w:r w:rsidRPr="008947C5">
              <w:rPr>
                <w:b/>
                <w:i/>
                <w:color w:val="auto"/>
              </w:rPr>
              <w:t xml:space="preserve"> </w:t>
            </w:r>
            <w:r w:rsidRPr="008947C5">
              <w:rPr>
                <w:color w:val="auto"/>
              </w:rPr>
              <w:t>miejsca i daty złożenia wniosku o udzielenie ochrony międzynarodowej; numeru referencyjnego użytego przez państwo członkowskie pochodzenia; daty pobrania odcisków palców, a także daty przekazania danych przez państwo(-a) członkowskie do Eurodac; numeru identyfikacyjnego operatora; oraz wszelkich informacji związanych z jakimkolwiek przekazaniem osoby, której dane dotyczą, na mocy [rozporządzenia</w:t>
            </w:r>
            <w:r w:rsidRPr="008947C5">
              <w:rPr>
                <w:b/>
                <w:i/>
                <w:color w:val="auto"/>
              </w:rPr>
              <w:t xml:space="preserve"> </w:t>
            </w:r>
            <w:r w:rsidRPr="008947C5">
              <w:rPr>
                <w:color w:val="auto"/>
              </w:rPr>
              <w:t>(UE) nr 604/2013]. Zakaz ten powinien pozostawać bez uszczerbku dla prawa państw członkowskich do przekazywania takich danych do państw trzecich, do których stosuje się [rozporządzenie</w:t>
            </w:r>
            <w:r w:rsidRPr="008947C5">
              <w:rPr>
                <w:b/>
                <w:i/>
                <w:color w:val="auto"/>
              </w:rPr>
              <w:t xml:space="preserve"> </w:t>
            </w:r>
            <w:r w:rsidRPr="008947C5">
              <w:rPr>
                <w:color w:val="auto"/>
              </w:rPr>
              <w:t>(UE) nr 604/2013] [ zgodnie z rozporządzeniem</w:t>
            </w:r>
            <w:r w:rsidRPr="008947C5">
              <w:rPr>
                <w:b/>
                <w:i/>
                <w:color w:val="auto"/>
              </w:rPr>
              <w:t xml:space="preserve"> </w:t>
            </w:r>
            <w:r w:rsidRPr="008947C5">
              <w:rPr>
                <w:color w:val="auto"/>
              </w:rPr>
              <w:t>(UE) nr […/2016] odpowiednio do krajowych przepisów przyjętych na podstawie dyrektywy [2016/…/UE], w celu zapewnienia państwom członkowskim możliwości współpracy z takimi państwami trzecimi do celów tego rozporządzenia.</w:t>
            </w:r>
          </w:p>
        </w:tc>
        <w:tc>
          <w:tcPr>
            <w:tcW w:w="4876" w:type="dxa"/>
          </w:tcPr>
          <w:p w:rsidR="005E74C4" w:rsidRPr="008947C5" w:rsidRDefault="005E74C4" w:rsidP="002E25A7">
            <w:pPr>
              <w:pStyle w:val="Normal6"/>
              <w:rPr>
                <w:b/>
                <w:i/>
                <w:color w:val="auto"/>
              </w:rPr>
            </w:pPr>
            <w:r w:rsidRPr="008947C5">
              <w:rPr>
                <w:color w:val="auto"/>
              </w:rPr>
              <w:t>(50)</w:t>
            </w:r>
            <w:r w:rsidRPr="008947C5">
              <w:rPr>
                <w:b/>
                <w:i/>
                <w:color w:val="auto"/>
              </w:rPr>
              <w:tab/>
            </w:r>
            <w:r w:rsidRPr="008947C5">
              <w:rPr>
                <w:color w:val="auto"/>
              </w:rPr>
              <w:t>Należy zakazać przekazywania danych osobowych uzyskanych przez państwo członkowskie lub Europol na mocy niniejszego rozporządzenia z systemu centralnego do jakiegokolwiek państwa trzeciego, organizacji międzynarodowej lub podmiotu prywatnego z siedzibą w Unii lub poza nią, aby zapewnić prawo do azylu oraz zabezpieczyć osoby ubiegające się o ochronę międzynarodową przed ujawnieniem ich danych państwu trzeciemu. Oznacza to, że państwa członkowskie nie powinny przekazywać informacji uzyskanych z systemu centralnego dotyczących: nazwiska</w:t>
            </w:r>
            <w:r w:rsidRPr="008947C5">
              <w:rPr>
                <w:b/>
                <w:i/>
                <w:color w:val="auto"/>
              </w:rPr>
              <w:t xml:space="preserve"> </w:t>
            </w:r>
            <w:r w:rsidRPr="008947C5">
              <w:rPr>
                <w:color w:val="auto"/>
              </w:rPr>
              <w:t>(nazwisk); daty urodzenia; obywatelstwa; państwa(państw) członkowskiego(-ch) pochodzenia lub państwa członkowskiego przydzielenia; szczegółów dotyczących tożsamości lub dokumentu podróży;</w:t>
            </w:r>
            <w:r w:rsidRPr="008947C5">
              <w:rPr>
                <w:b/>
                <w:i/>
                <w:color w:val="auto"/>
              </w:rPr>
              <w:t xml:space="preserve"> </w:t>
            </w:r>
            <w:r w:rsidRPr="008947C5">
              <w:rPr>
                <w:color w:val="auto"/>
              </w:rPr>
              <w:t>miejsca i daty złożenia wniosku o udzielenie ochrony międzynarodowej; numeru referencyjnego użytego przez państwo członkowskie pochodzenia; daty pobrania odcisków palców</w:t>
            </w:r>
            <w:r w:rsidRPr="008947C5">
              <w:rPr>
                <w:b/>
                <w:i/>
                <w:color w:val="auto"/>
              </w:rPr>
              <w:t xml:space="preserve"> i wykonania zdjęcia wizerunku twarzy</w:t>
            </w:r>
            <w:r w:rsidRPr="008947C5">
              <w:rPr>
                <w:color w:val="auto"/>
              </w:rPr>
              <w:t>, a</w:t>
            </w:r>
            <w:r w:rsidR="00447681" w:rsidRPr="008947C5">
              <w:rPr>
                <w:color w:val="auto"/>
              </w:rPr>
              <w:t xml:space="preserve"> </w:t>
            </w:r>
            <w:r w:rsidRPr="008947C5">
              <w:rPr>
                <w:color w:val="auto"/>
              </w:rPr>
              <w:t>także daty przekazania danych przez państwo(-a) członkowskie do E</w:t>
            </w:r>
            <w:r w:rsidR="002E25A7">
              <w:rPr>
                <w:color w:val="auto"/>
              </w:rPr>
              <w:t>urodac</w:t>
            </w:r>
            <w:r w:rsidRPr="008947C5">
              <w:rPr>
                <w:color w:val="auto"/>
              </w:rPr>
              <w:t>; numeru identyfikacyjnego operatora; oraz wszelkich informacji związanych z jakimkolwiek przekazaniem osoby, której dane dotyczą, na mocy [rozporządzenia</w:t>
            </w:r>
            <w:r w:rsidRPr="008947C5">
              <w:rPr>
                <w:b/>
                <w:i/>
                <w:color w:val="auto"/>
              </w:rPr>
              <w:t xml:space="preserve"> </w:t>
            </w:r>
            <w:r w:rsidRPr="008947C5">
              <w:rPr>
                <w:color w:val="auto"/>
              </w:rPr>
              <w:t>(UE) nr 604/2013]. Zakaz ten powinien pozostawać bez uszczerbku dla prawa państw członkowskich do przekazywania takich danych do państw trzecich, do których stosuje się [rozporządzenie</w:t>
            </w:r>
            <w:r w:rsidRPr="008947C5">
              <w:rPr>
                <w:b/>
                <w:i/>
                <w:color w:val="auto"/>
              </w:rPr>
              <w:t xml:space="preserve"> </w:t>
            </w:r>
            <w:r w:rsidRPr="008947C5">
              <w:rPr>
                <w:color w:val="auto"/>
              </w:rPr>
              <w:t>(UE) nr 604/2013] [ zgodnie z rozporządzeniem</w:t>
            </w:r>
            <w:r w:rsidRPr="008947C5">
              <w:rPr>
                <w:b/>
                <w:i/>
                <w:color w:val="auto"/>
              </w:rPr>
              <w:t xml:space="preserve"> </w:t>
            </w:r>
            <w:r w:rsidRPr="008947C5">
              <w:rPr>
                <w:color w:val="auto"/>
              </w:rPr>
              <w:t>(UE) nr […/2016] odpowiednio do krajowych przepisów przyjętych na podstawie dyrektywy [2016/…/UE], w celu zapewnienia państwom członkowskim możliwości współpracy z takimi państwami trzecimi do celów tego rozporządzenia.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„odcisk</w:t>
      </w:r>
      <w:r w:rsidR="00564243" w:rsidRPr="008947C5">
        <w:rPr>
          <w:color w:val="auto"/>
        </w:rPr>
        <w:t xml:space="preserve">i palców” i „wizerunek twarzy” </w:t>
      </w:r>
      <w:r w:rsidRPr="008947C5">
        <w:rPr>
          <w:color w:val="auto"/>
        </w:rPr>
        <w:t>zgodnie z obowiązkiem określonym w art. 2.</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51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(51)</w:t>
            </w:r>
            <w:r w:rsidRPr="008947C5">
              <w:rPr>
                <w:b/>
                <w:i/>
                <w:color w:val="auto"/>
              </w:rPr>
              <w:tab/>
              <w:t>W indywidualnych przypadkach</w:t>
            </w:r>
            <w:r w:rsidRPr="008947C5">
              <w:rPr>
                <w:color w:val="auto"/>
              </w:rPr>
              <w:t xml:space="preserve"> informacje uzyskane z systemu centralnego</w:t>
            </w:r>
            <w:r w:rsidRPr="008947C5">
              <w:rPr>
                <w:b/>
                <w:i/>
                <w:color w:val="auto"/>
              </w:rPr>
              <w:t xml:space="preserve"> mogą</w:t>
            </w:r>
            <w:r w:rsidRPr="008947C5">
              <w:rPr>
                <w:color w:val="auto"/>
              </w:rPr>
              <w:t xml:space="preserve"> być przedmiotem wymiany z państwem trzecim celem udzielenia wsparcia w identyfikacji obywatela państwa trzeciego w związku z jego powrotem.</w:t>
            </w:r>
            <w:r w:rsidRPr="008947C5">
              <w:rPr>
                <w:b/>
                <w:i/>
                <w:color w:val="auto"/>
              </w:rPr>
              <w:t xml:space="preserve"> Wymiana jakichkolwiek danych osobowych musi być objęta rygorystycznymi uwarunkowaniami. Jeżeli takie dane są przedmiotem wymiany, państwu trzeciemu nie mogą zostać ujawnione żadne informacje dotyczące faktu, że obywatel państwa trzeciego złożył wniosek o ochronę międzynarodową, jeżeli państwo, do którego dany obywatel jest przekazywany w ramach readmisji, jest także państwem pochodzenia danego obywatela lub jeżeli jest to inne państwo trzecie, do którego dany obywatel zostanie przekazany w ramach readmisji. Jakiekolwiek przekazanie danych państwu trzeciemu celem identyfikacji obywatela państwa trzeciego musi odbywać się zgodnie z przepisami rozdziału V rozporządzenia (UE) nr […2016].</w:t>
            </w:r>
          </w:p>
        </w:tc>
        <w:tc>
          <w:tcPr>
            <w:tcW w:w="4876" w:type="dxa"/>
          </w:tcPr>
          <w:p w:rsidR="005E74C4" w:rsidRPr="008947C5" w:rsidRDefault="005E74C4" w:rsidP="009E4524">
            <w:pPr>
              <w:pStyle w:val="Normal6"/>
              <w:rPr>
                <w:b/>
                <w:i/>
                <w:color w:val="auto"/>
              </w:rPr>
            </w:pPr>
            <w:r w:rsidRPr="008947C5">
              <w:rPr>
                <w:color w:val="auto"/>
              </w:rPr>
              <w:t>(51)</w:t>
            </w:r>
            <w:r w:rsidRPr="008947C5">
              <w:rPr>
                <w:b/>
                <w:i/>
                <w:color w:val="auto"/>
              </w:rPr>
              <w:tab/>
            </w:r>
            <w:r w:rsidRPr="008947C5">
              <w:rPr>
                <w:color w:val="auto"/>
              </w:rPr>
              <w:t>Informacje uzyskane z systemu centralnego</w:t>
            </w:r>
            <w:r w:rsidRPr="008947C5">
              <w:rPr>
                <w:b/>
                <w:i/>
                <w:color w:val="auto"/>
              </w:rPr>
              <w:t xml:space="preserve"> nie powinny</w:t>
            </w:r>
            <w:r w:rsidRPr="008947C5">
              <w:rPr>
                <w:color w:val="auto"/>
              </w:rPr>
              <w:t xml:space="preserve"> być przedmiotem wymiany z państwem trzecim celem udzielenia wsparcia w identyfikacji obywatela państwa trzeciego w związku z jego powrotem.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Motyw 69</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(69)</w:t>
            </w:r>
            <w:r w:rsidRPr="008947C5">
              <w:rPr>
                <w:b/>
                <w:i/>
                <w:color w:val="auto"/>
              </w:rPr>
              <w:tab/>
            </w:r>
            <w:r w:rsidRPr="008947C5">
              <w:rPr>
                <w:color w:val="auto"/>
              </w:rPr>
              <w:t>Należy ograniczyć zakres terytorialny niniejszego rozporządzenia tak, aby pokrywał się on z zakresem terytorialnym rozporządzenia</w:t>
            </w:r>
            <w:r w:rsidRPr="008947C5">
              <w:rPr>
                <w:b/>
                <w:i/>
                <w:color w:val="auto"/>
              </w:rPr>
              <w:t xml:space="preserve"> </w:t>
            </w:r>
            <w:r w:rsidRPr="008947C5">
              <w:rPr>
                <w:color w:val="auto"/>
              </w:rPr>
              <w:t>(UE) nr […/…],</w:t>
            </w:r>
          </w:p>
        </w:tc>
        <w:tc>
          <w:tcPr>
            <w:tcW w:w="4876" w:type="dxa"/>
          </w:tcPr>
          <w:p w:rsidR="005E74C4" w:rsidRPr="008947C5" w:rsidRDefault="005E74C4" w:rsidP="002E25A7">
            <w:pPr>
              <w:pStyle w:val="Normal6"/>
              <w:rPr>
                <w:b/>
                <w:i/>
                <w:color w:val="auto"/>
              </w:rPr>
            </w:pPr>
            <w:r w:rsidRPr="008947C5">
              <w:rPr>
                <w:color w:val="auto"/>
              </w:rPr>
              <w:t>(69)</w:t>
            </w:r>
            <w:r w:rsidRPr="008947C5">
              <w:rPr>
                <w:b/>
                <w:i/>
                <w:color w:val="auto"/>
              </w:rPr>
              <w:tab/>
            </w:r>
            <w:r w:rsidRPr="008947C5">
              <w:rPr>
                <w:color w:val="auto"/>
              </w:rPr>
              <w:t>Należy ograniczyć zakres terytorialny niniejszego rozporządzenia tak, aby pokrywał się on z zakresem terytorialnym rozporządzenia</w:t>
            </w:r>
            <w:r w:rsidRPr="008947C5">
              <w:rPr>
                <w:b/>
                <w:i/>
                <w:color w:val="auto"/>
              </w:rPr>
              <w:t xml:space="preserve"> </w:t>
            </w:r>
            <w:r w:rsidRPr="008947C5">
              <w:rPr>
                <w:color w:val="auto"/>
              </w:rPr>
              <w:t>(UE) nr […/…],</w:t>
            </w:r>
            <w:r w:rsidRPr="008947C5">
              <w:rPr>
                <w:b/>
                <w:i/>
                <w:color w:val="auto"/>
              </w:rPr>
              <w:t xml:space="preserve"> </w:t>
            </w:r>
            <w:r w:rsidR="002E25A7">
              <w:rPr>
                <w:b/>
                <w:i/>
                <w:color w:val="auto"/>
              </w:rPr>
              <w:t>bez uszczerbku dla</w:t>
            </w:r>
            <w:r w:rsidRPr="008947C5">
              <w:rPr>
                <w:b/>
                <w:i/>
                <w:color w:val="auto"/>
              </w:rPr>
              <w:t xml:space="preserve"> przepisów dotyczących stosowania rozporządzenia XXX/XXX,</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 xml:space="preserve">Przekształcenie: należy wprowadzić odniesienie do przyszłego rozporządzenia ustanawiającego unijne ramy przesiedleń, jeżeli chodzi o jego przyszły zakres stosowania, tak aby </w:t>
      </w:r>
      <w:r w:rsidR="002E25A7">
        <w:rPr>
          <w:color w:val="auto"/>
        </w:rPr>
        <w:t xml:space="preserve">do tego zakresu </w:t>
      </w:r>
      <w:r w:rsidRPr="008947C5">
        <w:rPr>
          <w:color w:val="auto"/>
        </w:rPr>
        <w:t>można było stosować niniejsze rozporządzenie.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a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aa)</w:t>
            </w:r>
            <w:r w:rsidRPr="008947C5">
              <w:rPr>
                <w:b/>
                <w:i/>
                <w:color w:val="auto"/>
              </w:rPr>
              <w:tab/>
              <w:t>ułatwienie wdrożenia rozporządzenia XXX/XXX zgodnie z przepisami przewidzianymi w tym rozporządzeniu;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poprawki jest dodanie jeszcze jednego celu niniejszego rozporządzenia, ponieważ proponuje się dodać do zakresu stosowania niniejszego rozporządzenia dane osób, wobec których państwo członkowskie zamierza zastosować procedurę przesiedlenia zgodnie z rozporządzeniem XXX/XXX.</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w:t>
            </w:r>
            <w:r w:rsidRPr="008947C5">
              <w:rPr>
                <w:b/>
                <w:i/>
                <w:color w:val="auto"/>
              </w:rPr>
              <w:tab/>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C060E" w:rsidRDefault="005E74C4" w:rsidP="009E4524">
            <w:pPr>
              <w:pStyle w:val="Normal6Italic"/>
              <w:rPr>
                <w:color w:val="auto"/>
              </w:rPr>
            </w:pPr>
            <w:r w:rsidRPr="008C060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5E74C4" w:rsidRPr="008947C5" w:rsidRDefault="005E74C4" w:rsidP="005E74C4">
      <w:pPr>
        <w:pStyle w:val="Normal12Italic"/>
        <w:rPr>
          <w:color w:val="auto"/>
        </w:rPr>
      </w:pPr>
      <w:r w:rsidRPr="008947C5">
        <w:rPr>
          <w:color w:val="auto"/>
        </w:rPr>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Christine Revault D'Allonnes Bonnefoy, Sylvie Guillaume</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w:t>
            </w:r>
            <w:r w:rsidRPr="008947C5">
              <w:rPr>
                <w:b/>
                <w:i/>
                <w:color w:val="auto"/>
              </w:rPr>
              <w:tab/>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C060E" w:rsidRDefault="005E74C4" w:rsidP="009E4524">
            <w:pPr>
              <w:pStyle w:val="Normal6Italic"/>
              <w:rPr>
                <w:color w:val="auto"/>
              </w:rPr>
            </w:pPr>
            <w:r w:rsidRPr="008C060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w:t>
      </w:r>
      <w:r w:rsidR="008C060E">
        <w:rPr>
          <w:color w:val="auto"/>
        </w:rPr>
        <w:t xml:space="preserve"> </w:t>
      </w:r>
      <w:r w:rsidRPr="008C060E">
        <w:rPr>
          <w:color w:val="auto"/>
          <w:lang w:val="en-US"/>
        </w:rPr>
        <w:t xml:space="preserve">Indeed, data shall be used in accordance with the original purpose for which they have been collected. </w:t>
      </w:r>
      <w:r w:rsidRPr="008947C5">
        <w:rPr>
          <w:color w:val="auto"/>
        </w:rPr>
        <w:t>Eurodac was designed as a database for implementing the Dublin Regulation.</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w:t>
            </w:r>
            <w:r w:rsidRPr="008947C5">
              <w:rPr>
                <w:b/>
                <w:i/>
                <w:color w:val="auto"/>
              </w:rPr>
              <w:tab/>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Carlos Coelho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w:t>
            </w:r>
            <w:r w:rsidRPr="008947C5">
              <w:rPr>
                <w:b/>
                <w:i/>
                <w:color w:val="auto"/>
              </w:rPr>
              <w:t xml:space="preserve"> kontrolowaniu nielegalnej imigracji oraz wtórnych przepływów w obrębie Unii oraz w</w:t>
            </w:r>
            <w:r w:rsidRPr="008947C5">
              <w:rPr>
                <w:color w:val="auto"/>
              </w:rPr>
              <w:t xml:space="preserve">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identyfikowaniu nielegalnie przebywających obywateli państw trzecich służącego podejmowaniu odpowiednich kroków przez państwa członkowskie, w tym wydalaniu i repatriacji osób przebywających bez zezwolenia.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149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Lorenzo Fontana</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t>zapewnianie wsparcia w kontrolowaniu</w:t>
            </w:r>
            <w:r w:rsidRPr="008947C5">
              <w:rPr>
                <w:color w:val="auto"/>
              </w:rPr>
              <w:t xml:space="preserve"> nielegalnej imigracji oraz wtórnych przepływów w obrębie Unii oraz w identyfikowaniu nielegalnie przebywających obywateli państw trzecich służącego podejmowaniu odpowiednich kroków przez państwa członkowskie,</w:t>
            </w:r>
            <w:r w:rsidRPr="008947C5">
              <w:rPr>
                <w:b/>
                <w:i/>
                <w:color w:val="auto"/>
              </w:rPr>
              <w:t xml:space="preserve"> w tym</w:t>
            </w:r>
            <w:r w:rsidRPr="008947C5">
              <w:rPr>
                <w:color w:val="auto"/>
              </w:rPr>
              <w:t xml:space="preserve"> wydalaniu i repatriacji osób przebywających bez zezwolenia.</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t>wdrożenie narzędzia pomocnego w zwalczaniu</w:t>
            </w:r>
            <w:r w:rsidRPr="008947C5">
              <w:rPr>
                <w:color w:val="auto"/>
              </w:rPr>
              <w:t xml:space="preserve"> nielegalnej imigracji oraz wtórnych przepływów w obrębie Unii oraz w identyfikowaniu nielegalnie przebywających obywateli państw trzecich służącego podejmowaniu odpowiednich kroków przez państwa członkowskie,</w:t>
            </w:r>
            <w:r w:rsidRPr="008947C5">
              <w:rPr>
                <w:b/>
                <w:i/>
                <w:color w:val="auto"/>
              </w:rPr>
              <w:t xml:space="preserve"> np.</w:t>
            </w:r>
            <w:r w:rsidRPr="008947C5">
              <w:rPr>
                <w:color w:val="auto"/>
              </w:rPr>
              <w:t xml:space="preserve"> wydalaniu i repatriacji osób przebywających bez zezwolenia.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 służącego</w:t>
            </w:r>
            <w:r w:rsidRPr="008947C5">
              <w:rPr>
                <w:b/>
                <w:i/>
                <w:color w:val="auto"/>
              </w:rPr>
              <w:t xml:space="preserve"> podejmowaniu</w:t>
            </w:r>
            <w:r w:rsidRPr="008947C5">
              <w:rPr>
                <w:color w:val="auto"/>
              </w:rPr>
              <w:t xml:space="preserve"> odpowiednich kroków</w:t>
            </w:r>
            <w:r w:rsidRPr="008947C5">
              <w:rPr>
                <w:b/>
                <w:i/>
                <w:color w:val="auto"/>
              </w:rPr>
              <w:t xml:space="preserve"> przez państwa członkowskie</w:t>
            </w:r>
            <w:r w:rsidRPr="008947C5">
              <w:rPr>
                <w:color w:val="auto"/>
              </w:rPr>
              <w:t>, w tym</w:t>
            </w:r>
            <w:r w:rsidRPr="008947C5">
              <w:rPr>
                <w:b/>
                <w:i/>
                <w:color w:val="auto"/>
              </w:rPr>
              <w:t xml:space="preserve"> wydalaniu i repatriacji osób</w:t>
            </w:r>
            <w:r w:rsidRPr="008947C5">
              <w:rPr>
                <w:color w:val="auto"/>
              </w:rPr>
              <w:t xml:space="preserve"> przebywających</w:t>
            </w:r>
            <w:r w:rsidRPr="008947C5">
              <w:rPr>
                <w:b/>
                <w:i/>
                <w:color w:val="auto"/>
              </w:rPr>
              <w:t xml:space="preserve"> bez zezwolenia</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w:t>
            </w:r>
            <w:r w:rsidRPr="008947C5">
              <w:rPr>
                <w:b/>
                <w:i/>
                <w:color w:val="auto"/>
              </w:rPr>
              <w:t xml:space="preserve"> i bezpaństwowców</w:t>
            </w:r>
            <w:r w:rsidRPr="008947C5">
              <w:rPr>
                <w:color w:val="auto"/>
              </w:rPr>
              <w:t xml:space="preserve"> służącego</w:t>
            </w:r>
            <w:r w:rsidRPr="008947C5">
              <w:rPr>
                <w:b/>
                <w:i/>
                <w:color w:val="auto"/>
              </w:rPr>
              <w:t xml:space="preserve"> ustalaniu, które państwo członkowskie jest odpowiedzialne za podjęcie</w:t>
            </w:r>
            <w:r w:rsidRPr="008947C5">
              <w:rPr>
                <w:color w:val="auto"/>
              </w:rPr>
              <w:t xml:space="preserve"> odpowiednich kroków, w tym</w:t>
            </w:r>
            <w:r w:rsidRPr="008947C5">
              <w:rPr>
                <w:b/>
                <w:i/>
                <w:color w:val="auto"/>
              </w:rPr>
              <w:t xml:space="preserve"> kroków mających na celu wydalanie, repatriację i powrót nielegalnie</w:t>
            </w:r>
            <w:r w:rsidRPr="008947C5">
              <w:rPr>
                <w:color w:val="auto"/>
              </w:rPr>
              <w:t xml:space="preserve"> przebywających</w:t>
            </w:r>
            <w:r w:rsidRPr="008947C5">
              <w:rPr>
                <w:b/>
                <w:i/>
                <w:color w:val="auto"/>
              </w:rPr>
              <w:t xml:space="preserve"> obywateli państw trzecich i bezpaństwowców</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r w:rsidRPr="008947C5">
              <w:rPr>
                <w:b/>
                <w:i/>
                <w:color w:val="auto"/>
              </w:rPr>
              <w:t>, zgodnie z zasadami konieczności i proporcjonalności przewidzianymi w art</w:t>
            </w:r>
            <w:r w:rsidRPr="008947C5">
              <w:rPr>
                <w:color w:val="auto"/>
              </w:rPr>
              <w:t>.</w:t>
            </w:r>
            <w:r w:rsidRPr="008947C5">
              <w:rPr>
                <w:b/>
                <w:i/>
                <w:color w:val="auto"/>
              </w:rPr>
              <w:t xml:space="preserve"> 52 ust. 1 Karty oraz w odpowiednim orzecznictwie Trybunału Sprawiedliwości Unii Europejskiej.</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Fabio Massimo Castaldo, Laura Ferrara, Ignazio Corrao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kontrolowaniu nielegalnej imigracji oraz wtórnych przepływów w obrębie Unii oraz w identyfikowaniu nielegalnie przebywających obywateli państw trzecich</w:t>
            </w:r>
            <w:r w:rsidRPr="008947C5">
              <w:rPr>
                <w:b/>
                <w:i/>
                <w:color w:val="auto"/>
              </w:rPr>
              <w:t>, w stosunku do których wydano</w:t>
            </w:r>
            <w:r w:rsidR="00610A40">
              <w:rPr>
                <w:b/>
                <w:i/>
                <w:color w:val="auto"/>
              </w:rPr>
              <w:t xml:space="preserve"> wcześniej</w:t>
            </w:r>
            <w:r w:rsidRPr="008947C5">
              <w:rPr>
                <w:b/>
                <w:i/>
                <w:color w:val="auto"/>
              </w:rPr>
              <w:t xml:space="preserve"> nakaz wydalenia,</w:t>
            </w:r>
            <w:r w:rsidRPr="008947C5">
              <w:rPr>
                <w:color w:val="auto"/>
              </w:rPr>
              <w:t xml:space="preserve"> służącego podejmowaniu odpowiednich kroków przez państwa członkowskie, w tym wydalaniu i repatriacji osób przebywających bez zezwolenia.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w:t>
            </w:r>
            <w:r w:rsidRPr="008947C5">
              <w:rPr>
                <w:b/>
                <w:i/>
                <w:color w:val="auto"/>
              </w:rPr>
              <w:t xml:space="preserve"> kontrolowaniu nielegalnej imigracji oraz wtórnych przepływów w obrębie Unii oraz w</w:t>
            </w:r>
            <w:r w:rsidRPr="008947C5">
              <w:rPr>
                <w:color w:val="auto"/>
              </w:rPr>
              <w:t xml:space="preserve"> identyfikowaniu nielegalnie przebywających obywateli państw trzecich służącego podejmowaniu odpowiednich kroków przez państwa członkowskie, w tym wydalaniu i repatriacji osób przebywających bez zezwolenia.</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zapewnianie wsparcia w identyfikowaniu nielegalnie przebywających obywateli państw trzecich</w:t>
            </w:r>
            <w:r w:rsidRPr="008947C5">
              <w:rPr>
                <w:b/>
                <w:i/>
                <w:color w:val="auto"/>
              </w:rPr>
              <w:t xml:space="preserve"> i bezpaństwowców</w:t>
            </w:r>
            <w:r w:rsidRPr="008947C5">
              <w:rPr>
                <w:color w:val="auto"/>
              </w:rPr>
              <w:t xml:space="preserve"> służącego podejmowaniu odpowiednich kroków przez państwa członkowskie, w</w:t>
            </w:r>
            <w:r w:rsidRPr="008947C5">
              <w:rPr>
                <w:b/>
                <w:i/>
                <w:color w:val="auto"/>
              </w:rPr>
              <w:t xml:space="preserve"> stosownym przypadku, w</w:t>
            </w:r>
            <w:r w:rsidRPr="008947C5">
              <w:rPr>
                <w:color w:val="auto"/>
              </w:rPr>
              <w:t xml:space="preserve"> tym wydalaniu i repatriacji osób przebywających bez zezwolenia</w:t>
            </w:r>
            <w:r w:rsidRPr="008947C5">
              <w:rPr>
                <w:b/>
                <w:i/>
                <w:color w:val="auto"/>
              </w:rPr>
              <w:t xml:space="preserve"> lub nadawaniu statusu stałego rezydenta</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Christine Revault D'Allonnes Bonnefoy, Sylvie Guillaume</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w:t>
            </w:r>
            <w:r w:rsidRPr="008947C5">
              <w:rPr>
                <w:b/>
                <w:i/>
                <w:color w:val="auto"/>
              </w:rPr>
              <w:t xml:space="preserve"> w celu zapobiegania przestępstwom terrorystycznym i innym poważnym przestępstwom, wykrywania ich lub prowadzenia dochodzeń w ich sprawie</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Ta wzmianka jest niepotrzebna i wprowadza niebezpieczny paralelizm między migracją a terrorystami i przestępcami.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(c)</w:t>
            </w:r>
            <w:r w:rsidRPr="008947C5">
              <w:rPr>
                <w:b/>
                <w:i/>
                <w:color w:val="auto"/>
              </w:rPr>
              <w:tab/>
              <w:t>ustanowienie warunków, na jakich wyznaczone organy państw członkowskich oraz Europejski Urząd Policji (Europol) mogą występować z wnioskiem o porównanie danych daktyloskopijnych i danych dotyczących wizerunku twarzy z danymi przechowywanymi w systemie centralnym na potrzeby ochrony porządku publicznego w celu zapobiegania przestępstwom terrorystycznym i innym poważnym przestępstwom, wykrywania ich lub prowadzenia dochodzeń w ich sprawie.</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C060E" w:rsidRDefault="005E74C4" w:rsidP="009E4524">
            <w:pPr>
              <w:pStyle w:val="Normal6Italic"/>
              <w:rPr>
                <w:color w:val="auto"/>
              </w:rPr>
            </w:pPr>
            <w:r w:rsidRPr="008C060E">
              <w:rPr>
                <w:color w:val="auto"/>
              </w:rPr>
              <w:t>(Ta zmiana stosuje się do całości tekstu; jej przyjęcie wiąże się z koniecznością wprowadzenia zmian w całym dokumencie).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 w celu zapobiegania przestępstwom terrorystycznym i innym poważnym przestępstwom, wykrywania ich lub prowadzenia dochodzeń w ich sprawie.</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 w celu zapobiegania przestępstwom terrorystycznym i innym poważnym przestępstwom, wykrywania ich lub prowadzenia dochodzeń w ich sprawie</w:t>
            </w:r>
            <w:r w:rsidRPr="008947C5">
              <w:rPr>
                <w:b/>
                <w:i/>
                <w:color w:val="auto"/>
              </w:rPr>
              <w:t>, zgodnie z zasadami konieczności i proporcjonalności przewidzianymi w art</w:t>
            </w:r>
            <w:r w:rsidRPr="008947C5">
              <w:rPr>
                <w:color w:val="auto"/>
              </w:rPr>
              <w:t>.</w:t>
            </w:r>
            <w:r w:rsidRPr="008947C5">
              <w:rPr>
                <w:b/>
                <w:i/>
                <w:color w:val="auto"/>
              </w:rPr>
              <w:t xml:space="preserve"> 52 ust. 1 Karty oraz w odpowiednim orzecznictwie Trybunału Sprawiedliwości Unii Europejskiej.</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niezbędna, ponieważ jest w nierozerwalny sposób powiązana z innymi dopuszczalnymi poprawkami związanymi z celami Eurodac (art. 1), wprowadzającymi odniesienia do zgodności z zasadami konieczności i proporcjonalności na podstawie art. 52 ust. 1 Karty praw podstawowych Unii Europejskiej i odpowiedniego orzecznictwa Trybunału Sprawiedliwości Unii Europejskiej.</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w:t>
            </w:r>
            <w:r w:rsidRPr="008947C5">
              <w:rPr>
                <w:b/>
                <w:i/>
                <w:color w:val="auto"/>
              </w:rPr>
              <w:t xml:space="preserve"> i</w:t>
            </w:r>
            <w:r w:rsidRPr="008947C5">
              <w:rPr>
                <w:color w:val="auto"/>
              </w:rPr>
              <w:t xml:space="preserve"> danych dotyczących wizerunku twarzy z danymi przechowywanymi w systemie centralnym na potrzeby ochrony porządku publicznego w celu zapobiegania przestępstwom terrorystycznym i innym poważnym przestępstwom, wykrywania ich lub prowadzenia dochodzeń w ich sprawie.</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w:t>
            </w:r>
            <w:r w:rsidRPr="008947C5">
              <w:rPr>
                <w:b/>
                <w:i/>
                <w:color w:val="auto"/>
              </w:rPr>
              <w:t>,</w:t>
            </w:r>
            <w:r w:rsidRPr="008947C5">
              <w:rPr>
                <w:color w:val="auto"/>
              </w:rPr>
              <w:t xml:space="preserve"> danych dotyczących wizerunku twarzy</w:t>
            </w:r>
            <w:r w:rsidRPr="008947C5">
              <w:rPr>
                <w:b/>
                <w:i/>
                <w:color w:val="auto"/>
              </w:rPr>
              <w:t xml:space="preserve"> i danych alfanumerycznych</w:t>
            </w:r>
            <w:r w:rsidRPr="008947C5">
              <w:rPr>
                <w:color w:val="auto"/>
              </w:rPr>
              <w:t xml:space="preserve"> z danymi przechowywanymi w systemie centralnym na potrzeby ochrony porządku publicznego w celu zapobiegania przestępstwom terrorystycznym i innym poważnym przestępstwom, wykrywania ich lub prowadzenia dochodzeń w ich sprawie.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 w celu zapobiegania przestępstwom terrorystycznym i innym poważnym przestępstwom, wykrywania ich</w:t>
            </w:r>
            <w:r w:rsidRPr="008947C5">
              <w:rPr>
                <w:b/>
                <w:i/>
                <w:color w:val="auto"/>
              </w:rPr>
              <w:t xml:space="preserve"> lub</w:t>
            </w:r>
            <w:r w:rsidRPr="008947C5">
              <w:rPr>
                <w:color w:val="auto"/>
              </w:rPr>
              <w:t xml:space="preserve"> prowadzenia dochodzeń w ich sprawie.</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 i danych dotyczących wizerunku twarzy z danymi przechowywanymi w systemie centralnym na potrzeby ochrony porządku publicznego w celu zapobiegania przestępstwom terrorystycznym i innym poważnym przestępstwom, wykrywania ich</w:t>
            </w:r>
            <w:r w:rsidRPr="008947C5">
              <w:rPr>
                <w:b/>
                <w:i/>
                <w:color w:val="auto"/>
              </w:rPr>
              <w:t>,</w:t>
            </w:r>
            <w:r w:rsidRPr="008947C5">
              <w:rPr>
                <w:color w:val="auto"/>
              </w:rPr>
              <w:t xml:space="preserve"> prowadzenia dochodzeń w ich sprawie</w:t>
            </w:r>
            <w:r w:rsidRPr="008947C5">
              <w:rPr>
                <w:b/>
                <w:i/>
                <w:color w:val="auto"/>
              </w:rPr>
              <w:t xml:space="preserve"> lub ich karania</w:t>
            </w:r>
            <w:r w:rsidRPr="008947C5">
              <w:rPr>
                <w:color w:val="auto"/>
              </w:rPr>
              <w:t>.</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C060E" w:rsidRDefault="005E74C4" w:rsidP="009E4524">
            <w:pPr>
              <w:pStyle w:val="Normal6Italic"/>
              <w:rPr>
                <w:color w:val="auto"/>
              </w:rPr>
            </w:pPr>
            <w:r w:rsidRPr="008C060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ma zastosowanie do całego tekstu i wiąże się z dodaniem nowej litery c) w art. 1.</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159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w:t>
            </w:r>
            <w:r w:rsidRPr="008947C5">
              <w:rPr>
                <w:b/>
                <w:i/>
                <w:color w:val="auto"/>
              </w:rPr>
              <w:t xml:space="preserve"> i</w:t>
            </w:r>
            <w:r w:rsidRPr="008947C5">
              <w:rPr>
                <w:color w:val="auto"/>
              </w:rPr>
              <w:t xml:space="preserve"> danych dotyczących wizerunku twarzy z danymi przechowywanymi w systemie centralnym na potrzeby ochrony porządku publicznego w celu zapobiegania przestępstwom terrorystycznym i innym poważnym przestępstwom, wykrywania ich lub prowadzenia dochodzeń w ich sprawie.</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ustanowienie warunków, na jakich wyznaczone organy państw członkowskich oraz Europejski Urząd Policji</w:t>
            </w:r>
            <w:r w:rsidRPr="008947C5">
              <w:rPr>
                <w:b/>
                <w:i/>
                <w:color w:val="auto"/>
              </w:rPr>
              <w:t xml:space="preserve"> </w:t>
            </w:r>
            <w:r w:rsidRPr="008947C5">
              <w:rPr>
                <w:color w:val="auto"/>
              </w:rPr>
              <w:t>(Europol) mogą występować z wnioskiem o porównanie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xml:space="preserve"> z danymi przechowywanymi w systemie centralnym na potrzeby ochrony porządku publicznego w celu zapobiegania przestępstwom terrorystycznym i innym poważnym przestępstwom, wykrywania ich lub prowadzenia dochodzeń w ich sprawie.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8C060E" w:rsidP="009E4524">
            <w:pPr>
              <w:pStyle w:val="Normal6"/>
              <w:rPr>
                <w:b/>
                <w:i/>
                <w:color w:val="auto"/>
              </w:rPr>
            </w:pPr>
            <w:r>
              <w:rPr>
                <w:b/>
                <w:i/>
                <w:color w:val="auto"/>
              </w:rPr>
              <w:t>(</w:t>
            </w:r>
            <w:r w:rsidR="005E74C4" w:rsidRPr="008947C5">
              <w:rPr>
                <w:b/>
                <w:i/>
                <w:color w:val="auto"/>
              </w:rPr>
              <w:t>ca)</w:t>
            </w:r>
            <w:r w:rsidR="005E74C4" w:rsidRPr="008947C5">
              <w:rPr>
                <w:b/>
                <w:i/>
                <w:color w:val="auto"/>
              </w:rPr>
              <w:tab/>
              <w:t>ochrona i identyfikacja dzieci będących ofiarami handlu ludźmi i nadużyć oraz dzieci zaginionych lub uprowadzonych, a także ustalenie tożsamości dziecka i pomoc dla państwa członkowskiego w odnalezieniu rodziny lub ewentualnych powiązań, które dzieci takie mogłyby mieć z innym państwem członkowskim, w nadrzędnym interesie dziecka.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 xml:space="preserve">Obniżenie granicy wieku osób, od których pobiera się </w:t>
      </w:r>
      <w:r w:rsidR="008C060E">
        <w:rPr>
          <w:color w:val="auto"/>
        </w:rPr>
        <w:t xml:space="preserve">odciski palców, z 14 do </w:t>
      </w:r>
      <w:r w:rsidRPr="008947C5">
        <w:rPr>
          <w:color w:val="auto"/>
        </w:rPr>
        <w:t>6 lat ma na celu zapewnienie lepszej ochrony przed handlem dziećmi i uprowadzeniami. Stąd przepis ten należy uściślić.</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(ca)</w:t>
            </w:r>
            <w:r w:rsidRPr="008947C5">
              <w:rPr>
                <w:b/>
                <w:i/>
                <w:color w:val="auto"/>
              </w:rPr>
              <w:tab/>
              <w:t>ułatwianie łączenia rodzin oraz identyfikacji i ochrony dzieci będących ofiarami handlu ludźmi. Cele wyznaczone w lit. b) i c) nie dotyczą danych osobowych uzyskanych od małoletnich. Szczególną uwagę zwraca się na prawa małoletnich bez opieki.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(ca)</w:t>
            </w:r>
            <w:r w:rsidRPr="008947C5">
              <w:rPr>
                <w:b/>
                <w:i/>
                <w:color w:val="auto"/>
              </w:rPr>
              <w:tab/>
              <w:t>wspieranie państw członkowskich w ochronie i identyfikacji dzieci będących ofiarami handlu ludźmi oraz w ochronie i identyfikacji zaginionych dzieci, a także podejmowanie środków w celu odnalezienia rodziny i łączenia rodzin.</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1 – litera c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(ca)</w:t>
            </w:r>
            <w:r w:rsidRPr="008947C5">
              <w:rPr>
                <w:b/>
                <w:i/>
                <w:color w:val="auto"/>
              </w:rPr>
              <w:tab/>
              <w:t>wspieranie państw członkowskich w ochronie i identyfikacji dzieci będących ofiarami handlu ludźmi oraz w ochronie i identyfikacji zaginionych dzieci.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konieczna dla zachowania logiki tekstu, ponieważ chodzi o ochronę dzieci będących ofiarami handlu ludźmi i pomoc w identyfikacji dzieci bez opieki, które giną, znikają lub uciekają, co podkreśliła Komisja Europejska w uzasadnieniu do proponowanego przekształcenia rozporządzenia w sprawie systemu Eurodac. Aby zapewnić zgodność z art. 7, 8 i 24 Karty, przetwarzanie danych biometrycznych dzieci w wieku sześciu lat jest uzasadnione tylko wtedy, gdy wyraźnie wiąże się z celem ochrony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Bez uszczerbku dla możliwości przetwarzania danych przeznaczonych do Eurodac przez państwo członkowskie pochodzenia w bazach danych ustanowionych na mocy prawa krajowego tego państwa członkowskiego, dane daktyloskopijne i inne dane osobowe mogą być przetwarzane w Eurodac tylko w celach określonych w niniejszym rozporządzeniu oraz w [art. 34 ust. 1 rozporządzenia</w:t>
            </w:r>
            <w:r w:rsidRPr="008947C5">
              <w:rPr>
                <w:b/>
                <w:i/>
                <w:color w:val="auto"/>
              </w:rPr>
              <w:t xml:space="preserve"> </w:t>
            </w:r>
            <w:r w:rsidRPr="008947C5">
              <w:rPr>
                <w:color w:val="auto"/>
              </w:rPr>
              <w:t>(UE)</w:t>
            </w:r>
            <w:r w:rsidRPr="008947C5">
              <w:rPr>
                <w:b/>
                <w:i/>
                <w:color w:val="auto"/>
              </w:rPr>
              <w:t xml:space="preserve"> nr 604/2013</w:t>
            </w:r>
            <w:r w:rsidRPr="008C060E">
              <w:rPr>
                <w:color w:val="auto"/>
              </w:rPr>
              <w:t>]</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Bez uszczerbku dla możliwości przetwarzania danych przeznaczonych do Eurodac przez państwo członkowskie pochodzenia w</w:t>
            </w:r>
            <w:r w:rsidR="00447681" w:rsidRPr="008947C5">
              <w:rPr>
                <w:color w:val="auto"/>
              </w:rPr>
              <w:t xml:space="preserve"> </w:t>
            </w:r>
            <w:r w:rsidRPr="008947C5">
              <w:rPr>
                <w:color w:val="auto"/>
              </w:rPr>
              <w:t>bazach danych ustanowionych na mocy prawa krajowego tego państwa członkowskiego, dane daktyloskopijne</w:t>
            </w:r>
            <w:r w:rsidRPr="008947C5">
              <w:rPr>
                <w:b/>
                <w:i/>
                <w:color w:val="auto"/>
              </w:rPr>
              <w:t>, dane dotyczące wizerunku twarzy</w:t>
            </w:r>
            <w:r w:rsidRPr="008947C5">
              <w:rPr>
                <w:color w:val="auto"/>
              </w:rPr>
              <w:t xml:space="preserve"> i</w:t>
            </w:r>
            <w:r w:rsidR="00447681" w:rsidRPr="008947C5">
              <w:rPr>
                <w:color w:val="auto"/>
              </w:rPr>
              <w:t xml:space="preserve"> </w:t>
            </w:r>
            <w:r w:rsidRPr="008947C5">
              <w:rPr>
                <w:color w:val="auto"/>
              </w:rPr>
              <w:t>inne dane osobowe mogą być przetwarzane w</w:t>
            </w:r>
            <w:r w:rsidR="00447681" w:rsidRPr="008947C5">
              <w:rPr>
                <w:color w:val="auto"/>
              </w:rPr>
              <w:t xml:space="preserve"> </w:t>
            </w:r>
            <w:r w:rsidRPr="008947C5">
              <w:rPr>
                <w:color w:val="auto"/>
              </w:rPr>
              <w:t>Eurodac tylko w</w:t>
            </w:r>
            <w:r w:rsidR="00447681" w:rsidRPr="008947C5">
              <w:rPr>
                <w:color w:val="auto"/>
              </w:rPr>
              <w:t xml:space="preserve"> </w:t>
            </w:r>
            <w:r w:rsidRPr="008947C5">
              <w:rPr>
                <w:color w:val="auto"/>
              </w:rPr>
              <w:t>celach określonych w</w:t>
            </w:r>
            <w:r w:rsidR="00447681" w:rsidRPr="008947C5">
              <w:rPr>
                <w:color w:val="auto"/>
              </w:rPr>
              <w:t xml:space="preserve"> </w:t>
            </w:r>
            <w:r w:rsidRPr="008947C5">
              <w:rPr>
                <w:color w:val="auto"/>
              </w:rPr>
              <w:t>niniejszym rozporządzeniu oraz w</w:t>
            </w:r>
            <w:r w:rsidR="00447681" w:rsidRPr="008947C5">
              <w:rPr>
                <w:color w:val="auto"/>
              </w:rPr>
              <w:t xml:space="preserve"> </w:t>
            </w:r>
            <w:r w:rsidRPr="008947C5">
              <w:rPr>
                <w:color w:val="auto"/>
              </w:rPr>
              <w:t>[art. 34 ust. 1 rozporządzenia</w:t>
            </w:r>
            <w:r w:rsidRPr="008947C5">
              <w:rPr>
                <w:b/>
                <w:i/>
                <w:color w:val="auto"/>
              </w:rPr>
              <w:t xml:space="preserve"> </w:t>
            </w:r>
            <w:r w:rsidRPr="008947C5">
              <w:rPr>
                <w:color w:val="auto"/>
              </w:rPr>
              <w:t>(UE)</w:t>
            </w:r>
            <w:r w:rsidRPr="008947C5">
              <w:rPr>
                <w:b/>
                <w:i/>
                <w:color w:val="auto"/>
              </w:rPr>
              <w:t xml:space="preserve"> </w:t>
            </w:r>
            <w:r w:rsidR="008C060E">
              <w:rPr>
                <w:b/>
                <w:i/>
                <w:color w:val="auto"/>
              </w:rPr>
              <w:t>…</w:t>
            </w:r>
            <w:r w:rsidRPr="008C060E">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„odcisk</w:t>
      </w:r>
      <w:r w:rsidR="00564243" w:rsidRPr="008947C5">
        <w:rPr>
          <w:color w:val="auto"/>
        </w:rPr>
        <w:t xml:space="preserve">i palców” i „wizerunek twarzy” </w:t>
      </w:r>
      <w:r w:rsidRPr="008947C5">
        <w:rPr>
          <w:color w:val="auto"/>
        </w:rPr>
        <w:t>zgodnie z obowiązkiem określonym w art. 2.</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tytuł</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Obowiązek pobrania odcisków palców oraz wykonania zdjęcia wizerunku twarzy</w:t>
            </w:r>
          </w:p>
        </w:tc>
        <w:tc>
          <w:tcPr>
            <w:tcW w:w="4876" w:type="dxa"/>
          </w:tcPr>
          <w:p w:rsidR="005E74C4" w:rsidRPr="008947C5" w:rsidRDefault="005E74C4" w:rsidP="009E4524">
            <w:pPr>
              <w:pStyle w:val="Normal6"/>
              <w:rPr>
                <w:b/>
                <w:i/>
                <w:color w:val="auto"/>
              </w:rPr>
            </w:pPr>
            <w:r w:rsidRPr="008947C5">
              <w:rPr>
                <w:b/>
                <w:i/>
                <w:color w:val="auto"/>
              </w:rPr>
              <w:t>Zabezpieczenia proceduralne w celu ochrony dzieci i osób wymagających szczególnego traktowania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tytuł</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Obowiązek pobrania odcisków palców</w:t>
            </w:r>
            <w:r w:rsidRPr="008947C5">
              <w:rPr>
                <w:b/>
                <w:i/>
                <w:color w:val="auto"/>
              </w:rPr>
              <w:t xml:space="preserve"> oraz wykonania zdjęcia wizerunku twarzy</w:t>
            </w:r>
          </w:p>
        </w:tc>
        <w:tc>
          <w:tcPr>
            <w:tcW w:w="4876" w:type="dxa"/>
          </w:tcPr>
          <w:p w:rsidR="005E74C4" w:rsidRPr="008947C5" w:rsidRDefault="005E74C4" w:rsidP="009E4524">
            <w:pPr>
              <w:pStyle w:val="Normal6"/>
              <w:rPr>
                <w:b/>
                <w:i/>
                <w:color w:val="auto"/>
              </w:rPr>
            </w:pPr>
            <w:r w:rsidRPr="008947C5">
              <w:rPr>
                <w:color w:val="auto"/>
              </w:rPr>
              <w:t>Obowiązek pobrania odcisków palców</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C060E" w:rsidRDefault="005E74C4" w:rsidP="009E4524">
            <w:pPr>
              <w:pStyle w:val="Normal6Italic"/>
              <w:rPr>
                <w:color w:val="auto"/>
              </w:rPr>
            </w:pPr>
            <w:r w:rsidRPr="008C060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w:t>
            </w:r>
            <w:r w:rsidRPr="008947C5">
              <w:rPr>
                <w:b/>
                <w:i/>
                <w:color w:val="auto"/>
              </w:rPr>
              <w:tab/>
              <w:t>Państwa członkowskie są zobowiązane pobierać odciski palców i wykonywać zdjęcia wizerunku twarzy osób, o których mowa w art. 10 ust. 1, art. 13 ust. 1 oraz art. 14 ust. 1 na potrzeby art. 1 ust. 1 lit. a) i b) niniejszego rozporządzenia oraz nakładają na osoby, których dotyczą dane, wymóg udostępnienia swoich odcisków palców i wizerunku twarzy oraz informują je o tym zgodnie z art. 30 niniejszego rozporządzenia.</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t>Państwa członkowskie są zobowiązane pobierać odciski palców i wykonywać zdjęcia wizerunku twarzy osób</w:t>
            </w:r>
            <w:r w:rsidRPr="008947C5">
              <w:rPr>
                <w:color w:val="auto"/>
              </w:rPr>
              <w:t>, o których mowa w art. 10 ust. 1, art. 13 ust. 1</w:t>
            </w:r>
            <w:r w:rsidRPr="008947C5">
              <w:rPr>
                <w:b/>
                <w:i/>
                <w:color w:val="auto"/>
              </w:rPr>
              <w:t xml:space="preserve"> oraz</w:t>
            </w:r>
            <w:r w:rsidRPr="008947C5">
              <w:rPr>
                <w:color w:val="auto"/>
              </w:rPr>
              <w:t xml:space="preserve"> art. 14 ust. 1 na potrzeby art. 1 ust. 1 lit. a) i b) niniejszego rozporządzenia oraz nakładają na osoby, których dotyczą dane, wymóg udostępnienia swoich odcisków palców i wizerunku twarzy oraz informują je o tym zgodnie z art. 30 niniejszego rozporządzenia.</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t>Osoby</w:t>
            </w:r>
            <w:r w:rsidRPr="008947C5">
              <w:rPr>
                <w:color w:val="auto"/>
              </w:rPr>
              <w:t>, o których mowa w art. 10 ust. 1, art. 13 ust. 1</w:t>
            </w:r>
            <w:r w:rsidRPr="008947C5">
              <w:rPr>
                <w:b/>
                <w:i/>
                <w:color w:val="auto"/>
              </w:rPr>
              <w:t xml:space="preserve"> i</w:t>
            </w:r>
            <w:r w:rsidRPr="008947C5">
              <w:rPr>
                <w:color w:val="auto"/>
              </w:rPr>
              <w:t xml:space="preserve"> art. 14 ust. 1</w:t>
            </w:r>
            <w:r w:rsidRPr="008947C5">
              <w:rPr>
                <w:b/>
                <w:i/>
                <w:color w:val="auto"/>
              </w:rPr>
              <w:t>, podlegają rejestracji. Z tego względu państwa członkowskie są zobowiązane pobierać odciski palców i wykonywać zdjęcie wizerunku twarzy tych osób</w:t>
            </w:r>
            <w:r w:rsidRPr="008947C5">
              <w:rPr>
                <w:color w:val="auto"/>
              </w:rPr>
              <w:t xml:space="preserve"> na potrzeby art. 1 ust. 1 lit. a) i b) niniejszego rozporządzenia oraz nakładają na osoby, których dotyczą dane, wymóg udostępnienia swoich odcisków palców i wizerunku twarzy oraz informują je o tym zgodnie z art. 30 niniejszego rozporządzenia.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Należy położyć nacisk na odsetek rejestracji wynoszący 100 %.</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169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 i wykonywać zdjęcia wizerunku twarzy osób, o których mowa w art. 10 ust. 1, art. 13 ust. 1 oraz art. 14 ust. 1 na potrzeby art. 1 ust. 1 lit. a) i</w:t>
            </w:r>
            <w:r w:rsidRPr="008947C5">
              <w:rPr>
                <w:b/>
                <w:i/>
                <w:color w:val="auto"/>
              </w:rPr>
              <w:t xml:space="preserve"> b</w:t>
            </w:r>
            <w:r w:rsidRPr="008947C5">
              <w:rPr>
                <w:color w:val="auto"/>
              </w:rPr>
              <w:t>) niniejszego rozporządzenia oraz nakładają na osoby, których dotyczą dane, wymóg udostępnienia swoich odcisków palców i wizerunku twarzy oraz informują je o tym zgodnie z art. 30 niniejszego rozporządzenia.</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 i wykonywać zdjęcia wizerunku twarzy osób, o których mowa w art. 10 ust. 1, art. 13 ust. 1 oraz art. 14 ust. 1 na potrzeby art. 1 ust. 1 lit. a)</w:t>
            </w:r>
            <w:r w:rsidRPr="008947C5">
              <w:rPr>
                <w:b/>
                <w:i/>
                <w:color w:val="auto"/>
              </w:rPr>
              <w:t>, b)</w:t>
            </w:r>
            <w:r w:rsidRPr="008947C5">
              <w:rPr>
                <w:color w:val="auto"/>
              </w:rPr>
              <w:t xml:space="preserve"> i</w:t>
            </w:r>
            <w:r w:rsidRPr="008947C5">
              <w:rPr>
                <w:b/>
                <w:i/>
                <w:color w:val="auto"/>
              </w:rPr>
              <w:t xml:space="preserve"> ca</w:t>
            </w:r>
            <w:r w:rsidRPr="008947C5">
              <w:rPr>
                <w:color w:val="auto"/>
              </w:rPr>
              <w:t>) niniejszego rozporządzenia oraz nakładają na osoby, których dotyczą dane, wymóg udostępnienia swoich odcisków palców i wizerunku twarzy oraz informują je o tym zgodnie z art. 30 niniejszego rozporządzenia.</w:t>
            </w:r>
            <w:r w:rsidRPr="008947C5">
              <w:rPr>
                <w:b/>
                <w:i/>
                <w:color w:val="auto"/>
              </w:rPr>
              <w:t xml:space="preserve"> W każdym momencie przy pobieraniu odcisków palców oraz wykonywaniu zdjęcia wizerunku twarzy tych osób państwa członkowskie działają z poszanowaniem ich godności i integralności fizycznej.</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 i wykonywać zdjęcia wizerunku twarzy osób, o których mowa w art. 10 ust. 1, art. 13 ust. 1 oraz art. 14 ust. 1 na potrzeby art. 1 ust. 1 lit. a) i b) niniejszego rozporządzenia oraz nakładają na osoby, których dotyczą dane, wymóg udostępnienia swoich odcisków palców i wizerunku twarzy oraz informują je o tym zgodnie z art. 30 niniejszego rozporządzenia.</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 i wykonywać zdjęcia wizerunku twarzy osób, o których mowa w art. 10 ust. 1, art.</w:t>
            </w:r>
            <w:r w:rsidRPr="008947C5">
              <w:rPr>
                <w:b/>
                <w:i/>
                <w:color w:val="auto"/>
              </w:rPr>
              <w:t xml:space="preserve"> 12a, art.</w:t>
            </w:r>
            <w:r w:rsidRPr="008947C5">
              <w:rPr>
                <w:color w:val="auto"/>
              </w:rPr>
              <w:t xml:space="preserve"> 13 ust. 1 oraz art. 14 ust. 1 na potrzeby art. 1 ust. 1 lit. a) i b) niniejszego rozporządzenia oraz nakładają na osoby, których dotyczą dane, wymóg udostępnienia swoich odcisków palców i wizerunku twarzy oraz informują je o tym zgodnie z art. 30 niniejszego rozporządzenia</w:t>
            </w:r>
            <w:r w:rsidRPr="008947C5">
              <w:rPr>
                <w:b/>
                <w:i/>
                <w:color w:val="auto"/>
              </w:rPr>
              <w:t>, przy poszanowaniu przepisów i gwarancji przewidzianych w załączniku Ia do niniejszego rozporządzenia</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w:t>
            </w:r>
            <w:r w:rsidRPr="008947C5">
              <w:rPr>
                <w:b/>
                <w:i/>
                <w:color w:val="auto"/>
              </w:rPr>
              <w:t xml:space="preserve"> i wykonywać zdjęcia wizerunku twarzy</w:t>
            </w:r>
            <w:r w:rsidRPr="008947C5">
              <w:rPr>
                <w:color w:val="auto"/>
              </w:rPr>
              <w:t xml:space="preserve"> osób, o których mowa w art. 10 ust. 1, art. 13 ust. 1 oraz art. 14 ust. 1 na potrzeby art. 1 ust. 1 lit. a) i b) niniejszego rozporządzenia oraz nakładają na osoby, których dotyczą dane, wymóg udostępnienia swoich odcisków palców</w:t>
            </w:r>
            <w:r w:rsidRPr="008947C5">
              <w:rPr>
                <w:b/>
                <w:i/>
                <w:color w:val="auto"/>
              </w:rPr>
              <w:t xml:space="preserve"> i wizerunku twarzy</w:t>
            </w:r>
            <w:r w:rsidRPr="008947C5">
              <w:rPr>
                <w:color w:val="auto"/>
              </w:rPr>
              <w:t xml:space="preserve"> oraz informują je o tym zgodnie z art. 30 niniejszego rozporządzenia.</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Państwa członkowskie są zobowiązane pobierać odciski palców osób, o których mowa w art. 10 ust. 1, art. 13 ust. 1 oraz art. 14 ust. 1 na potrzeby art. 1 ust. 1 lit. a) i b) niniejszego rozporządzenia oraz nakładają na osoby, których dotyczą dane, wymóg udostępnienia swoich odcisków palców oraz informują je o tym zgodnie z art. 30 niniejszego rozporządzenia.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1a.</w:t>
            </w:r>
            <w:r w:rsidRPr="008947C5">
              <w:rPr>
                <w:b/>
                <w:i/>
                <w:color w:val="auto"/>
              </w:rPr>
              <w:tab/>
              <w:t>Państwa członkowskie odnotowują w SIS przypadki zaginięcia dzieci z miejsc przyjmowania, oznaczając je jako osoby zaginione. Zaginione dzieci zidentyfikowane przez organy państwa członkowskiego na podstawie trafienia zgodnie z art. 26 należy bezzwłocznie zgłaszać właściwym organom krajowym odpowiedzialnym za ochronę dzieci, które przeprowadzają ocenę potrzeb w celu znalezienia trwałego rozwiązania dla dziecka zgodnie z jego najlepszym interesem.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konieczna dla zachowania logiki tekstu, ponieważ chodzi o ochronę dzieci będących ofiarami handlu ludźmi i pomoc w identyfikacji dzieci bez opieki, które giną, znikają lub uciekają, co podkreśliła Komisja Europejska w uzasadnieniu do proponowanego przekształcenia rozporządzenia w sprawie systemu Eurodac. Aby zapewnić zgodność z art. 7, 8 i 24 Karty, przetwarzanie danych biometrycznych dzieci w wieku sześciu lat jest uzasadnione tylko wtedy, gdy wyraźnie wiąże się z celem ochrony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1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1a.</w:t>
            </w:r>
            <w:r w:rsidRPr="008947C5">
              <w:rPr>
                <w:b/>
                <w:i/>
                <w:color w:val="auto"/>
              </w:rPr>
              <w:tab/>
              <w:t>Pobieranie odcisków palców i wykonywanie zdjęć wizerunku twarzy kobiet i dziewcząt przeprowadzają przeszkoleni funkcjonariusze w sposób uwzględniający aspekt płci.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w:t>
            </w:r>
            <w:r w:rsidRPr="008947C5">
              <w:rPr>
                <w:b/>
                <w:i/>
                <w:color w:val="auto"/>
              </w:rPr>
              <w:t xml:space="preserve"> lub</w:t>
            </w:r>
            <w:r w:rsidRPr="008947C5">
              <w:rPr>
                <w:color w:val="auto"/>
              </w:rPr>
              <w:t xml:space="preserve"> demonstracji zaprojektowanych specjalnie w celu wyjaśniania małoletnim procedury pobierania odcisków palców i wykonywania zdjęć wizerunków twarzy; w momencie pobierania odcisków palców i wykonywania zdjęć ich wizerunków twarzy małoletnim towarzyszy</w:t>
            </w:r>
            <w:r w:rsidRPr="008947C5">
              <w:rPr>
                <w:b/>
                <w:i/>
                <w:color w:val="auto"/>
              </w:rPr>
              <w:t xml:space="preserve"> odpowiedzialny za nie dorosły,</w:t>
            </w:r>
            <w:r w:rsidRPr="008947C5">
              <w:rPr>
                <w:color w:val="auto"/>
              </w:rPr>
              <w:t xml:space="preserve"> opiekun</w:t>
            </w:r>
            <w:r w:rsidRPr="008947C5">
              <w:rPr>
                <w:b/>
                <w:i/>
                <w:color w:val="auto"/>
              </w:rPr>
              <w:t xml:space="preserve"> lub przedstawiciel</w:t>
            </w:r>
            <w:r w:rsidRPr="008947C5">
              <w:rPr>
                <w:color w:val="auto"/>
              </w:rPr>
              <w:t>.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w:t>
            </w:r>
            <w:r w:rsidRPr="008947C5">
              <w:rPr>
                <w:b/>
                <w:i/>
                <w:color w:val="auto"/>
              </w:rPr>
              <w:t xml:space="preserve"> i</w:t>
            </w:r>
            <w:r w:rsidRPr="008947C5">
              <w:rPr>
                <w:color w:val="auto"/>
              </w:rPr>
              <w:t xml:space="preserve"> demonstracji zaprojektowanych specjalnie w celu wyjaśniania małoletnim procedury pobierania odcisków palców i wykonywania zdjęć wizerunków twarzy; w momencie pobierania odcisków palców i wykonywania zdjęć ich wizerunków twarzy małoletnim towarzyszy</w:t>
            </w:r>
            <w:r w:rsidRPr="008947C5">
              <w:rPr>
                <w:b/>
                <w:i/>
                <w:color w:val="auto"/>
              </w:rPr>
              <w:t xml:space="preserve"> cały czas</w:t>
            </w:r>
            <w:r w:rsidRPr="008947C5">
              <w:rPr>
                <w:color w:val="auto"/>
              </w:rPr>
              <w:t xml:space="preserve"> opiekun</w:t>
            </w:r>
            <w:r w:rsidRPr="008947C5">
              <w:rPr>
                <w:b/>
                <w:i/>
                <w:color w:val="auto"/>
              </w:rPr>
              <w:t xml:space="preserve"> prawny</w:t>
            </w:r>
            <w:r w:rsidRPr="008947C5">
              <w:rPr>
                <w:color w:val="auto"/>
              </w:rPr>
              <w:t>.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w:t>
            </w:r>
            <w:r w:rsidRPr="008947C5">
              <w:rPr>
                <w:b/>
                <w:i/>
                <w:color w:val="auto"/>
              </w:rPr>
              <w:t>, zwłaszcza do celów ustanowionych w art</w:t>
            </w:r>
            <w:r w:rsidRPr="008947C5">
              <w:rPr>
                <w:color w:val="auto"/>
              </w:rPr>
              <w:t>.</w:t>
            </w:r>
            <w:r w:rsidRPr="008947C5">
              <w:rPr>
                <w:b/>
                <w:i/>
                <w:color w:val="auto"/>
              </w:rPr>
              <w:t xml:space="preserve"> 1 ust. 1 lit. ca).</w:t>
            </w:r>
            <w:r w:rsidRPr="008947C5">
              <w:rPr>
                <w:color w:val="auto"/>
              </w:rPr>
              <w:t xml:space="preserve"> Małoletni jest informowany w</w:t>
            </w:r>
            <w:r w:rsidRPr="008947C5">
              <w:rPr>
                <w:b/>
                <w:i/>
                <w:color w:val="auto"/>
              </w:rPr>
              <w:t xml:space="preserve"> formie pisemnej i ustnej w</w:t>
            </w:r>
            <w:r w:rsidRPr="008947C5">
              <w:rPr>
                <w:color w:val="auto"/>
              </w:rPr>
              <w:t xml:space="preserve"> odpowiedni do jego wieku sposób, z wykorzystaniem ulotek, infografik lub demonstracji zaprojektowanych specjalnie w celu wyjaśniania małoletnim</w:t>
            </w:r>
            <w:r w:rsidRPr="008947C5">
              <w:rPr>
                <w:b/>
                <w:i/>
                <w:color w:val="auto"/>
              </w:rPr>
              <w:t xml:space="preserve"> w języku, który są w stanie zrozumieć,</w:t>
            </w:r>
            <w:r w:rsidRPr="008947C5">
              <w:rPr>
                <w:color w:val="auto"/>
              </w:rPr>
              <w:t xml:space="preserve">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r w:rsidRPr="008947C5">
              <w:rPr>
                <w:b/>
                <w:i/>
                <w:color w:val="auto"/>
              </w:rPr>
              <w:t xml:space="preserve"> Nie dopuszcza się przymusu psychicznego lub fizycznego w celu zmuszenia do pobrania odcisków palców lub wykonania zdjęcia wizerunku twarzy małoletnich lub osób wymagających szczególnego traktowania.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Fabio Massimo Castaldo, Laura Ferrara, Ignazio Corrao</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w:t>
            </w:r>
            <w:r w:rsidRPr="008947C5">
              <w:rPr>
                <w:b/>
                <w:i/>
                <w:color w:val="auto"/>
              </w:rPr>
              <w:t xml:space="preserve"> fizycznej</w:t>
            </w:r>
            <w:r w:rsidRPr="008947C5">
              <w:rPr>
                <w:color w:val="auto"/>
              </w:rPr>
              <w:t xml:space="preserve">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w:t>
            </w:r>
            <w:r w:rsidRPr="008947C5">
              <w:rPr>
                <w:b/>
                <w:i/>
                <w:color w:val="auto"/>
              </w:rPr>
              <w:t xml:space="preserve"> wyłącznie</w:t>
            </w:r>
            <w:r w:rsidRPr="008947C5">
              <w:rPr>
                <w:color w:val="auto"/>
              </w:rPr>
              <w:t xml:space="preserve"> w</w:t>
            </w:r>
            <w:r w:rsidRPr="008947C5">
              <w:rPr>
                <w:b/>
                <w:i/>
                <w:color w:val="auto"/>
              </w:rPr>
              <w:t xml:space="preserve"> nadrzędnym interesie dziecka i zgodnie z zasadami zawartymi w Konwencji ONZ o prawach dziecka z 1989 r., w</w:t>
            </w:r>
            <w:r w:rsidRPr="008947C5">
              <w:rPr>
                <w:color w:val="auto"/>
              </w:rPr>
              <w:t xml:space="preserve">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w:t>
            </w:r>
            <w:r w:rsidRPr="008947C5">
              <w:rPr>
                <w:b/>
                <w:i/>
                <w:color w:val="auto"/>
              </w:rPr>
              <w:t xml:space="preserve"> oraz fizycznej</w:t>
            </w:r>
            <w:r w:rsidRPr="008947C5">
              <w:rPr>
                <w:color w:val="auto"/>
              </w:rPr>
              <w:t xml:space="preserve"> i</w:t>
            </w:r>
            <w:r w:rsidRPr="008947C5">
              <w:rPr>
                <w:b/>
                <w:i/>
                <w:color w:val="auto"/>
              </w:rPr>
              <w:t xml:space="preserve"> psychicznej</w:t>
            </w:r>
            <w:r w:rsidRPr="008947C5">
              <w:rPr>
                <w:color w:val="auto"/>
              </w:rPr>
              <w:t xml:space="preserve">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w:t>
            </w:r>
            <w:r w:rsidRPr="008947C5">
              <w:rPr>
                <w:b/>
                <w:i/>
                <w:color w:val="auto"/>
              </w:rPr>
              <w:t>, wyłącznie do celów ustanowionych w art</w:t>
            </w:r>
            <w:r w:rsidRPr="008947C5">
              <w:rPr>
                <w:color w:val="auto"/>
              </w:rPr>
              <w:t>.</w:t>
            </w:r>
            <w:r w:rsidRPr="008947C5">
              <w:rPr>
                <w:b/>
                <w:i/>
                <w:color w:val="auto"/>
              </w:rPr>
              <w:t xml:space="preserve"> 1 ust. 1 lit. a) i ca).</w:t>
            </w:r>
            <w:r w:rsidRPr="008947C5">
              <w:rPr>
                <w:color w:val="auto"/>
              </w:rPr>
              <w:t xml:space="preserve">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Hilde Vautmans,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w:t>
            </w:r>
            <w:r w:rsidRPr="008947C5">
              <w:rPr>
                <w:b/>
                <w:i/>
                <w:color w:val="auto"/>
              </w:rPr>
              <w:t xml:space="preserve"> oraz adekwatnie do płci</w:t>
            </w:r>
            <w:r w:rsidRPr="008947C5">
              <w:rPr>
                <w:color w:val="auto"/>
              </w:rPr>
              <w:t>, przez urzędników wyszkolonych specjalnie do celów rejestrowania odcisków palców małoletnich i ich wizerunków twarzy. Małoletni jest informowany</w:t>
            </w:r>
            <w:r w:rsidRPr="008947C5">
              <w:rPr>
                <w:b/>
                <w:i/>
                <w:color w:val="auto"/>
              </w:rPr>
              <w:t xml:space="preserve"> ustnie,</w:t>
            </w:r>
            <w:r w:rsidRPr="008947C5">
              <w:rPr>
                <w:color w:val="auto"/>
              </w:rPr>
              <w:t xml:space="preserve"> w</w:t>
            </w:r>
            <w:r w:rsidRPr="008947C5">
              <w:rPr>
                <w:b/>
                <w:i/>
                <w:color w:val="auto"/>
              </w:rPr>
              <w:t xml:space="preserve"> języku, który może zrozumieć, w</w:t>
            </w:r>
            <w:r w:rsidRPr="008947C5">
              <w:rPr>
                <w:color w:val="auto"/>
              </w:rPr>
              <w:t xml:space="preserve">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179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Anna Maria Corazza Bildt, Damiano Zoffoli, Barbara Matera, Petras Auštrevičius, Beatriz Becerra Basterrechea, Carlos Coelho, Hilde Vautmans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w:t>
            </w:r>
            <w:r w:rsidRPr="008947C5">
              <w:rPr>
                <w:b/>
                <w:i/>
                <w:color w:val="auto"/>
              </w:rPr>
              <w:t xml:space="preserve"> w języku, który są w stanie zrozumieć,</w:t>
            </w:r>
            <w:r w:rsidRPr="008947C5">
              <w:rPr>
                <w:color w:val="auto"/>
              </w:rPr>
              <w:t xml:space="preserve">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 szóstego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w:t>
            </w:r>
            <w:r w:rsidRPr="008947C5">
              <w:rPr>
                <w:b/>
                <w:i/>
                <w:color w:val="auto"/>
              </w:rPr>
              <w:t xml:space="preserve"> formie pisemnej, ustnej lub w obu tych formach, w</w:t>
            </w:r>
            <w:r w:rsidRPr="008947C5">
              <w:rPr>
                <w:color w:val="auto"/>
              </w:rPr>
              <w:t xml:space="preserve">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Christine Revault D'Allonnes Bonnefoy, Sylvie Guillaume</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w:t>
            </w:r>
            <w:r w:rsidRPr="008947C5">
              <w:rPr>
                <w:b/>
                <w:i/>
                <w:color w:val="auto"/>
              </w:rPr>
              <w:t xml:space="preserve"> szóstego</w:t>
            </w:r>
            <w:r w:rsidRPr="008947C5">
              <w:rPr>
                <w:color w:val="auto"/>
              </w:rPr>
              <w:t xml:space="preserve">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Pobieranie odcisków palców od małoletnich od</w:t>
            </w:r>
            <w:r w:rsidRPr="008947C5">
              <w:rPr>
                <w:b/>
                <w:i/>
                <w:color w:val="auto"/>
              </w:rPr>
              <w:t xml:space="preserve"> czternastego</w:t>
            </w:r>
            <w:r w:rsidRPr="008947C5">
              <w:rPr>
                <w:color w:val="auto"/>
              </w:rPr>
              <w:t xml:space="preserve"> roku życia oraz wykonywanie zdjęć ich wizerunków twarzy jest przeprowadzane w sposób przyjazny dla dziecka i z wyczuciem jego potrzeb, przez urzędników wyszkolonych specjalnie do celów rejestrowania odcisków palców małoletnich i ich wizerunków twarzy. Małoletni jest informowany w odpowiedni do jego wieku sposób, z wykorzystaniem ulotek, infografik lub demonstracji zaprojektowanych specjalnie w celu wyjaśniania małoletnim procedury pobierania odcisków palców i wykonywania zdjęć wizerunków twarzy; w momencie pobierania odcisków palców i wykonywania zdjęć ich wizerunków twarzy małoletnim towarzyszy odpowiedzialny za nie dorosły, opiekun lub przedstawiciel. W każdym momencie procedury pobierania odcisków palców oraz wykonywania zdjęcia wizerunku twarzy państwa członkowskie muszą działać z poszanowaniem godności i fizycznej integralności małoletnich.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t>Państwa członkowskie mogą wprowadzać sankcje administracyjne, zgodnie ze swoimi przepisami krajowymi, za niepoddawanie</w:t>
            </w:r>
            <w:r w:rsidRPr="008947C5">
              <w:rPr>
                <w:color w:val="auto"/>
              </w:rPr>
              <w:t xml:space="preserve"> się procedurze pobierania odcisków palców</w:t>
            </w:r>
            <w:r w:rsidRPr="008947C5">
              <w:rPr>
                <w:b/>
                <w:i/>
                <w:color w:val="auto"/>
              </w:rPr>
              <w:t xml:space="preserve"> i wykonywania zdjęcia wizerunku twarzy</w:t>
            </w:r>
            <w:r w:rsidRPr="008947C5">
              <w:rPr>
                <w:color w:val="auto"/>
              </w:rPr>
              <w:t xml:space="preserve"> na podstawie ust. 1 niniejszego artykułu.</w:t>
            </w:r>
            <w:r w:rsidRPr="008947C5">
              <w:rPr>
                <w:b/>
                <w:i/>
                <w:color w:val="auto"/>
              </w:rPr>
              <w:t xml:space="preserve"> Sankcje są skuteczne, proporcjonalne i odstraszające. W tym kontekście zatrzymanie powinno być stosowane jedynie w ostateczności, w celu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t>W przypadku niepoddawania</w:t>
            </w:r>
            <w:r w:rsidRPr="008947C5">
              <w:rPr>
                <w:color w:val="auto"/>
              </w:rPr>
              <w:t xml:space="preserve"> się procedurze pobierania odcisków palców na podstawie ust. 1 niniejszego artykułu</w:t>
            </w:r>
            <w:r w:rsidRPr="008947C5">
              <w:rPr>
                <w:b/>
                <w:i/>
                <w:color w:val="auto"/>
              </w:rPr>
              <w:t xml:space="preserve"> państwa członkowskie podejmują dalsze działania z zakresu doradztwa i udzielania informacji o procedurze pobierania odcisków palców, prawach zainteresowanej osoby i ewentualnych konsekwencjach niepoddania się procedurze</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w:t>
            </w:r>
            <w:r w:rsidRPr="008947C5">
              <w:rPr>
                <w:b/>
                <w:i/>
                <w:color w:val="auto"/>
              </w:rPr>
              <w:t xml:space="preserve"> mogą wprowadzać sankcje administracyjne, zgodnie ze swoimi przepisami krajowymi,</w:t>
            </w:r>
            <w:r w:rsidRPr="008947C5">
              <w:rPr>
                <w:color w:val="auto"/>
              </w:rPr>
              <w:t xml:space="preserve"> za niepoddawanie się procedurze pobierania odcisków palców i wykonywania zdjęcia wizerunku twarzy na podstawie ust. 1 niniejszego artykułu.</w:t>
            </w:r>
            <w:r w:rsidRPr="008947C5">
              <w:rPr>
                <w:b/>
                <w:i/>
                <w:color w:val="auto"/>
              </w:rPr>
              <w:t xml:space="preserve"> Sankcje są skuteczne, proporcjonalne i odstraszające. W tym kontekście zatrzymanie powinno być stosowane jedynie w ostateczności, w celu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w:t>
            </w:r>
            <w:r w:rsidRPr="008947C5">
              <w:rPr>
                <w:b/>
                <w:i/>
                <w:color w:val="auto"/>
              </w:rPr>
              <w:t xml:space="preserve"> nie wprowadzają sankcji administracyjnych</w:t>
            </w:r>
            <w:r w:rsidRPr="008947C5">
              <w:rPr>
                <w:color w:val="auto"/>
              </w:rPr>
              <w:t xml:space="preserve"> za niepoddawanie się procedurze pobierania odcisków palców i wykonywania zdjęcia wizerunku twarzy na podstawie ust. 1 niniejszego artykułu.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w:t>
            </w:r>
            <w:r w:rsidRPr="008947C5">
              <w:rPr>
                <w:b/>
                <w:i/>
                <w:color w:val="auto"/>
              </w:rPr>
              <w:t xml:space="preserve"> mogą wprowadzać</w:t>
            </w:r>
            <w:r w:rsidRPr="008947C5">
              <w:rPr>
                <w:color w:val="auto"/>
              </w:rPr>
              <w:t xml:space="preserve"> sankcje administracyjne, zgodnie ze swoimi przepisami krajowymi, za niepoddawanie się procedurze pobierania</w:t>
            </w:r>
            <w:r w:rsidRPr="008947C5">
              <w:rPr>
                <w:b/>
                <w:i/>
                <w:color w:val="auto"/>
              </w:rPr>
              <w:t xml:space="preserve"> odcisków palców i wykonywania zdjęcia wizerunku twarzy na podstawie ust</w:t>
            </w:r>
            <w:r w:rsidRPr="008947C5">
              <w:rPr>
                <w:color w:val="auto"/>
              </w:rPr>
              <w:t>.</w:t>
            </w:r>
            <w:r w:rsidRPr="008947C5">
              <w:rPr>
                <w:b/>
                <w:i/>
                <w:color w:val="auto"/>
              </w:rPr>
              <w:t xml:space="preserve"> 1 niniejszego artykułu.</w:t>
            </w:r>
            <w:r w:rsidRPr="008947C5">
              <w:rPr>
                <w:color w:val="auto"/>
              </w:rPr>
              <w:t xml:space="preserve"> Sankcje są skuteczne, proporcjonalne i odstraszające. W tym kontekście zatrzymanie powinno być stosowane jedynie w ostateczności, w celu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t>W celu osiągnięcia poziomu pełnej rejestracji wszystkich osób zgodnie z ust. 1</w:t>
            </w:r>
            <w:r w:rsidRPr="008947C5">
              <w:rPr>
                <w:color w:val="auto"/>
              </w:rPr>
              <w:t xml:space="preserve"> państwa członkowskie</w:t>
            </w:r>
            <w:r w:rsidRPr="008947C5">
              <w:rPr>
                <w:b/>
                <w:i/>
                <w:color w:val="auto"/>
              </w:rPr>
              <w:t xml:space="preserve"> wprowadzają</w:t>
            </w:r>
            <w:r w:rsidRPr="008947C5">
              <w:rPr>
                <w:color w:val="auto"/>
              </w:rPr>
              <w:t xml:space="preserve"> sankcje administracyjne, zgodnie ze swoimi przepisami krajowymi, za niepoddawanie się procedurze pobierania</w:t>
            </w:r>
            <w:r w:rsidRPr="008947C5">
              <w:rPr>
                <w:b/>
                <w:i/>
                <w:color w:val="auto"/>
              </w:rPr>
              <w:t xml:space="preserve"> danych biometrycznych</w:t>
            </w:r>
            <w:r w:rsidRPr="008947C5">
              <w:rPr>
                <w:color w:val="auto"/>
              </w:rPr>
              <w:t>.</w:t>
            </w:r>
            <w:r w:rsidRPr="008947C5">
              <w:rPr>
                <w:b/>
                <w:i/>
                <w:color w:val="auto"/>
              </w:rPr>
              <w:t xml:space="preserve"> Państwa członkowskie zapewniają, aby takim osobom zagwarantowane było doradztwo w celu przekonania ich do współpracy w ramach procedury.</w:t>
            </w:r>
            <w:r w:rsidRPr="008947C5">
              <w:rPr>
                <w:color w:val="auto"/>
              </w:rPr>
              <w:t xml:space="preserve"> Sankcje</w:t>
            </w:r>
            <w:r w:rsidRPr="008947C5">
              <w:rPr>
                <w:b/>
                <w:i/>
                <w:color w:val="auto"/>
              </w:rPr>
              <w:t>, w tym możliwość zastosowania środków przymusu,</w:t>
            </w:r>
            <w:r w:rsidRPr="008947C5">
              <w:rPr>
                <w:color w:val="auto"/>
              </w:rPr>
              <w:t xml:space="preserve"> są skuteczne, proporcjonalne i odstraszające. W tym kontekście zatrzymanie powinno być stosowane jedynie w ostateczności, w celu określenia lub zweryfikowania tożsamości obywatela państwa trzeciego.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Koncentracja na odsetku rejestracji wynoszącym 100 %.</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 mogą wprowadzać sankcje administracyjne, zgodnie ze swoimi przepisami krajowymi, za niepoddawanie się procedurze pobierania odcisków palców i wykonywania zdjęcia wizerunku twarzy na podstawie ust. 1 niniejszego artykułu. Sankcje są skuteczne, proporcjonalne i odstraszające. W tym kontekście zatrzymanie powinno być stosowane jedynie w ostateczności,</w:t>
            </w:r>
            <w:r w:rsidRPr="008947C5">
              <w:rPr>
                <w:b/>
                <w:i/>
                <w:color w:val="auto"/>
              </w:rPr>
              <w:t xml:space="preserve"> w celu</w:t>
            </w:r>
            <w:r w:rsidRPr="008947C5">
              <w:rPr>
                <w:color w:val="auto"/>
              </w:rPr>
              <w:t xml:space="preserve">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t>W stosownych przypadkach</w:t>
            </w:r>
            <w:r w:rsidRPr="008947C5">
              <w:rPr>
                <w:color w:val="auto"/>
              </w:rPr>
              <w:t xml:space="preserve"> państwa członkowskie mogą wprowadzać</w:t>
            </w:r>
            <w:r w:rsidRPr="008947C5">
              <w:rPr>
                <w:b/>
                <w:i/>
                <w:color w:val="auto"/>
              </w:rPr>
              <w:t xml:space="preserve"> należycie uzasadnione</w:t>
            </w:r>
            <w:r w:rsidRPr="008947C5">
              <w:rPr>
                <w:color w:val="auto"/>
              </w:rPr>
              <w:t xml:space="preserve"> sankcje administracyjne, zgodnie ze swoimi przepisami krajowymi</w:t>
            </w:r>
            <w:r w:rsidRPr="008947C5">
              <w:rPr>
                <w:b/>
                <w:i/>
                <w:color w:val="auto"/>
              </w:rPr>
              <w:t xml:space="preserve"> i przy pełnym poszanowaniu Karty praw podstawowych Unii Europejskiej</w:t>
            </w:r>
            <w:r w:rsidRPr="008947C5">
              <w:rPr>
                <w:color w:val="auto"/>
              </w:rPr>
              <w:t>, za niepoddawanie się procedurze pobierania odcisków palców i wykonywania zdjęcia wizerunku twarzy na podstawie ust. 1 niniejszego artykułu. Sankcje są skuteczne, proporcjonalne i odstraszające. W tym kontekście zatrzymanie</w:t>
            </w:r>
            <w:r w:rsidRPr="008947C5">
              <w:rPr>
                <w:b/>
                <w:i/>
                <w:color w:val="auto"/>
              </w:rPr>
              <w:t>, na możliwie jak najkrótszy konieczny okres,</w:t>
            </w:r>
            <w:r w:rsidRPr="008947C5">
              <w:rPr>
                <w:color w:val="auto"/>
              </w:rPr>
              <w:t xml:space="preserve"> powinno być stosowane jedynie w ostateczności,</w:t>
            </w:r>
            <w:r w:rsidRPr="008947C5">
              <w:rPr>
                <w:b/>
                <w:i/>
                <w:color w:val="auto"/>
              </w:rPr>
              <w:t xml:space="preserve"> po wykorzystaniu skutecznych środków doradczych, jeżeli nie ma innej możliwości</w:t>
            </w:r>
            <w:r w:rsidRPr="008947C5">
              <w:rPr>
                <w:color w:val="auto"/>
              </w:rPr>
              <w:t xml:space="preserve"> określenia lub zweryfikowania tożsamości obywatela państwa trzeciego</w:t>
            </w:r>
            <w:r w:rsidRPr="008947C5">
              <w:rPr>
                <w:b/>
                <w:i/>
                <w:color w:val="auto"/>
              </w:rPr>
              <w:t xml:space="preserve"> lub bezpaństwowca i występuje ryzyko ucieczki</w:t>
            </w:r>
            <w:r w:rsidRPr="008947C5">
              <w:rPr>
                <w:color w:val="auto"/>
              </w:rPr>
              <w:t>.</w:t>
            </w:r>
            <w:r w:rsidRPr="008947C5">
              <w:rPr>
                <w:b/>
                <w:i/>
                <w:color w:val="auto"/>
              </w:rPr>
              <w:t xml:space="preserve"> Zatrzymanie osób małoletnich jest zabronione.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Lorenzo Fontana</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 mogą wprowadzać sankcje administracyjne, zgodnie ze swoimi przepisami krajowymi, za niepoddawanie się procedurze pobierania odcisków palców i wykonywania zdjęcia wizerunku twarzy na podstawie ust. 1 niniejszego artykułu. Sankcje są skuteczne, proporcjonalne i odstraszające. W tym kontekście zatrzymanie powinno być stosowane</w:t>
            </w:r>
            <w:r w:rsidRPr="008947C5">
              <w:rPr>
                <w:b/>
                <w:i/>
                <w:color w:val="auto"/>
              </w:rPr>
              <w:t xml:space="preserve"> jedynie</w:t>
            </w:r>
            <w:r w:rsidRPr="008947C5">
              <w:rPr>
                <w:color w:val="auto"/>
              </w:rPr>
              <w:t xml:space="preserve"> w</w:t>
            </w:r>
            <w:r w:rsidRPr="008947C5">
              <w:rPr>
                <w:b/>
                <w:i/>
                <w:color w:val="auto"/>
              </w:rPr>
              <w:t xml:space="preserve"> ostateczności, w</w:t>
            </w:r>
            <w:r w:rsidRPr="008947C5">
              <w:rPr>
                <w:color w:val="auto"/>
              </w:rPr>
              <w:t xml:space="preserve"> celu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 mogą wprowadzać sankcje administracyjne, zgodnie ze swoimi przepisami krajowymi, za niepoddawanie się procedurze pobierania odcisków palców i wykonywania zdjęcia wizerunku twarzy na podstawie ust. 1 niniejszego artykułu. Sankcje są skuteczne, proporcjonalne i odstraszające. W tym kontekście zatrzymanie powinno być stosowane w celu określenia lub zweryfikowania tożsamości obywatela państwa trzeciego.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 mogą wprowadzać sankcje administracyjne, zgodnie ze swoimi przepisami krajowymi, za niepoddawanie się procedurze pobierania odcisków palców i wykonywania zdjęcia wizerunku twarzy na podstawie ust. 1 niniejszego artykułu. Sankcje są skuteczne, proporcjonalne i odstraszające. W tym kontekście zatrzymanie powinno być stosowane jedynie w ostateczności, w celu określenia lub zweryfikowania tożsamości obywatela państwa trzeciego.</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Państwa członkowskie mogą wprowadzać sankcje administracyjne, zgodnie ze swoimi przepisami krajowymi, za niepoddawanie się procedurze pobierania odcisków palców i wykonywania zdjęcia wizerunku twarzy na podstawie ust. 1 niniejszego artykułu. Sankcje są skuteczne, proporcjonalne i odstraszające. W tym kontekście zatrzymanie powinno być stosowane jedynie w ostateczności, w celu określenia lub zweryfikowania tożsamości obywatela państwa trzeciego.</w:t>
            </w:r>
            <w:r w:rsidRPr="008947C5">
              <w:rPr>
                <w:b/>
                <w:i/>
                <w:color w:val="auto"/>
              </w:rPr>
              <w:t xml:space="preserve"> W każdym indywidualnym przypadku przeprowadza się ocenę w celu ustalenia, czy spełnione zostały wszystkie warunki wymagane do zapobiegania arbitralnemu zatrzymaniu.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w:t>
            </w:r>
            <w:r w:rsidRPr="008947C5">
              <w:rPr>
                <w:b/>
                <w:i/>
                <w:color w:val="auto"/>
              </w:rPr>
              <w:t xml:space="preserve"> Państwo członkowskie może podjąć próbę ponownego pobrania odcisków palców lub wykonania zdjęcia wizerunku twarzy osoby małoletniej lub osoby wymagającej szczególnego traktowania, która odmawia poddania się procedurze,</w:t>
            </w:r>
            <w:r w:rsidRPr="008947C5">
              <w:rPr>
                <w:color w:val="auto"/>
              </w:rPr>
              <w:t xml:space="preserve"> jeżeli</w:t>
            </w:r>
            <w:r w:rsidRPr="008947C5">
              <w:rPr>
                <w:b/>
                <w:i/>
                <w:color w:val="auto"/>
              </w:rPr>
              <w:t xml:space="preserve"> powód niepoddania się procedurze nie jest powiązany ze stanem opuszków palców lub wizerunku twarzy bądź ze stanem zdrowia danej osoby, oraz jeżeli jest to należycie uzasadnione. Jeżeli</w:t>
            </w:r>
            <w:r w:rsidRPr="008947C5">
              <w:rPr>
                <w:color w:val="auto"/>
              </w:rPr>
              <w:t xml:space="preserve"> małoletni, zwłaszcza małoletni bez opieki lub odłączony od rodziny odmawia udostępnienia swoich odcisków palców lub wizerunku twarzy,</w:t>
            </w:r>
            <w:r w:rsidRPr="008947C5">
              <w:rPr>
                <w:b/>
                <w:i/>
                <w:color w:val="auto"/>
              </w:rPr>
              <w:t xml:space="preserve"> oraz jeżeli istnieją uzasadnione powody, by podejrzewać, że bezpieczeństwo lub ochrona dziecka są zagrożone,</w:t>
            </w:r>
            <w:r w:rsidRPr="008947C5">
              <w:rPr>
                <w:color w:val="auto"/>
              </w:rPr>
              <w:t xml:space="preserve"> małoletni jest przekazywany krajowym organom ochrony dziecka</w:t>
            </w:r>
            <w:r w:rsidRPr="008947C5">
              <w:rPr>
                <w:b/>
                <w:i/>
                <w:color w:val="auto"/>
              </w:rPr>
              <w:t xml:space="preserve"> lub</w:t>
            </w:r>
            <w:r w:rsidRPr="008947C5">
              <w:rPr>
                <w:color w:val="auto"/>
              </w:rPr>
              <w:t xml:space="preserve">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Jeżeli małoletni, zwłaszcza małoletni bez opieki lub odłączony od rodziny odmawia udostępnienia swoich odcisków palców lub wizerunku twarzy, małoletni jest przekazywany krajowym organom ochrony dziecka</w:t>
            </w:r>
            <w:r w:rsidRPr="008947C5">
              <w:rPr>
                <w:b/>
                <w:i/>
                <w:color w:val="auto"/>
              </w:rPr>
              <w:t>, jest</w:t>
            </w:r>
            <w:r w:rsidRPr="008947C5">
              <w:rPr>
                <w:color w:val="auto"/>
              </w:rPr>
              <w:t xml:space="preserve"> kierowany do krajowego mechanizmu odsyłania</w:t>
            </w:r>
            <w:r w:rsidRPr="008947C5">
              <w:rPr>
                <w:b/>
                <w:i/>
                <w:color w:val="auto"/>
              </w:rPr>
              <w:t xml:space="preserve"> lub obejmowany dwiema tymi procedurami</w:t>
            </w:r>
            <w:r w:rsidRPr="008947C5">
              <w:rPr>
                <w:color w:val="auto"/>
              </w:rPr>
              <w:t>.</w:t>
            </w:r>
            <w:r w:rsidRPr="008947C5">
              <w:rPr>
                <w:b/>
                <w:i/>
                <w:color w:val="auto"/>
              </w:rPr>
              <w:t xml:space="preserve"> Krajowe organy ochrony dziecka, inne odpowiednie krajowe mechanizmy odsyłania lub obie te służby przeprowadzają specjalną ocenę potrzeb w celu znalezienia trwałego rozwiązania dla dziecka zgodnie z jego najlepszym interesem.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konieczna dla zachowania logiki tekstu, ponieważ chodzi o ochronę dzieci będących ofiarami handlu ludźmi i pomoc w identyfikacji dzieci bez opieki, które giną, znikają lub uciekają, co podkreśliła Komisja Europejska w uzasadnieniu do proponowanego przekształcenia rozporządzenia w sprawie systemu Eurodac. Aby zapewnić zgodność z art. 7, 8 i 24 Karty, przetwarzanie danych biometrycznych dzieci w wieku sześciu lat jest uzasadnione tylko wtedy, gdy wyraźnie wiąże się z celem ochrony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189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t>Nie naruszając ust. 3 niniejszego artykułu, w sytuacji gdy zarejestrowanie odcisków palców lub wykonanie zdjęcia wizerunku twarzy nie jest możliwe w odniesieniu do obywatela</w:t>
            </w:r>
            <w:r w:rsidRPr="008947C5">
              <w:rPr>
                <w:color w:val="auto"/>
              </w:rPr>
              <w:t xml:space="preserve"> państwa</w:t>
            </w:r>
            <w:r w:rsidRPr="008947C5">
              <w:rPr>
                <w:b/>
                <w:i/>
                <w:color w:val="auto"/>
              </w:rPr>
              <w:t xml:space="preserve"> trzeciego uznawanego za osobę wymagającą szczególnego traktowania lub małoletniego ze względu na stan opuszków palców lub twarzy, organy danego państwa członkowskiego</w:t>
            </w:r>
            <w:r w:rsidRPr="008947C5">
              <w:rPr>
                <w:color w:val="auto"/>
              </w:rPr>
              <w:t xml:space="preserve"> nie stosują sankcji i nie wykorzystują przymusu w celu pobrania odcisków palców</w:t>
            </w:r>
            <w:r w:rsidRPr="008947C5">
              <w:rPr>
                <w:b/>
                <w:i/>
                <w:color w:val="auto"/>
              </w:rPr>
              <w:t xml:space="preserve"> lub wykonania zdjęcia wizerunku twarzy</w:t>
            </w:r>
            <w:r w:rsidRPr="008947C5">
              <w:rPr>
                <w:color w:val="auto"/>
              </w:rPr>
              <w:t>. Państwo członkowskie może podjąć próbę ponownego pobrania odcisków palców</w:t>
            </w:r>
            <w:r w:rsidRPr="008947C5">
              <w:rPr>
                <w:b/>
                <w:i/>
                <w:color w:val="auto"/>
              </w:rPr>
              <w:t xml:space="preserve"> lub wykonania zdjęcia wizerunku twarzy</w:t>
            </w:r>
            <w:r w:rsidRPr="008947C5">
              <w:rPr>
                <w:color w:val="auto"/>
              </w:rPr>
              <w:t xml:space="preserve"> osoby</w:t>
            </w:r>
            <w:r w:rsidRPr="008947C5">
              <w:rPr>
                <w:b/>
                <w:i/>
                <w:color w:val="auto"/>
              </w:rPr>
              <w:t xml:space="preserve"> małoletniej lub osoby wymagającej szczególnego traktowania</w:t>
            </w:r>
            <w:r w:rsidRPr="008947C5">
              <w:rPr>
                <w:color w:val="auto"/>
              </w:rPr>
              <w:t>, która odmawia poddania się procedurze, jeżeli powód niepoddania się procedurze nie jest powiązany ze stanem opuszków palców</w:t>
            </w:r>
            <w:r w:rsidRPr="008947C5">
              <w:rPr>
                <w:b/>
                <w:i/>
                <w:color w:val="auto"/>
              </w:rPr>
              <w:t xml:space="preserve"> lub wizerunku twarzy</w:t>
            </w:r>
            <w:r w:rsidRPr="008947C5">
              <w:rPr>
                <w:color w:val="auto"/>
              </w:rPr>
              <w:t xml:space="preserve">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Państwa</w:t>
            </w:r>
            <w:r w:rsidRPr="008947C5">
              <w:rPr>
                <w:b/>
                <w:i/>
                <w:color w:val="auto"/>
              </w:rPr>
              <w:t xml:space="preserve"> członkowskie</w:t>
            </w:r>
            <w:r w:rsidRPr="008947C5">
              <w:rPr>
                <w:color w:val="auto"/>
              </w:rPr>
              <w:t xml:space="preserve"> nie stosują sankcji i nie wykorzystują przymusu w celu pobrania odcisków palców. Państwo członkowskie może podjąć próbę ponownego pobrania odcisków palców</w:t>
            </w:r>
            <w:r w:rsidRPr="008947C5">
              <w:rPr>
                <w:b/>
                <w:i/>
                <w:color w:val="auto"/>
              </w:rPr>
              <w:t xml:space="preserve"> od</w:t>
            </w:r>
            <w:r w:rsidRPr="008947C5">
              <w:rPr>
                <w:color w:val="auto"/>
              </w:rPr>
              <w:t xml:space="preserve"> osoby, która odmawia poddania się procedurze, jeżeli powód niepoddania się procedurze nie jest powiązany ze stanem opuszków palców bądź ze stanem zdrowia danej osoby, oraz jeżeli jest to należycie uzasadnione</w:t>
            </w:r>
            <w:r w:rsidRPr="008947C5">
              <w:rPr>
                <w:b/>
                <w:i/>
                <w:color w:val="auto"/>
              </w:rPr>
              <w:t>, i przeprowadza procedurę w sposób dostosowany do wieku zgodnie z art</w:t>
            </w:r>
            <w:r w:rsidRPr="008947C5">
              <w:rPr>
                <w:color w:val="auto"/>
              </w:rPr>
              <w:t>.</w:t>
            </w:r>
            <w:r w:rsidRPr="008947C5">
              <w:rPr>
                <w:b/>
                <w:i/>
                <w:color w:val="auto"/>
              </w:rPr>
              <w:t xml:space="preserve"> 2 ust. 2.</w:t>
            </w:r>
            <w:r w:rsidRPr="008947C5">
              <w:rPr>
                <w:color w:val="auto"/>
              </w:rPr>
              <w:t xml:space="preserve"> Jeżeli małoletni, zwłaszcza małoletni bez opieki lub odłączony od rodziny odmawia udostępnienia swoich odcisków palców lub wizerunku twarzy, oraz jeżeli istnieją uzasadnione powody, by podejrzewać, że bezpieczeństwo lub ochrona dziecka są zagrożone,</w:t>
            </w:r>
            <w:r w:rsidRPr="008947C5">
              <w:rPr>
                <w:b/>
                <w:i/>
                <w:color w:val="auto"/>
              </w:rPr>
              <w:t xml:space="preserve"> po przeprowadzeniu oceny przez funkcjonariusza przeszkolonego do pracy z małoletnimi,</w:t>
            </w:r>
            <w:r w:rsidRPr="008947C5">
              <w:rPr>
                <w:color w:val="auto"/>
              </w:rPr>
              <w:t xml:space="preserve"> małoletni jest przekazywany krajowym organom ochrony dziecka lub kierowany do krajowego mechanizmu odsyłania.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Anna Maria Corazza Bildt, Damiano Zoffoli, Barbara Matera, Petras Auštrevičius, Beatriz Becerra Basterrechea, Carlos Coelho, Hilde Vautmans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w:t>
            </w:r>
            <w:r w:rsidRPr="008947C5">
              <w:rPr>
                <w:b/>
                <w:i/>
                <w:color w:val="auto"/>
              </w:rPr>
              <w:t xml:space="preserve"> oraz jeżeli istnieją uzasadnione powody, by podejrzewać, że bezpieczeństwo lub ochrona dziecka są zagrożone,</w:t>
            </w:r>
            <w:r w:rsidRPr="008947C5">
              <w:rPr>
                <w:color w:val="auto"/>
              </w:rPr>
              <w:t xml:space="preserve"> małoletni jest przekazywany krajowym organom ochrony dziecka lub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małoletni jest przekazywany krajowym organom ochrony dziecka lub kierowany do krajowego mechanizmu odsyłania.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w:t>
            </w:r>
            <w:r w:rsidRPr="008947C5">
              <w:rPr>
                <w:b/>
                <w:i/>
                <w:color w:val="auto"/>
              </w:rPr>
              <w:t xml:space="preserve"> lub bezpaństwowca</w:t>
            </w:r>
            <w:r w:rsidRPr="008947C5">
              <w:rPr>
                <w:color w:val="auto"/>
              </w:rPr>
              <w:t xml:space="preserve">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w:t>
            </w:r>
            <w:r w:rsidRPr="008947C5">
              <w:rPr>
                <w:b/>
                <w:i/>
                <w:color w:val="auto"/>
              </w:rPr>
              <w:t xml:space="preserve"> ani nie stosują przymusu psychicznego lub fizycznego</w:t>
            </w:r>
            <w:r w:rsidRPr="008947C5">
              <w:rPr>
                <w:color w:val="auto"/>
              </w:rPr>
              <w:t>.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w:t>
            </w:r>
            <w:r w:rsidRPr="008947C5">
              <w:rPr>
                <w:b/>
                <w:i/>
                <w:color w:val="auto"/>
              </w:rPr>
              <w:t xml:space="preserve"> lub bezpaństwowca</w:t>
            </w:r>
            <w:r w:rsidRPr="008947C5">
              <w:rPr>
                <w:color w:val="auto"/>
              </w:rPr>
              <w:t xml:space="preserve"> uznawanego za osobę wymagającą szczególnego traktowania lub małoletniego ze względu na stan opuszków palców lub twarzy, organy danego państwa członkowskiego nie stosują sankcji i nie wykorzystują przymusu w celu pobrania odcisków palców lub wykonania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Lorenzo Fontana</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w:t>
            </w:r>
            <w:r w:rsidRPr="008947C5">
              <w:rPr>
                <w:b/>
                <w:i/>
                <w:color w:val="auto"/>
              </w:rPr>
              <w:t xml:space="preserve"> i nie wykorzystują przymusu w celu pobrania</w:t>
            </w:r>
            <w:r w:rsidRPr="008947C5">
              <w:rPr>
                <w:color w:val="auto"/>
              </w:rPr>
              <w:t xml:space="preserve"> odcisków palców lub</w:t>
            </w:r>
            <w:r w:rsidRPr="008947C5">
              <w:rPr>
                <w:b/>
                <w:i/>
                <w:color w:val="auto"/>
              </w:rPr>
              <w:t xml:space="preserve"> wykonania</w:t>
            </w:r>
            <w:r w:rsidRPr="008947C5">
              <w:rPr>
                <w:color w:val="auto"/>
              </w:rPr>
              <w:t xml:space="preserve">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Nie naruszając ust. 3 niniejszego artykułu, w sytuacji gdy zarejestrowanie odcisków palców lub wykonanie zdjęcia wizerunku twarzy nie jest możliwe w odniesieniu do obywatela państwa trzeciego uznawanego za osobę wymagającą szczególnego traktowania lub małoletniego ze względu na stan opuszków palców lub twarzy, organy danego państwa członkowskiego nie stosują sankcji</w:t>
            </w:r>
            <w:r w:rsidRPr="008947C5">
              <w:rPr>
                <w:b/>
                <w:i/>
                <w:color w:val="auto"/>
              </w:rPr>
              <w:t>, jeśli dana osoba nie wyrazi zgody na pobranie</w:t>
            </w:r>
            <w:r w:rsidRPr="008947C5">
              <w:rPr>
                <w:color w:val="auto"/>
              </w:rPr>
              <w:t xml:space="preserve"> odcisków palców lub</w:t>
            </w:r>
            <w:r w:rsidRPr="008947C5">
              <w:rPr>
                <w:b/>
                <w:i/>
                <w:color w:val="auto"/>
              </w:rPr>
              <w:t xml:space="preserve"> wykonanie</w:t>
            </w:r>
            <w:r w:rsidRPr="008947C5">
              <w:rPr>
                <w:color w:val="auto"/>
              </w:rPr>
              <w:t xml:space="preserve"> zdjęcia wizerunku twarzy. Państwo członkowskie może podjąć próbę ponownego pobrania odcisków palców lub wykonania zdjęcia wizerunku twarzy osoby małoletniej lub osoby wymagającej szczególnego traktowania, która odmawia poddania się procedurze, jeżeli powód niepoddania się procedurze nie jest powiązany ze stanem opuszków palców lub wizerunku twarzy bądź ze stanem zdrowia danej osoby, oraz jeżeli jest to należycie uzasadnione. Jeżeli małoletni, zwłaszcza małoletni bez opieki lub odłączony od rodziny odmawia udostępnienia swoich odcisków palców lub wizerunku twarzy, oraz jeżeli istnieją uzasadnione powody, by podejrzewać, że bezpieczeństwo lub ochrona dziecka są zagrożone, małoletni jest przekazywany krajowym organom ochrony dziecka lub kierowany do krajowego mechanizmu odsyłania.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{IT}</w:t>
      </w:r>
      <w:r w:rsidRPr="008947C5">
        <w:rPr>
          <w:color w:val="auto"/>
        </w:rPr>
        <w:t>it</w:t>
      </w:r>
      <w:r w:rsidRPr="005B688F">
        <w:rPr>
          <w:rStyle w:val="HideTWBExt"/>
        </w:rPr>
        <w:t>&lt;/Original&gt;</w:t>
      </w:r>
    </w:p>
    <w:p w:rsidR="00803CA7" w:rsidRPr="008947C5" w:rsidRDefault="00803CA7" w:rsidP="00803CA7">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r>
            <w:r w:rsidRPr="008947C5">
              <w:rPr>
                <w:color w:val="auto"/>
              </w:rPr>
              <w:t>Procedurę pobierania odcisków palców oraz wykonywania zdjęcia wizerunku twarzy</w:t>
            </w:r>
            <w:r w:rsidRPr="008947C5">
              <w:rPr>
                <w:b/>
                <w:i/>
                <w:color w:val="auto"/>
              </w:rPr>
              <w:t xml:space="preserve"> ustala się</w:t>
            </w:r>
            <w:r w:rsidRPr="008947C5">
              <w:rPr>
                <w:color w:val="auto"/>
              </w:rPr>
              <w:t xml:space="preserve"> i stosuje</w:t>
            </w:r>
            <w:r w:rsidRPr="008947C5">
              <w:rPr>
                <w:b/>
                <w:i/>
                <w:color w:val="auto"/>
              </w:rPr>
              <w:t xml:space="preserve"> zgodnie z praktyką obowiązującą w danym państwie członkowskim</w:t>
            </w:r>
            <w:r w:rsidRPr="008947C5">
              <w:rPr>
                <w:color w:val="auto"/>
              </w:rPr>
              <w:t xml:space="preserve"> i zgodnie z gwarancjami ustanowionymi w Karcie praw podstawowych Unii Europejskiej, w Konwencji o ochronie praw człowieka i podstawowych wolności oraz w Konwencji Organizacji Narodów Zjednoczonych o prawach dziecka.</w:t>
            </w:r>
          </w:p>
        </w:tc>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r>
            <w:r w:rsidRPr="008947C5">
              <w:rPr>
                <w:color w:val="auto"/>
              </w:rPr>
              <w:t>Procedurę pobierania odcisków palców oraz wykonywania zdjęcia wizerunku twarzy</w:t>
            </w:r>
            <w:r w:rsidRPr="008947C5">
              <w:rPr>
                <w:b/>
                <w:i/>
                <w:color w:val="auto"/>
              </w:rPr>
              <w:t xml:space="preserve"> przyjmują</w:t>
            </w:r>
            <w:r w:rsidRPr="008947C5">
              <w:rPr>
                <w:color w:val="auto"/>
              </w:rPr>
              <w:t xml:space="preserve"> i</w:t>
            </w:r>
            <w:r w:rsidRPr="008947C5">
              <w:rPr>
                <w:b/>
                <w:i/>
                <w:color w:val="auto"/>
              </w:rPr>
              <w:t xml:space="preserve"> monitorują wspólnie Agencja Unii Europejskiej ds. Azylu i FRA, na podstawie listy kontrolnej FRA z 2015</w:t>
            </w:r>
            <w:r w:rsidR="00447681" w:rsidRPr="008947C5">
              <w:rPr>
                <w:b/>
                <w:i/>
                <w:color w:val="auto"/>
              </w:rPr>
              <w:t xml:space="preserve"> </w:t>
            </w:r>
            <w:r w:rsidRPr="008947C5">
              <w:rPr>
                <w:b/>
                <w:i/>
                <w:color w:val="auto"/>
              </w:rPr>
              <w:t>r.</w:t>
            </w:r>
            <w:r w:rsidRPr="00EF5E71">
              <w:rPr>
                <w:b/>
                <w:i/>
                <w:color w:val="auto"/>
                <w:vertAlign w:val="superscript"/>
              </w:rPr>
              <w:t>1a</w:t>
            </w:r>
            <w:r w:rsidRPr="008947C5">
              <w:rPr>
                <w:b/>
                <w:i/>
                <w:color w:val="auto"/>
              </w:rPr>
              <w:t>, a państwo członkowskie</w:t>
            </w:r>
            <w:r w:rsidRPr="008947C5">
              <w:rPr>
                <w:color w:val="auto"/>
              </w:rPr>
              <w:t xml:space="preserve"> stosuje</w:t>
            </w:r>
            <w:r w:rsidRPr="008947C5">
              <w:rPr>
                <w:b/>
                <w:i/>
                <w:color w:val="auto"/>
              </w:rPr>
              <w:t xml:space="preserve"> ją przy pełnym poszanowaniu godności ludzkiej</w:t>
            </w:r>
            <w:r w:rsidRPr="008947C5">
              <w:rPr>
                <w:color w:val="auto"/>
              </w:rPr>
              <w:t xml:space="preserve"> i zgodnie z gwarancjami ustanowionymi w Karcie praw podstawowych Unii Europejskiej, w Konwencji o ochronie praw człowieka i podstawowych wolności oraz w Konwencji Organizacji Narodów Zjednoczonych o prawach dziecka.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_________________</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EF5E71">
              <w:rPr>
                <w:b/>
                <w:i/>
                <w:color w:val="auto"/>
                <w:vertAlign w:val="superscript"/>
              </w:rPr>
              <w:t>1a</w:t>
            </w:r>
            <w:r w:rsidRPr="008947C5">
              <w:rPr>
                <w:b/>
                <w:i/>
                <w:color w:val="auto"/>
              </w:rPr>
              <w:t xml:space="preserve"> Lista kontrolna FRA do celów związanych z pozyskiwaniem odcisków palców do Eurodac zgodnie z prawami podstawowymi, 2015 http://fra.europa.eu/en/publication/2015/fundamental-rights-implications-obligation-provide-fingerprints-eurodac#checklist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art. 104 regulaminu niniejsza poprawka jest niezbędna, ponieważ jest w nierozerwalny sposób powiązana z innymi dopuszczalnymi poprawkami związanymi z celami Eurodac (art. 1), w odniesieniu do wspólnej procedury ustanowionej i monitorowanej przez Agencję Unii Europejskiej ds. Azylu i FRA – zob. motyw 30.</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Hilde Vautmans,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2 – ustęp 5</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r>
            <w:r w:rsidRPr="008947C5">
              <w:rPr>
                <w:color w:val="auto"/>
              </w:rPr>
              <w:t>Procedurę pobierania odcisków palców oraz wykonywania zdjęcia wizerunku twarzy ustala się i stosuje zgodnie z praktyką obowiązującą w danym państwie członkowskim i zgodnie z gwarancjami ustanowionymi w Karcie praw podstawowych Unii Europejskiej, w Konwencji o ochronie praw człowieka i podstawowych wolności oraz w Konwencji Organizacji Narodów Zjednoczonych o prawach dziecka.</w:t>
            </w:r>
          </w:p>
        </w:tc>
        <w:tc>
          <w:tcPr>
            <w:tcW w:w="4876" w:type="dxa"/>
          </w:tcPr>
          <w:p w:rsidR="005E74C4" w:rsidRPr="008947C5" w:rsidRDefault="005E74C4" w:rsidP="009E4524">
            <w:pPr>
              <w:pStyle w:val="Normal6"/>
              <w:rPr>
                <w:b/>
                <w:i/>
                <w:color w:val="auto"/>
              </w:rPr>
            </w:pPr>
            <w:r w:rsidRPr="008947C5">
              <w:rPr>
                <w:color w:val="auto"/>
              </w:rPr>
              <w:t>5.</w:t>
            </w:r>
            <w:r w:rsidRPr="008947C5">
              <w:rPr>
                <w:b/>
                <w:i/>
                <w:color w:val="auto"/>
              </w:rPr>
              <w:tab/>
              <w:t>Pobieranie odcisków palców i wykonywanie zdjęcia wizerunku twarzy odbywa się z poszanowaniem godności ludzkiej.</w:t>
            </w:r>
            <w:r w:rsidRPr="008947C5">
              <w:rPr>
                <w:color w:val="auto"/>
              </w:rPr>
              <w:t xml:space="preserve"> Procedurę pobierania odcisków palców oraz wykonywania zdjęcia wizerunku twarzy ustala się i stosuje zgodnie z praktyką obowiązującą w danym państwie członkowskim</w:t>
            </w:r>
            <w:r w:rsidRPr="008947C5">
              <w:rPr>
                <w:b/>
                <w:i/>
                <w:color w:val="auto"/>
              </w:rPr>
              <w:t>, zgodnie ze wspólnym podejściem opisanym w załączniku Ia do niniejszego rozporządzenia</w:t>
            </w:r>
            <w:r w:rsidRPr="008947C5">
              <w:rPr>
                <w:color w:val="auto"/>
              </w:rPr>
              <w:t xml:space="preserve"> i zgodnie z gwarancjami ustanowionymi w Karcie praw podstawowych Unii Europejskiej, w Konwencji o ochronie praw człowieka i podstawowych wolności oraz w Konwencji Organizacji Narodów Zjednoczonych o prawach dziecka.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z wyników ankiety wynika, że niektóre państwa członkowskie dopuszczają zatrzymanie, aby dopilnować pobrania odcisków palców od migrantów, inne dopuszczają stosowanie proporcjonalnego stopnia przymusu, jeszcze inne natomiast nie stosują ani zatrzymania, ani przymusu. Należy zatem zharmonizować istniejące praktyki, aby upewnić się, że obowiązki ciążące na państwach na mocy rozporządzenia Eurodac są wypełniane przy takim samym poziomie gwarancji. Wspólne podejście opracowane przez Komisję w dokumencie SWD (2015) 150 final.</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a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aa)</w:t>
            </w:r>
            <w:r w:rsidRPr="008947C5">
              <w:rPr>
                <w:b/>
                <w:i/>
                <w:color w:val="auto"/>
              </w:rPr>
              <w:tab/>
              <w:t>„obywatel państwa trzeciego lub bezpaństwowiec, wobec którego państwo członkowskie zamierza zastosować procedurę przesiedlenia” oznacza obywatela państwa trzeciego lub bezpaństwowca, wobec którego państwo członkowskie wszczęło procedurę przesiedlenia zgodnie z art. 10 pkt 2 rozporządzenia XXX/XXX;</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celem poprawki jest dodanie definicji nowej kategorii osób, których dane proponuje się rejestrować w Eurodac. Należy zatem wprowadzić odniesienie do rozporządzenia XXX/XXX.</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b – podpunkt i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(ia)</w:t>
            </w:r>
            <w:r w:rsidRPr="008947C5">
              <w:rPr>
                <w:b/>
                <w:i/>
                <w:color w:val="auto"/>
              </w:rPr>
              <w:tab/>
              <w:t>w odniesieniu do osoby objętej art. 12a – państwo członkowskie, które przesyła takie dane osobowe do systemu centralnego i otrzymuje wyniki porównania;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poprawka jest związana z propozycją dodania nowej kategorii (nowego rozdziału IIa) i ma na celu zapewnienie spójności tekstu w związku ze wspomnianą zmianą.</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w:t>
            </w:r>
            <w:r w:rsidRPr="008947C5">
              <w:rPr>
                <w:b/>
                <w:i/>
                <w:color w:val="auto"/>
              </w:rPr>
              <w:t>nielegalny</w:t>
            </w:r>
            <w:r w:rsidRPr="008947C5">
              <w:rPr>
                <w:color w:val="auto"/>
              </w:rPr>
              <w:t xml:space="preserve"> pobyt” oznacza obecność obywatela państwa trzeciego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w:t>
            </w:r>
            <w:r w:rsidRPr="008947C5">
              <w:rPr>
                <w:b/>
                <w:i/>
                <w:color w:val="auto"/>
              </w:rPr>
              <w:t>nieuregulowany</w:t>
            </w:r>
            <w:r w:rsidRPr="008947C5">
              <w:rPr>
                <w:color w:val="auto"/>
              </w:rPr>
              <w:t xml:space="preserve"> pobyt” oznacza obecność obywatela państwa trzeciego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199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w:t>
            </w:r>
            <w:r w:rsidRPr="008947C5">
              <w:rPr>
                <w:b/>
                <w:i/>
                <w:color w:val="auto"/>
              </w:rPr>
              <w:t>nielegalny</w:t>
            </w:r>
            <w:r w:rsidRPr="008947C5">
              <w:rPr>
                <w:color w:val="auto"/>
              </w:rPr>
              <w:t xml:space="preserve"> pobyt” oznacza obecność obywatela państwa trzeciego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w:t>
            </w:r>
            <w:r w:rsidRPr="008947C5">
              <w:rPr>
                <w:b/>
                <w:i/>
                <w:color w:val="auto"/>
              </w:rPr>
              <w:t>nieuregulowany</w:t>
            </w:r>
            <w:r w:rsidRPr="008947C5">
              <w:rPr>
                <w:color w:val="auto"/>
              </w:rPr>
              <w:t xml:space="preserve"> pobyt” oznacza obecność obywatela państwa trzeciego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EF5E71" w:rsidRDefault="005E74C4" w:rsidP="009E4524">
            <w:pPr>
              <w:pStyle w:val="Normal6Italic"/>
              <w:rPr>
                <w:color w:val="auto"/>
              </w:rPr>
            </w:pPr>
            <w:r w:rsidRPr="00EF5E71">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„nielegalny pobyt” oznacza obecność obywatela państwa trzeciego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„nielegalny pobyt” oznacza obecność obywatela państwa trzeciego</w:t>
            </w:r>
            <w:r w:rsidRPr="008947C5">
              <w:rPr>
                <w:b/>
                <w:i/>
                <w:color w:val="auto"/>
              </w:rPr>
              <w:t xml:space="preserve"> lub bezpaństwowca</w:t>
            </w:r>
            <w:r w:rsidRPr="008947C5">
              <w:rPr>
                <w:color w:val="auto"/>
              </w:rPr>
              <w:t xml:space="preserve"> na terytorium państwa członkowskiego, gdy obywatel ten nie spełnia warunków wjazdu do państwa członkowskiego, określonych w art. 5 kodeksu granicznego Schengen, albo innych warunków wjazdu, pobytu lub zamieszkania w tym państwie członkowskim, bądź przestał takie warunki spełniać;</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f</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(f)</w:t>
            </w:r>
            <w:r w:rsidRPr="008947C5">
              <w:rPr>
                <w:b/>
                <w:i/>
                <w:color w:val="auto"/>
              </w:rPr>
              <w:tab/>
            </w:r>
            <w:r w:rsidRPr="008947C5">
              <w:rPr>
                <w:color w:val="auto"/>
              </w:rPr>
              <w:t>„trafienie” oznacza, że dane daktyloskopijne osoby przekazane przez państwo członkowskie zostały w systemie centralnym porównane i przynajmniej jednokrotnie skojarzone z danymi daktyloskopijnymi zapisanymi w skomputeryzowanej centralnej bazie danych, bez uszczerbku dla obowiązku państw członkowskich natychmiastowego sprawdzenia wyników porównania zgodnie z art. 26 ust. 4;</w:t>
            </w:r>
          </w:p>
        </w:tc>
        <w:tc>
          <w:tcPr>
            <w:tcW w:w="4876" w:type="dxa"/>
          </w:tcPr>
          <w:p w:rsidR="005E74C4" w:rsidRPr="008947C5" w:rsidRDefault="005E74C4" w:rsidP="009E4524">
            <w:pPr>
              <w:pStyle w:val="Normal6"/>
              <w:rPr>
                <w:b/>
                <w:i/>
                <w:color w:val="auto"/>
              </w:rPr>
            </w:pPr>
            <w:r w:rsidRPr="008947C5">
              <w:rPr>
                <w:color w:val="auto"/>
              </w:rPr>
              <w:t>(f)</w:t>
            </w:r>
            <w:r w:rsidRPr="008947C5">
              <w:rPr>
                <w:b/>
                <w:i/>
                <w:color w:val="auto"/>
              </w:rPr>
              <w:tab/>
            </w:r>
            <w:r w:rsidRPr="008947C5">
              <w:rPr>
                <w:color w:val="auto"/>
              </w:rPr>
              <w:t>„trafienie” oznacza, że dane daktyloskopijne osoby przekazane przez państwo członkowskie zostały w systemie centralnym porównane i przynajmniej jednokrotnie skojarzone z danymi daktyloskopijnymi</w:t>
            </w:r>
            <w:r w:rsidRPr="008947C5">
              <w:rPr>
                <w:b/>
                <w:i/>
                <w:color w:val="auto"/>
              </w:rPr>
              <w:t xml:space="preserve"> i danymi dotyczącymi wizerunku twarzy</w:t>
            </w:r>
            <w:r w:rsidRPr="008947C5">
              <w:rPr>
                <w:color w:val="auto"/>
              </w:rPr>
              <w:t xml:space="preserve"> zapisanymi w skomputeryzowanej centralnej bazie danych, bez uszczerbku dla obowiązku państw członkowskich natychmiastowego sprawdzenia wyników porównania zgodnie z art. 26 ust. 4;</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„odcisk</w:t>
      </w:r>
      <w:r w:rsidR="00564243" w:rsidRPr="008947C5">
        <w:rPr>
          <w:color w:val="auto"/>
        </w:rPr>
        <w:t xml:space="preserve">i palców” i „wizerunek twarzy” </w:t>
      </w:r>
      <w:r w:rsidRPr="008947C5">
        <w:rPr>
          <w:color w:val="auto"/>
        </w:rPr>
        <w:t>zgodnie z obowiązkiem określonym w art. 2.</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i</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(i)</w:t>
            </w:r>
            <w:r w:rsidRPr="008947C5">
              <w:rPr>
                <w:b/>
                <w:i/>
                <w:color w:val="auto"/>
              </w:rPr>
              <w:tab/>
              <w:t>„Europol” oznacza Europejski Urząd Policji ustanowiony decyzją 2009/371/WSiSW;</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j</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„dane Eurodac” oznaczają wszystkie dane przechowywane w systemie centralnym zgodnie z art. 12,</w:t>
            </w:r>
            <w:r w:rsidRPr="008947C5">
              <w:rPr>
                <w:b/>
                <w:i/>
                <w:color w:val="auto"/>
              </w:rPr>
              <w:t xml:space="preserve"> i</w:t>
            </w:r>
            <w:r w:rsidRPr="008947C5">
              <w:rPr>
                <w:color w:val="auto"/>
              </w:rPr>
              <w:t xml:space="preserve"> art. 13 ust. 2 i art. 14 ust. 2;</w:t>
            </w:r>
          </w:p>
        </w:tc>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„dane Eurodac” oznaczają wszystkie dane przechowywane w systemie centralnym zgodnie z art. 12, art.</w:t>
            </w:r>
            <w:r w:rsidRPr="008947C5">
              <w:rPr>
                <w:b/>
                <w:i/>
                <w:color w:val="auto"/>
              </w:rPr>
              <w:t xml:space="preserve"> 12a, art.</w:t>
            </w:r>
            <w:r w:rsidRPr="008947C5">
              <w:rPr>
                <w:color w:val="auto"/>
              </w:rPr>
              <w:t xml:space="preserve"> 13 ust. 2 i art. 14 ust. 2;</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poprawka jest związana z propozycją dodania nowej kategorii (nowego rozdziału IIa) i ma na celu zapewnienie spójności tekstu w związku ze wspomnianą zmianą.</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j</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„dane Eurodac” oznaczają wszystkie dane przechowywane w systemie centralnym zgodnie z art. 12</w:t>
            </w:r>
            <w:r w:rsidRPr="008947C5">
              <w:rPr>
                <w:b/>
                <w:i/>
                <w:color w:val="auto"/>
              </w:rPr>
              <w:t>,</w:t>
            </w:r>
            <w:r w:rsidRPr="008947C5">
              <w:rPr>
                <w:color w:val="auto"/>
              </w:rPr>
              <w:t xml:space="preserve"> art. 13 ust. 2</w:t>
            </w:r>
            <w:r w:rsidRPr="008947C5">
              <w:rPr>
                <w:b/>
                <w:i/>
                <w:color w:val="auto"/>
              </w:rPr>
              <w:t xml:space="preserve"> i art. 14 ust. 2</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„dane Eurodac” oznaczają wszystkie dane przechowywane w systemie centralnym zgodnie z art. 12</w:t>
            </w:r>
            <w:r w:rsidRPr="008947C5">
              <w:rPr>
                <w:b/>
                <w:i/>
                <w:color w:val="auto"/>
              </w:rPr>
              <w:t xml:space="preserve"> i</w:t>
            </w:r>
            <w:r w:rsidRPr="008947C5">
              <w:rPr>
                <w:color w:val="auto"/>
              </w:rPr>
              <w:t xml:space="preserve"> art. 13 ust. 2;</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dopuszczalna, ponieważ jest powiązana w nierozerwalny sposób z dopuszczalnymi poprawkami skreślającymi art. 14 ust. 1, 2, 4, 5 i 6.</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k</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(k)</w:t>
            </w:r>
            <w:r w:rsidRPr="008947C5">
              <w:rPr>
                <w:b/>
                <w:i/>
                <w:color w:val="auto"/>
              </w:rPr>
              <w:tab/>
              <w:t>„ochrona porządku publicznego” oznacza zapobieganie przestępstwom terrorystycznym lub innym poważnym przestępstwom, ich wykrywanie lub ściganie;</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k</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(k)</w:t>
            </w:r>
            <w:r w:rsidRPr="008947C5">
              <w:rPr>
                <w:b/>
                <w:i/>
                <w:color w:val="auto"/>
              </w:rPr>
              <w:tab/>
            </w:r>
            <w:r w:rsidRPr="008947C5">
              <w:rPr>
                <w:color w:val="auto"/>
              </w:rPr>
              <w:t>„ochrona porządku publicznego” oznacza zapobieganie przestępstwom terrorystycznym lub innym poważnym przestępstwom, ich wykrywanie lub</w:t>
            </w:r>
            <w:r w:rsidRPr="008947C5">
              <w:rPr>
                <w:b/>
                <w:i/>
                <w:color w:val="auto"/>
              </w:rPr>
              <w:t xml:space="preserve"> ściganie</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(k)</w:t>
            </w:r>
            <w:r w:rsidRPr="008947C5">
              <w:rPr>
                <w:b/>
                <w:i/>
                <w:color w:val="auto"/>
              </w:rPr>
              <w:tab/>
            </w:r>
            <w:r w:rsidRPr="008947C5">
              <w:rPr>
                <w:color w:val="auto"/>
              </w:rPr>
              <w:t>„ochrona porządku publicznego” oznacza zapobieganie przestępstwom terrorystycznym lub innym poważnym przestępstwom, ich wykrywanie</w:t>
            </w:r>
            <w:r w:rsidRPr="008947C5">
              <w:rPr>
                <w:b/>
                <w:i/>
                <w:color w:val="auto"/>
              </w:rPr>
              <w:t>, ściganie</w:t>
            </w:r>
            <w:r w:rsidRPr="008947C5">
              <w:rPr>
                <w:color w:val="auto"/>
              </w:rPr>
              <w:t xml:space="preserve"> lub</w:t>
            </w:r>
            <w:r w:rsidRPr="008947C5">
              <w:rPr>
                <w:b/>
                <w:i/>
                <w:color w:val="auto"/>
              </w:rPr>
              <w:t xml:space="preserve"> karanie</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ma zastosowanie do całego tekstu i wiąże się z dodaniem nowej litery c) w art. 1.</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l</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(l)</w:t>
            </w:r>
            <w:r w:rsidRPr="008947C5">
              <w:rPr>
                <w:b/>
                <w:i/>
                <w:color w:val="auto"/>
              </w:rPr>
              <w:tab/>
              <w:t>„przestępstwa terrorystyczne” oznaczają określone w prawie krajowym przestępstwa odpowiadające lub równoważne przestępstwom, o których mowa w art. 1–4 decyzji ramowej 2002/475/WSiSW;</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Jeroen Lenaers, Rachida Dati, Brice Hortefeux, Mariya Gabriel, Artis Pabriks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l</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(l)</w:t>
            </w:r>
            <w:r w:rsidRPr="008947C5">
              <w:rPr>
                <w:b/>
                <w:i/>
                <w:color w:val="auto"/>
              </w:rPr>
              <w:tab/>
            </w:r>
            <w:r w:rsidRPr="008947C5">
              <w:rPr>
                <w:color w:val="auto"/>
              </w:rPr>
              <w:t>„przestępstwa terrorystyczne” oznaczają</w:t>
            </w:r>
            <w:r w:rsidRPr="008947C5">
              <w:rPr>
                <w:b/>
                <w:i/>
                <w:color w:val="auto"/>
              </w:rPr>
              <w:t xml:space="preserve"> określone w prawie krajowym</w:t>
            </w:r>
            <w:r w:rsidRPr="008947C5">
              <w:rPr>
                <w:color w:val="auto"/>
              </w:rPr>
              <w:t xml:space="preserve"> przestępstwa</w:t>
            </w:r>
            <w:r w:rsidRPr="008947C5">
              <w:rPr>
                <w:b/>
                <w:i/>
                <w:color w:val="auto"/>
              </w:rPr>
              <w:t xml:space="preserve"> odpowiadające lub równoważne przestępstwom</w:t>
            </w:r>
            <w:r w:rsidRPr="008947C5">
              <w:rPr>
                <w:color w:val="auto"/>
              </w:rPr>
              <w:t>, o których mowa w art.</w:t>
            </w:r>
            <w:r w:rsidRPr="008947C5">
              <w:rPr>
                <w:b/>
                <w:i/>
                <w:color w:val="auto"/>
              </w:rPr>
              <w:t xml:space="preserve"> 1–4 decyzji ramowej</w:t>
            </w:r>
            <w:r w:rsidRPr="008947C5">
              <w:rPr>
                <w:color w:val="auto"/>
              </w:rPr>
              <w:t xml:space="preserve"> 2002/475/WSiSW</w:t>
            </w:r>
            <w:r w:rsidRPr="008947C5">
              <w:rPr>
                <w:b/>
                <w:i/>
                <w:color w:val="auto"/>
              </w:rPr>
              <w:t>;</w:t>
            </w:r>
          </w:p>
        </w:tc>
        <w:tc>
          <w:tcPr>
            <w:tcW w:w="4876" w:type="dxa"/>
          </w:tcPr>
          <w:p w:rsidR="005E74C4" w:rsidRPr="008947C5" w:rsidRDefault="005E74C4" w:rsidP="009E4524">
            <w:pPr>
              <w:pStyle w:val="Normal6"/>
              <w:rPr>
                <w:color w:val="auto"/>
              </w:rPr>
            </w:pPr>
            <w:r w:rsidRPr="008947C5">
              <w:rPr>
                <w:color w:val="auto"/>
              </w:rPr>
              <w:t>(l)</w:t>
            </w:r>
            <w:r w:rsidRPr="008947C5">
              <w:rPr>
                <w:color w:val="auto"/>
              </w:rPr>
              <w:tab/>
              <w:t>„przestępstwa terrorystyczne” oznaczają przestępstwa, o których mowa w art. 3–12 dyrektywy Parlamentu Europejskiego i Rady (UE) 2017/...</w:t>
            </w:r>
            <w:r w:rsidRPr="008947C5">
              <w:rPr>
                <w:b/>
                <w:i/>
                <w:color w:val="auto"/>
              </w:rPr>
              <w:t xml:space="preserve"> [w sprawie zwalczania terroryzmu i zastępującej decyzję ramową Rady</w:t>
            </w:r>
            <w:r w:rsidRPr="008947C5">
              <w:rPr>
                <w:color w:val="auto"/>
              </w:rPr>
              <w:t xml:space="preserve"> 2002/475/WSiSW oraz zmieniającej decyzję Rady </w:t>
            </w:r>
            <w:r w:rsidRPr="008947C5">
              <w:rPr>
                <w:b/>
                <w:i/>
                <w:color w:val="auto"/>
              </w:rPr>
              <w:t>2005/671/WSiSW].</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Przepisy decyzji ramowej 2002/475/WSiSW zostały włączone do nowej dyrektywy w sprawie zwalczania terroryzmu, która została poddana pod głosowanie Parlamentu Europejskiego w dniu 16 lutego 2017</w:t>
      </w:r>
      <w:r w:rsidR="00447681" w:rsidRPr="008947C5">
        <w:rPr>
          <w:color w:val="auto"/>
        </w:rPr>
        <w:t xml:space="preserve"> </w:t>
      </w:r>
      <w:r w:rsidRPr="008947C5">
        <w:rPr>
          <w:color w:val="auto"/>
        </w:rPr>
        <w:t>r.</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209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n</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(n)</w:t>
            </w:r>
            <w:r w:rsidRPr="008947C5">
              <w:rPr>
                <w:b/>
                <w:i/>
                <w:color w:val="auto"/>
              </w:rPr>
              <w:tab/>
            </w:r>
            <w:r w:rsidRPr="008947C5">
              <w:rPr>
                <w:color w:val="auto"/>
              </w:rPr>
              <w:t>„dane daktyloskopijne” oznaczają dane dotyczące płaskich i przetoczonych odwzorowań odcisków wszystkich dziesięciu palców, o ile są one do dyspozycji, lub ślady linii papilarnych;</w:t>
            </w:r>
          </w:p>
        </w:tc>
        <w:tc>
          <w:tcPr>
            <w:tcW w:w="4876" w:type="dxa"/>
          </w:tcPr>
          <w:p w:rsidR="005E74C4" w:rsidRPr="008947C5" w:rsidRDefault="005E74C4" w:rsidP="009E4524">
            <w:pPr>
              <w:pStyle w:val="Normal6"/>
              <w:rPr>
                <w:b/>
                <w:i/>
                <w:color w:val="auto"/>
              </w:rPr>
            </w:pPr>
            <w:r w:rsidRPr="008947C5">
              <w:rPr>
                <w:color w:val="auto"/>
              </w:rPr>
              <w:t>(n)</w:t>
            </w:r>
            <w:r w:rsidRPr="008947C5">
              <w:rPr>
                <w:b/>
                <w:i/>
                <w:color w:val="auto"/>
              </w:rPr>
              <w:tab/>
            </w:r>
            <w:r w:rsidRPr="008947C5">
              <w:rPr>
                <w:color w:val="auto"/>
              </w:rPr>
              <w:t>„dane daktyloskopijne” oznaczają dane dotyczące płaskich i przetoczonych odwzorowań odcisków wszystkich dziesięciu palców, o ile są one do dyspozycji, lub</w:t>
            </w:r>
            <w:r w:rsidRPr="008947C5">
              <w:rPr>
                <w:b/>
                <w:i/>
                <w:color w:val="auto"/>
              </w:rPr>
              <w:t xml:space="preserve"> co najmniej palców wskazujących, lub</w:t>
            </w:r>
            <w:r w:rsidRPr="008947C5">
              <w:rPr>
                <w:color w:val="auto"/>
              </w:rPr>
              <w:t xml:space="preserve"> ślady linii papilarnych;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o</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(o)</w:t>
            </w:r>
            <w:r w:rsidRPr="008947C5">
              <w:rPr>
                <w:b/>
                <w:i/>
                <w:color w:val="auto"/>
              </w:rPr>
              <w:tab/>
              <w:t>„wizerunek twarzy” oznacza cyfrowe wizerunki twarzy o dostatecznej rozdzielczości i jakości obrazu przeznaczone do wykorzystywania na potrzeby automatycznego kojarzenia danych biometrycznych.</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o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oa)</w:t>
            </w:r>
            <w:r w:rsidRPr="008947C5">
              <w:rPr>
                <w:b/>
                <w:i/>
                <w:color w:val="auto"/>
              </w:rPr>
              <w:tab/>
              <w:t>„bezpaństwowiec” oznacza osobę, która nie jest uznawana za obywatela żadnego państwa w zakresie obowiązywania jego prawa.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EF5E71" w:rsidP="005E74C4">
      <w:pPr>
        <w:pStyle w:val="Normal12Italic"/>
        <w:rPr>
          <w:color w:val="auto"/>
        </w:rPr>
      </w:pPr>
      <w:r>
        <w:rPr>
          <w:color w:val="auto"/>
        </w:rPr>
        <w:t>Definicja z K</w:t>
      </w:r>
      <w:r w:rsidR="005E74C4" w:rsidRPr="008947C5">
        <w:rPr>
          <w:color w:val="auto"/>
        </w:rPr>
        <w:t xml:space="preserve">onwencji ONZ </w:t>
      </w:r>
      <w:r>
        <w:rPr>
          <w:color w:val="auto"/>
        </w:rPr>
        <w:t>dotyczące</w:t>
      </w:r>
      <w:r w:rsidR="005E74C4" w:rsidRPr="008947C5">
        <w:rPr>
          <w:color w:val="auto"/>
        </w:rPr>
        <w:t xml:space="preserve"> status</w:t>
      </w:r>
      <w:r>
        <w:rPr>
          <w:color w:val="auto"/>
        </w:rPr>
        <w:t>u</w:t>
      </w:r>
      <w:r w:rsidR="005E74C4" w:rsidRPr="008947C5">
        <w:rPr>
          <w:color w:val="auto"/>
        </w:rPr>
        <w:t xml:space="preserve"> bezpaństwowców z 1954</w:t>
      </w:r>
      <w:r w:rsidR="00447681" w:rsidRPr="008947C5">
        <w:rPr>
          <w:color w:val="auto"/>
        </w:rPr>
        <w:t xml:space="preserve"> </w:t>
      </w:r>
      <w:r w:rsidR="005E74C4" w:rsidRPr="008947C5">
        <w:rPr>
          <w:color w:val="auto"/>
        </w:rPr>
        <w:t>r.</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3 – ustęp 1 – litera o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(oa)</w:t>
            </w:r>
            <w:r w:rsidRPr="008947C5">
              <w:rPr>
                <w:b/>
                <w:i/>
                <w:color w:val="auto"/>
              </w:rPr>
              <w:tab/>
              <w:t>„dane alfanumeryczne” oznaczają dane wyrażone literami, cyframi, znakami specjalnymi, spacjami i znakami przestankowymi;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Zgodnie z inną poprawką, która umożliwia przeszukiwanie danych alfanumerycznych.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4 – ustęp 4</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Dane osób objętych art. 10 ust. 1, art. 13 ust. 1 i art. 14 ust. 1, przetwarzane przez system centralny, są przetwarzane w imieniu państwa członkowskiego pochodzenia na warunkach określonych w niniejszym rozporządzeniu oraz rozdzielane za pomocą odpowiednich środków technicznych.</w:t>
            </w:r>
          </w:p>
        </w:tc>
        <w:tc>
          <w:tcPr>
            <w:tcW w:w="4876" w:type="dxa"/>
          </w:tcPr>
          <w:p w:rsidR="005E74C4" w:rsidRPr="008947C5" w:rsidRDefault="005E74C4" w:rsidP="009E4524">
            <w:pPr>
              <w:pStyle w:val="Normal6"/>
              <w:rPr>
                <w:b/>
                <w:i/>
                <w:color w:val="auto"/>
              </w:rPr>
            </w:pPr>
            <w:r w:rsidRPr="008947C5">
              <w:rPr>
                <w:color w:val="auto"/>
              </w:rPr>
              <w:t>4.</w:t>
            </w:r>
            <w:r w:rsidRPr="008947C5">
              <w:rPr>
                <w:b/>
                <w:i/>
                <w:color w:val="auto"/>
              </w:rPr>
              <w:tab/>
            </w:r>
            <w:r w:rsidRPr="008947C5">
              <w:rPr>
                <w:color w:val="auto"/>
              </w:rPr>
              <w:t>Dane osób objętych art. 10 ust. 1, art.</w:t>
            </w:r>
            <w:r w:rsidRPr="008947C5">
              <w:rPr>
                <w:b/>
                <w:i/>
                <w:color w:val="auto"/>
              </w:rPr>
              <w:t xml:space="preserve"> 12a, art.</w:t>
            </w:r>
            <w:r w:rsidRPr="008947C5">
              <w:rPr>
                <w:color w:val="auto"/>
              </w:rPr>
              <w:t xml:space="preserve"> 13 ust. 1 i art. 14 ust. 1, przetwarzane przez system centralny, są przetwarzane w imieniu państwa członkowskiego pochodzenia na warunkach określonych w niniejszym rozporządzeniu oraz rozdzielane za pomocą odpowiednich środków technicznych.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poprawka jest związana z propozycją dodania nowej kategorii (nowego rozdziału IIa) i ma na celu zapewnienie spójności tekstu w związku ze wspomnianą zmianą.</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 Dennis de Jong</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2.</w:t>
            </w:r>
            <w:r w:rsidRPr="008947C5">
              <w:rPr>
                <w:b/>
                <w:i/>
                <w:color w:val="auto"/>
              </w:rPr>
              <w:tab/>
              <w:t>W przedstawionych poniżej okolicznościach eu-LISA może na potrzeby testowania wykorzystać prawdziwe dane osobowe w systemie produkcyjnym Eurodac:</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a) na potrzeby diagnostyki i napraw, jeżeli w systemie centralnym stwierdzono występowanie błędów; oraz</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 na potrzeby testowania nowych technologii i technik, które mają zasadnicze znaczenie dla zwiększenia wydajności systemu centralnego lub przesyłania do niego danych.</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2.</w:t>
            </w:r>
            <w:r w:rsidRPr="008947C5">
              <w:rPr>
                <w:b/>
                <w:i/>
                <w:color w:val="auto"/>
              </w:rPr>
              <w:tab/>
              <w:t>W przedstawionych poniżej okolicznościach eu-LISA może na potrzeby testowania wykorzystać prawdziwe dane osobowe w systemie produkcyjnym Eurodac:</w:t>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a) na potrzeby diagnostyki i napraw, jeżeli w systemie centralnym stwierdzono występowanie błędów; oraz</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 na potrzeby testowania nowych technologii i technik, które mają zasadnicze znaczenie dla zwiększenia wydajności systemu centralnego lub przesyłania do niego danych.</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p>
        </w:tc>
        <w:tc>
          <w:tcPr>
            <w:tcW w:w="4876" w:type="dxa"/>
          </w:tcPr>
          <w:p w:rsidR="005E74C4" w:rsidRPr="008947C5" w:rsidRDefault="005E74C4" w:rsidP="009E4524">
            <w:pPr>
              <w:pStyle w:val="Normal6"/>
              <w:rPr>
                <w:color w:val="auto"/>
              </w:rPr>
            </w:pP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zgodna z uwagami Europejskiego Inspektora Ochrony Danych: ze względu na ryzyko użycia prawdziwych danych na potrzeby testów i brak wartości dodanej używania takich danych EIOD zaleca skreślenie art. 5 ust. 2 wersji przekształconej dopuszczającego używanie prawdziwych danych na potrzeby testów.</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pierwszy – wprowadzenie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przedstawionych poniżej okolicznościach eu-LISA może na potrzeby testowania wykorzystać prawdziwe dane osobowe w systemie produkcyjnym Eurodac:</w:t>
            </w:r>
          </w:p>
        </w:tc>
        <w:tc>
          <w:tcPr>
            <w:tcW w:w="4876" w:type="dxa"/>
          </w:tcPr>
          <w:p w:rsidR="005E74C4" w:rsidRPr="008947C5" w:rsidRDefault="005E74C4" w:rsidP="009E4524">
            <w:pPr>
              <w:pStyle w:val="Normal6"/>
              <w:rPr>
                <w:b/>
                <w:i/>
                <w:color w:val="auto"/>
              </w:rPr>
            </w:pPr>
            <w:r w:rsidRPr="008947C5">
              <w:rPr>
                <w:b/>
                <w:i/>
                <w:color w:val="auto"/>
              </w:rPr>
              <w:t>Wyłącznie</w:t>
            </w:r>
            <w:r w:rsidRPr="008947C5">
              <w:rPr>
                <w:color w:val="auto"/>
              </w:rPr>
              <w:t xml:space="preserve"> w przedstawionych poniżej okolicznościach eu-LISA może na potrzeby testowania wykorzystać prawdziwe dane osobowe w systemie produkcyjnym Eurodac</w:t>
            </w:r>
            <w:r w:rsidRPr="008947C5">
              <w:rPr>
                <w:b/>
                <w:i/>
                <w:color w:val="auto"/>
              </w:rPr>
              <w:t>, stosując ściśle art. 17 regulaminu pracowniczego w sprawie tajemnicy zawodowej obowiązującej każdą osobę zaangażowaną w testy</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1 – wprowadzenie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przedstawionych poniżej okolicznościach eu-LISA może na potrzeby testowania wykorzystać prawdziwe dane osobowe w systemie produkcyjnym Eurodac:</w:t>
            </w:r>
          </w:p>
        </w:tc>
        <w:tc>
          <w:tcPr>
            <w:tcW w:w="4876" w:type="dxa"/>
          </w:tcPr>
          <w:p w:rsidR="005E74C4" w:rsidRPr="008947C5" w:rsidRDefault="005E74C4" w:rsidP="009E4524">
            <w:pPr>
              <w:pStyle w:val="Normal6"/>
              <w:rPr>
                <w:b/>
                <w:i/>
                <w:color w:val="auto"/>
              </w:rPr>
            </w:pPr>
            <w:r w:rsidRPr="008947C5">
              <w:rPr>
                <w:color w:val="auto"/>
              </w:rPr>
              <w:t>W przedstawionych poniżej okolicznościach eu-LISA może na potrzeby testowania</w:t>
            </w:r>
            <w:r w:rsidRPr="008947C5">
              <w:rPr>
                <w:b/>
                <w:i/>
                <w:color w:val="auto"/>
              </w:rPr>
              <w:t>, zgodnie z przepisami przewidzianymi w rozporządzeniu (UE) 2016/679,</w:t>
            </w:r>
            <w:r w:rsidRPr="008947C5">
              <w:rPr>
                <w:color w:val="auto"/>
              </w:rPr>
              <w:t xml:space="preserve"> wykorzystać prawdziwe dane osobowe w systemie produkcyjnym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pierwszy – wprowadzenie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przedstawionych poniżej okolicznościach eu-LISA może na potrzeby testowania wykorzystać prawdziwe dane osobowe w systemie produkcyjnym Eurodac:</w:t>
            </w:r>
          </w:p>
        </w:tc>
        <w:tc>
          <w:tcPr>
            <w:tcW w:w="4876" w:type="dxa"/>
          </w:tcPr>
          <w:p w:rsidR="005E74C4" w:rsidRPr="008947C5" w:rsidRDefault="005E74C4" w:rsidP="009E4524">
            <w:pPr>
              <w:pStyle w:val="Normal6"/>
              <w:rPr>
                <w:b/>
                <w:i/>
                <w:color w:val="auto"/>
              </w:rPr>
            </w:pPr>
            <w:r w:rsidRPr="008947C5">
              <w:rPr>
                <w:color w:val="auto"/>
              </w:rPr>
              <w:t>W przedstawionych poniżej okolicznościach eu-LISA może na potrzeby testowania</w:t>
            </w:r>
            <w:r w:rsidRPr="008947C5">
              <w:rPr>
                <w:b/>
                <w:i/>
                <w:color w:val="auto"/>
              </w:rPr>
              <w:t xml:space="preserve"> lub doprecyzowania</w:t>
            </w:r>
            <w:r w:rsidRPr="008947C5">
              <w:rPr>
                <w:color w:val="auto"/>
              </w:rPr>
              <w:t xml:space="preserve"> wykorzystać prawdziwe dane osobowe w systemie produkcyjnym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219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p>
        </w:tc>
        <w:tc>
          <w:tcPr>
            <w:tcW w:w="4876" w:type="dxa"/>
          </w:tcPr>
          <w:p w:rsidR="005E74C4" w:rsidRPr="008947C5" w:rsidRDefault="005E74C4" w:rsidP="00AC019E">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r w:rsidRPr="008947C5">
              <w:rPr>
                <w:b/>
                <w:i/>
                <w:color w:val="auto"/>
              </w:rPr>
              <w:t xml:space="preserve"> eu-LISA czuwa nad respektowaniem odpowiednich gwarancji dotyczących udostępniania dany</w:t>
            </w:r>
            <w:r w:rsidR="00AC019E">
              <w:rPr>
                <w:b/>
                <w:i/>
                <w:color w:val="auto"/>
              </w:rPr>
              <w:t>ch</w:t>
            </w:r>
            <w:r w:rsidRPr="008947C5">
              <w:rPr>
                <w:b/>
                <w:i/>
                <w:color w:val="auto"/>
              </w:rPr>
              <w:t xml:space="preserve"> wykonawcom zewnętrznym zgodnie z przepisami przewidzianymi w art. 24 i 28 rozporządzenia (UE) 2016/679.</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p>
        </w:tc>
        <w:tc>
          <w:tcPr>
            <w:tcW w:w="4876" w:type="dxa"/>
          </w:tcPr>
          <w:p w:rsidR="005E74C4" w:rsidRPr="008947C5" w:rsidRDefault="005E74C4" w:rsidP="009E4524">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w:t>
            </w:r>
            <w:r w:rsidRPr="008947C5">
              <w:rPr>
                <w:b/>
                <w:i/>
                <w:color w:val="auto"/>
              </w:rPr>
              <w:t xml:space="preserve"> podlegają restrykcyjnym warunkom i</w:t>
            </w:r>
            <w:r w:rsidRPr="008947C5">
              <w:rPr>
                <w:color w:val="auto"/>
              </w:rPr>
              <w:t xml:space="preserve"> są anonimizowane w taki sposób, aby osoba, której dane dotyczą, nie mogła zostać zidentyfikowana.</w:t>
            </w:r>
            <w:r w:rsidRPr="008947C5">
              <w:rPr>
                <w:b/>
                <w:i/>
                <w:color w:val="auto"/>
              </w:rPr>
              <w:t xml:space="preserve"> Wszystkie dane osobowe są bezpośrednio i trwale usuwane ze środowiska testowego po osiągnięciu celów testowania lub po zakończeniu testów.</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2 – akapit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p>
        </w:tc>
        <w:tc>
          <w:tcPr>
            <w:tcW w:w="4876" w:type="dxa"/>
          </w:tcPr>
          <w:p w:rsidR="005E74C4" w:rsidRPr="008947C5" w:rsidRDefault="005E74C4" w:rsidP="009E4524">
            <w:pPr>
              <w:pStyle w:val="Normal6"/>
              <w:rPr>
                <w:b/>
                <w:i/>
                <w:color w:val="auto"/>
              </w:rPr>
            </w:pPr>
            <w:r w:rsidRPr="008947C5">
              <w:rPr>
                <w:color w:val="auto"/>
              </w:rPr>
              <w:t>W takich przypadkach środki bezpieczeństwa, kontrola dostępu oraz działania związane z logowaniem do środowiska testującego są takie same jak w przypadku systemu produkcyjnego Eurodac. Prawdziwe dane osobowe przyjęte na potrzeby testowania są anonimizowane w taki sposób, aby osoba, której dane dotyczą, nie mogła zostać zidentyfikowana.</w:t>
            </w:r>
            <w:r w:rsidRPr="008947C5">
              <w:rPr>
                <w:b/>
                <w:i/>
                <w:color w:val="auto"/>
              </w:rPr>
              <w:t xml:space="preserve"> Po osiągnięciu celów testowania, o których mowa w akapicie pierwszym, prawdziwe dane osobowe są trwale usuwane ze środowiska testowego.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5 – ustęp 3 – litera c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ca)</w:t>
            </w:r>
            <w:r w:rsidRPr="008947C5">
              <w:rPr>
                <w:b/>
                <w:i/>
                <w:color w:val="auto"/>
              </w:rPr>
              <w:tab/>
              <w:t>interoperacyjność z innymi systemami informacyjnymi.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należy przewidzieć kompetencję eu-LISA w odniesieniu do przyszłego opracowania zabezpieczonych kanałów komunikacji między systemem centralnym Eurodac a innymi systemami.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6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państwa członkowskie wyznaczają organy upoważnione do występowania z wnioskiem o porównanie z danymi Eurodac zgodnie z niniejszym rozporządzeniem. Wyznaczonymi organami są organy państw członkowskich, które są odpowiedzialne za zapobieganie przestępstwom terrorystycznym lub innym poważnym przestępstwom, ich wykrywanie lub ściganie.</w:t>
            </w:r>
            <w:r w:rsidRPr="008947C5">
              <w:rPr>
                <w:b/>
                <w:i/>
                <w:color w:val="auto"/>
              </w:rPr>
              <w:t xml:space="preserve"> Wyznaczone organy nie obejmują agencji lub jednostek, które są wyłącznie odpowiedzialne za wywiad związany z bezpieczeństwem narodowym.</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państwa członkowskie wyznaczają organy upoważnione do występowania z wnioskiem o porównanie z danymi Eurodac zgodnie z niniejszym rozporządzeniem. Wyznaczonymi organami są organy państw członkowskich, które są odpowiedzialne za zapobieganie przestępstwom terrorystycznym lub innym poważnym przestępstwom, ich wykrywanie lub ściganie.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Nie jest jasne, dlaczego do tekstu wprowadzono specjalne wyłączenie dla agencji lub jednostek ponoszących wyłączną odpowiedzialność za działalność wywiadowczą związaną z bezpieczeństwem narodowym w powiązaniu z celem wskazanym w art. 1 ust. 1 lit. c). Rozporządzenie określa warunki, na jakich wyznaczone organy państw członkowskich i Europol mogą wnioskować o dostęp do danych Eurodac. To państwo członkowskie decyduje, które wyznaczone ograny wykorzystuje do wypełniania obowiązku zapobiegania przestępstwom terrorystycznym lub innym poważnym przestępstwom, ich wykrywania lub ścigania.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6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Każde państwo członkowskie prowadzi wykaz wyznaczonych organów.</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Każde państwo członkowskie prowadzi wykaz wyznaczonych organów</w:t>
            </w:r>
            <w:r w:rsidRPr="008947C5">
              <w:rPr>
                <w:b/>
                <w:i/>
                <w:color w:val="auto"/>
              </w:rPr>
              <w:t xml:space="preserve"> i informuje o nim bezzwłocznie Komisję i eu-LISA</w:t>
            </w:r>
            <w:r w:rsidRPr="008947C5">
              <w:rPr>
                <w:color w:val="auto"/>
              </w:rPr>
              <w:t>.</w:t>
            </w:r>
            <w:r w:rsidRPr="008947C5">
              <w:rPr>
                <w:b/>
                <w:i/>
                <w:color w:val="auto"/>
              </w:rPr>
              <w:t xml:space="preserve"> Eu-LISA publikuje skonsolidowany wykaz w Dzienniku Urzędowym Unii Europejskiej. W przypadku wprowadzenia zmian w wykazie eu-LISA publikuje co roku w internecie zaktualizowany skonsolidowany wykaz.</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Ta poprawka jest powiązana ze zmian</w:t>
      </w:r>
      <w:r w:rsidR="00564243" w:rsidRPr="008947C5">
        <w:rPr>
          <w:color w:val="auto"/>
        </w:rPr>
        <w:t>ami wprowadzonymi w art. 1 ust.</w:t>
      </w:r>
      <w:r w:rsidRPr="008947C5">
        <w:rPr>
          <w:color w:val="auto"/>
        </w:rPr>
        <w:t xml:space="preserve"> 1 lit. c) wniosku Komisji.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7</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Center"/>
              <w:rPr>
                <w:b/>
                <w:i/>
                <w:color w:val="auto"/>
              </w:rPr>
            </w:pPr>
            <w:r w:rsidRPr="008947C5">
              <w:rPr>
                <w:b/>
                <w:i/>
                <w:color w:val="auto"/>
                <w:sz w:val="24"/>
              </w:rPr>
              <w:t>Artykuł 7</w:t>
            </w:r>
            <w:r w:rsidRPr="008947C5">
              <w:rPr>
                <w:b/>
                <w:i/>
                <w:color w:val="auto"/>
              </w:rPr>
              <w:tab/>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Center"/>
              <w:rPr>
                <w:b/>
                <w:i/>
                <w:color w:val="auto"/>
              </w:rPr>
            </w:pPr>
            <w:r w:rsidRPr="008947C5">
              <w:rPr>
                <w:b/>
                <w:i/>
                <w:color w:val="auto"/>
                <w:sz w:val="24"/>
              </w:rPr>
              <w:t>Organy weryfikujące państw członkowskich na potrzeby ochrony porządku publicznego</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W celach określonych w art. 1 ust. 1 lit. c) każde państwo członkowskie wyznacza jeden organ krajowy lub jednostkę takiego organu jako swój organ weryfikujący. Organ weryfikujący jest organem państwa członkowskiego odpowiedzialnym za zapobieganie przestępstwom terrorystycznym lub innym poważnym przestępstwom, ich wykrywanie lub ściganie.</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Wyznaczony organ i organ weryfikujący mogą stanowić część tej samej organizacji, jeżeli zezwala na to prawo krajowe, jednak organ weryfikujący działa niezależnie wykonując swoje zadania na mocy niniejszego rozporządzenia. Organ weryfikujący jest odrębny od jednostek operacyjnych, o których mowa w art. 6 ust. 3, i nie otrzymuje od nich instrukcji dotyczących wyniku weryfikacji.</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Państwa członkowskie mogą wyznaczyć więcej niż jeden organ weryfikujący w celu odzwierciedlenia ich struktury organizacyjnej i administracyjnej, zgodnie z ich wymogami konstytucyjnymi lub prawnymi.</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2.</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Organ weryfikujący zapewnia spełnienie warunków niezbędnych do wystąpienia z wnioskiem o porównanie odcisków palców z danymi systemu Eurodac.</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Jedynie należycie upoważniony personel organu weryfikującego jest uprawniony do otrzymywania i przesyłania wniosków o dostęp do Eurodac zgodnie z art. 20.</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Jedynie organ weryfikujący jest upoważniony do przekazywania wniosków o porównanie odcisków palców oraz wizerunków twarzy do krajowego punktu dostępu.</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AC019E" w:rsidRDefault="005E74C4" w:rsidP="009E4524">
            <w:pPr>
              <w:pStyle w:val="Normal6Italic"/>
              <w:rPr>
                <w:color w:val="auto"/>
              </w:rPr>
            </w:pPr>
            <w:r w:rsidRPr="00AC019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7 – ustęp 2 – akapit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Organ weryfikujący zapewnia spełnienie warunków niezbędnych do wystąpienia z wnioskiem o porównanie odcisków palców z danymi systemu Eurodac.</w:t>
            </w:r>
          </w:p>
        </w:tc>
        <w:tc>
          <w:tcPr>
            <w:tcW w:w="4876" w:type="dxa"/>
          </w:tcPr>
          <w:p w:rsidR="005E74C4" w:rsidRPr="008947C5" w:rsidRDefault="005E74C4" w:rsidP="009E4524">
            <w:pPr>
              <w:pStyle w:val="Normal6"/>
              <w:rPr>
                <w:b/>
                <w:i/>
                <w:color w:val="auto"/>
              </w:rPr>
            </w:pPr>
            <w:r w:rsidRPr="008947C5">
              <w:rPr>
                <w:color w:val="auto"/>
              </w:rPr>
              <w:t>Organ weryfikujący zapewnia spełnienie warunków niezbędnych do wystąpienia z wnioskiem o porównanie odcisków palców</w:t>
            </w:r>
            <w:r w:rsidRPr="008947C5">
              <w:rPr>
                <w:b/>
                <w:i/>
                <w:color w:val="auto"/>
              </w:rPr>
              <w:t>, zdjęcia wizerunku twarzy i danych alfanumerycznych</w:t>
            </w:r>
            <w:r w:rsidRPr="008947C5">
              <w:rPr>
                <w:color w:val="auto"/>
              </w:rPr>
              <w:t xml:space="preserve"> z danymi systemu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 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7 – ustęp 2 – akapit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Jedynie organ weryfikujący jest upoważniony do przekazywania wniosków o porównanie odcisków palców</w:t>
            </w:r>
            <w:r w:rsidRPr="008947C5">
              <w:rPr>
                <w:b/>
                <w:i/>
                <w:color w:val="auto"/>
              </w:rPr>
              <w:t xml:space="preserve"> oraz</w:t>
            </w:r>
            <w:r w:rsidRPr="008947C5">
              <w:rPr>
                <w:color w:val="auto"/>
              </w:rPr>
              <w:t xml:space="preserve"> wizerunków twarzy do krajowego punktu dostępu.</w:t>
            </w:r>
          </w:p>
        </w:tc>
        <w:tc>
          <w:tcPr>
            <w:tcW w:w="4876" w:type="dxa"/>
          </w:tcPr>
          <w:p w:rsidR="005E74C4" w:rsidRPr="008947C5" w:rsidRDefault="005E74C4" w:rsidP="009E4524">
            <w:pPr>
              <w:pStyle w:val="Normal6"/>
              <w:rPr>
                <w:b/>
                <w:i/>
                <w:color w:val="auto"/>
              </w:rPr>
            </w:pPr>
            <w:r w:rsidRPr="008947C5">
              <w:rPr>
                <w:color w:val="auto"/>
              </w:rPr>
              <w:t>Jedynie organ weryfikujący jest upoważniony do przekazywania wniosków o porównanie odcisków palców</w:t>
            </w:r>
            <w:r w:rsidRPr="008947C5">
              <w:rPr>
                <w:b/>
                <w:i/>
                <w:color w:val="auto"/>
              </w:rPr>
              <w:t>,</w:t>
            </w:r>
            <w:r w:rsidRPr="008947C5">
              <w:rPr>
                <w:color w:val="auto"/>
              </w:rPr>
              <w:t xml:space="preserve"> wizerunków twarzy</w:t>
            </w:r>
            <w:r w:rsidRPr="008947C5">
              <w:rPr>
                <w:b/>
                <w:i/>
                <w:color w:val="auto"/>
              </w:rPr>
              <w:t xml:space="preserve"> i danych alfanumerycznych</w:t>
            </w:r>
            <w:r w:rsidRPr="008947C5">
              <w:rPr>
                <w:color w:val="auto"/>
              </w:rPr>
              <w:t xml:space="preserve"> do krajowego punktu dostępu.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Uzasadnienie jest podobne jak w poprzedniej poprawce.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7 – ustęp 2 – akapit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Jedynie organ weryfikujący jest upoważniony do przekazywania wniosków o porównanie odcisków palców</w:t>
            </w:r>
            <w:r w:rsidRPr="008947C5">
              <w:rPr>
                <w:b/>
                <w:i/>
                <w:color w:val="auto"/>
              </w:rPr>
              <w:t xml:space="preserve"> oraz</w:t>
            </w:r>
            <w:r w:rsidRPr="008947C5">
              <w:rPr>
                <w:color w:val="auto"/>
              </w:rPr>
              <w:t xml:space="preserve"> wizerunków twarzy do krajowego punktu dostępu.</w:t>
            </w:r>
          </w:p>
        </w:tc>
        <w:tc>
          <w:tcPr>
            <w:tcW w:w="4876" w:type="dxa"/>
          </w:tcPr>
          <w:p w:rsidR="005E74C4" w:rsidRPr="008947C5" w:rsidRDefault="005E74C4" w:rsidP="009E4524">
            <w:pPr>
              <w:pStyle w:val="Normal6"/>
              <w:rPr>
                <w:b/>
                <w:i/>
                <w:color w:val="auto"/>
              </w:rPr>
            </w:pPr>
            <w:r w:rsidRPr="008947C5">
              <w:rPr>
                <w:color w:val="auto"/>
              </w:rPr>
              <w:t>Jedynie organ weryfikujący jest upoważniony do przekazywania wniosków o porównanie odcisków palców</w:t>
            </w:r>
            <w:r w:rsidRPr="008947C5">
              <w:rPr>
                <w:b/>
                <w:i/>
                <w:color w:val="auto"/>
              </w:rPr>
              <w:t>,</w:t>
            </w:r>
            <w:r w:rsidRPr="008947C5">
              <w:rPr>
                <w:color w:val="auto"/>
              </w:rPr>
              <w:t xml:space="preserve"> wizerunków twarzy</w:t>
            </w:r>
            <w:r w:rsidRPr="008947C5">
              <w:rPr>
                <w:b/>
                <w:i/>
                <w:color w:val="auto"/>
              </w:rPr>
              <w:t xml:space="preserve"> lub obu tych rodzajów danych</w:t>
            </w:r>
            <w:r w:rsidRPr="008947C5">
              <w:rPr>
                <w:color w:val="auto"/>
              </w:rPr>
              <w:t xml:space="preserve"> do krajowego punktu dostępu.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229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Center"/>
              <w:rPr>
                <w:b/>
                <w:i/>
                <w:color w:val="auto"/>
              </w:rPr>
            </w:pPr>
            <w:r w:rsidRPr="008947C5">
              <w:rPr>
                <w:b/>
                <w:i/>
                <w:color w:val="auto"/>
                <w:sz w:val="24"/>
              </w:rPr>
              <w:t>Artykuł 8</w:t>
            </w:r>
            <w:r w:rsidRPr="008947C5">
              <w:rPr>
                <w:b/>
                <w:i/>
                <w:color w:val="auto"/>
              </w:rPr>
              <w:tab/>
            </w:r>
          </w:p>
        </w:tc>
        <w:tc>
          <w:tcPr>
            <w:tcW w:w="4876" w:type="dxa"/>
          </w:tcPr>
          <w:p w:rsidR="005E74C4" w:rsidRPr="008947C5" w:rsidRDefault="005E74C4" w:rsidP="009E4524">
            <w:pPr>
              <w:pStyle w:val="Normal6"/>
              <w:rPr>
                <w:b/>
                <w:i/>
                <w:color w:val="auto"/>
              </w:rPr>
            </w:pPr>
            <w:r w:rsidRPr="008947C5">
              <w:rPr>
                <w:b/>
                <w:i/>
                <w:color w:val="auto"/>
              </w:rPr>
              <w:t>skreśla się</w:t>
            </w:r>
          </w:p>
        </w:tc>
      </w:tr>
      <w:tr w:rsidR="00447681" w:rsidRPr="008947C5" w:rsidTr="009E4524">
        <w:trPr>
          <w:jc w:val="center"/>
        </w:trPr>
        <w:tc>
          <w:tcPr>
            <w:tcW w:w="4876" w:type="dxa"/>
          </w:tcPr>
          <w:p w:rsidR="005E74C4" w:rsidRPr="008947C5" w:rsidRDefault="005E74C4" w:rsidP="009E4524">
            <w:pPr>
              <w:pStyle w:val="Center"/>
              <w:rPr>
                <w:b/>
                <w:i/>
                <w:color w:val="auto"/>
              </w:rPr>
            </w:pPr>
            <w:r w:rsidRPr="008947C5">
              <w:rPr>
                <w:b/>
                <w:i/>
                <w:color w:val="auto"/>
                <w:sz w:val="24"/>
              </w:rPr>
              <w:t>Europol</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1. W celach określonych w art. 1 ust. 1 lit. c) Europol wyznacza wyspecjalizowaną jednostkę z należycie upoważnionymi funkcjonariuszami Europolu jako swój organ weryfikujący, który, wykonując swoje zadania na mocy niniejszego rozporządzenia, działa niezależnie od wyznaczonego organu, o którym mowa w ust. 2 niniejszego artykułu, oraz nie otrzymuje instrukcji od wyznaczonego organu dotyczących wyniku weryfikacji. Jednostka zapewnia spełnienie warunków niezbędnych do wystąpienia z wnioskiem o porównanie odcisków palców i wizerunku twarzy z danymi Eurodac. Europol wyznacza, w porozumieniu z każdym państwem członkowskim, krajowy punkt dostępu tego państwa członkowskiego, który przekazuje jego wnioski o porównanie danych daktyloskopijnych i danych dotyczących wizerunku twarzy do systemu centralnego.</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2. Do celów określonych w art. 1 ust. 1 lit. c) Europol wyznacza jednostkę operacyjną upoważnioną do występowania z wnioskiem o porównanie z danymi Eurodac za pośrednictwem swojego wyznaczonego krajowego punktu dostępu. Wyznaczony organ jest jednostką operacyjną Europolu, która jest właściwa w zakresie gromadzenia, przechowywania, przetwarzania, analizowania i wymiany informacji w celu wspierania i wzmacniania działań państw członkowskich w zakresie zapobiegania przestępstwom terrorystycznym lub innym poważnym przestępstwom podlegającym kompetencji Europolu, ich wykrywania lub ścigania.</w:t>
            </w:r>
          </w:p>
        </w:tc>
        <w:tc>
          <w:tcPr>
            <w:tcW w:w="4876" w:type="dxa"/>
          </w:tcPr>
          <w:p w:rsidR="005E74C4" w:rsidRPr="008947C5" w:rsidRDefault="005E74C4" w:rsidP="009E4524">
            <w:pPr>
              <w:pStyle w:val="Normal6"/>
              <w:rPr>
                <w:color w:val="auto"/>
              </w:rPr>
            </w:pP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AC019E" w:rsidRDefault="005E74C4" w:rsidP="009E4524">
            <w:pPr>
              <w:pStyle w:val="Normal6Italic"/>
              <w:rPr>
                <w:color w:val="auto"/>
              </w:rPr>
            </w:pPr>
            <w:r w:rsidRPr="00AC019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w:t>
            </w:r>
            <w:r w:rsidRPr="008947C5">
              <w:rPr>
                <w:b/>
                <w:i/>
                <w:color w:val="auto"/>
              </w:rPr>
              <w:t xml:space="preserve"> wyspecjalizowaną jednostkę z należycie upoważnionymi funkcjonariuszami Europolu jako swój</w:t>
            </w:r>
            <w:r w:rsidRPr="008947C5">
              <w:rPr>
                <w:color w:val="auto"/>
              </w:rPr>
              <w:t xml:space="preserve"> organ</w:t>
            </w:r>
            <w:r w:rsidRPr="008947C5">
              <w:rPr>
                <w:b/>
                <w:i/>
                <w:color w:val="auto"/>
              </w:rPr>
              <w:t xml:space="preserve"> weryfikujący</w:t>
            </w:r>
            <w:r w:rsidRPr="008947C5">
              <w:rPr>
                <w:color w:val="auto"/>
              </w:rPr>
              <w:t>, który, wykonując swoje zadania na mocy niniejszego rozporządzenia, działa niezależnie od</w:t>
            </w:r>
            <w:r w:rsidRPr="008947C5">
              <w:rPr>
                <w:b/>
                <w:i/>
                <w:color w:val="auto"/>
              </w:rPr>
              <w:t xml:space="preserve"> wyznaczonego organu</w:t>
            </w:r>
            <w:r w:rsidRPr="008947C5">
              <w:rPr>
                <w:color w:val="auto"/>
              </w:rPr>
              <w:t>, o którym mowa w ust. 2 niniejszego artykułu, oraz nie otrzymuje instrukcji od wyznaczonego organu dotyczących wyniku weryfikacji. Jednostka</w:t>
            </w:r>
            <w:r w:rsidRPr="008947C5">
              <w:rPr>
                <w:b/>
                <w:i/>
                <w:color w:val="auto"/>
              </w:rPr>
              <w:t xml:space="preserve"> zapewnia spełnienie warunków niezbędnych do wystąpienia z wnioskiem o porównanie odcisków palców i wizerunku twarzy z danymi Eurodac. Europol wyznacza, w porozumieniu z każdym państwem członkowskim, krajowy punkt dostępu tego państwa członkowskiego, który przekazuje jego wnioski o porównanie danych daktyloskopijnych i danych dotyczących wizerunku twarzy do systemu centralnego.</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 organ, który</w:t>
            </w:r>
            <w:r w:rsidRPr="008947C5">
              <w:rPr>
                <w:b/>
                <w:i/>
                <w:color w:val="auto"/>
              </w:rPr>
              <w:t xml:space="preserve"> jest uprawniony do wnioskowania o dostęp do Eurodac za pośrednictwem wyznaczonego centralnego punktu dostępu w celu zapobiegania przestępstwom terrorystycznym lub innym poważnym przestępstwom</w:t>
            </w:r>
            <w:r w:rsidRPr="008947C5">
              <w:rPr>
                <w:color w:val="auto"/>
              </w:rPr>
              <w:t>,</w:t>
            </w:r>
            <w:r w:rsidRPr="008947C5">
              <w:rPr>
                <w:b/>
                <w:i/>
                <w:color w:val="auto"/>
              </w:rPr>
              <w:t xml:space="preserve"> ich wykrywania i ścigania. Wyznaczony organ,</w:t>
            </w:r>
            <w:r w:rsidRPr="008947C5">
              <w:rPr>
                <w:color w:val="auto"/>
              </w:rPr>
              <w:t xml:space="preserve"> wykonując swoje zadania na mocy niniejszego rozporządzenia, działa niezależnie od</w:t>
            </w:r>
            <w:r w:rsidRPr="008947C5">
              <w:rPr>
                <w:b/>
                <w:i/>
                <w:color w:val="auto"/>
              </w:rPr>
              <w:t xml:space="preserve"> centralnego punktu dostępu</w:t>
            </w:r>
            <w:r w:rsidRPr="008947C5">
              <w:rPr>
                <w:color w:val="auto"/>
              </w:rPr>
              <w:t>, o którym mowa w ust. 2 niniejszego artykułu, oraz nie otrzymuje instrukcji od wyznaczonego organu dotyczących wyniku weryfikacji.</w:t>
            </w:r>
            <w:r w:rsidRPr="008947C5">
              <w:rPr>
                <w:b/>
                <w:i/>
                <w:color w:val="auto"/>
              </w:rPr>
              <w:t xml:space="preserve"> Wyznaczonym organem jest</w:t>
            </w:r>
            <w:r w:rsidRPr="008947C5">
              <w:rPr>
                <w:color w:val="auto"/>
              </w:rPr>
              <w:t xml:space="preserve"> jednostka</w:t>
            </w:r>
            <w:r w:rsidRPr="008947C5">
              <w:rPr>
                <w:b/>
                <w:i/>
                <w:color w:val="auto"/>
              </w:rPr>
              <w:t xml:space="preserve"> operacyjna Europolu.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 wyspecjalizowaną jednostkę z należycie upoważnionymi funkcjonariuszami Europolu jako swój organ weryfikujący, który, wykonując swoje zadania na mocy niniejszego rozporządzenia, działa niezależnie od wyznaczonego organu, o którym mowa w ust. 2 niniejszego artykułu, oraz nie otrzymuje instrukcji od wyznaczonego organu dotyczących wyniku weryfikacji. Jednostka zapewnia spełnienie warunków niezbędnych do wystąpienia z wnioskiem o porównanie odcisków palców i wizerunku twarzy z danymi Eurodac. Europol</w:t>
            </w:r>
            <w:r w:rsidRPr="008947C5">
              <w:rPr>
                <w:b/>
                <w:i/>
                <w:color w:val="auto"/>
              </w:rPr>
              <w:t xml:space="preserve"> wyznacza, w porozumieniu z każdym państwem członkowskim, krajowy punkt dostępu tego państwa członkowskiego, który</w:t>
            </w:r>
            <w:r w:rsidRPr="008947C5">
              <w:rPr>
                <w:color w:val="auto"/>
              </w:rPr>
              <w:t xml:space="preserve"> przekazuje</w:t>
            </w:r>
            <w:r w:rsidRPr="008947C5">
              <w:rPr>
                <w:b/>
                <w:i/>
                <w:color w:val="auto"/>
              </w:rPr>
              <w:t xml:space="preserve"> jego</w:t>
            </w:r>
            <w:r w:rsidRPr="008947C5">
              <w:rPr>
                <w:color w:val="auto"/>
              </w:rPr>
              <w:t xml:space="preserve"> wnioski o porównanie danych daktyloskopijnych i danych dotyczących wizerunku twarzy do systemu centralnego.</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 wyspecjalizowaną jednostkę z należycie upoważnionymi funkcjonariuszami Europolu jako swój organ weryfikujący, który, wykonując swoje zadania na mocy niniejszego rozporządzenia, działa niezależnie od wyznaczonego organu, o którym mowa w ust. 2 niniejszego artykułu, oraz nie otrzymuje instrukcji od wyznaczonego organu dotyczących wyniku weryfikacji. Jednostka zapewnia spełnienie warunków niezbędnych do wystąpienia z wnioskiem o porównanie odcisków palców i wizerunku twarzy z danymi Eurodac.</w:t>
            </w:r>
            <w:r w:rsidR="00447681" w:rsidRPr="008947C5">
              <w:rPr>
                <w:b/>
                <w:i/>
                <w:color w:val="auto"/>
              </w:rPr>
              <w:t xml:space="preserve"> </w:t>
            </w:r>
            <w:r w:rsidRPr="008947C5">
              <w:rPr>
                <w:b/>
                <w:i/>
                <w:color w:val="auto"/>
              </w:rPr>
              <w:t>W przypadku spełnienia warunków</w:t>
            </w:r>
            <w:r w:rsidRPr="008947C5">
              <w:rPr>
                <w:color w:val="auto"/>
              </w:rPr>
              <w:t xml:space="preserve"> Europol przekazuje</w:t>
            </w:r>
            <w:r w:rsidRPr="008947C5">
              <w:rPr>
                <w:b/>
                <w:i/>
                <w:color w:val="auto"/>
              </w:rPr>
              <w:t xml:space="preserve"> jej</w:t>
            </w:r>
            <w:r w:rsidRPr="008947C5">
              <w:rPr>
                <w:color w:val="auto"/>
              </w:rPr>
              <w:t xml:space="preserve"> wnioski o porównanie danych daktyloskopijnych i danych dotyczących wizerunku twarzy do systemu centralnego.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powiązana ze zmianami wprowadzonymi w art. 1 ust. 1 lit. c). Ze względu na ochronę danych i z przyczyn technicznych Europol nie może obecnie wnioskować o porównanie za pośrednictwem krajowego punktu kontaktowego, nawet jeżeli ustawodawca upoważnił do tego Europol w ramach ostatniej procedury przekształcenia w 2013</w:t>
      </w:r>
      <w:r w:rsidR="00447681" w:rsidRPr="008947C5">
        <w:rPr>
          <w:color w:val="auto"/>
        </w:rPr>
        <w:t xml:space="preserve"> </w:t>
      </w:r>
      <w:r w:rsidRPr="008947C5">
        <w:rPr>
          <w:color w:val="auto"/>
        </w:rPr>
        <w:t>r. Z tego względu Europol powinien mieć możliwość wnioskowania o porównanie w sposób bezpośredni.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 wyspecjalizowaną jednostkę z należycie upoważnionymi funkcjonariuszami Europolu jako swój organ weryfikujący, który, wykonując swoje zadania na mocy niniejszego rozporządzenia, działa niezależnie od wyznaczonego organu, o którym mowa w ust. 2 niniejszego artykułu, oraz nie otrzymuje instrukcji od wyznaczonego organu dotyczących wyniku weryfikacji. Jednostka zapewnia spełnienie warunków niezbędnych do wystąpienia z wnioskiem o porównanie odcisków palców</w:t>
            </w:r>
            <w:r w:rsidRPr="008947C5">
              <w:rPr>
                <w:b/>
                <w:i/>
                <w:color w:val="auto"/>
              </w:rPr>
              <w:t xml:space="preserve"> i</w:t>
            </w:r>
            <w:r w:rsidRPr="008947C5">
              <w:rPr>
                <w:color w:val="auto"/>
              </w:rPr>
              <w:t xml:space="preserve"> wizerunku twarzy z danymi Eurodac. Europol wyznacza, w porozumieniu z każdym państwem członkowskim, krajowy punkt dostępu tego państwa członkowskiego, który przekazuje jego wnioski o porównanie danych daktyloskopijnych</w:t>
            </w:r>
            <w:r w:rsidRPr="008947C5">
              <w:rPr>
                <w:b/>
                <w:i/>
                <w:color w:val="auto"/>
              </w:rPr>
              <w:t xml:space="preserve"> i</w:t>
            </w:r>
            <w:r w:rsidRPr="008947C5">
              <w:rPr>
                <w:color w:val="auto"/>
              </w:rPr>
              <w:t xml:space="preserve"> danych dotyczących wizerunku twarzy do systemu centralnego.</w:t>
            </w:r>
          </w:p>
        </w:tc>
        <w:tc>
          <w:tcPr>
            <w:tcW w:w="4876" w:type="dxa"/>
          </w:tcPr>
          <w:p w:rsidR="005E74C4" w:rsidRPr="008947C5" w:rsidRDefault="005E74C4" w:rsidP="009E4524">
            <w:pPr>
              <w:pStyle w:val="Normal6"/>
              <w:rPr>
                <w:b/>
                <w:i/>
                <w:color w:val="auto"/>
              </w:rPr>
            </w:pPr>
            <w:r w:rsidRPr="008947C5">
              <w:rPr>
                <w:color w:val="auto"/>
              </w:rPr>
              <w:t>1.</w:t>
            </w:r>
            <w:r w:rsidRPr="008947C5">
              <w:rPr>
                <w:b/>
                <w:i/>
                <w:color w:val="auto"/>
              </w:rPr>
              <w:tab/>
            </w:r>
            <w:r w:rsidRPr="008947C5">
              <w:rPr>
                <w:color w:val="auto"/>
              </w:rPr>
              <w:t>W celach określonych w art. 1 ust. 1 lit. c) Europol wyznacza wyspecjalizowaną jednostkę z należycie upoważnionymi funkcjonariuszami Europolu jako swój organ weryfikujący, który, wykonując swoje zadania na mocy niniejszego rozporządzenia, działa niezależnie od wyznaczonego organu, o którym mowa w ust. 2 niniejszego artykułu, oraz nie otrzymuje instrukcji od wyznaczonego organu dotyczących wyniku weryfikacji. Jednostka zapewnia spełnienie warunków niezbędnych do wystąpienia z wnioskiem o porównanie odcisków palców</w:t>
            </w:r>
            <w:r w:rsidRPr="008947C5">
              <w:rPr>
                <w:b/>
                <w:i/>
                <w:color w:val="auto"/>
              </w:rPr>
              <w:t>,</w:t>
            </w:r>
            <w:r w:rsidRPr="008947C5">
              <w:rPr>
                <w:color w:val="auto"/>
              </w:rPr>
              <w:t xml:space="preserve"> wizerunku twarzy</w:t>
            </w:r>
            <w:r w:rsidRPr="008947C5">
              <w:rPr>
                <w:b/>
                <w:i/>
                <w:color w:val="auto"/>
              </w:rPr>
              <w:t xml:space="preserve"> lub obu tych rodzajów danych</w:t>
            </w:r>
            <w:r w:rsidRPr="008947C5">
              <w:rPr>
                <w:color w:val="auto"/>
              </w:rPr>
              <w:t xml:space="preserve"> z danymi Eurodac. Europol wyznacza, w porozumieniu z każdym państwem członkowskim, krajowy punkt dostępu tego państwa członkowskiego, który przekazuje jego wnioski o porównanie danych daktyloskopijnych</w:t>
            </w:r>
            <w:r w:rsidRPr="008947C5">
              <w:rPr>
                <w:b/>
                <w:i/>
                <w:color w:val="auto"/>
              </w:rPr>
              <w:t>,</w:t>
            </w:r>
            <w:r w:rsidRPr="008947C5">
              <w:rPr>
                <w:color w:val="auto"/>
              </w:rPr>
              <w:t xml:space="preserve"> danych dotyczących wizerunku twarzy</w:t>
            </w:r>
            <w:r w:rsidRPr="008947C5">
              <w:rPr>
                <w:b/>
                <w:i/>
                <w:color w:val="auto"/>
              </w:rPr>
              <w:t xml:space="preserve"> lub obu tych rodzajów danych</w:t>
            </w:r>
            <w:r w:rsidRPr="008947C5">
              <w:rPr>
                <w:color w:val="auto"/>
              </w:rPr>
              <w:t xml:space="preserve"> do systemu centralnego.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Do celów określonych w art. 1 ust. 1 lit. c) Europol wyznacza jednostkę</w:t>
            </w:r>
            <w:r w:rsidRPr="008947C5">
              <w:rPr>
                <w:b/>
                <w:i/>
                <w:color w:val="auto"/>
              </w:rPr>
              <w:t xml:space="preserve"> operacyjną upoważnioną do występowania z wnioskiem o porównanie z danymi Eurodac za pośrednictwem swojego wyznaczonego krajowego punktu</w:t>
            </w:r>
            <w:r w:rsidRPr="008947C5">
              <w:rPr>
                <w:color w:val="auto"/>
              </w:rPr>
              <w:t xml:space="preserve"> dostępu.</w:t>
            </w:r>
            <w:r w:rsidRPr="008947C5">
              <w:rPr>
                <w:b/>
                <w:i/>
                <w:color w:val="auto"/>
              </w:rPr>
              <w:t xml:space="preserve"> Wyznaczony organ jest jednostką operacyjną Europolu, która jest właściwa w zakresie gromadzenia, przechowywania, przetwarzania, analizowania i wymiany informacji w celu wspierania i wzmacniania działań państw członkowskich w zakresie zapobiegania przestępstwom terrorystycznym lub innym poważnym przestępstwom podlegającym kompetencji Europolu, ich wykrywania lub ścigania</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Do celów określonych w art. 1 ust. 1 lit. c) Europol wyznacza</w:t>
            </w:r>
            <w:r w:rsidRPr="008947C5">
              <w:rPr>
                <w:b/>
                <w:i/>
                <w:color w:val="auto"/>
              </w:rPr>
              <w:t xml:space="preserve"> wyspecjalizowaną</w:t>
            </w:r>
            <w:r w:rsidRPr="008947C5">
              <w:rPr>
                <w:color w:val="auto"/>
              </w:rPr>
              <w:t xml:space="preserve"> jednostkę</w:t>
            </w:r>
            <w:r w:rsidRPr="008947C5">
              <w:rPr>
                <w:b/>
                <w:i/>
                <w:color w:val="auto"/>
              </w:rPr>
              <w:t xml:space="preserve"> z należycie upoważnionymi funkcjonariuszami Europolu działającą jako centralny punkt</w:t>
            </w:r>
            <w:r w:rsidRPr="008947C5">
              <w:rPr>
                <w:color w:val="auto"/>
              </w:rPr>
              <w:t xml:space="preserve"> dostępu.</w:t>
            </w:r>
            <w:r w:rsidRPr="008947C5">
              <w:rPr>
                <w:b/>
                <w:i/>
                <w:color w:val="auto"/>
              </w:rPr>
              <w:t xml:space="preserve"> Centralny punkt dostępu weryfikuje, czy spełnione są warunki wnioskowania o dostęp do Eurodac określone w art</w:t>
            </w:r>
            <w:r w:rsidRPr="008947C5">
              <w:rPr>
                <w:color w:val="auto"/>
              </w:rPr>
              <w:t>.</w:t>
            </w:r>
            <w:r w:rsidRPr="008947C5">
              <w:rPr>
                <w:b/>
                <w:i/>
                <w:color w:val="auto"/>
              </w:rPr>
              <w:t xml:space="preserve"> 22.</w:t>
            </w:r>
            <w:r w:rsidRPr="008947C5">
              <w:rPr>
                <w:b/>
                <w:i/>
                <w:color w:val="auto"/>
              </w:rPr>
              <w:br/>
              <w:t>Centralny punkt dostępu działa niezależnie, wykonując swoje zadania na mocy niniejszego rozporządzenia, i nie otrzymuje instrukcji w sprawie wyniku weryfikacji od wyznaczonego organu, o którym mowa w ust.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Do celów określonych w art. 1 ust. 1 lit. c) Europol wyznacza jednostkę operacyjną upoważnioną do występowania z wnioskiem o porównanie z danymi Eurodac</w:t>
            </w:r>
            <w:r w:rsidRPr="008947C5">
              <w:rPr>
                <w:b/>
                <w:i/>
                <w:color w:val="auto"/>
              </w:rPr>
              <w:t xml:space="preserve"> za pośrednictwem swojego wyznaczonego krajowego punktu dostępu</w:t>
            </w:r>
            <w:r w:rsidRPr="008947C5">
              <w:rPr>
                <w:color w:val="auto"/>
              </w:rPr>
              <w:t>. Wyznaczony organ jest jednostką operacyjną Europolu, która jest właściwa w zakresie gromadzenia, przechowywania, przetwarzania, analizowania i wymiany informacji w celu wspierania i wzmacniania działań państw członkowskich w zakresie zapobiegania przestępstwom terrorystycznym lub innym poważnym przestępstwom podlegającym kompetencji Europolu, ich wykrywania lub ścigania.</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Do celów określonych w art. 1 ust. 1 lit. c) Europol wyznacza jednostkę operacyjną upoważnioną do występowania z wnioskiem o porównanie z danymi Eurodac. Wyznaczony organ jest jednostką operacyjną Europolu, która jest właściwa w zakresie gromadzenia, przechowywania, przetwarzania, analizowania i wymiany informacji w celu wspierania i wzmacniania działań państw członkowskich w zakresie zapobiegania przestępstwom terrorystycznym lub innym poważnym przestępstwom podlegającym kompetencji Europolu, ich wykrywania lub ścigania.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powiązana ze zmianami wprowadzonymi w art. 1 ust. 1 lit. c). Ze względu na ochronę danych i z przyczyn technicznych Europol nie może obecnie wnioskować o porównanie za pośrednictwem krajowego punktu kontaktowego, nawet jeżeli ustawodawca upoważnił do tego Europol w ramach ostatniej procedury przekształcenia w 2013</w:t>
      </w:r>
      <w:r w:rsidR="00447681" w:rsidRPr="008947C5">
        <w:rPr>
          <w:color w:val="auto"/>
        </w:rPr>
        <w:t xml:space="preserve"> </w:t>
      </w:r>
      <w:r w:rsidRPr="008947C5">
        <w:rPr>
          <w:color w:val="auto"/>
        </w:rPr>
        <w:t>r. Z tego względu Europol powinien mieć możliwość wnioskowania o porównanie w sposób bezpośredni.</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Sophia in 't Veld</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 ustęp 2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2a.</w:t>
            </w:r>
            <w:r w:rsidRPr="008947C5">
              <w:rPr>
                <w:b/>
                <w:i/>
                <w:color w:val="auto"/>
              </w:rPr>
              <w:tab/>
              <w:t>Do celów określonych w art. 1 ust. 1 lit. c) Europol wyznacza jednostkę operacyjną odpowiedzialną za zaginione dzieci i dzieci będące ofiarami handlu ludźmi. Wyznaczony organ jest jednostką operacyjną Europolu, która jest właściwa do spraw gromadzenia, przechowywania, przetwarzania, analizowania i wymiany informacji w celu wspierania i wzmacniania działań państw członkowskich w zakresie zapobiegania handlowi dziećmi, pracy dzieci lub wykorzystywaniu seksualnemu dzieci, wykrywania tych procederów lub ich ścigania.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8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Center"/>
              <w:rPr>
                <w:b/>
                <w:i/>
                <w:color w:val="auto"/>
              </w:rPr>
            </w:pPr>
            <w:r w:rsidRPr="008947C5">
              <w:rPr>
                <w:b/>
                <w:i/>
                <w:color w:val="auto"/>
                <w:sz w:val="24"/>
              </w:rPr>
              <w:t>Artykuł 8a</w:t>
            </w:r>
            <w:r w:rsidRPr="008947C5">
              <w:rPr>
                <w:b/>
                <w:i/>
                <w:color w:val="auto"/>
              </w:rPr>
              <w:tab/>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Center"/>
              <w:rPr>
                <w:b/>
                <w:i/>
                <w:color w:val="auto"/>
              </w:rPr>
            </w:pPr>
            <w:r w:rsidRPr="008947C5">
              <w:rPr>
                <w:b/>
                <w:i/>
                <w:color w:val="auto"/>
                <w:sz w:val="24"/>
              </w:rPr>
              <w:t>Europejska Straż Graniczna i Przybrzeżna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Zgodnie z art. 40 ust. 8 rozporządzenia (UE) 2016/1624 członkowie Europejskiej Agencji Straży Granicznej i Przybrzeżnej lub zespołów zaangażowanych w zadania związane z powrotami, a także członkowie zespołów odpowiedzialnych za wspieranie zarządzania migracją, w ramach swoich mandatów, mają prawo dostępu i przeszukiwania danych wprowadzonych do Eurodac. Dostęp do danych i ich przeszukiwanie odbywa się za pomocą interfejsu technicznego stworzonego i utrzymywanego przez Europejską Agencję Straży Granicznej i Przybrzeżnej zgodnie z art. 10 ust. 3a.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odnosi się do nowej roli Eurodac, która została wyrażona w nowej lit. b) w art. 1. Eurodac będzie teraz wspomagał kontrolę nielegalnej imigracji i nieuregulowanego wtórnego przemieszczania się. W ramach nowego mandatu zadanie to realizuje również niedawno utworzona Europejska Agencja Straży Granicznej i Przybrzeżnej. Zapewnienie Europejskiej Agencji Straży Granicznej i Przybrzeżnej dostępu do Eurodac powinno umożliwić pełne wykorzystanie nowego potencjału tego systemu.</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Gérard Deprez, Louis Michel, Petr Ježek</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a)</w:t>
            </w:r>
            <w:r w:rsidRPr="008947C5">
              <w:rPr>
                <w:b/>
                <w:i/>
                <w:color w:val="auto"/>
              </w:rPr>
              <w:tab/>
            </w:r>
            <w:r w:rsidRPr="008947C5">
              <w:rPr>
                <w:color w:val="auto"/>
              </w:rPr>
              <w:t>liczbę przesłanych zestawów danych dotyczących osób, o których mowa w art. 10 ust. 1, art. 13 ust. 1 i art. 14 ust. 1;</w:t>
            </w:r>
          </w:p>
        </w:tc>
        <w:tc>
          <w:tcPr>
            <w:tcW w:w="4876" w:type="dxa"/>
          </w:tcPr>
          <w:p w:rsidR="005E74C4" w:rsidRPr="008947C5" w:rsidRDefault="005E74C4" w:rsidP="009E4524">
            <w:pPr>
              <w:pStyle w:val="Normal6"/>
              <w:rPr>
                <w:b/>
                <w:i/>
                <w:color w:val="auto"/>
              </w:rPr>
            </w:pPr>
            <w:r w:rsidRPr="008947C5">
              <w:rPr>
                <w:color w:val="auto"/>
              </w:rPr>
              <w:t>a)</w:t>
            </w:r>
            <w:r w:rsidRPr="008947C5">
              <w:rPr>
                <w:b/>
                <w:i/>
                <w:color w:val="auto"/>
              </w:rPr>
              <w:tab/>
            </w:r>
            <w:r w:rsidRPr="008947C5">
              <w:rPr>
                <w:color w:val="auto"/>
              </w:rPr>
              <w:t>liczbę przesłanych zestawów danych dotyczących osób, o których mowa w art. 10 ust. 1, art.</w:t>
            </w:r>
            <w:r w:rsidRPr="008947C5">
              <w:rPr>
                <w:b/>
                <w:i/>
                <w:color w:val="auto"/>
              </w:rPr>
              <w:t xml:space="preserve"> 12a, art.</w:t>
            </w:r>
            <w:r w:rsidRPr="008947C5">
              <w:rPr>
                <w:color w:val="auto"/>
              </w:rPr>
              <w:t xml:space="preserve"> 13 ust. 1 i art. 14 ust.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{FR}</w:t>
      </w:r>
      <w:r w:rsidRPr="008947C5">
        <w:rPr>
          <w:color w:val="auto"/>
        </w:rPr>
        <w:t>fr</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Przekształcenie: poprawka jest związana z propozycją dodania nowej kategorii (nowego rozdziału IIa) i ma na celu zapewnienie spójności tekstu w związku ze wspomnianą zmianą.</w:t>
      </w:r>
    </w:p>
    <w:p w:rsidR="00803CA7" w:rsidRPr="008947C5" w:rsidRDefault="00803CA7" w:rsidP="00803CA7">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a)</w:t>
            </w:r>
            <w:r w:rsidRPr="008947C5">
              <w:rPr>
                <w:b/>
                <w:i/>
                <w:color w:val="auto"/>
              </w:rPr>
              <w:tab/>
            </w:r>
            <w:r w:rsidRPr="008947C5">
              <w:rPr>
                <w:color w:val="auto"/>
              </w:rPr>
              <w:t>liczbę przesłanych zestawów danych dotyczących osób, o których mowa w art. 10 ust. 1</w:t>
            </w:r>
            <w:r w:rsidRPr="008947C5">
              <w:rPr>
                <w:b/>
                <w:i/>
                <w:color w:val="auto"/>
              </w:rPr>
              <w:t>,</w:t>
            </w:r>
            <w:r w:rsidRPr="008947C5">
              <w:rPr>
                <w:color w:val="auto"/>
              </w:rPr>
              <w:t xml:space="preserve"> art. 13 ust. 1</w:t>
            </w:r>
            <w:r w:rsidRPr="008947C5">
              <w:rPr>
                <w:b/>
                <w:i/>
                <w:color w:val="auto"/>
              </w:rPr>
              <w:t xml:space="preserve"> i art. 14 ust. 1</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a)</w:t>
            </w:r>
            <w:r w:rsidRPr="008947C5">
              <w:rPr>
                <w:b/>
                <w:i/>
                <w:color w:val="auto"/>
              </w:rPr>
              <w:tab/>
            </w:r>
            <w:r w:rsidRPr="008947C5">
              <w:rPr>
                <w:color w:val="auto"/>
              </w:rPr>
              <w:t>liczbę przesłanych zestawów danych dotyczących osób, o których mowa w art. 10 ust. 1</w:t>
            </w:r>
            <w:r w:rsidRPr="008947C5">
              <w:rPr>
                <w:b/>
                <w:i/>
                <w:color w:val="auto"/>
              </w:rPr>
              <w:t xml:space="preserve"> i</w:t>
            </w:r>
            <w:r w:rsidRPr="008947C5">
              <w:rPr>
                <w:color w:val="auto"/>
              </w:rPr>
              <w:t xml:space="preserve"> art. 13 ust. 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dopuszczalna, ponieważ jest powiązana w nierozerwalny sposób z dopuszczalnymi poprawkami skreślającymi art. 14 ust. 1, 2, 4, 5 i 6.</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239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liczbę trafień w odniesieniu do osób, o których mowa w art. 10 ust. 1, które następnie złożyły wniosek o udzielenie ochrony międzynarodowej w innym państwie członkowskim</w:t>
            </w:r>
            <w:r w:rsidRPr="008947C5">
              <w:rPr>
                <w:b/>
                <w:i/>
                <w:color w:val="auto"/>
              </w:rPr>
              <w:t>, które zostały zatrzymane w związku z nielegalnym przekroczeniem granicy zewnętrznej oraz nielegalnie przebywały na terytorium jednego z państw członkowskich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liczbę trafień w odniesieniu do osób, o których mowa w art. 10 ust. 1, które następnie złożyły wniosek o udzielenie ochrony międzynarodowej w innym państwie członkowskim;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liczbę trafień w odniesieniu do osób, o których mowa w art. 10 ust. 1, które następnie złożyły wniosek o udzielenie ochrony międzynarodowej w innym państwie członkowskim</w:t>
            </w:r>
            <w:r w:rsidRPr="008947C5">
              <w:rPr>
                <w:b/>
                <w:i/>
                <w:color w:val="auto"/>
              </w:rPr>
              <w:t>, które zostały zatrzymane w związku z nielegalnym przekroczeniem granicy zewnętrznej oraz nielegalnie przebywały na terytorium jednego z państw członkowskich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liczbę trafień w odniesieniu do osób, o których mowa w art. 10 ust. 1, które następnie złożyły wniosek o udzielenie ochrony międzynarodowej w innym państwie członkowskim;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liczbę trafień w odniesieniu do osób, o których mowa w art. 13 ust. 1, które następnie złożyły wniosek o udzielenie ochrony międzynarodowej</w:t>
            </w:r>
            <w:r w:rsidRPr="008947C5">
              <w:rPr>
                <w:b/>
                <w:i/>
                <w:color w:val="auto"/>
              </w:rPr>
              <w:t>, które zostały zatrzymane w związku z nielegalnym przekroczeniem granicy zewnętrznej oraz nielegalnie przebywały na terytorium jednego z państw członkowskich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liczbę trafień w odniesieniu do osób, o których mowa w art. 13 ust. 1, które następnie złożyły wniosek o udzielenie ochrony międzynarodowej;</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liczbę trafień w odniesieniu do osób, o których mowa w art. 13 ust. 1, które następnie złożyły wniosek o udzielenie ochrony międzynarodowej</w:t>
            </w:r>
            <w:r w:rsidRPr="008947C5">
              <w:rPr>
                <w:b/>
                <w:i/>
                <w:color w:val="auto"/>
              </w:rPr>
              <w:t>, które zostały zatrzymane w związku z nielegalnym przekroczeniem granicy zewnętrznej oraz nielegalnie przebywały na terytorium jednego z państw członkowskich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liczbę trafień w odniesieniu do osób, o których mowa w art. 13 ust. 1, które następnie złożyły wniosek o udzielenie ochrony międzynarodowej;</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d)</w:t>
            </w:r>
            <w:r w:rsidRPr="008947C5">
              <w:rPr>
                <w:b/>
                <w:i/>
                <w:color w:val="auto"/>
              </w:rPr>
              <w:tab/>
              <w:t>liczbę trafień w odniesieniu do osób, o których mowa w art. 14 ust. 1, które następnie złożyły wniosek o udzielenie ochrony międzynarodowej, które zostały zatrzymane w związku z nielegalnym przekroczeniem granicy zewnętrznej oraz nielegalnie przebywały na terytorium jednego z państw członkowskich;</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dopuszczalna, ponieważ jest powiązana w nierozerwalny sposób z dopuszczalnymi poprawkami skreślającymi art. 14 ust. 1, 2, 4, 5 i 6.</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liczbę trafień w odniesieniu do osób, o których mowa w art. 14 ust. 1, które</w:t>
            </w:r>
            <w:r w:rsidRPr="008947C5">
              <w:rPr>
                <w:b/>
                <w:i/>
                <w:color w:val="auto"/>
              </w:rPr>
              <w:t xml:space="preserve"> następnie</w:t>
            </w:r>
            <w:r w:rsidRPr="008947C5">
              <w:rPr>
                <w:color w:val="auto"/>
              </w:rPr>
              <w:t xml:space="preserve"> złożyły wniosek o udzielenie ochrony międzynarodowej</w:t>
            </w:r>
            <w:r w:rsidRPr="008947C5">
              <w:rPr>
                <w:b/>
                <w:i/>
                <w:color w:val="auto"/>
              </w:rPr>
              <w:t>, które zostały zatrzymane w związku z nielegalnym przekroczeniem granicy zewnętrznej oraz nielegalnie przebywały na terytorium jednego z państw członkowskich</w:t>
            </w:r>
            <w:r w:rsidRPr="008947C5">
              <w:rPr>
                <w:color w:val="auto"/>
              </w:rPr>
              <w:t>;</w:t>
            </w:r>
          </w:p>
        </w:tc>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liczbę trafień w odniesieniu do osób, o których mowa w art. 14 ust. 1, które</w:t>
            </w:r>
            <w:r w:rsidRPr="008947C5">
              <w:rPr>
                <w:b/>
                <w:i/>
                <w:color w:val="auto"/>
              </w:rPr>
              <w:t xml:space="preserve"> wcześniej</w:t>
            </w:r>
            <w:r w:rsidRPr="008947C5">
              <w:rPr>
                <w:color w:val="auto"/>
              </w:rPr>
              <w:t xml:space="preserve"> złożyły wniosek o</w:t>
            </w:r>
            <w:r w:rsidR="00447681" w:rsidRPr="008947C5">
              <w:rPr>
                <w:color w:val="auto"/>
              </w:rPr>
              <w:t xml:space="preserve"> </w:t>
            </w:r>
            <w:r w:rsidRPr="008947C5">
              <w:rPr>
                <w:color w:val="auto"/>
              </w:rPr>
              <w:t>udzielenie ochrony międzynarodowej</w:t>
            </w:r>
            <w:r w:rsidR="00447681" w:rsidRPr="008947C5">
              <w:rPr>
                <w:b/>
                <w:i/>
                <w:color w:val="auto"/>
              </w:rPr>
              <w:t xml:space="preserve"> </w:t>
            </w:r>
            <w:r w:rsidRPr="008947C5">
              <w:rPr>
                <w:b/>
                <w:i/>
                <w:color w:val="auto"/>
              </w:rPr>
              <w:t>w innym państwie członkowskim</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e)</w:t>
            </w:r>
            <w:r w:rsidRPr="008947C5">
              <w:rPr>
                <w:b/>
                <w:i/>
                <w:color w:val="auto"/>
              </w:rPr>
              <w:tab/>
            </w:r>
            <w:r w:rsidRPr="008947C5">
              <w:rPr>
                <w:color w:val="auto"/>
              </w:rPr>
              <w:t>liczbę danych daktyloskopijnych, których system centralny musiał zażądać od państw członkowskich pochodzenia więcej niż raz, ponieważ dane daktyloskopijne przesłane za pierwszym razem nie pozwalały na porównanie przy użyciu skomputeryzowanego systemu rozpoznawania odcisków palców;</w:t>
            </w:r>
          </w:p>
        </w:tc>
        <w:tc>
          <w:tcPr>
            <w:tcW w:w="4876" w:type="dxa"/>
          </w:tcPr>
          <w:p w:rsidR="005E74C4" w:rsidRPr="008947C5" w:rsidRDefault="005E74C4" w:rsidP="009E4524">
            <w:pPr>
              <w:pStyle w:val="Normal6"/>
              <w:rPr>
                <w:b/>
                <w:i/>
                <w:color w:val="auto"/>
              </w:rPr>
            </w:pPr>
            <w:r w:rsidRPr="008947C5">
              <w:rPr>
                <w:color w:val="auto"/>
              </w:rPr>
              <w:t>e)</w:t>
            </w:r>
            <w:r w:rsidRPr="008947C5">
              <w:rPr>
                <w:b/>
                <w:i/>
                <w:color w:val="auto"/>
              </w:rPr>
              <w:tab/>
            </w:r>
            <w:r w:rsidRPr="008947C5">
              <w:rPr>
                <w:color w:val="auto"/>
              </w:rPr>
              <w:t>liczbę danych daktyloskopijnych,</w:t>
            </w:r>
            <w:r w:rsidRPr="008947C5">
              <w:rPr>
                <w:b/>
                <w:i/>
                <w:color w:val="auto"/>
              </w:rPr>
              <w:t xml:space="preserve"> w podziale na rok urodzenia osób,</w:t>
            </w:r>
            <w:r w:rsidRPr="008947C5">
              <w:rPr>
                <w:color w:val="auto"/>
              </w:rPr>
              <w:t xml:space="preserve"> których</w:t>
            </w:r>
            <w:r w:rsidRPr="008947C5">
              <w:rPr>
                <w:b/>
                <w:i/>
                <w:color w:val="auto"/>
              </w:rPr>
              <w:t xml:space="preserve"> dane dotyczą, których</w:t>
            </w:r>
            <w:r w:rsidRPr="008947C5">
              <w:rPr>
                <w:color w:val="auto"/>
              </w:rPr>
              <w:t xml:space="preserve"> system centralny musiał zażądać od państw członkowskich pochodzenia więcej niż raz, ponieważ dane daktyloskopijne przesłane za pierwszym razem nie pozwalały na porównanie przy użyciu skomputeryzowanego systemu rozpoznawania odcisków palców;</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e)</w:t>
            </w:r>
            <w:r w:rsidRPr="008947C5">
              <w:rPr>
                <w:b/>
                <w:i/>
                <w:color w:val="auto"/>
              </w:rPr>
              <w:tab/>
            </w:r>
            <w:r w:rsidRPr="008947C5">
              <w:rPr>
                <w:color w:val="auto"/>
              </w:rPr>
              <w:t>liczbę danych daktyloskopijnych, których system centralny musiał zażądać od państw członkowskich pochodzenia więcej niż raz, ponieważ dane daktyloskopijne przesłane za pierwszym razem nie pozwalały na porównanie przy użyciu skomputeryzowanego systemu rozpoznawania odcisków palców;</w:t>
            </w:r>
          </w:p>
        </w:tc>
        <w:tc>
          <w:tcPr>
            <w:tcW w:w="4876" w:type="dxa"/>
          </w:tcPr>
          <w:p w:rsidR="005E74C4" w:rsidRPr="008947C5" w:rsidRDefault="005E74C4" w:rsidP="009E4524">
            <w:pPr>
              <w:pStyle w:val="Normal6"/>
              <w:rPr>
                <w:b/>
                <w:i/>
                <w:color w:val="auto"/>
              </w:rPr>
            </w:pPr>
            <w:r w:rsidRPr="008947C5">
              <w:rPr>
                <w:color w:val="auto"/>
              </w:rPr>
              <w:t>e)</w:t>
            </w:r>
            <w:r w:rsidRPr="008947C5">
              <w:rPr>
                <w:b/>
                <w:i/>
                <w:color w:val="auto"/>
              </w:rPr>
              <w:tab/>
            </w:r>
            <w:r w:rsidRPr="008947C5">
              <w:rPr>
                <w:color w:val="auto"/>
              </w:rPr>
              <w:t>liczbę danych daktyloskopijnych</w:t>
            </w:r>
            <w:r w:rsidRPr="008947C5">
              <w:rPr>
                <w:b/>
                <w:i/>
                <w:color w:val="auto"/>
              </w:rPr>
              <w:t xml:space="preserve"> i danych dotyczących wizerunku twarzy</w:t>
            </w:r>
            <w:r w:rsidRPr="008947C5">
              <w:rPr>
                <w:color w:val="auto"/>
              </w:rPr>
              <w:t>, których system centralny musiał zażądać od państw członkowskich pochodzenia więcej niż raz, ponieważ dane daktyloskopijne</w:t>
            </w:r>
            <w:r w:rsidRPr="008947C5">
              <w:rPr>
                <w:b/>
                <w:i/>
                <w:color w:val="auto"/>
              </w:rPr>
              <w:t xml:space="preserve"> i dane dotyczące wizerunku twarzy</w:t>
            </w:r>
            <w:r w:rsidRPr="008947C5">
              <w:rPr>
                <w:color w:val="auto"/>
              </w:rPr>
              <w:t xml:space="preserve"> przesłane za pierwszym razem nie pozwalały na porównanie przy użyciu skomputeryzowanego systemu rozpoznawania odcisków palców</w:t>
            </w:r>
            <w:r w:rsidRPr="008947C5">
              <w:rPr>
                <w:b/>
                <w:i/>
                <w:color w:val="auto"/>
              </w:rPr>
              <w:t xml:space="preserve"> i wizerunków twarzy</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„odcisk</w:t>
      </w:r>
      <w:r w:rsidR="00564243" w:rsidRPr="008947C5">
        <w:rPr>
          <w:color w:val="auto"/>
        </w:rPr>
        <w:t xml:space="preserve">i palców” i „wizerunek twarzy” </w:t>
      </w:r>
      <w:r w:rsidRPr="008947C5">
        <w:rPr>
          <w:color w:val="auto"/>
        </w:rPr>
        <w:t>zgodnie z obowiązkiem określonym w art. 2.</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g</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g)</w:t>
            </w:r>
            <w:r w:rsidRPr="008947C5">
              <w:rPr>
                <w:b/>
                <w:i/>
                <w:color w:val="auto"/>
              </w:rPr>
              <w:tab/>
            </w:r>
            <w:r w:rsidRPr="008947C5">
              <w:rPr>
                <w:color w:val="auto"/>
              </w:rPr>
              <w:t>liczbę trafień w odniesieniu do osób, o których mowa w art. 19 ust. 1</w:t>
            </w:r>
            <w:r w:rsidRPr="008947C5">
              <w:rPr>
                <w:b/>
                <w:i/>
                <w:color w:val="auto"/>
              </w:rPr>
              <w:t xml:space="preserve"> i 4</w:t>
            </w:r>
            <w:r w:rsidRPr="008947C5">
              <w:rPr>
                <w:color w:val="auto"/>
              </w:rPr>
              <w:t>, w przypadku których trafienia zostały zarejestrowane na podstawie lit. b)</w:t>
            </w:r>
            <w:r w:rsidRPr="008947C5">
              <w:rPr>
                <w:b/>
                <w:i/>
                <w:color w:val="auto"/>
              </w:rPr>
              <w:t>, c</w:t>
            </w:r>
            <w:r w:rsidRPr="008947C5">
              <w:rPr>
                <w:color w:val="auto"/>
              </w:rPr>
              <w:t>)</w:t>
            </w:r>
            <w:r w:rsidRPr="008947C5">
              <w:rPr>
                <w:b/>
                <w:i/>
                <w:color w:val="auto"/>
              </w:rPr>
              <w:t xml:space="preserve"> i d)</w:t>
            </w:r>
            <w:r w:rsidRPr="008947C5">
              <w:rPr>
                <w:color w:val="auto"/>
              </w:rPr>
              <w:t xml:space="preserve"> niniejszego artykułu</w:t>
            </w:r>
            <w:r w:rsidRPr="008947C5">
              <w:rPr>
                <w:b/>
                <w:i/>
                <w:color w:val="auto"/>
              </w:rPr>
              <w:t>;</w:t>
            </w:r>
          </w:p>
        </w:tc>
        <w:tc>
          <w:tcPr>
            <w:tcW w:w="4876" w:type="dxa"/>
          </w:tcPr>
          <w:p w:rsidR="005E74C4" w:rsidRPr="008947C5" w:rsidRDefault="005E74C4" w:rsidP="009E4524">
            <w:pPr>
              <w:pStyle w:val="Normal6"/>
              <w:rPr>
                <w:b/>
                <w:i/>
                <w:color w:val="auto"/>
              </w:rPr>
            </w:pPr>
            <w:r w:rsidRPr="008947C5">
              <w:rPr>
                <w:color w:val="auto"/>
              </w:rPr>
              <w:t>g)</w:t>
            </w:r>
            <w:r w:rsidRPr="008947C5">
              <w:rPr>
                <w:b/>
                <w:i/>
                <w:color w:val="auto"/>
              </w:rPr>
              <w:tab/>
            </w:r>
            <w:r w:rsidRPr="008947C5">
              <w:rPr>
                <w:color w:val="auto"/>
              </w:rPr>
              <w:t>liczbę trafień w odniesieniu do osób, o których mowa w art. 19 ust. 1, w przypadku których trafienia zostały zarejestrowane na podstawie lit. b)</w:t>
            </w:r>
            <w:r w:rsidRPr="008947C5">
              <w:rPr>
                <w:b/>
                <w:i/>
                <w:color w:val="auto"/>
              </w:rPr>
              <w:t xml:space="preserve"> i c</w:t>
            </w:r>
            <w:r w:rsidRPr="008947C5">
              <w:rPr>
                <w:color w:val="auto"/>
              </w:rPr>
              <w:t>) niniejszego artykułu</w:t>
            </w:r>
            <w:r w:rsidRPr="008947C5">
              <w:rPr>
                <w:b/>
                <w:i/>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jest dopuszczalna, ponieważ jest powiązana w nierozerwalny sposób z dopuszczalnymi poprawkami skreślającymi art. 14 ust. 1, 2, 4, 5 i 6.</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1 – litera j</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liczbę wniosków w odniesieniu do osób, o których mowa w art. 31;</w:t>
            </w:r>
          </w:p>
        </w:tc>
        <w:tc>
          <w:tcPr>
            <w:tcW w:w="4876" w:type="dxa"/>
          </w:tcPr>
          <w:p w:rsidR="005E74C4" w:rsidRPr="008947C5" w:rsidRDefault="005E74C4" w:rsidP="009E4524">
            <w:pPr>
              <w:pStyle w:val="Normal6"/>
              <w:rPr>
                <w:b/>
                <w:i/>
                <w:color w:val="auto"/>
              </w:rPr>
            </w:pPr>
            <w:r w:rsidRPr="008947C5">
              <w:rPr>
                <w:color w:val="auto"/>
              </w:rPr>
              <w:t>j)</w:t>
            </w:r>
            <w:r w:rsidRPr="008947C5">
              <w:rPr>
                <w:b/>
                <w:i/>
                <w:color w:val="auto"/>
              </w:rPr>
              <w:tab/>
            </w:r>
            <w:r w:rsidRPr="008947C5">
              <w:rPr>
                <w:color w:val="auto"/>
              </w:rPr>
              <w:t>liczbę</w:t>
            </w:r>
            <w:r w:rsidRPr="008947C5">
              <w:rPr>
                <w:b/>
                <w:i/>
                <w:color w:val="auto"/>
              </w:rPr>
              <w:t xml:space="preserve"> i typ</w:t>
            </w:r>
            <w:r w:rsidRPr="008947C5">
              <w:rPr>
                <w:color w:val="auto"/>
              </w:rPr>
              <w:t xml:space="preserve"> wniosków w odniesieniu do osób, o których mowa w art. 31;</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249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Miesięczne dane statystyczne odnoszące się do osób, o których mowa w ust. 1 lit. a)-h) są publikowane i udostępniane do wiadomości publicznej każdego miesiąca.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Miesięczne dane statystyczne odnoszące się do osób, o których mowa w ust. 1 lit. a)-h) są publikowane i udostępniane do wiadomości publicznej każdego miesiąca.</w:t>
            </w:r>
            <w:r w:rsidRPr="008947C5">
              <w:rPr>
                <w:b/>
                <w:i/>
                <w:color w:val="auto"/>
              </w:rPr>
              <w:t xml:space="preserve"> Dane z podziałem na wiek i płeć osób, o których mowa w lit. a)-h), są uwzględniane w miesięcznych danych statystycznych.</w:t>
            </w:r>
            <w:r w:rsidRPr="008947C5">
              <w:rPr>
                <w:color w:val="auto"/>
              </w:rPr>
              <w:t xml:space="preserve">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Miesięczne dane statystyczne odnoszące się do osób, o których mowa w ust. 1 lit. a)</w:t>
            </w:r>
            <w:r w:rsidRPr="008947C5">
              <w:rPr>
                <w:b/>
                <w:i/>
                <w:color w:val="auto"/>
              </w:rPr>
              <w:t>-h</w:t>
            </w:r>
            <w:r w:rsidRPr="008947C5">
              <w:rPr>
                <w:color w:val="auto"/>
              </w:rPr>
              <w:t>) są publikowane i udostępniane do wiadomości publicznej każdego miesiąca.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r>
            <w:r w:rsidRPr="008947C5">
              <w:rPr>
                <w:color w:val="auto"/>
              </w:rPr>
              <w:t>Miesięczne dane statystyczne odnoszące się do osób, o których mowa w ust. 1 lit. a)</w:t>
            </w:r>
            <w:r w:rsidRPr="008947C5">
              <w:rPr>
                <w:b/>
                <w:i/>
                <w:color w:val="auto"/>
              </w:rPr>
              <w:t>-k</w:t>
            </w:r>
            <w:r w:rsidRPr="008947C5">
              <w:rPr>
                <w:color w:val="auto"/>
              </w:rPr>
              <w:t>) są</w:t>
            </w:r>
            <w:r w:rsidRPr="008947C5">
              <w:rPr>
                <w:b/>
                <w:i/>
                <w:color w:val="auto"/>
              </w:rPr>
              <w:t xml:space="preserve"> podzielone, w miarę możliwości, według wieku i płci w celu uzyskania informacji, jak liczna jest grupa małoletnich chłopców i dziewcząt, a także są</w:t>
            </w:r>
            <w:r w:rsidRPr="008947C5">
              <w:rPr>
                <w:color w:val="auto"/>
              </w:rPr>
              <w:t xml:space="preserve"> publikowane i udostępniane do wiadomości publicznej każdego miesiąca.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Maria Grapini, Juan Fernando López Aguilar, Dietmar Köster,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t>Miesięczne</w:t>
            </w:r>
            <w:r w:rsidRPr="008947C5">
              <w:rPr>
                <w:color w:val="auto"/>
              </w:rPr>
              <w:t xml:space="preserve"> dane statystyczne odnoszące się do osób, o których mowa w ust. 1 lit. a)-h) są publikowane i udostępniane do wiadomości publicznej każdego miesiąca.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c>
          <w:tcPr>
            <w:tcW w:w="4876" w:type="dxa"/>
          </w:tcPr>
          <w:p w:rsidR="005E74C4" w:rsidRPr="008947C5" w:rsidRDefault="005E74C4" w:rsidP="009E4524">
            <w:pPr>
              <w:pStyle w:val="Normal6"/>
              <w:rPr>
                <w:b/>
                <w:i/>
                <w:color w:val="auto"/>
              </w:rPr>
            </w:pPr>
            <w:r w:rsidRPr="008947C5">
              <w:rPr>
                <w:color w:val="auto"/>
              </w:rPr>
              <w:t>2.</w:t>
            </w:r>
            <w:r w:rsidRPr="008947C5">
              <w:rPr>
                <w:b/>
                <w:i/>
                <w:color w:val="auto"/>
              </w:rPr>
              <w:tab/>
              <w:t>Pod koniec każdego roku roczne</w:t>
            </w:r>
            <w:r w:rsidRPr="008947C5">
              <w:rPr>
                <w:color w:val="auto"/>
              </w:rPr>
              <w:t xml:space="preserve"> dane statystyczne odnoszące się do osób, o których mowa w ust. 1 lit. a)-h) są publikowane i udostępniane do wiadomości publicznej każdego miesiąca</w:t>
            </w:r>
            <w:r w:rsidRPr="008947C5">
              <w:rPr>
                <w:b/>
                <w:i/>
                <w:color w:val="auto"/>
              </w:rPr>
              <w:t xml:space="preserve"> i są przedstawiane z podziałem na rok urodzenia i płeć osób, których dane dotyczą</w:t>
            </w:r>
            <w:r w:rsidRPr="008947C5">
              <w:rPr>
                <w:color w:val="auto"/>
              </w:rPr>
              <w:t>. Pod koniec każdego roku roczne dane statystyczne odnoszące się do osób, o których mowa w ust. 1 lit. a)-h) są publikowane i udostępniane do wiadomości publicznej przez eu-LISA. W statystykach dane przedstawiane są z podziałem na poszczególne państwa członkowskie.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9 – ustęp 3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3a.</w:t>
            </w:r>
            <w:r w:rsidRPr="008947C5">
              <w:rPr>
                <w:b/>
                <w:i/>
                <w:color w:val="auto"/>
              </w:rPr>
              <w:tab/>
              <w:t>Należycie upoważnieni pracownicy Europejskiej Agencji Straży Granicznej i Przybrzeżnej mają dostęp do danych statystycznych przygotowanych przez eu-LISA, o których mowa w ust. 1 lit. a)-h), a także do odpowiednich danych, o których mowa w art. 12 lit. d)-s), art. 13 lit. d)-m) i art. 14 lit. d)-m), wyłącznie do celów określonych w art. 1 lit. b) oraz celów określonych w art. 11 i 37 rozporządzenia (UE) 2016/1624, bez umożliwiania indywidualnej identyfikacji. Przetwarzania tych danych dokonuje się zgodnie z zabezpieczeniami w zakresie ochrony danych przewidzianymi w rozporządzeniu (UE) 2016/1624.</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odnosi się do nowej roli Eurodac, która została wyrażona w nowej lit. b) w art. 1. Eurodac będzie teraz wspomagał kontrolę nielegalnej imigracji i nieuregulowanego wtórnego przemieszczania się. W ramach nowego mandatu zadanie to realizuje również niedawno utworzona Europejska Agencja Straży Granicznej i Przybrzeżnej. Zapewnienie Europejskiej Agencji Straży Granicznej i Przybrzeżnej dostępu do Eurodac powinno umożliwić pełne wykorzystanie nowego potencjału tego systemu.</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1 – akapit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 i wykonuje zdjęcie wizerunku twarzy każdej osoby ubiegającej się o ochronę międzynarodową w wieku co najmniej sześciu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p>
        </w:tc>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 i wykonuje zdjęcie wizerunku twarzy każdej osoby ubiegającej się o ochronę międzynarodową w wieku co najmniej sześciu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r w:rsidRPr="008947C5">
              <w:rPr>
                <w:b/>
                <w:i/>
                <w:color w:val="auto"/>
              </w:rPr>
              <w:t xml:space="preserve"> Pobieranie odcisków palców i wykonywanie zdjęć wizerunku twarzy dzieci służy w szczególności celowi określonemu w art. 1 ust. 1 lit. ca).</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bezpośrednio powiązana ze zmianą wieku z 14 lat na 6 lat zaproponowaną przez Komisję w tym artykule.</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1 – akapit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w:t>
            </w:r>
            <w:r w:rsidRPr="008947C5">
              <w:rPr>
                <w:b/>
                <w:i/>
                <w:color w:val="auto"/>
              </w:rPr>
              <w:t xml:space="preserve"> i wykonuje zdjęcie wizerunku twarzy</w:t>
            </w:r>
            <w:r w:rsidRPr="008947C5">
              <w:rPr>
                <w:color w:val="auto"/>
              </w:rPr>
              <w:t xml:space="preserve"> każdej osoby ubiegającej się o ochronę międzynarodową w wieku co najmniej</w:t>
            </w:r>
            <w:r w:rsidRPr="008947C5">
              <w:rPr>
                <w:b/>
                <w:i/>
                <w:color w:val="auto"/>
              </w:rPr>
              <w:t xml:space="preserve"> sześciu</w:t>
            </w:r>
            <w:r w:rsidRPr="008947C5">
              <w:rPr>
                <w:color w:val="auto"/>
              </w:rPr>
              <w:t xml:space="preserve">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p>
        </w:tc>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 każdej osoby ubiegającej się o ochronę międzynarodową w wieku co najmniej</w:t>
            </w:r>
            <w:r w:rsidRPr="008947C5">
              <w:rPr>
                <w:b/>
                <w:i/>
                <w:color w:val="auto"/>
              </w:rPr>
              <w:t xml:space="preserve"> 14</w:t>
            </w:r>
            <w:r w:rsidRPr="008947C5">
              <w:rPr>
                <w:color w:val="auto"/>
              </w:rPr>
              <w:t xml:space="preserve">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AC019E" w:rsidRDefault="005E74C4" w:rsidP="009E4524">
            <w:pPr>
              <w:pStyle w:val="Normal6Italic"/>
              <w:rPr>
                <w:color w:val="auto"/>
              </w:rPr>
            </w:pPr>
            <w:r w:rsidRPr="00AC019E">
              <w:rPr>
                <w:color w:val="auto"/>
              </w:rPr>
              <w:t>(Ta zmiana stosuje się do całości tekstu; jej przyjęcie wymaga zmian w całym tekście).</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1 – akapit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w:t>
            </w:r>
            <w:r w:rsidRPr="008947C5">
              <w:rPr>
                <w:b/>
                <w:i/>
                <w:color w:val="auto"/>
              </w:rPr>
              <w:t xml:space="preserve"> i wykonuje zdjęcie wizerunku twarzy</w:t>
            </w:r>
            <w:r w:rsidRPr="008947C5">
              <w:rPr>
                <w:color w:val="auto"/>
              </w:rPr>
              <w:t xml:space="preserve"> każdej osoby ubiegającej się o ochronę międzynarodową w wieku co najmniej</w:t>
            </w:r>
            <w:r w:rsidRPr="008947C5">
              <w:rPr>
                <w:b/>
                <w:i/>
                <w:color w:val="auto"/>
              </w:rPr>
              <w:t xml:space="preserve"> sześciu</w:t>
            </w:r>
            <w:r w:rsidRPr="008947C5">
              <w:rPr>
                <w:color w:val="auto"/>
              </w:rPr>
              <w:t xml:space="preserve">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p>
        </w:tc>
        <w:tc>
          <w:tcPr>
            <w:tcW w:w="4876" w:type="dxa"/>
          </w:tcPr>
          <w:p w:rsidR="005E74C4" w:rsidRPr="008947C5" w:rsidRDefault="005E74C4" w:rsidP="009E4524">
            <w:pPr>
              <w:pStyle w:val="Normal6"/>
              <w:rPr>
                <w:b/>
                <w:i/>
                <w:color w:val="auto"/>
              </w:rPr>
            </w:pPr>
            <w:r w:rsidRPr="008947C5">
              <w:rPr>
                <w:color w:val="auto"/>
              </w:rPr>
              <w:t>Każde państwo członkowskie niezwłocznie pobiera odciski wszystkich palców</w:t>
            </w:r>
            <w:r w:rsidRPr="008947C5">
              <w:rPr>
                <w:b/>
                <w:i/>
                <w:color w:val="auto"/>
              </w:rPr>
              <w:t xml:space="preserve"> od</w:t>
            </w:r>
            <w:r w:rsidRPr="008947C5">
              <w:rPr>
                <w:color w:val="auto"/>
              </w:rPr>
              <w:t xml:space="preserve"> każdej osoby ubiegającej się o ochronę międzynarodową w wieku co najmniej</w:t>
            </w:r>
            <w:r w:rsidRPr="008947C5">
              <w:rPr>
                <w:b/>
                <w:i/>
                <w:color w:val="auto"/>
              </w:rPr>
              <w:t xml:space="preserve"> 18</w:t>
            </w:r>
            <w:r w:rsidRPr="008947C5">
              <w:rPr>
                <w:color w:val="auto"/>
              </w:rPr>
              <w:t xml:space="preserve"> lat oraz najszybciej jak to możliwe i nie później niż 72 godziny po złożeniu przez nią wniosku o udzielenie ochrony międzynarodowej określonego w art. [21 ust. 2] rozporządzenia</w:t>
            </w:r>
            <w:r w:rsidRPr="008947C5">
              <w:rPr>
                <w:b/>
                <w:i/>
                <w:color w:val="auto"/>
              </w:rPr>
              <w:t xml:space="preserve"> </w:t>
            </w:r>
            <w:r w:rsidRPr="008947C5">
              <w:rPr>
                <w:color w:val="auto"/>
              </w:rPr>
              <w:t>(UE) nr przesyła je, wraz z danymi, o których mowa w art. 12 lit. c)-n) niniejszego rozporządzenia, do systemu centralnego.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powiązana z wprowadzeniem nowego ustępu 1 do przedmiotowego artykułu celem zapewnienia lepszej ochrony dzieci będących ofiarami handlu ludźmi i wspierania identyfikacji i ochrony dzieci zaginionych.</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1 – akapit 1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Do celów art. 1 ust. 1 lit. ca) każde państwo członkowskie niezwłocznie pobiera odciski wszystkich palców i wykonuje zdjęcie wizerunku twarzy każdego dziecka ubiegającego się o ochronę międzynarodową w wieku co najmniej sześciu lat oraz najszybciej jak to możliwe i nie później niż 72 godziny po złożeniu przez niego wniosku o udzielenie ochrony międzynarodowej określonego w art. [21 ust. 2] rozporządzenia (UE) nr XX/XXXX, przesyła je, wraz z danymi, o których mowa w art. 12 lit. c)-n) niniejszego rozporządzenia, do systemu centralnego.</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Poprawka jest konieczna dla zachowania logiki tekstu, ponieważ chodzi o ochronę dzieci będących ofiarami handlu ludźmi i pomoc w identyfikacji dzieci bez opieki, które giną, znikają lub uciekają, co podkreśliła Komisja Europejska w uzasadnieniu do proponowanego przekształcenia rozporządzenia w sprawie systemu Eurodac. Aby zapewnić zgodność z art. 7, 8 i 24 Karty, przetwarzanie danych biometrycznych dzieci w wieku sześciu lat jest uzasadnione tylko wtedy, gdy wyraźnie wiąże się z celem ochrony dziecka.</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1 – akapit 2</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Niedotrzymanie 72-godzinnego terminu nie zwalnia państw członkowskich z obowiązku pobrania i przesłania odcisków palców do systemu centralnego. W przypadku gdy stan opuszków palców nie pozwala na pobranie odcisków palców o jakości zapewniającej odpowiednie porównanie zgodnie z art. 26, państwo członkowskie pochodzenia pobiera powtórnie odciski palców osoby ubiegającej się o ochronę międzynarodową i przesyła je ponownie, najszybciej jak to możliwe i nie później niż 48 godziny po ich skutecznym ponownym pobraniu.</w:t>
            </w:r>
          </w:p>
        </w:tc>
        <w:tc>
          <w:tcPr>
            <w:tcW w:w="4876" w:type="dxa"/>
          </w:tcPr>
          <w:p w:rsidR="005E74C4" w:rsidRPr="008947C5" w:rsidRDefault="005E74C4" w:rsidP="009E4524">
            <w:pPr>
              <w:pStyle w:val="Normal6"/>
              <w:rPr>
                <w:b/>
                <w:i/>
                <w:color w:val="auto"/>
              </w:rPr>
            </w:pPr>
            <w:r w:rsidRPr="008947C5">
              <w:rPr>
                <w:color w:val="auto"/>
              </w:rPr>
              <w:t>Niedotrzymanie 72-godzinnego terminu nie zwalnia państw członkowskich z obowiązku pobrania i przesłania odcisków palców</w:t>
            </w:r>
            <w:r w:rsidRPr="008947C5">
              <w:rPr>
                <w:b/>
                <w:i/>
                <w:color w:val="auto"/>
              </w:rPr>
              <w:t xml:space="preserve"> i wizerunków twarzy</w:t>
            </w:r>
            <w:r w:rsidRPr="008947C5">
              <w:rPr>
                <w:color w:val="auto"/>
              </w:rPr>
              <w:t xml:space="preserve"> do systemu centralnego. W przypadku gdy stan opuszków palców nie pozwala na pobranie odcisków palców o jakości zapewniającej odpowiednie porównanie zgodnie z art. 26, państwo członkowskie pochodzenia pobiera powtórnie odciski palców osoby ubiegającej się o ochronę międzynarodową i przesyła je ponownie, najszybciej jak to możliwe i nie później niż 48 godziny po ich skutecznym ponownym pobraniu.</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Korekta wniosku Komisji, w którym nie we wszystkich wymaganych miejscach wprowadzono sformułowanie „odcisk</w:t>
      </w:r>
      <w:r w:rsidR="00564243" w:rsidRPr="008947C5">
        <w:rPr>
          <w:color w:val="auto"/>
        </w:rPr>
        <w:t xml:space="preserve">i palców” i „wizerunek twarzy” </w:t>
      </w:r>
      <w:r w:rsidRPr="008947C5">
        <w:rPr>
          <w:color w:val="auto"/>
        </w:rPr>
        <w:t>zgodnie z obowiązkiem określonym w art. 2.</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2 – akapit 1</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Na zasadzie odstępstwa od ust. 1, w przypadku gdy pobranie odcisków palców</w:t>
            </w:r>
            <w:r w:rsidRPr="008947C5">
              <w:rPr>
                <w:b/>
                <w:i/>
                <w:color w:val="auto"/>
              </w:rPr>
              <w:t xml:space="preserve"> i</w:t>
            </w:r>
            <w:r w:rsidRPr="008947C5">
              <w:rPr>
                <w:color w:val="auto"/>
              </w:rPr>
              <w:t xml:space="preserve"> wykonanie zdjęcia wizerunku twarzy osoby ubiegającej się o ochronę międzynarodową nie jest możliwe z powodu środków podjętych w celu ochrony jej zdrowia lub ochrony zdrowia publicznego, państwa członkowskie pobierają i przesyłają takie odciski palców</w:t>
            </w:r>
            <w:r w:rsidRPr="008947C5">
              <w:rPr>
                <w:b/>
                <w:i/>
                <w:color w:val="auto"/>
              </w:rPr>
              <w:t xml:space="preserve"> oraz</w:t>
            </w:r>
            <w:r w:rsidRPr="008947C5">
              <w:rPr>
                <w:color w:val="auto"/>
              </w:rPr>
              <w:t xml:space="preserve"> zdjęcie wizerunku twarzy najszybciej jak to możliwe i nie później niż 48 godzin po ustaniu tych powodów zdrowotnych.</w:t>
            </w:r>
          </w:p>
        </w:tc>
        <w:tc>
          <w:tcPr>
            <w:tcW w:w="4876" w:type="dxa"/>
          </w:tcPr>
          <w:p w:rsidR="005E74C4" w:rsidRPr="008947C5" w:rsidRDefault="005E74C4" w:rsidP="009E4524">
            <w:pPr>
              <w:pStyle w:val="Normal6"/>
              <w:rPr>
                <w:b/>
                <w:i/>
                <w:color w:val="auto"/>
              </w:rPr>
            </w:pPr>
            <w:r w:rsidRPr="008947C5">
              <w:rPr>
                <w:color w:val="auto"/>
              </w:rPr>
              <w:t>Na zasadzie odstępstwa od ust. 1, w przypadku gdy pobranie odcisków palców</w:t>
            </w:r>
            <w:r w:rsidRPr="008947C5">
              <w:rPr>
                <w:b/>
                <w:i/>
                <w:color w:val="auto"/>
              </w:rPr>
              <w:t>,</w:t>
            </w:r>
            <w:r w:rsidRPr="008947C5">
              <w:rPr>
                <w:color w:val="auto"/>
              </w:rPr>
              <w:t xml:space="preserve"> wykonanie zdjęcia wizerunku twarzy osoby ubiegającej się o ochronę międzynarodową</w:t>
            </w:r>
            <w:r w:rsidRPr="008947C5">
              <w:rPr>
                <w:b/>
                <w:i/>
                <w:color w:val="auto"/>
              </w:rPr>
              <w:t xml:space="preserve"> lub przeprowadzenie obu tych czynności</w:t>
            </w:r>
            <w:r w:rsidRPr="008947C5">
              <w:rPr>
                <w:color w:val="auto"/>
              </w:rPr>
              <w:t xml:space="preserve"> nie jest możliwe z powodu środków podjętych w celu ochrony jej zdrowia lub ochrony zdrowia publicznego, państwa członkowskie pobierają i przesyłają takie odciski palców</w:t>
            </w:r>
            <w:r w:rsidRPr="008947C5">
              <w:rPr>
                <w:b/>
                <w:i/>
                <w:color w:val="auto"/>
              </w:rPr>
              <w:t>,</w:t>
            </w:r>
            <w:r w:rsidRPr="008947C5">
              <w:rPr>
                <w:color w:val="auto"/>
              </w:rPr>
              <w:t xml:space="preserve"> zdjęcie wizerunku twarzy</w:t>
            </w:r>
            <w:r w:rsidRPr="008947C5">
              <w:rPr>
                <w:b/>
                <w:i/>
                <w:color w:val="auto"/>
              </w:rPr>
              <w:t xml:space="preserve"> lub jedne i drugie</w:t>
            </w:r>
            <w:r w:rsidRPr="008947C5">
              <w:rPr>
                <w:color w:val="auto"/>
              </w:rPr>
              <w:t xml:space="preserve"> najszybciej jak to możliwe i nie później niż 48 godzin po ustaniu tych powodów zdrowotnych.</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259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3.</w:t>
            </w:r>
            <w:r w:rsidRPr="008947C5">
              <w:rPr>
                <w:b/>
                <w:i/>
                <w:color w:val="auto"/>
              </w:rPr>
              <w:tab/>
              <w:t>Dane daktyloskopijne mogą być także pobierane i przesyłane przez członków zespołów Europejskiej Straży Granicznej [i Przybrzeżnej] lub przez pochodzących z państw członkowskich ekspertów ds. azylu podczas realizowania przez nich zadań i wykonywania uprawnień na podstawie [rozporządzenia w sprawie Europejskiej Straży Granicznej [i Przybrzeżnej] i uchylającego rozporządzenie (WE) nr 2007/2004, rozporządzenie (WE) nr 863/2007 i decyzję Rady 2005/267/WE] oraz [rozporządzenie (UE) nr 439/2010]</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Dane daktyloskopijne</w:t>
            </w:r>
            <w:r w:rsidRPr="008947C5">
              <w:rPr>
                <w:b/>
                <w:i/>
                <w:color w:val="auto"/>
              </w:rPr>
              <w:t xml:space="preserve"> mogą być także</w:t>
            </w:r>
            <w:r w:rsidRPr="008947C5">
              <w:rPr>
                <w:color w:val="auto"/>
              </w:rPr>
              <w:t xml:space="preserve"> pobierane i przesyłane przez</w:t>
            </w:r>
            <w:r w:rsidRPr="008947C5">
              <w:rPr>
                <w:b/>
                <w:i/>
                <w:color w:val="auto"/>
              </w:rPr>
              <w:t xml:space="preserve"> członków zespołów Europejskiej Straży Granicznej [i Przybrzeżnej] lub przez</w:t>
            </w:r>
            <w:r w:rsidRPr="008947C5">
              <w:rPr>
                <w:color w:val="auto"/>
              </w:rPr>
              <w:t xml:space="preserve"> pochodzących z państw członkowskich ekspertów ds. azylu</w:t>
            </w:r>
            <w:r w:rsidRPr="008947C5">
              <w:rPr>
                <w:b/>
                <w:i/>
                <w:color w:val="auto"/>
              </w:rPr>
              <w:t xml:space="preserve"> podczas realizowania przez nich zadań i wykonywania uprawnień na podstawie [rozporządzenia w sprawie Europejskiej Straży Granicznej [i Przybrzeżnej] i uchylającego rozporządzenie (WE) nr 2007/2004, rozporządzenie (WE) nr 863/2007 i decyzję Rady 2005/267/WE] oraz [rozporządzenie (UE) nr 439/2010]</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Dane daktyloskopijne</w:t>
            </w:r>
            <w:r w:rsidRPr="008947C5">
              <w:rPr>
                <w:b/>
                <w:i/>
                <w:color w:val="auto"/>
              </w:rPr>
              <w:t xml:space="preserve"> są</w:t>
            </w:r>
            <w:r w:rsidRPr="008947C5">
              <w:rPr>
                <w:color w:val="auto"/>
              </w:rPr>
              <w:t xml:space="preserve"> pobierane i przesyłane przez pochodzących z państw członkowskich ekspertów ds. azylu</w:t>
            </w:r>
            <w:r w:rsidRPr="008947C5">
              <w:rPr>
                <w:b/>
                <w:i/>
                <w:color w:val="auto"/>
              </w:rPr>
              <w:t>, którzy odbyli specjalne szkolenie z zakresu praw podstawowych, prawa do azylu i sposobu zaspokajania specjalnych potrzeb migrantów wymagających szczególnego traktowania, w tym dzieci.</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3</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Dane daktyloskopijne mogą być także pobierane i przesyłane przez członków zespołów Europejskiej Straży Granicznej [i Przybrzeżnej] lub przez pochodzących z państw członkowskich ekspertów ds. azylu podczas realizowania przez nich zadań i wykonywania uprawnień na podstawie [rozporządzenia w sprawie Europejskiej Straży Granicznej [i Przybrzeżnej] i uchylającego rozporządzenie</w:t>
            </w:r>
            <w:r w:rsidRPr="008947C5">
              <w:rPr>
                <w:b/>
                <w:i/>
                <w:color w:val="auto"/>
              </w:rPr>
              <w:t xml:space="preserve"> </w:t>
            </w:r>
            <w:r w:rsidRPr="008947C5">
              <w:rPr>
                <w:color w:val="auto"/>
              </w:rPr>
              <w:t>(WE) nr 2007/2004, rozporządzenie</w:t>
            </w:r>
            <w:r w:rsidRPr="008947C5">
              <w:rPr>
                <w:b/>
                <w:i/>
                <w:color w:val="auto"/>
              </w:rPr>
              <w:t xml:space="preserve"> </w:t>
            </w:r>
            <w:r w:rsidRPr="008947C5">
              <w:rPr>
                <w:color w:val="auto"/>
              </w:rPr>
              <w:t>(WE) nr 863/2007 i decyzję Rady 2005/267/WE] oraz [rozporządzenie</w:t>
            </w:r>
            <w:r w:rsidRPr="008947C5">
              <w:rPr>
                <w:b/>
                <w:i/>
                <w:color w:val="auto"/>
              </w:rPr>
              <w:t xml:space="preserve"> </w:t>
            </w:r>
            <w:r w:rsidRPr="008947C5">
              <w:rPr>
                <w:color w:val="auto"/>
              </w:rPr>
              <w:t>(UE) nr 439/2010]</w:t>
            </w:r>
          </w:p>
        </w:tc>
        <w:tc>
          <w:tcPr>
            <w:tcW w:w="4876" w:type="dxa"/>
          </w:tcPr>
          <w:p w:rsidR="005E74C4" w:rsidRPr="008947C5" w:rsidRDefault="005E74C4" w:rsidP="009E4524">
            <w:pPr>
              <w:pStyle w:val="Normal6"/>
              <w:rPr>
                <w:b/>
                <w:i/>
                <w:color w:val="auto"/>
              </w:rPr>
            </w:pPr>
            <w:r w:rsidRPr="008947C5">
              <w:rPr>
                <w:color w:val="auto"/>
              </w:rPr>
              <w:t>3.</w:t>
            </w:r>
            <w:r w:rsidRPr="008947C5">
              <w:rPr>
                <w:b/>
                <w:i/>
                <w:color w:val="auto"/>
              </w:rPr>
              <w:tab/>
            </w:r>
            <w:r w:rsidRPr="008947C5">
              <w:rPr>
                <w:color w:val="auto"/>
              </w:rPr>
              <w:t>Dane daktyloskopijne</w:t>
            </w:r>
            <w:r w:rsidRPr="008947C5">
              <w:rPr>
                <w:b/>
                <w:i/>
                <w:color w:val="auto"/>
              </w:rPr>
              <w:t xml:space="preserve"> i dane dotyczące wizerunku twarzy</w:t>
            </w:r>
            <w:r w:rsidRPr="008947C5">
              <w:rPr>
                <w:color w:val="auto"/>
              </w:rPr>
              <w:t xml:space="preserve"> mogą być także pobierane i przesyłane przez członków zespołów Europejskiej Straży Granicznej [i Przybrzeżnej] lub przez pochodzących z państw członkowskich ekspertów ds. azylu podczas realizowania przez nich zadań i wykonywania uprawnień na podstawie [rozporządzenia w sprawie Europejskiej Straży Granicznej [i Przybrzeżnej] i uchylającego rozporządzenie</w:t>
            </w:r>
            <w:r w:rsidRPr="008947C5">
              <w:rPr>
                <w:b/>
                <w:i/>
                <w:color w:val="auto"/>
              </w:rPr>
              <w:t xml:space="preserve"> </w:t>
            </w:r>
            <w:r w:rsidRPr="008947C5">
              <w:rPr>
                <w:color w:val="auto"/>
              </w:rPr>
              <w:t>(WE) nr 2007/2004, rozporządzenie</w:t>
            </w:r>
            <w:r w:rsidRPr="008947C5">
              <w:rPr>
                <w:b/>
                <w:i/>
                <w:color w:val="auto"/>
              </w:rPr>
              <w:t xml:space="preserve"> </w:t>
            </w:r>
            <w:r w:rsidRPr="008947C5">
              <w:rPr>
                <w:color w:val="auto"/>
              </w:rPr>
              <w:t>(WE) nr 863/2007 i decyzję Rady 2005/267/WE] oraz [rozporządzenie</w:t>
            </w:r>
            <w:r w:rsidRPr="008947C5">
              <w:rPr>
                <w:b/>
                <w:i/>
                <w:color w:val="auto"/>
              </w:rPr>
              <w:t xml:space="preserve"> </w:t>
            </w:r>
            <w:r w:rsidRPr="008947C5">
              <w:rPr>
                <w:color w:val="auto"/>
              </w:rPr>
              <w:t>(UE) nr 439/2010]</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262</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Monika Hohlmeier, Heinz K. Becker, Rachida Dati, Brice Hortefeux, Mariya Gabriel</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10 – ustęp 3 a (nowy)</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3a.</w:t>
            </w:r>
            <w:r w:rsidRPr="008947C5">
              <w:rPr>
                <w:b/>
                <w:i/>
                <w:color w:val="auto"/>
              </w:rPr>
              <w:tab/>
              <w:t>Do celów ust. 3 Europejska Agencja Straży Granicznej i Przybrzeżnej, a także przyszła Agencja Unii Europejskiej ds. Azylu tworzy i utrzymuje interfejs techniczny, który umożliwia bezpośrednie połączenie z centralnym systemem Eurodac.</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Niniejsza poprawka powinna ograniczyć zależność Agencji od infrastruktury krajowej, co może stanowić realne obciążenie dla codziennej pracy agencji, ponieważ nie każda infrastruktura spełnia najwyższe standardy.</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263</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Malin Björk, Barbara Spinelli, Marina Albiol Guzmán</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b)</w:t>
            </w:r>
            <w:r w:rsidRPr="008947C5">
              <w:rPr>
                <w:b/>
                <w:i/>
                <w:color w:val="auto"/>
              </w:rPr>
              <w:tab/>
              <w:t>wizerunek twarzy;</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264</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b</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wizerunek twarzy;</w:t>
            </w:r>
          </w:p>
        </w:tc>
        <w:tc>
          <w:tcPr>
            <w:tcW w:w="4876" w:type="dxa"/>
          </w:tcPr>
          <w:p w:rsidR="005E74C4" w:rsidRPr="008947C5" w:rsidRDefault="005E74C4" w:rsidP="009E4524">
            <w:pPr>
              <w:pStyle w:val="Normal6"/>
              <w:rPr>
                <w:b/>
                <w:i/>
                <w:color w:val="auto"/>
              </w:rPr>
            </w:pPr>
            <w:r w:rsidRPr="008947C5">
              <w:rPr>
                <w:color w:val="auto"/>
              </w:rPr>
              <w:t>b)</w:t>
            </w:r>
            <w:r w:rsidRPr="008947C5">
              <w:rPr>
                <w:b/>
                <w:i/>
                <w:color w:val="auto"/>
              </w:rPr>
              <w:tab/>
            </w:r>
            <w:r w:rsidRPr="008947C5">
              <w:rPr>
                <w:color w:val="auto"/>
              </w:rPr>
              <w:t>wizerunek twarzy</w:t>
            </w:r>
            <w:r w:rsidRPr="008947C5">
              <w:rPr>
                <w:b/>
                <w:i/>
                <w:color w:val="auto"/>
              </w:rPr>
              <w:t>, jeżeli osoba, które dotyczą dane, jest małoletnia</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265</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c</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nazwisko(-a) i imię</w:t>
            </w:r>
            <w:r w:rsidRPr="008947C5">
              <w:rPr>
                <w:b/>
                <w:i/>
                <w:color w:val="auto"/>
              </w:rPr>
              <w:t xml:space="preserve"> </w:t>
            </w:r>
            <w:r w:rsidRPr="008947C5">
              <w:rPr>
                <w:color w:val="auto"/>
              </w:rPr>
              <w:t>(imiona), nazwisko(-a) rodowe oraz wcześniej stosowane nazwiska</w:t>
            </w:r>
            <w:r w:rsidRPr="008947C5">
              <w:rPr>
                <w:b/>
                <w:i/>
                <w:color w:val="auto"/>
              </w:rPr>
              <w:t xml:space="preserve"> lub wszelkie pseudonimy; dane te mogą być wprowadzane oddzielnie;</w:t>
            </w:r>
          </w:p>
        </w:tc>
        <w:tc>
          <w:tcPr>
            <w:tcW w:w="4876" w:type="dxa"/>
          </w:tcPr>
          <w:p w:rsidR="005E74C4" w:rsidRPr="008947C5" w:rsidRDefault="005E74C4" w:rsidP="009E4524">
            <w:pPr>
              <w:pStyle w:val="Normal6"/>
              <w:rPr>
                <w:b/>
                <w:i/>
                <w:color w:val="auto"/>
              </w:rPr>
            </w:pPr>
            <w:r w:rsidRPr="008947C5">
              <w:rPr>
                <w:color w:val="auto"/>
              </w:rPr>
              <w:t>c)</w:t>
            </w:r>
            <w:r w:rsidRPr="008947C5">
              <w:rPr>
                <w:b/>
                <w:i/>
                <w:color w:val="auto"/>
              </w:rPr>
              <w:tab/>
            </w:r>
            <w:r w:rsidRPr="008947C5">
              <w:rPr>
                <w:color w:val="auto"/>
              </w:rPr>
              <w:t>nazwisko(-a) i imię</w:t>
            </w:r>
            <w:r w:rsidRPr="008947C5">
              <w:rPr>
                <w:b/>
                <w:i/>
                <w:color w:val="auto"/>
              </w:rPr>
              <w:t xml:space="preserve"> </w:t>
            </w:r>
            <w:r w:rsidRPr="008947C5">
              <w:rPr>
                <w:color w:val="auto"/>
              </w:rPr>
              <w:t>(imiona), nazwisko(-a) rodowe oraz wcześniej stosowane nazwiska</w:t>
            </w:r>
            <w:r w:rsidRPr="008947C5">
              <w:rPr>
                <w:b/>
                <w:i/>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266</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d)</w:t>
            </w:r>
            <w:r w:rsidRPr="008947C5">
              <w:rPr>
                <w:b/>
                <w:i/>
                <w:color w:val="auto"/>
              </w:rPr>
              <w:tab/>
              <w:t>obywatelstwo(-a);</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267</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d</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obywatelstwo(-a);</w:t>
            </w:r>
          </w:p>
        </w:tc>
        <w:tc>
          <w:tcPr>
            <w:tcW w:w="4876" w:type="dxa"/>
          </w:tcPr>
          <w:p w:rsidR="005E74C4" w:rsidRPr="008947C5" w:rsidRDefault="005E74C4" w:rsidP="009E4524">
            <w:pPr>
              <w:pStyle w:val="Normal6"/>
              <w:rPr>
                <w:b/>
                <w:i/>
                <w:color w:val="auto"/>
              </w:rPr>
            </w:pPr>
            <w:r w:rsidRPr="008947C5">
              <w:rPr>
                <w:color w:val="auto"/>
              </w:rPr>
              <w:t>d)</w:t>
            </w:r>
            <w:r w:rsidRPr="008947C5">
              <w:rPr>
                <w:b/>
                <w:i/>
                <w:color w:val="auto"/>
              </w:rPr>
              <w:tab/>
            </w:r>
            <w:r w:rsidRPr="008947C5">
              <w:rPr>
                <w:color w:val="auto"/>
              </w:rPr>
              <w:t>obywatelstwo(-a)</w:t>
            </w:r>
            <w:r w:rsidRPr="008947C5">
              <w:rPr>
                <w:b/>
                <w:i/>
                <w:color w:val="auto"/>
              </w:rPr>
              <w:t xml:space="preserve"> lub domniemane i zadeklarowane obywatelstwo lub status bezpaństwowca zgodnie z art. 1 ust. 1 Konwencji dotyczącej statusu bezpaństwowców z 1954</w:t>
            </w:r>
            <w:r w:rsidR="00447681" w:rsidRPr="008947C5">
              <w:rPr>
                <w:b/>
                <w:i/>
                <w:color w:val="auto"/>
              </w:rPr>
              <w:t xml:space="preserve"> </w:t>
            </w:r>
            <w:r w:rsidRPr="008947C5">
              <w:rPr>
                <w:b/>
                <w:i/>
                <w:color w:val="auto"/>
              </w:rPr>
              <w:t>r.</w:t>
            </w:r>
            <w:r w:rsidRPr="008947C5">
              <w:rPr>
                <w:color w:val="auto"/>
              </w:rPr>
              <w:t>;</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268</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e</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e)</w:t>
            </w:r>
            <w:r w:rsidRPr="008947C5">
              <w:rPr>
                <w:b/>
                <w:i/>
                <w:color w:val="auto"/>
              </w:rPr>
              <w:tab/>
              <w:t>miejsce i data urodzenia;</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269</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Sylvia-Yvonne Kaufmann, Josef Weidenholzer, Vilija Blinkevičiūtė, Péter Niedermüller, Kati Piri, Maria Grapini, Juan Fernando López Aguilar, Caterina Chinnici</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g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ga)</w:t>
            </w:r>
            <w:r w:rsidRPr="008947C5">
              <w:rPr>
                <w:b/>
                <w:i/>
                <w:color w:val="auto"/>
              </w:rPr>
              <w:tab/>
              <w:t>szczegółowe dane na temat powiązań rodzinnych małoletnich, takie jak nazwiska członków rodziny i osób towarzyszących oraz wszelkie inne odpowiednie informacje, które mogłyby pomóc w odnalezieniu rodziny lub łączeniu rodzin;</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270</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Judith Sargentini</w:t>
      </w:r>
      <w:r w:rsidRPr="005B688F">
        <w:rPr>
          <w:rStyle w:val="HideTWBExt"/>
          <w:b w:val="0"/>
        </w:rPr>
        <w:t>&lt;/Members&gt;</w:t>
      </w:r>
    </w:p>
    <w:p w:rsidR="005E74C4" w:rsidRPr="008947C5" w:rsidRDefault="005E74C4" w:rsidP="005E74C4">
      <w:r w:rsidRPr="005B688F">
        <w:rPr>
          <w:rStyle w:val="HideTWBExt"/>
        </w:rPr>
        <w:t>&lt;AuNomDe&gt;</w:t>
      </w:r>
      <w:r w:rsidRPr="005B688F">
        <w:rPr>
          <w:rStyle w:val="HideTWBInt"/>
        </w:rPr>
        <w:t>{Verts/ALE}</w:t>
      </w:r>
      <w:r w:rsidRPr="008947C5">
        <w:t>w imieniu grupy Verts/ALE</w:t>
      </w:r>
      <w:r w:rsidRPr="005B688F">
        <w:rPr>
          <w:rStyle w:val="HideTWBExt"/>
        </w:rPr>
        <w:t>&lt;/AuNomDe&gt;</w:t>
      </w:r>
    </w:p>
    <w:p w:rsidR="005E74C4" w:rsidRPr="008947C5" w:rsidRDefault="005E74C4" w:rsidP="005E74C4">
      <w:r w:rsidRPr="005B688F">
        <w:rPr>
          <w:rStyle w:val="HideTWBExt"/>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akapit 1 – litera h</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b/>
                <w:i/>
                <w:color w:val="auto"/>
              </w:rPr>
            </w:pPr>
            <w:r w:rsidRPr="008947C5">
              <w:rPr>
                <w:b/>
                <w:i/>
                <w:color w:val="auto"/>
              </w:rPr>
              <w:t>h)</w:t>
            </w:r>
            <w:r w:rsidRPr="008947C5">
              <w:rPr>
                <w:b/>
                <w:i/>
                <w:color w:val="auto"/>
              </w:rPr>
              <w:tab/>
              <w:t>rodzaj i numer dokumentu tożsamości lub dokumentu podróży; trzyliterowy kod kraju wydającego dokument oraz data ważności;</w:t>
            </w:r>
          </w:p>
        </w:tc>
        <w:tc>
          <w:tcPr>
            <w:tcW w:w="4876" w:type="dxa"/>
          </w:tcPr>
          <w:p w:rsidR="005E74C4" w:rsidRPr="008947C5" w:rsidRDefault="005E74C4" w:rsidP="009E4524">
            <w:pPr>
              <w:pStyle w:val="Normal6"/>
              <w:rPr>
                <w:b/>
                <w:i/>
                <w:color w:val="auto"/>
              </w:rPr>
            </w:pPr>
            <w:r w:rsidRPr="008947C5">
              <w:rPr>
                <w:b/>
                <w:i/>
                <w:color w:val="auto"/>
              </w:rPr>
              <w:t>skreśla się</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r w:rsidRPr="005B688F">
        <w:rPr>
          <w:rStyle w:val="HideTWBExt"/>
        </w:rPr>
        <w:t>&lt;/Amend&gt;</w:t>
      </w:r>
    </w:p>
    <w:p w:rsidR="005E74C4" w:rsidRPr="008947C5" w:rsidRDefault="005E74C4" w:rsidP="005E74C4">
      <w:pPr>
        <w:pStyle w:val="AMNumberTabs"/>
        <w:rPr>
          <w:color w:val="auto"/>
        </w:rPr>
      </w:pPr>
      <w:r w:rsidRPr="005B688F">
        <w:rPr>
          <w:rStyle w:val="HideTWBExt"/>
          <w:b w:val="0"/>
        </w:rPr>
        <w:t>&lt;Amend&gt;</w:t>
      </w:r>
      <w:r w:rsidRPr="008947C5">
        <w:rPr>
          <w:color w:val="auto"/>
        </w:rPr>
        <w:t xml:space="preserve">Poprawka </w:t>
      </w:r>
      <w:r w:rsidRPr="008947C5">
        <w:rPr>
          <w:color w:val="auto"/>
        </w:rPr>
        <w:tab/>
      </w:r>
      <w:r w:rsidRPr="008947C5">
        <w:rPr>
          <w:color w:val="auto"/>
        </w:rPr>
        <w:tab/>
      </w:r>
      <w:r w:rsidRPr="005B688F">
        <w:rPr>
          <w:rStyle w:val="HideTWBExt"/>
          <w:b w:val="0"/>
        </w:rPr>
        <w:t>&lt;NumAm&gt;</w:t>
      </w:r>
      <w:r w:rsidRPr="008947C5">
        <w:rPr>
          <w:color w:val="auto"/>
        </w:rPr>
        <w:t>271</w:t>
      </w:r>
      <w:r w:rsidRPr="005B688F">
        <w:rPr>
          <w:rStyle w:val="HideTWBExt"/>
          <w:b w:val="0"/>
        </w:rPr>
        <w:t>&lt;/NumAm&gt;</w:t>
      </w:r>
    </w:p>
    <w:p w:rsidR="005E74C4" w:rsidRPr="008947C5" w:rsidRDefault="005E74C4" w:rsidP="005E74C4">
      <w:pPr>
        <w:pStyle w:val="NormalBold"/>
        <w:rPr>
          <w:color w:val="auto"/>
        </w:rPr>
      </w:pPr>
      <w:r w:rsidRPr="005B688F">
        <w:rPr>
          <w:rStyle w:val="HideTWBExt"/>
          <w:b w:val="0"/>
        </w:rPr>
        <w:t>&lt;RepeatBlock-By&gt;&lt;Members&gt;</w:t>
      </w:r>
      <w:r w:rsidRPr="008947C5">
        <w:rPr>
          <w:color w:val="auto"/>
        </w:rPr>
        <w:t>Jeroen Lenaers</w:t>
      </w:r>
      <w:r w:rsidRPr="005B688F">
        <w:rPr>
          <w:rStyle w:val="HideTWBExt"/>
          <w:b w:val="0"/>
        </w:rPr>
        <w:t>&lt;/Members&gt;</w:t>
      </w:r>
    </w:p>
    <w:p w:rsidR="005E74C4" w:rsidRPr="008947C5" w:rsidRDefault="005E74C4" w:rsidP="005E74C4">
      <w:pPr>
        <w:pStyle w:val="NormalBold"/>
        <w:rPr>
          <w:color w:val="auto"/>
        </w:rPr>
      </w:pPr>
      <w:r w:rsidRPr="005B688F">
        <w:rPr>
          <w:rStyle w:val="HideTWBExt"/>
          <w:b w:val="0"/>
        </w:rPr>
        <w:t>&lt;/RepeatBlock-By&gt;</w:t>
      </w:r>
    </w:p>
    <w:p w:rsidR="005E74C4" w:rsidRPr="008947C5" w:rsidRDefault="005E74C4" w:rsidP="005E74C4">
      <w:pPr>
        <w:pStyle w:val="NormalBold"/>
        <w:rPr>
          <w:color w:val="auto"/>
        </w:rPr>
      </w:pPr>
      <w:r w:rsidRPr="005B688F">
        <w:rPr>
          <w:rStyle w:val="HideTWBExt"/>
          <w:b w:val="0"/>
        </w:rPr>
        <w:t>&lt;DocAmend&gt;</w:t>
      </w:r>
      <w:r w:rsidRPr="008947C5">
        <w:rPr>
          <w:color w:val="auto"/>
        </w:rPr>
        <w:t>Wniosek dotyczący rozporządzenia</w:t>
      </w:r>
      <w:r w:rsidRPr="005B688F">
        <w:rPr>
          <w:rStyle w:val="HideTWBExt"/>
          <w:b w:val="0"/>
        </w:rPr>
        <w:t>&lt;/DocAmend&gt;</w:t>
      </w:r>
    </w:p>
    <w:p w:rsidR="005E74C4" w:rsidRPr="008947C5" w:rsidRDefault="005E74C4" w:rsidP="005E74C4">
      <w:pPr>
        <w:pStyle w:val="NormalBold"/>
        <w:rPr>
          <w:color w:val="auto"/>
        </w:rPr>
      </w:pPr>
      <w:r w:rsidRPr="005B688F">
        <w:rPr>
          <w:rStyle w:val="HideTWBExt"/>
          <w:b w:val="0"/>
        </w:rPr>
        <w:t>&lt;Article&gt;</w:t>
      </w:r>
      <w:r w:rsidRPr="008947C5">
        <w:rPr>
          <w:color w:val="auto"/>
        </w:rPr>
        <w:t>Artykuł 12 – litera s a (nowa)</w:t>
      </w:r>
      <w:r w:rsidRPr="005B68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7681" w:rsidRPr="008947C5" w:rsidTr="009E4524">
        <w:trPr>
          <w:trHeight w:hRule="exact" w:val="240"/>
          <w:jc w:val="center"/>
        </w:trPr>
        <w:tc>
          <w:tcPr>
            <w:tcW w:w="9752" w:type="dxa"/>
            <w:gridSpan w:val="2"/>
          </w:tcPr>
          <w:p w:rsidR="005E74C4" w:rsidRPr="008947C5" w:rsidRDefault="005E74C4" w:rsidP="009E4524"/>
        </w:tc>
      </w:tr>
      <w:tr w:rsidR="00447681" w:rsidRPr="008947C5" w:rsidTr="009E4524">
        <w:trPr>
          <w:trHeight w:val="240"/>
          <w:jc w:val="center"/>
        </w:trPr>
        <w:tc>
          <w:tcPr>
            <w:tcW w:w="4876" w:type="dxa"/>
          </w:tcPr>
          <w:p w:rsidR="005E74C4" w:rsidRPr="008947C5" w:rsidRDefault="005E74C4" w:rsidP="009E4524">
            <w:pPr>
              <w:pStyle w:val="ColumnHeading"/>
              <w:rPr>
                <w:color w:val="auto"/>
              </w:rPr>
            </w:pPr>
            <w:r w:rsidRPr="008947C5">
              <w:rPr>
                <w:color w:val="auto"/>
              </w:rPr>
              <w:t>Tekst proponowany przez Komisję</w:t>
            </w:r>
          </w:p>
        </w:tc>
        <w:tc>
          <w:tcPr>
            <w:tcW w:w="4876" w:type="dxa"/>
          </w:tcPr>
          <w:p w:rsidR="005E74C4" w:rsidRPr="008947C5" w:rsidRDefault="005E74C4" w:rsidP="009E4524">
            <w:pPr>
              <w:pStyle w:val="ColumnHeading"/>
              <w:rPr>
                <w:color w:val="auto"/>
              </w:rPr>
            </w:pPr>
            <w:r w:rsidRPr="008947C5">
              <w:rPr>
                <w:color w:val="auto"/>
              </w:rPr>
              <w:t>Poprawka</w:t>
            </w:r>
          </w:p>
        </w:tc>
      </w:tr>
      <w:tr w:rsidR="00447681" w:rsidRPr="008947C5" w:rsidTr="009E4524">
        <w:trPr>
          <w:jc w:val="center"/>
        </w:trPr>
        <w:tc>
          <w:tcPr>
            <w:tcW w:w="4876" w:type="dxa"/>
          </w:tcPr>
          <w:p w:rsidR="005E74C4" w:rsidRPr="008947C5" w:rsidRDefault="005E74C4" w:rsidP="009E4524">
            <w:pPr>
              <w:pStyle w:val="Normal6"/>
              <w:rPr>
                <w:color w:val="auto"/>
              </w:rPr>
            </w:pPr>
          </w:p>
        </w:tc>
        <w:tc>
          <w:tcPr>
            <w:tcW w:w="4876" w:type="dxa"/>
          </w:tcPr>
          <w:p w:rsidR="005E74C4" w:rsidRPr="008947C5" w:rsidRDefault="005E74C4" w:rsidP="009E4524">
            <w:pPr>
              <w:pStyle w:val="Normal6"/>
              <w:rPr>
                <w:b/>
                <w:i/>
                <w:color w:val="auto"/>
              </w:rPr>
            </w:pPr>
            <w:r w:rsidRPr="008947C5">
              <w:rPr>
                <w:b/>
                <w:i/>
                <w:color w:val="auto"/>
              </w:rPr>
              <w:t>sa)</w:t>
            </w:r>
            <w:r w:rsidRPr="008947C5">
              <w:rPr>
                <w:b/>
                <w:i/>
                <w:color w:val="auto"/>
              </w:rPr>
              <w:tab/>
              <w:t>w przypadku małoletniego, zwłaszcza bez opieki, w miarę możliwości dane na temat członków rodziny, takie jak nazwisko(-a), imię (imiona), data urodzenia, obywatelstwo(-a), miejsce urodzenia, stopień pokrewieństwa z małoletnim.</w:t>
            </w:r>
          </w:p>
        </w:tc>
      </w:tr>
    </w:tbl>
    <w:p w:rsidR="005E74C4" w:rsidRPr="008947C5" w:rsidRDefault="005E74C4" w:rsidP="005E74C4">
      <w:pPr>
        <w:pStyle w:val="Olang"/>
        <w:rPr>
          <w:color w:val="auto"/>
        </w:rPr>
      </w:pPr>
      <w:r w:rsidRPr="008947C5">
        <w:rPr>
          <w:color w:val="auto"/>
        </w:rPr>
        <w:t xml:space="preserve">Or. </w:t>
      </w:r>
      <w:r w:rsidRPr="005B688F">
        <w:rPr>
          <w:rStyle w:val="HideTWBExt"/>
        </w:rPr>
        <w:t>&lt;Original&gt;</w:t>
      </w:r>
      <w:r w:rsidRPr="005B688F">
        <w:rPr>
          <w:rStyle w:val="HideTWBInt"/>
        </w:rPr>
        <w:t>{EN}</w:t>
      </w:r>
      <w:r w:rsidRPr="008947C5">
        <w:rPr>
          <w:color w:val="auto"/>
        </w:rPr>
        <w:t>en</w:t>
      </w:r>
      <w:r w:rsidRPr="005B688F">
        <w:rPr>
          <w:rStyle w:val="HideTWBExt"/>
        </w:rPr>
        <w:t>&lt;/Original&gt;</w:t>
      </w:r>
    </w:p>
    <w:p w:rsidR="005E74C4" w:rsidRPr="008947C5" w:rsidRDefault="005E74C4" w:rsidP="005E74C4">
      <w:pPr>
        <w:pStyle w:val="JustificationTitle"/>
        <w:rPr>
          <w:color w:val="auto"/>
        </w:rPr>
      </w:pPr>
      <w:r w:rsidRPr="005B688F">
        <w:rPr>
          <w:rStyle w:val="HideTWBExt"/>
          <w:i w:val="0"/>
        </w:rPr>
        <w:t>&lt;TitreJust&gt;</w:t>
      </w:r>
      <w:r w:rsidRPr="008947C5">
        <w:rPr>
          <w:color w:val="auto"/>
        </w:rPr>
        <w:t>Uzasadnienie</w:t>
      </w:r>
      <w:r w:rsidRPr="005B688F">
        <w:rPr>
          <w:rStyle w:val="HideTWBExt"/>
          <w:i w:val="0"/>
        </w:rPr>
        <w:t>&lt;/TitreJust&gt;</w:t>
      </w:r>
    </w:p>
    <w:p w:rsidR="005E74C4" w:rsidRPr="008947C5" w:rsidRDefault="005E74C4" w:rsidP="005E74C4">
      <w:pPr>
        <w:pStyle w:val="Normal12Italic"/>
        <w:rPr>
          <w:color w:val="auto"/>
        </w:rPr>
      </w:pPr>
      <w:r w:rsidRPr="008947C5">
        <w:rPr>
          <w:color w:val="auto"/>
        </w:rPr>
        <w:t>Zasadniczym elementem niniejszego rozporządzenia powinno być dobro dziecka. Niniejsza poprawka jest powiązana z art. 2.</w:t>
      </w:r>
    </w:p>
    <w:p w:rsidR="00C92E8F" w:rsidRPr="008947C5" w:rsidRDefault="005E74C4" w:rsidP="005E74C4">
      <w:r w:rsidRPr="005B688F">
        <w:rPr>
          <w:rStyle w:val="HideTWBExt"/>
        </w:rPr>
        <w:t>&lt;/Amend&gt;&lt;/RepeatBlock-Amend&gt;</w:t>
      </w:r>
    </w:p>
    <w:sectPr w:rsidR="00C92E8F" w:rsidRPr="008947C5" w:rsidSect="0044318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CA7" w:rsidRPr="008D2525" w:rsidRDefault="00803CA7">
      <w:r w:rsidRPr="008D2525">
        <w:separator/>
      </w:r>
    </w:p>
  </w:endnote>
  <w:endnote w:type="continuationSeparator" w:id="0">
    <w:p w:rsidR="00803CA7" w:rsidRPr="008D2525" w:rsidRDefault="00803CA7">
      <w:r w:rsidRPr="008D25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CA7" w:rsidRPr="00564243" w:rsidRDefault="00803CA7" w:rsidP="00443182">
    <w:pPr>
      <w:pStyle w:val="Footer"/>
      <w:rPr>
        <w:lang w:val="de-DE"/>
      </w:rPr>
    </w:pPr>
    <w:r w:rsidRPr="00564243">
      <w:rPr>
        <w:lang w:val="de-DE"/>
      </w:rPr>
      <w:t>PE</w:t>
    </w:r>
    <w:r w:rsidRPr="00610A40">
      <w:rPr>
        <w:rStyle w:val="HideTWBExt"/>
        <w:lang w:val="de-DE"/>
      </w:rPr>
      <w:t>&lt;NoPE&gt;</w:t>
    </w:r>
    <w:r w:rsidRPr="00564243">
      <w:rPr>
        <w:lang w:val="de-DE"/>
      </w:rPr>
      <w:t>601.040</w:t>
    </w:r>
    <w:r w:rsidRPr="00610A40">
      <w:rPr>
        <w:rStyle w:val="HideTWBExt"/>
        <w:lang w:val="de-DE"/>
      </w:rPr>
      <w:t>&lt;/NoPE&gt;&lt;Version&gt;</w:t>
    </w:r>
    <w:r w:rsidRPr="00564243">
      <w:rPr>
        <w:lang w:val="de-DE"/>
      </w:rPr>
      <w:t>v01-00</w:t>
    </w:r>
    <w:r w:rsidRPr="00610A40">
      <w:rPr>
        <w:rStyle w:val="HideTWBExt"/>
        <w:lang w:val="de-DE"/>
      </w:rPr>
      <w:t>&lt;/Version&gt;</w:t>
    </w:r>
    <w:r w:rsidRPr="00564243">
      <w:rPr>
        <w:lang w:val="de-DE"/>
      </w:rPr>
      <w:tab/>
    </w:r>
    <w:r w:rsidRPr="008D2525">
      <w:fldChar w:fldCharType="begin"/>
    </w:r>
    <w:r w:rsidRPr="00564243">
      <w:rPr>
        <w:lang w:val="de-DE"/>
      </w:rPr>
      <w:instrText xml:space="preserve"> PAGE  \* MERGEFORMAT </w:instrText>
    </w:r>
    <w:r w:rsidRPr="008D2525">
      <w:fldChar w:fldCharType="separate"/>
    </w:r>
    <w:r w:rsidR="00AB03DD">
      <w:rPr>
        <w:noProof/>
        <w:lang w:val="de-DE"/>
      </w:rPr>
      <w:t>2</w:t>
    </w:r>
    <w:r w:rsidRPr="008D2525">
      <w:fldChar w:fldCharType="end"/>
    </w:r>
    <w:r w:rsidRPr="00564243">
      <w:rPr>
        <w:lang w:val="de-DE"/>
      </w:rPr>
      <w:t>/</w:t>
    </w:r>
    <w:r>
      <w:fldChar w:fldCharType="begin"/>
    </w:r>
    <w:r w:rsidRPr="00564243">
      <w:rPr>
        <w:lang w:val="de-DE"/>
      </w:rPr>
      <w:instrText xml:space="preserve"> NUMPAGES  \* MERGEFORMAT </w:instrText>
    </w:r>
    <w:r>
      <w:fldChar w:fldCharType="separate"/>
    </w:r>
    <w:r w:rsidR="00AB03DD">
      <w:rPr>
        <w:noProof/>
        <w:lang w:val="de-DE"/>
      </w:rPr>
      <w:t>160</w:t>
    </w:r>
    <w:r>
      <w:rPr>
        <w:noProof/>
      </w:rPr>
      <w:fldChar w:fldCharType="end"/>
    </w:r>
    <w:r w:rsidRPr="00564243">
      <w:rPr>
        <w:lang w:val="de-DE"/>
      </w:rPr>
      <w:tab/>
    </w:r>
    <w:r w:rsidRPr="00610A40">
      <w:rPr>
        <w:rStyle w:val="HideTWBExt"/>
        <w:lang w:val="de-DE"/>
      </w:rPr>
      <w:t>&lt;PathFdR&gt;</w:t>
    </w:r>
    <w:r w:rsidRPr="00564243">
      <w:rPr>
        <w:lang w:val="de-DE"/>
      </w:rPr>
      <w:t>AM\1119113PL.docx</w:t>
    </w:r>
    <w:r w:rsidRPr="00610A40">
      <w:rPr>
        <w:rStyle w:val="HideTWBExt"/>
        <w:lang w:val="de-DE"/>
      </w:rPr>
      <w:t>&lt;/PathFdR&gt;</w:t>
    </w:r>
  </w:p>
  <w:p w:rsidR="00803CA7" w:rsidRPr="008D2525" w:rsidRDefault="00803CA7" w:rsidP="00443182">
    <w:pPr>
      <w:pStyle w:val="Footer2"/>
    </w:pPr>
    <w:r w:rsidRPr="008D2525">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CA7" w:rsidRPr="00564243" w:rsidRDefault="00803CA7" w:rsidP="00443182">
    <w:pPr>
      <w:pStyle w:val="Footer"/>
      <w:rPr>
        <w:lang w:val="de-DE"/>
      </w:rPr>
    </w:pPr>
    <w:r w:rsidRPr="00610A40">
      <w:rPr>
        <w:rStyle w:val="HideTWBExt"/>
        <w:lang w:val="de-DE"/>
      </w:rPr>
      <w:t>&lt;PathFdR&gt;</w:t>
    </w:r>
    <w:r w:rsidRPr="00564243">
      <w:rPr>
        <w:lang w:val="de-DE"/>
      </w:rPr>
      <w:t>AM\1119113PL.docx</w:t>
    </w:r>
    <w:r w:rsidRPr="00610A40">
      <w:rPr>
        <w:rStyle w:val="HideTWBExt"/>
        <w:lang w:val="de-DE"/>
      </w:rPr>
      <w:t>&lt;/PathFdR&gt;</w:t>
    </w:r>
    <w:r w:rsidRPr="00564243">
      <w:rPr>
        <w:lang w:val="de-DE"/>
      </w:rPr>
      <w:tab/>
    </w:r>
    <w:r w:rsidRPr="008D2525">
      <w:fldChar w:fldCharType="begin"/>
    </w:r>
    <w:r w:rsidRPr="00564243">
      <w:rPr>
        <w:lang w:val="de-DE"/>
      </w:rPr>
      <w:instrText xml:space="preserve"> PAGE  \* MERGEFORMAT </w:instrText>
    </w:r>
    <w:r w:rsidRPr="008D2525">
      <w:fldChar w:fldCharType="separate"/>
    </w:r>
    <w:r w:rsidR="00AB03DD">
      <w:rPr>
        <w:noProof/>
        <w:lang w:val="de-DE"/>
      </w:rPr>
      <w:t>157</w:t>
    </w:r>
    <w:r w:rsidRPr="008D2525">
      <w:fldChar w:fldCharType="end"/>
    </w:r>
    <w:r w:rsidRPr="00564243">
      <w:rPr>
        <w:lang w:val="de-DE"/>
      </w:rPr>
      <w:t>/</w:t>
    </w:r>
    <w:r>
      <w:fldChar w:fldCharType="begin"/>
    </w:r>
    <w:r w:rsidRPr="00564243">
      <w:rPr>
        <w:lang w:val="de-DE"/>
      </w:rPr>
      <w:instrText xml:space="preserve"> NUMPAGES  \* MERGEFORMAT </w:instrText>
    </w:r>
    <w:r>
      <w:fldChar w:fldCharType="separate"/>
    </w:r>
    <w:r w:rsidR="00AB03DD">
      <w:rPr>
        <w:noProof/>
        <w:lang w:val="de-DE"/>
      </w:rPr>
      <w:t>157</w:t>
    </w:r>
    <w:r>
      <w:rPr>
        <w:noProof/>
      </w:rPr>
      <w:fldChar w:fldCharType="end"/>
    </w:r>
    <w:r w:rsidRPr="00564243">
      <w:rPr>
        <w:lang w:val="de-DE"/>
      </w:rPr>
      <w:tab/>
      <w:t>PE</w:t>
    </w:r>
    <w:r w:rsidRPr="00610A40">
      <w:rPr>
        <w:rStyle w:val="HideTWBExt"/>
        <w:lang w:val="de-DE"/>
      </w:rPr>
      <w:t>&lt;NoPE&gt;</w:t>
    </w:r>
    <w:r w:rsidRPr="00564243">
      <w:rPr>
        <w:lang w:val="de-DE"/>
      </w:rPr>
      <w:t>601.040</w:t>
    </w:r>
    <w:r w:rsidRPr="00610A40">
      <w:rPr>
        <w:rStyle w:val="HideTWBExt"/>
        <w:lang w:val="de-DE"/>
      </w:rPr>
      <w:t>&lt;/NoPE&gt;&lt;Version&gt;</w:t>
    </w:r>
    <w:r w:rsidRPr="00564243">
      <w:rPr>
        <w:lang w:val="de-DE"/>
      </w:rPr>
      <w:t>v01-00</w:t>
    </w:r>
    <w:r w:rsidRPr="00610A40">
      <w:rPr>
        <w:rStyle w:val="HideTWBExt"/>
        <w:lang w:val="de-DE"/>
      </w:rPr>
      <w:t>&lt;/Version&gt;</w:t>
    </w:r>
  </w:p>
  <w:p w:rsidR="00803CA7" w:rsidRPr="008D2525" w:rsidRDefault="00803CA7" w:rsidP="00443182">
    <w:pPr>
      <w:pStyle w:val="Footer2"/>
    </w:pPr>
    <w:r w:rsidRPr="00564243">
      <w:rPr>
        <w:lang w:val="de-DE"/>
      </w:rPr>
      <w:tab/>
    </w:r>
    <w:r w:rsidRPr="008D2525">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CA7" w:rsidRPr="00564243" w:rsidRDefault="00803CA7" w:rsidP="00443182">
    <w:pPr>
      <w:pStyle w:val="Footer"/>
      <w:rPr>
        <w:lang w:val="de-DE"/>
      </w:rPr>
    </w:pPr>
    <w:r w:rsidRPr="00610A40">
      <w:rPr>
        <w:rStyle w:val="HideTWBExt"/>
        <w:lang w:val="de-DE"/>
      </w:rPr>
      <w:t>&lt;PathFdR&gt;</w:t>
    </w:r>
    <w:r w:rsidRPr="00564243">
      <w:rPr>
        <w:lang w:val="de-DE"/>
      </w:rPr>
      <w:t>AM\1119113PL.docx</w:t>
    </w:r>
    <w:r w:rsidRPr="00610A40">
      <w:rPr>
        <w:rStyle w:val="HideTWBExt"/>
        <w:lang w:val="de-DE"/>
      </w:rPr>
      <w:t>&lt;/PathFdR&gt;</w:t>
    </w:r>
    <w:r w:rsidRPr="00564243">
      <w:rPr>
        <w:lang w:val="de-DE"/>
      </w:rPr>
      <w:tab/>
    </w:r>
    <w:r w:rsidRPr="00564243">
      <w:rPr>
        <w:lang w:val="de-DE"/>
      </w:rPr>
      <w:tab/>
      <w:t>PE</w:t>
    </w:r>
    <w:r w:rsidRPr="00610A40">
      <w:rPr>
        <w:rStyle w:val="HideTWBExt"/>
        <w:lang w:val="de-DE"/>
      </w:rPr>
      <w:t>&lt;NoPE&gt;</w:t>
    </w:r>
    <w:r w:rsidRPr="00564243">
      <w:rPr>
        <w:lang w:val="de-DE"/>
      </w:rPr>
      <w:t>601.040</w:t>
    </w:r>
    <w:r w:rsidRPr="00610A40">
      <w:rPr>
        <w:rStyle w:val="HideTWBExt"/>
        <w:lang w:val="de-DE"/>
      </w:rPr>
      <w:t>&lt;/NoPE&gt;&lt;Version&gt;</w:t>
    </w:r>
    <w:r w:rsidRPr="00564243">
      <w:rPr>
        <w:lang w:val="de-DE"/>
      </w:rPr>
      <w:t>v01-00</w:t>
    </w:r>
    <w:r w:rsidRPr="00610A40">
      <w:rPr>
        <w:rStyle w:val="HideTWBExt"/>
        <w:lang w:val="de-DE"/>
      </w:rPr>
      <w:t>&lt;/Version&gt;</w:t>
    </w:r>
  </w:p>
  <w:p w:rsidR="00803CA7" w:rsidRPr="008D2525" w:rsidRDefault="00803CA7" w:rsidP="00443182">
    <w:pPr>
      <w:pStyle w:val="Footer2"/>
      <w:tabs>
        <w:tab w:val="center" w:pos="4535"/>
      </w:tabs>
    </w:pPr>
    <w:r w:rsidRPr="008D2525">
      <w:t>PL</w:t>
    </w:r>
    <w:r w:rsidRPr="008D2525">
      <w:tab/>
    </w:r>
    <w:r w:rsidRPr="008D2525">
      <w:rPr>
        <w:b w:val="0"/>
        <w:i/>
        <w:color w:val="C0C0C0"/>
        <w:sz w:val="22"/>
      </w:rPr>
      <w:t>Zjednoczona w różnorodności</w:t>
    </w:r>
    <w:r w:rsidRPr="008D2525">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CA7" w:rsidRPr="008D2525" w:rsidRDefault="00803CA7">
      <w:r w:rsidRPr="008D2525">
        <w:separator/>
      </w:r>
    </w:p>
  </w:footnote>
  <w:footnote w:type="continuationSeparator" w:id="0">
    <w:p w:rsidR="00803CA7" w:rsidRPr="008D2525" w:rsidRDefault="00803CA7">
      <w:r w:rsidRPr="008D252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3DD" w:rsidRDefault="00AB03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3DD" w:rsidRDefault="00AB03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3DD" w:rsidRDefault="00AB0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PL"/>
    <w:docVar w:name="TXTLANGUEMIN" w:val="pl"/>
    <w:docVar w:name="TXTNRPE" w:val="601.040"/>
    <w:docVar w:name="TXTPEorAP" w:val="PE"/>
    <w:docVar w:name="TXTROUTE" w:val="AM\1119113PL.docx"/>
    <w:docVar w:name="TXTVERSION" w:val="01-00"/>
  </w:docVars>
  <w:rsids>
    <w:rsidRoot w:val="00C92E8F"/>
    <w:rsid w:val="00022DE7"/>
    <w:rsid w:val="00067B41"/>
    <w:rsid w:val="002E25A7"/>
    <w:rsid w:val="00443182"/>
    <w:rsid w:val="00447681"/>
    <w:rsid w:val="0046285D"/>
    <w:rsid w:val="00564243"/>
    <w:rsid w:val="005B688F"/>
    <w:rsid w:val="005E74C4"/>
    <w:rsid w:val="00610A40"/>
    <w:rsid w:val="00803CA7"/>
    <w:rsid w:val="00891D7C"/>
    <w:rsid w:val="008947C5"/>
    <w:rsid w:val="008C060E"/>
    <w:rsid w:val="008D2525"/>
    <w:rsid w:val="009E4524"/>
    <w:rsid w:val="00A050CF"/>
    <w:rsid w:val="00AA6414"/>
    <w:rsid w:val="00AB03CB"/>
    <w:rsid w:val="00AB03DD"/>
    <w:rsid w:val="00AC019E"/>
    <w:rsid w:val="00B41B5A"/>
    <w:rsid w:val="00B721E8"/>
    <w:rsid w:val="00C92E8F"/>
    <w:rsid w:val="00DD1563"/>
    <w:rsid w:val="00EF5E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66B7E3-5D66-4764-B96F-B5DD36316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pl-PL"/>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443182"/>
    <w:pPr>
      <w:tabs>
        <w:tab w:val="center" w:pos="4536"/>
        <w:tab w:val="right" w:pos="9072"/>
      </w:tabs>
    </w:pPr>
  </w:style>
  <w:style w:type="character" w:customStyle="1" w:styleId="HeaderChar">
    <w:name w:val="Header Char"/>
    <w:basedOn w:val="DefaultParagraphFont"/>
    <w:link w:val="Header"/>
    <w:rsid w:val="004431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39237</Words>
  <Characters>296906</Characters>
  <Application>Microsoft Office Word</Application>
  <DocSecurity>0</DocSecurity>
  <Lines>6059</Lines>
  <Paragraphs>1899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WIERTLEWSKA Maria</cp:lastModifiedBy>
  <cp:revision>2</cp:revision>
  <dcterms:created xsi:type="dcterms:W3CDTF">2017-03-16T16:22:00Z</dcterms:created>
  <dcterms:modified xsi:type="dcterms:W3CDTF">2017-03-16T16:22:00Z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1119113</vt:lpwstr>
  </property>
  <property fmtid="{D5CDD505-2E9C-101B-9397-08002B2CF9AE}" pid="4" name="&lt;FooterPath&gt;">
    <vt:lpwstr>AM\1119113XM.doc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AM\1119113PL.docx</vt:lpwstr>
  </property>
  <property fmtid="{D5CDD505-2E9C-101B-9397-08002B2CF9AE}" pid="12" name="Bookout">
    <vt:lpwstr>OK - 2017/03/16 17:22</vt:lpwstr>
  </property>
  <property fmtid="{D5CDD505-2E9C-101B-9397-08002B2CF9AE}" pid="13" name="SubscribeElise">
    <vt:lpwstr/>
  </property>
</Properties>
</file>