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5A0F5F" w:rsidRPr="00D842C1">
        <w:trPr>
          <w:trHeight w:hRule="exact" w:val="1417"/>
          <w:jc w:val="center"/>
        </w:trPr>
        <w:tc>
          <w:tcPr>
            <w:tcW w:w="6804" w:type="dxa"/>
            <w:vAlign w:val="center"/>
          </w:tcPr>
          <w:p w:rsidR="00131F3A" w:rsidRPr="00D842C1" w:rsidRDefault="00B54DE8">
            <w:pPr>
              <w:pStyle w:val="EPName"/>
              <w:rPr>
                <w:color w:val="auto"/>
              </w:rPr>
            </w:pPr>
            <w:r w:rsidRPr="00D842C1">
              <w:rPr>
                <w:color w:val="auto"/>
              </w:rPr>
              <w:t>Europos Parlamentas</w:t>
            </w:r>
          </w:p>
          <w:p w:rsidR="005A0F5F" w:rsidRPr="00D842C1" w:rsidRDefault="00DD5453">
            <w:pPr>
              <w:pStyle w:val="EPTerm"/>
              <w:rPr>
                <w:lang w:val="lt-LT"/>
              </w:rPr>
            </w:pPr>
            <w:r w:rsidRPr="00D842C1">
              <w:rPr>
                <w:b/>
                <w:lang w:val="lt-LT"/>
              </w:rPr>
              <w:t>2014-2019</w:t>
            </w:r>
          </w:p>
        </w:tc>
        <w:tc>
          <w:tcPr>
            <w:tcW w:w="2268" w:type="dxa"/>
          </w:tcPr>
          <w:p w:rsidR="005A0F5F" w:rsidRPr="00D842C1" w:rsidRDefault="00DD5453">
            <w:pPr>
              <w:pStyle w:val="EPLogo"/>
              <w:rPr>
                <w:b/>
                <w:i/>
              </w:rPr>
            </w:pPr>
            <w:r w:rsidRPr="00D842C1">
              <w:rPr>
                <w:b/>
                <w:i/>
              </w:rPr>
              <w:drawing>
                <wp:inline distT="0" distB="0" distL="0" distR="0" wp14:anchorId="75931CE4" wp14:editId="27C85AA1">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131F3A" w:rsidRPr="00D842C1" w:rsidRDefault="00131F3A">
      <w:pPr>
        <w:pStyle w:val="LineTop"/>
        <w:rPr>
          <w:color w:val="auto"/>
        </w:rPr>
      </w:pPr>
    </w:p>
    <w:p w:rsidR="005A0F5F" w:rsidRPr="00D842C1" w:rsidRDefault="00DD5453">
      <w:pPr>
        <w:pStyle w:val="ZCommittee"/>
        <w:rPr>
          <w:color w:val="auto"/>
        </w:rPr>
      </w:pPr>
      <w:r w:rsidRPr="00D842C1">
        <w:rPr>
          <w:rStyle w:val="HideTWBExt"/>
          <w:color w:val="auto"/>
        </w:rPr>
        <w:t>&lt;Commission&gt;</w:t>
      </w:r>
      <w:r w:rsidRPr="00D842C1">
        <w:rPr>
          <w:rStyle w:val="HideTWBInt"/>
          <w:color w:val="auto"/>
        </w:rPr>
        <w:t>{LIBE}</w:t>
      </w:r>
      <w:r w:rsidR="00B54DE8" w:rsidRPr="00D842C1">
        <w:rPr>
          <w:color w:val="auto"/>
        </w:rPr>
        <w:t>Piliečių laisvių, teisingumo ir vidaus reikalų komitetas</w:t>
      </w:r>
      <w:r w:rsidRPr="00D842C1">
        <w:rPr>
          <w:rStyle w:val="HideTWBExt"/>
          <w:color w:val="auto"/>
        </w:rPr>
        <w:t>&lt;/Commission&gt;</w:t>
      </w:r>
    </w:p>
    <w:p w:rsidR="005A0F5F" w:rsidRPr="00D842C1" w:rsidRDefault="005A0F5F">
      <w:pPr>
        <w:pStyle w:val="LineBottom"/>
        <w:rPr>
          <w:color w:val="auto"/>
        </w:rPr>
      </w:pPr>
    </w:p>
    <w:p w:rsidR="005A0F5F" w:rsidRPr="00D842C1" w:rsidRDefault="00DD5453">
      <w:pPr>
        <w:pStyle w:val="RefProc"/>
        <w:rPr>
          <w:color w:val="auto"/>
        </w:rPr>
      </w:pPr>
      <w:r w:rsidRPr="00D842C1">
        <w:rPr>
          <w:rStyle w:val="HideTWBExt"/>
          <w:color w:val="auto"/>
        </w:rPr>
        <w:t>&lt;RefProc&gt;</w:t>
      </w:r>
      <w:r w:rsidRPr="00D842C1">
        <w:rPr>
          <w:color w:val="auto"/>
        </w:rPr>
        <w:t>2016/0132</w:t>
      </w:r>
      <w:r w:rsidRPr="00D842C1">
        <w:rPr>
          <w:rStyle w:val="HideTWBExt"/>
          <w:color w:val="auto"/>
        </w:rPr>
        <w:t>&lt;/RefProc&gt;&lt;RefTypeProc&gt;</w:t>
      </w:r>
      <w:r w:rsidRPr="00D842C1">
        <w:rPr>
          <w:color w:val="auto"/>
        </w:rPr>
        <w:t>(COD)</w:t>
      </w:r>
      <w:r w:rsidRPr="00D842C1">
        <w:rPr>
          <w:rStyle w:val="HideTWBExt"/>
          <w:color w:val="auto"/>
        </w:rPr>
        <w:t>&lt;/RefTypeProc&gt;</w:t>
      </w:r>
    </w:p>
    <w:p w:rsidR="005A0F5F" w:rsidRPr="00D842C1" w:rsidRDefault="00DD5453">
      <w:pPr>
        <w:pStyle w:val="ZDate"/>
        <w:rPr>
          <w:color w:val="auto"/>
        </w:rPr>
      </w:pPr>
      <w:r w:rsidRPr="00D842C1">
        <w:rPr>
          <w:rStyle w:val="HideTWBExt"/>
          <w:color w:val="auto"/>
        </w:rPr>
        <w:t>&lt;Date&gt;</w:t>
      </w:r>
      <w:r w:rsidRPr="00D842C1">
        <w:rPr>
          <w:rStyle w:val="HideTWBInt"/>
          <w:color w:val="auto"/>
        </w:rPr>
        <w:t>{03/03/2017}</w:t>
      </w:r>
      <w:r w:rsidRPr="00D842C1">
        <w:rPr>
          <w:color w:val="auto"/>
        </w:rPr>
        <w:t>3.3.2017</w:t>
      </w:r>
      <w:r w:rsidRPr="00D842C1">
        <w:rPr>
          <w:rStyle w:val="HideTWBExt"/>
          <w:color w:val="auto"/>
        </w:rPr>
        <w:t>&lt;/Date&gt;</w:t>
      </w:r>
    </w:p>
    <w:p w:rsidR="005A0F5F" w:rsidRPr="00D842C1" w:rsidRDefault="00DD5453">
      <w:pPr>
        <w:pStyle w:val="TypeDocAM"/>
        <w:rPr>
          <w:color w:val="auto"/>
        </w:rPr>
      </w:pPr>
      <w:r w:rsidRPr="00D842C1">
        <w:rPr>
          <w:rStyle w:val="HideTWBExt"/>
          <w:color w:val="auto"/>
        </w:rPr>
        <w:t>&lt;TypeAM&gt;</w:t>
      </w:r>
      <w:r w:rsidR="00B54DE8" w:rsidRPr="00D842C1">
        <w:rPr>
          <w:color w:val="auto"/>
        </w:rPr>
        <w:t>PAKEITIMAI</w:t>
      </w:r>
      <w:r w:rsidRPr="00D842C1">
        <w:rPr>
          <w:rStyle w:val="HideTWBExt"/>
          <w:color w:val="auto"/>
        </w:rPr>
        <w:t>&lt;/TypeAM&gt;</w:t>
      </w:r>
    </w:p>
    <w:p w:rsidR="005A0F5F" w:rsidRPr="00D842C1" w:rsidRDefault="00DD5453">
      <w:pPr>
        <w:pStyle w:val="NRAMS"/>
        <w:rPr>
          <w:color w:val="auto"/>
          <w:lang w:val="lt-LT"/>
        </w:rPr>
      </w:pPr>
      <w:r w:rsidRPr="00D842C1">
        <w:rPr>
          <w:rStyle w:val="HideTWBExt"/>
          <w:color w:val="auto"/>
          <w:lang w:val="lt-LT"/>
        </w:rPr>
        <w:t>&lt;RangeAM&gt;</w:t>
      </w:r>
      <w:r w:rsidR="00B54DE8" w:rsidRPr="00D842C1">
        <w:rPr>
          <w:color w:val="auto"/>
          <w:lang w:val="lt-LT"/>
        </w:rPr>
        <w:t>272–</w:t>
      </w:r>
      <w:r w:rsidR="00E3605A" w:rsidRPr="00D842C1">
        <w:rPr>
          <w:color w:val="auto"/>
          <w:lang w:val="lt-LT"/>
        </w:rPr>
        <w:t>455</w:t>
      </w:r>
      <w:r w:rsidRPr="00D842C1">
        <w:rPr>
          <w:rStyle w:val="HideTWBExt"/>
          <w:color w:val="auto"/>
          <w:lang w:val="lt-LT"/>
        </w:rPr>
        <w:t>&lt;/RangeAM&gt;</w:t>
      </w:r>
    </w:p>
    <w:p w:rsidR="005A0F5F" w:rsidRPr="00D842C1" w:rsidRDefault="00DD5453">
      <w:pPr>
        <w:pStyle w:val="CoverBold"/>
        <w:rPr>
          <w:color w:val="auto"/>
          <w:lang w:val="lt-LT"/>
        </w:rPr>
      </w:pPr>
      <w:r w:rsidRPr="00D842C1">
        <w:rPr>
          <w:rStyle w:val="HideTWBExt"/>
          <w:color w:val="auto"/>
          <w:lang w:val="lt-LT"/>
        </w:rPr>
        <w:t>&lt;TitreType&gt;</w:t>
      </w:r>
      <w:r w:rsidR="00B54DE8" w:rsidRPr="00D842C1">
        <w:rPr>
          <w:color w:val="auto"/>
          <w:lang w:val="lt-LT"/>
        </w:rPr>
        <w:t>Pranešimo projektas</w:t>
      </w:r>
      <w:r w:rsidRPr="00D842C1">
        <w:rPr>
          <w:rStyle w:val="HideTWBExt"/>
          <w:color w:val="auto"/>
          <w:lang w:val="lt-LT"/>
        </w:rPr>
        <w:t>&lt;/TitreType&gt;</w:t>
      </w:r>
    </w:p>
    <w:p w:rsidR="005A0F5F" w:rsidRPr="00D842C1" w:rsidRDefault="00DD5453">
      <w:pPr>
        <w:pStyle w:val="CoverBold"/>
        <w:rPr>
          <w:color w:val="auto"/>
          <w:lang w:val="lt-LT"/>
        </w:rPr>
      </w:pPr>
      <w:r w:rsidRPr="00D842C1">
        <w:rPr>
          <w:rStyle w:val="HideTWBExt"/>
          <w:color w:val="auto"/>
          <w:lang w:val="lt-LT"/>
        </w:rPr>
        <w:t>&lt;Rapporteur&gt;</w:t>
      </w:r>
      <w:r w:rsidRPr="00D842C1">
        <w:rPr>
          <w:color w:val="auto"/>
          <w:lang w:val="lt-LT"/>
        </w:rPr>
        <w:t>Monica Macovei</w:t>
      </w:r>
      <w:r w:rsidRPr="00D842C1">
        <w:rPr>
          <w:rStyle w:val="HideTWBExt"/>
          <w:color w:val="auto"/>
          <w:lang w:val="lt-LT"/>
        </w:rPr>
        <w:t>&lt;/Rapporteur&gt;</w:t>
      </w:r>
    </w:p>
    <w:p w:rsidR="005A0F5F" w:rsidRPr="00D842C1" w:rsidRDefault="00DD5453">
      <w:pPr>
        <w:pStyle w:val="Cover24"/>
        <w:rPr>
          <w:color w:val="auto"/>
          <w:lang w:val="lt-LT"/>
        </w:rPr>
      </w:pPr>
      <w:r w:rsidRPr="00D842C1">
        <w:rPr>
          <w:color w:val="auto"/>
          <w:lang w:val="lt-LT"/>
        </w:rPr>
        <w:t>(PE597.620v02-00)</w:t>
      </w:r>
    </w:p>
    <w:p w:rsidR="005A0F5F" w:rsidRPr="00D842C1" w:rsidRDefault="00DD5453">
      <w:pPr>
        <w:pStyle w:val="Cover24"/>
        <w:rPr>
          <w:color w:val="auto"/>
          <w:lang w:val="lt-LT"/>
        </w:rPr>
      </w:pPr>
      <w:r w:rsidRPr="00D842C1">
        <w:rPr>
          <w:rStyle w:val="HideTWBExt"/>
          <w:color w:val="auto"/>
          <w:lang w:val="lt-LT"/>
        </w:rPr>
        <w:t>&lt;Titre&gt;</w:t>
      </w:r>
      <w:r w:rsidR="00B54DE8" w:rsidRPr="00D842C1">
        <w:rPr>
          <w:color w:val="auto"/>
          <w:lang w:val="lt-LT"/>
        </w:rPr>
        <w:t>dėl pirštų atspaudų lyginimo sistemos EURODAC sukūrimo siekiant veiksmingai taikyti Reglamentą (ES) Nr. 604/2013, siekiant nustatyti neteisėtai esančius trečiųjų šalių piliečius ar asmenis be pilietybės, ir dėl valstybių narių teisėsaugos institucijų bei Europolo teisėsaugos tikslais teikiamų prašymų palyginti duomenis su sistemos EURODAC duomenimis (nauja redakcija)</w:t>
      </w:r>
      <w:r w:rsidRPr="00D842C1">
        <w:rPr>
          <w:rStyle w:val="HideTWBExt"/>
          <w:color w:val="auto"/>
          <w:lang w:val="lt-LT"/>
        </w:rPr>
        <w:t>&lt;/Titre&gt;</w:t>
      </w:r>
    </w:p>
    <w:p w:rsidR="005A0F5F" w:rsidRPr="00D842C1" w:rsidRDefault="00DD5453">
      <w:pPr>
        <w:pStyle w:val="CoverNormal"/>
        <w:rPr>
          <w:color w:val="auto"/>
        </w:rPr>
      </w:pPr>
      <w:r w:rsidRPr="00D842C1">
        <w:rPr>
          <w:rStyle w:val="HideTWBExt"/>
          <w:color w:val="auto"/>
        </w:rPr>
        <w:t>&lt;DocAmend&gt;</w:t>
      </w:r>
      <w:r w:rsidR="00B54DE8" w:rsidRPr="00D842C1">
        <w:rPr>
          <w:color w:val="auto"/>
        </w:rPr>
        <w:t>Pasiūlymas dėl reglamento</w:t>
      </w:r>
      <w:r w:rsidRPr="00D842C1">
        <w:rPr>
          <w:rStyle w:val="HideTWBExt"/>
          <w:color w:val="auto"/>
        </w:rPr>
        <w:t>&lt;/DocAmend&gt;</w:t>
      </w:r>
    </w:p>
    <w:p w:rsidR="005A0F5F" w:rsidRPr="00D842C1" w:rsidRDefault="00DD5453">
      <w:pPr>
        <w:pStyle w:val="Cover24"/>
        <w:rPr>
          <w:color w:val="auto"/>
          <w:lang w:val="lt-LT"/>
        </w:rPr>
      </w:pPr>
      <w:r w:rsidRPr="00D842C1">
        <w:rPr>
          <w:rStyle w:val="HideTWBExt"/>
          <w:color w:val="auto"/>
          <w:lang w:val="lt-LT"/>
        </w:rPr>
        <w:t>&lt;DocRef&gt;</w:t>
      </w:r>
      <w:r w:rsidRPr="00D842C1">
        <w:rPr>
          <w:color w:val="auto"/>
          <w:lang w:val="lt-LT"/>
        </w:rPr>
        <w:t>(COM(2016)</w:t>
      </w:r>
      <w:r w:rsidR="00B54DE8" w:rsidRPr="00D842C1">
        <w:rPr>
          <w:color w:val="auto"/>
          <w:lang w:val="lt-LT"/>
        </w:rPr>
        <w:t> </w:t>
      </w:r>
      <w:r w:rsidRPr="00D842C1">
        <w:rPr>
          <w:color w:val="auto"/>
          <w:lang w:val="lt-LT"/>
        </w:rPr>
        <w:t>0272 – C8-0179/2016 – 2016/0132(COD))</w:t>
      </w:r>
      <w:r w:rsidRPr="00D842C1">
        <w:rPr>
          <w:rStyle w:val="HideTWBExt"/>
          <w:color w:val="auto"/>
          <w:lang w:val="lt-LT"/>
        </w:rPr>
        <w:t>&lt;/DocRef&gt;</w:t>
      </w:r>
    </w:p>
    <w:p w:rsidR="005A0F5F" w:rsidRPr="00D842C1" w:rsidRDefault="00DD5453">
      <w:r w:rsidRPr="00D842C1">
        <w:br w:type="page"/>
      </w:r>
      <w:r w:rsidRPr="00D842C1">
        <w:lastRenderedPageBreak/>
        <w:t>AM_Com_LegReport</w:t>
      </w:r>
    </w:p>
    <w:p w:rsidR="00131F3A" w:rsidRPr="00D842C1" w:rsidRDefault="00DD5453" w:rsidP="00131F3A">
      <w:pPr>
        <w:pStyle w:val="AMNumberTabs"/>
      </w:pPr>
      <w:r w:rsidRPr="00D842C1">
        <w:rPr>
          <w:color w:val="auto"/>
        </w:rPr>
        <w:br w:type="page"/>
      </w:r>
    </w:p>
    <w:p w:rsidR="00131F3A" w:rsidRPr="00D842C1" w:rsidRDefault="00131F3A" w:rsidP="00131F3A">
      <w:pPr>
        <w:pStyle w:val="AMNumberTabs"/>
        <w:rPr>
          <w:color w:val="auto"/>
        </w:rPr>
      </w:pPr>
      <w:r w:rsidRPr="00D842C1">
        <w:rPr>
          <w:rStyle w:val="HideTWBExt"/>
          <w:b w:val="0"/>
        </w:rPr>
        <w:lastRenderedPageBreak/>
        <w:t>&lt;RepeatBlock-Amend&gt;</w:t>
      </w: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272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 Hilde Vautmans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 a skyrius (naujas)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IIa SKYRIUS TREČIŲJŲ ŠALIŲ PILIEČIAI ARBA ASMENYS BE PILIETYBĖS, DĖL KURIŲ VALSTYBĖ NARĖ KETINA VYKDYTI PERKĖLIMO Į ES PROCEDŪRĄ</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12a straipsnis Pirštų atspaudų ir veido atvaizdo duomenų rinkimas ir perdavimas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1. Kiekviena valstybė narė nedelsdama paima kiekvieno ne jaunesnio kaip 6 metų trečiosios šalies piliečio arba asmens be pilietybės, dėl kurio valstybė narė ketina vykdyti perkėlimo į ES procedūrą, visų pirštų atspaudus ir veido atvaizdą ir po tokio asmens įregistravimo, apibrėžto Reglamento XXX/XXX 10 straipsnio 2 dalyje, kaip galėdama skubiau perduoda juos į centrinę sistemą kartu su kitais minėto reglamento 10 straipsnyje nurodytais duomenimis.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Tuo atveju, jei įregistravimo metu reikalavimas paimti visų pirštų atspaudus ir veido atvaizdą neįvykdomas, valstybės narės neatleidžiamos nuo pareigos paimti pirštų atspaudus ir veido atvaizdą bei perduoti juos į centrinę sistemą. Kai dėl pirštų pagalvėlių būklės negalima paimti tokios kokybės pirštų atspaudų, kokios reikia tinkamam atspaudų palyginimui pagal reglamento 26 straipsnį, kilmės valstybė narė pakartotinai paima prašytojo pirštų atspaudus ir persiunčia juos kuo skubiau, ne vėliau kaip per 48 valandas nuo geros kokybės pirštų atspaudų paėmimo.</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 xml:space="preserve">2. Nukrypstant nuo šio straipsnio 1 dalies, kai neįmanoma paimti trečiosios šalies piliečio arba asmens be pilietybės, dėl kurio valstybė narė ketina vykdyti </w:t>
            </w:r>
            <w:r w:rsidRPr="00D842C1">
              <w:rPr>
                <w:b/>
                <w:i/>
                <w:color w:val="auto"/>
              </w:rPr>
              <w:lastRenderedPageBreak/>
              <w:t>perkėlimo į ES procedūrą, pirštų atspaudų ir veido atvaizdo dėl priemonių, kurių imtasi jo arba visuomenės sveikatos apsaugai užtikrinti, valstybės narės tokius pirštų atspaudus ir veido atvaizdą paima ir persiunčia kuo skubiau, bet ne vėliau kaip per 48 valandas nuo tų su sveikata susijusių priežasčių išnykimo.</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3. Pirštų atspaudus, veido atvaizdus ir kitus Reglamento XXX/XXX 10 straipsnio 2 dalyje nurodytus duomenis taip pat gali paimti ir perduoti Europos Sąjungos prieglobsčio agentūros (ESPA) ekspertai, tuo metu, kai vykdo jiems patikėtas užduotis pagal ESPA reglamentą.</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12 b straipsnis Duomenų įrašymas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Į centrinę sistemą įrašomi tik šie duomenys: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a) pirštų atspaudų duomenys;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b) veido atvaizdas;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c) pavardė (-ės) ir vardas (-ai), pavardė (-ės) gimimo metu ir visos anksčiau turėtos pavardės, visos pravardės, kurias galima įvesti atskirai;</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d) pilietybė (-ės);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e) gimimo vieta ir data;</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f) kilmės valstybė narė, sulaikymo vieta ir data;</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g) lytis;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h) prireikus – asmens tapatybės arba kelionės dokumento tipas ir numeris; dokumentą išdavusios šalies trijų raidžių kodas ir galiojimo pabaigos data;</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i) kilmės valstybės narės naudojamas registracijos numeris;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j) pirštų atspaudų ir (arba) veido atvaizdo ėmimo data;</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k) duomenų perdavimo į centrinę sistemą data;</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l) operatoriaus naudotojo tapatybės kodas;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Recast: la création de ce nouveau chapitre se justifie par la proposition d’inclure dans Eurodac les ressortissants de pays tiers et les apatrides pour lesquels un Etat membre entend exécuter une procédure de réinstallation conformément au règlement XXX/XXX. L'article 10 dudit règlement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273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3 skyriaus </w:t>
      </w:r>
      <w:r w:rsidR="00C27D9F" w:rsidRPr="00D842C1">
        <w:rPr>
          <w:color w:val="auto"/>
        </w:rPr>
        <w:t>antraštė</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TREČIŲJŲ ŠALIŲ PILIEČIAI ARBA ASMENYS BE PILIETYBĖS, SULAIKYTI DĖL NETEISĖTO IŠORINĖS SIENOS KIRTIMO</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274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275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Kiekviena valstybė narė nedelsdama paima kiekvieno ne jaunesnio kaip 6 metų trečiosios šalies piliečio arba asmens be pilietybės, kuris kompetentingų kontrolės institucijų buvo sulaikytas dėl neteisėto tos valstybės narės sienos kirtimo jūra, sausuma ar oru iš trečiosios šalies ir kuris nebuvo grąžintas atgal į tą šalį arba kuris lieka valstybių narių teritorijoje ir per visą laikotarpį nuo sulaikymo iki išsiuntimo pagal sprendimą dėl jo grąžinimo nėra įkalintas, suimtas arba kitaip apribota jo laisvė, visų pirštų atspaudus ir veido atvaizdą</w:t>
            </w:r>
            <w:r w:rsidRPr="00D842C1">
              <w:rPr>
                <w:b/>
                <w:i/>
                <w:color w:val="auto"/>
              </w:rPr>
              <w:t xml:space="preserve">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Kiekviena valstybė narė nedelsdama paima kiekvieno ne jaunesnio kaip 6 metų trečiosios šalies piliečio arba asmens be pilietybės, kuris kompetentingų kontrolės institucijų buvo sulaikytas dėl neteisėto tos valstybės narės sienos kirtimo jūra, sausuma ar oru iš trečiosios šalies ir kuris nebuvo grąžintas atgal į tą šalį arba kuris lieka valstybių narių teritorijoje ir per visą laikotarpį nuo sulaikymo iki išsiuntimo pagal sprendimą dėl jo grąžinimo nėra įkalintas, suimtas arba kitaip apribota jo laisvė, visų pirštų atspaudus ir veido atvaizdą.</w:t>
            </w:r>
            <w:r w:rsidRPr="00D842C1">
              <w:rPr>
                <w:b/>
                <w:i/>
                <w:color w:val="auto"/>
              </w:rPr>
              <w:t xml:space="preserve"> Vaikų pirštų atspaudai ir veido atvaizdai visų pirma imami 1 straipsnio 1 dalies ca punkte nustatytu tikslu.</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tiesiogiai susijęs su Komisijos šiame straipsnyje siūlomu 14 metų amžiaus keitimu į 6 metų amžių.</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276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Kiekviena valstybė narė nedelsdama paima kiekvieno ne jaunesnio kaip</w:t>
            </w:r>
            <w:r w:rsidRPr="00D842C1">
              <w:rPr>
                <w:b/>
                <w:i/>
                <w:color w:val="auto"/>
              </w:rPr>
              <w:t xml:space="preserve"> 6</w:t>
            </w:r>
            <w:r w:rsidRPr="00D842C1">
              <w:rPr>
                <w:color w:val="auto"/>
              </w:rPr>
              <w:t xml:space="preserve"> metų trečiosios šalies piliečio arba asmens be pilietybės, kuris kompetentingų kontrolės institucijų buvo sulaikytas dėl neteisėto tos valstybės narės sienos kirtimo jūra, sausuma ar oru iš trečiosios šalies ir kuris nebuvo grąžintas atgal į tą šalį arba kuris lieka valstybių narių teritorijoje ir per visą laikotarpį nuo sulaikymo iki išsiuntimo pagal sprendimą dėl jo grąžinimo nėra įkalintas, suimtas arba kitaip apribota jo laisvė, visų pirštų atspaudus</w:t>
            </w:r>
            <w:r w:rsidRPr="00D842C1">
              <w:rPr>
                <w:b/>
                <w:i/>
                <w:color w:val="auto"/>
              </w:rPr>
              <w:t xml:space="preserve"> ir veido atvaizdą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Kiekviena valstybė narė nedelsdama paima kiekvieno ne jaunesnio kaip</w:t>
            </w:r>
            <w:r w:rsidRPr="00D842C1">
              <w:rPr>
                <w:b/>
                <w:i/>
                <w:color w:val="auto"/>
              </w:rPr>
              <w:t xml:space="preserve"> 18</w:t>
            </w:r>
            <w:r w:rsidRPr="00D842C1">
              <w:rPr>
                <w:color w:val="auto"/>
              </w:rPr>
              <w:t xml:space="preserve"> metų</w:t>
            </w:r>
            <w:r w:rsidRPr="00D842C1">
              <w:rPr>
                <w:b/>
                <w:i/>
                <w:color w:val="auto"/>
              </w:rPr>
              <w:t xml:space="preserve"> amžiaus</w:t>
            </w:r>
            <w:r w:rsidRPr="00D842C1">
              <w:rPr>
                <w:color w:val="auto"/>
              </w:rPr>
              <w:t xml:space="preserve"> trečiosios šalies piliečio arba asmens be pilietybės, kuris kompetentingų kontrolės institucijų buvo sulaikytas dėl neteisėto tos valstybės narės sienos kirtimo jūra, sausuma ar oru iš trečiosios šalies ir kuris nebuvo grąžintas atgal į tą šalį arba kuris lieka valstybių narių teritorijoje ir per visą laikotarpį nuo sulaikymo iki išsiuntimo pagal sprendimą dėl jo grąžinimo nėra įkalintas, suimtas arba kitaip apribota jo laisvė, visų pirštų atspaudus.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susijęs su naujos dalies 1a (nauja) įtraukimu į šį straipsnį, kuria siekiama geriau apsaugoti vaikus, tapusius prekybos žmonėmis aukomis, ir padėti identifikuoti ir apsaugoti dingusius vaikus.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277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1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1a.</w:t>
            </w:r>
            <w:r w:rsidRPr="00D842C1">
              <w:rPr>
                <w:b/>
                <w:i/>
                <w:color w:val="auto"/>
              </w:rPr>
              <w:tab/>
              <w:t>1 straipsnio 1 dalies ca punkto įgyvendinimo tikslais, kiekviena valstybė narė nedelsdama paima kiekvieno ne jaunesnio kaip 6 metų amžiaus trečiosios šalies piliečio vaiko, kuris kompetentingų kontrolės institucijų buvo sulaikytas dėl neteisėto tos valstybės narės sienos kirtimo sausuma, jūra ar oru iš trečiosios šalies ir kuris lieka valstybių narių teritorijoje, visų pirštų atspaudus.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reikalingas siekiant išlaikyti šio dokumento logiką, nes šiuo dokumentu turėtų būti siekiama apsaugoti vaikus, tapusius prekybos žmonėmis aukomis, ir padėti identifikuoti ir apsaugoti dingusius be žinios, dingusius arba pasislėpusius nelydimus vaikus, kaip Europos Komisija pabrėžė savo aiškinamajame memorandume, pateikiamame kartu su siūloma EURODAC reglamento nauja redakcija. Siekiant laikytis Chartijos 7, 8 ir 24 straipsnių, ne jaunesnių kaip šešerių metų amžiaus vaikų biometrinių duomenų tvarkymas gali būti pateisinamas tik tuo atveju, jei juo aiškiai siekiama vaiko apsaugos tikslo.</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278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2 dalies b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b)</w:t>
            </w:r>
            <w:r w:rsidRPr="00D842C1">
              <w:rPr>
                <w:b/>
                <w:i/>
                <w:color w:val="auto"/>
              </w:rPr>
              <w:tab/>
            </w:r>
            <w:r w:rsidRPr="00D842C1">
              <w:rPr>
                <w:color w:val="auto"/>
              </w:rPr>
              <w:t>veido atvaizdą;</w:t>
            </w:r>
          </w:p>
        </w:tc>
        <w:tc>
          <w:tcPr>
            <w:tcW w:w="4876" w:type="dxa"/>
          </w:tcPr>
          <w:p w:rsidR="00131F3A" w:rsidRPr="00D842C1" w:rsidRDefault="00131F3A" w:rsidP="00131F3A">
            <w:pPr>
              <w:pStyle w:val="Normal6"/>
              <w:rPr>
                <w:b/>
                <w:i/>
                <w:color w:val="auto"/>
              </w:rPr>
            </w:pPr>
            <w:r w:rsidRPr="00D842C1">
              <w:rPr>
                <w:color w:val="auto"/>
              </w:rPr>
              <w:t>b)</w:t>
            </w:r>
            <w:r w:rsidRPr="00D842C1">
              <w:rPr>
                <w:b/>
                <w:i/>
                <w:color w:val="auto"/>
              </w:rPr>
              <w:tab/>
            </w:r>
            <w:r w:rsidRPr="00D842C1">
              <w:rPr>
                <w:color w:val="auto"/>
              </w:rPr>
              <w:t>veido atvaizdą</w:t>
            </w:r>
            <w:r w:rsidRPr="00D842C1">
              <w:rPr>
                <w:b/>
                <w:i/>
                <w:color w:val="auto"/>
              </w:rPr>
              <w:t>, jeigu duomenų subjektas yra nepilnametis vaikas</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279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2 dalies c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c)</w:t>
            </w:r>
            <w:r w:rsidRPr="00D842C1">
              <w:rPr>
                <w:b/>
                <w:i/>
                <w:color w:val="auto"/>
              </w:rPr>
              <w:tab/>
            </w:r>
            <w:r w:rsidRPr="00D842C1">
              <w:rPr>
                <w:color w:val="auto"/>
              </w:rPr>
              <w:t>pavardę</w:t>
            </w:r>
            <w:r w:rsidRPr="00D842C1">
              <w:rPr>
                <w:b/>
                <w:i/>
                <w:color w:val="auto"/>
              </w:rPr>
              <w:t xml:space="preserve"> </w:t>
            </w:r>
            <w:r w:rsidRPr="00D842C1">
              <w:rPr>
                <w:color w:val="auto"/>
              </w:rPr>
              <w:t>(-es) ir vardą</w:t>
            </w:r>
            <w:r w:rsidRPr="00D842C1">
              <w:rPr>
                <w:b/>
                <w:i/>
                <w:color w:val="auto"/>
              </w:rPr>
              <w:t xml:space="preserve"> </w:t>
            </w:r>
            <w:r w:rsidRPr="00D842C1">
              <w:rPr>
                <w:color w:val="auto"/>
              </w:rPr>
              <w:t>(-us), pavardę</w:t>
            </w:r>
            <w:r w:rsidRPr="00D842C1">
              <w:rPr>
                <w:b/>
                <w:i/>
                <w:color w:val="auto"/>
              </w:rPr>
              <w:t xml:space="preserve"> </w:t>
            </w:r>
            <w:r w:rsidRPr="00D842C1">
              <w:rPr>
                <w:color w:val="auto"/>
              </w:rPr>
              <w:t>(-es) gimimo metu ir visas anksčiau turėtas pavardes</w:t>
            </w:r>
            <w:r w:rsidRPr="00D842C1">
              <w:rPr>
                <w:b/>
                <w:i/>
                <w:color w:val="auto"/>
              </w:rPr>
              <w:t>, visas pravardes, kurias galima įvesti atskirai</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c)</w:t>
            </w:r>
            <w:r w:rsidRPr="00D842C1">
              <w:rPr>
                <w:b/>
                <w:i/>
                <w:color w:val="auto"/>
              </w:rPr>
              <w:tab/>
            </w:r>
            <w:r w:rsidRPr="00D842C1">
              <w:rPr>
                <w:color w:val="auto"/>
              </w:rPr>
              <w:t>pavardę</w:t>
            </w:r>
            <w:r w:rsidRPr="00D842C1">
              <w:rPr>
                <w:b/>
                <w:i/>
                <w:color w:val="auto"/>
              </w:rPr>
              <w:t xml:space="preserve"> </w:t>
            </w:r>
            <w:r w:rsidRPr="00D842C1">
              <w:rPr>
                <w:color w:val="auto"/>
              </w:rPr>
              <w:t>(-es) ir vardą</w:t>
            </w:r>
            <w:r w:rsidRPr="00D842C1">
              <w:rPr>
                <w:b/>
                <w:i/>
                <w:color w:val="auto"/>
              </w:rPr>
              <w:t xml:space="preserve"> </w:t>
            </w:r>
            <w:r w:rsidRPr="00D842C1">
              <w:rPr>
                <w:color w:val="auto"/>
              </w:rPr>
              <w:t>(-us), pavardę</w:t>
            </w:r>
            <w:r w:rsidRPr="00D842C1">
              <w:rPr>
                <w:b/>
                <w:i/>
                <w:color w:val="auto"/>
              </w:rPr>
              <w:t xml:space="preserve"> </w:t>
            </w:r>
            <w:r w:rsidRPr="00D842C1">
              <w:rPr>
                <w:color w:val="auto"/>
              </w:rPr>
              <w:t>(-es) gimimo metu ir visas anksčiau turėtas pavardes;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280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2 dalies d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d)</w:t>
            </w:r>
            <w:r w:rsidRPr="00D842C1">
              <w:rPr>
                <w:b/>
                <w:i/>
                <w:color w:val="auto"/>
              </w:rPr>
              <w:tab/>
              <w:t>pilietybę (-es);</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281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2 dalies d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d)</w:t>
            </w:r>
            <w:r w:rsidRPr="00D842C1">
              <w:rPr>
                <w:b/>
                <w:i/>
                <w:color w:val="auto"/>
              </w:rPr>
              <w:tab/>
            </w:r>
            <w:r w:rsidRPr="00D842C1">
              <w:rPr>
                <w:color w:val="auto"/>
              </w:rPr>
              <w:t>pilietybę</w:t>
            </w:r>
            <w:r w:rsidRPr="00D842C1">
              <w:rPr>
                <w:b/>
                <w:i/>
                <w:color w:val="auto"/>
              </w:rPr>
              <w:t xml:space="preserve"> </w:t>
            </w:r>
            <w:r w:rsidRPr="00D842C1">
              <w:rPr>
                <w:color w:val="auto"/>
              </w:rPr>
              <w:t>(-es);</w:t>
            </w:r>
          </w:p>
        </w:tc>
        <w:tc>
          <w:tcPr>
            <w:tcW w:w="4876" w:type="dxa"/>
          </w:tcPr>
          <w:p w:rsidR="00131F3A" w:rsidRPr="00D842C1" w:rsidRDefault="00131F3A" w:rsidP="00131F3A">
            <w:pPr>
              <w:pStyle w:val="Normal6"/>
              <w:rPr>
                <w:b/>
                <w:i/>
                <w:color w:val="auto"/>
              </w:rPr>
            </w:pPr>
            <w:r w:rsidRPr="00D842C1">
              <w:rPr>
                <w:color w:val="auto"/>
              </w:rPr>
              <w:t>d)</w:t>
            </w:r>
            <w:r w:rsidRPr="00D842C1">
              <w:rPr>
                <w:b/>
                <w:i/>
                <w:color w:val="auto"/>
              </w:rPr>
              <w:tab/>
            </w:r>
            <w:r w:rsidRPr="00D842C1">
              <w:rPr>
                <w:color w:val="auto"/>
              </w:rPr>
              <w:t>pilietybę</w:t>
            </w:r>
            <w:r w:rsidRPr="00D842C1">
              <w:rPr>
                <w:b/>
                <w:i/>
                <w:color w:val="auto"/>
              </w:rPr>
              <w:t xml:space="preserve"> </w:t>
            </w:r>
            <w:r w:rsidRPr="00D842C1">
              <w:rPr>
                <w:color w:val="auto"/>
              </w:rPr>
              <w:t>(-es)</w:t>
            </w:r>
            <w:r w:rsidRPr="00D842C1">
              <w:rPr>
                <w:b/>
                <w:i/>
                <w:color w:val="auto"/>
              </w:rPr>
              <w:t>, numanomą ir deklaruotą pilietybę (-es) arba asmens be pilietybės (-ių) statusą pagal 1954 m. Konvencijos dėl asmenų be pilietybės statuso 1 straipsnio 1 dalį</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282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2 dalies e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e)</w:t>
            </w:r>
            <w:r w:rsidRPr="00D842C1">
              <w:rPr>
                <w:b/>
                <w:i/>
                <w:color w:val="auto"/>
              </w:rPr>
              <w:tab/>
              <w:t>gimimo vietą ir datą;</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283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2 dalies g a punktas (naujas)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ga)</w:t>
            </w:r>
            <w:r w:rsidRPr="00D842C1">
              <w:rPr>
                <w:b/>
                <w:i/>
                <w:color w:val="auto"/>
              </w:rPr>
              <w:tab/>
              <w:t>nepilnamečių vaikų šeimos ryšių informaciją, pvz., šeimos narių ir lydinčiųjų asmenų vardus ir pavardes arba bet kokią svarbią informaciją, kuri galėtų padėti vykdyti galimą šeimos paiešką arba susijungimą;</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284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2 dalies h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h)</w:t>
            </w:r>
            <w:r w:rsidRPr="00D842C1">
              <w:rPr>
                <w:b/>
                <w:i/>
                <w:color w:val="auto"/>
              </w:rPr>
              <w:tab/>
              <w:t>tapatybės ar kelionės dokumento tipą ir numerį; dokumentą išdavusios šalies trijų raidžių kodą ir galiojimo pabaigos datą;</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285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 Hilde Vautmans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2 dalies i a punktas (naujas)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ia)</w:t>
            </w:r>
            <w:r w:rsidRPr="00D842C1">
              <w:rPr>
                <w:b/>
                <w:i/>
                <w:color w:val="auto"/>
              </w:rPr>
              <w:tab/>
              <w:t>sprendimą grąžinti arba išsiuntimo iš šalies priemonę, kurios ėmėsi kilmės valstybė narė;</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siekiant didinti valstybių narių bendradarbiavimą neteisėtos migracijos valdymo srityje, reikėtų vietoj neteisėtai teritorijoje esančių piliečių prieglobsčio prašymo numerio įrašyti išsiuntimo iš šalies priemonės, kurios ėmėsi duomenis į EURODAC įtraukusi valstybė narė, pavadinimą;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286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2 dalies m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m)</w:t>
            </w:r>
            <w:r w:rsidRPr="00D842C1">
              <w:rPr>
                <w:b/>
                <w:i/>
                <w:color w:val="auto"/>
              </w:rPr>
              <w:tab/>
              <w:t>kai taikoma pagal 6 dalį, atitinkamo asmens išvykimo arba išsiuntimo iš valstybių narių teritorijos datą</w:t>
            </w:r>
            <w:r w:rsidRPr="00D842C1">
              <w:rPr>
                <w:color w:val="auto"/>
              </w:rPr>
              <w:t>.</w:t>
            </w:r>
          </w:p>
        </w:tc>
        <w:tc>
          <w:tcPr>
            <w:tcW w:w="4876" w:type="dxa"/>
          </w:tcPr>
          <w:p w:rsidR="00131F3A" w:rsidRPr="00D842C1" w:rsidRDefault="00131F3A" w:rsidP="00131F3A">
            <w:pPr>
              <w:pStyle w:val="Normal6"/>
              <w:rPr>
                <w:b/>
                <w:i/>
                <w:color w:val="auto"/>
              </w:rPr>
            </w:pPr>
            <w:r w:rsidRPr="00D842C1">
              <w:rPr>
                <w:b/>
                <w:i/>
                <w:color w:val="auto"/>
              </w:rPr>
              <w:t>Išbraukta</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Informacija turėtų būti įrašoma į SIS. Asmeniui išvykus arba jį grąžinus, visi sistemoje EURODAC likę duomenys turėtų būti ištrinami.</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287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5 dalies pirma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Nukrypstant nuo 1 dalies, kai sulaikyto asmens pirštų atspaudų</w:t>
            </w:r>
            <w:r w:rsidRPr="00D842C1">
              <w:rPr>
                <w:b/>
                <w:i/>
                <w:color w:val="auto"/>
              </w:rPr>
              <w:t xml:space="preserve"> ir</w:t>
            </w:r>
            <w:r w:rsidRPr="00D842C1">
              <w:rPr>
                <w:color w:val="auto"/>
              </w:rPr>
              <w:t xml:space="preserve"> veido atvaizdo neįmanoma paimti dėl priemonių, kurių imtasi jo arba visuomenės sveikatos apsaugai užtikrinti, atitinkama valstybė narė tokius pirštų atspaudus</w:t>
            </w:r>
            <w:r w:rsidRPr="00D842C1">
              <w:rPr>
                <w:b/>
                <w:i/>
                <w:color w:val="auto"/>
              </w:rPr>
              <w:t xml:space="preserve"> ir</w:t>
            </w:r>
            <w:r w:rsidRPr="00D842C1">
              <w:rPr>
                <w:color w:val="auto"/>
              </w:rPr>
              <w:t xml:space="preserve"> veido atvaizdą paima ir persiunčia kuo skubiau ir ne vėliau kaip per 48 valandas po tų su sveikata susijusių priežasčių išnykimo.</w:t>
            </w:r>
          </w:p>
        </w:tc>
        <w:tc>
          <w:tcPr>
            <w:tcW w:w="4876" w:type="dxa"/>
          </w:tcPr>
          <w:p w:rsidR="00131F3A" w:rsidRPr="00D842C1" w:rsidRDefault="00131F3A" w:rsidP="00131F3A">
            <w:pPr>
              <w:pStyle w:val="Normal6"/>
              <w:rPr>
                <w:b/>
                <w:i/>
                <w:color w:val="auto"/>
              </w:rPr>
            </w:pPr>
            <w:r w:rsidRPr="00D842C1">
              <w:rPr>
                <w:color w:val="auto"/>
              </w:rPr>
              <w:t>Nukrypstant nuo 1 dalies, kai sulaikyto asmens pirštų atspaudų</w:t>
            </w:r>
            <w:r w:rsidRPr="00D842C1">
              <w:rPr>
                <w:b/>
                <w:i/>
                <w:color w:val="auto"/>
              </w:rPr>
              <w:t>,</w:t>
            </w:r>
            <w:r w:rsidRPr="00D842C1">
              <w:rPr>
                <w:color w:val="auto"/>
              </w:rPr>
              <w:t xml:space="preserve"> veido atvaizdo</w:t>
            </w:r>
            <w:r w:rsidRPr="00D842C1">
              <w:rPr>
                <w:b/>
                <w:i/>
                <w:color w:val="auto"/>
              </w:rPr>
              <w:t xml:space="preserve"> arba abiejų kartu</w:t>
            </w:r>
            <w:r w:rsidRPr="00D842C1">
              <w:rPr>
                <w:color w:val="auto"/>
              </w:rPr>
              <w:t xml:space="preserve"> neįmanoma paimti dėl priemonių, kurių imtasi jo arba visuomenės sveikatos apsaugai užtikrinti, atitinkama valstybė narė tokius pirštų atspaudus</w:t>
            </w:r>
            <w:r w:rsidRPr="00D842C1">
              <w:rPr>
                <w:b/>
                <w:i/>
                <w:color w:val="auto"/>
              </w:rPr>
              <w:t>,</w:t>
            </w:r>
            <w:r w:rsidRPr="00D842C1">
              <w:rPr>
                <w:color w:val="auto"/>
              </w:rPr>
              <w:t xml:space="preserve"> veido atvaizdą</w:t>
            </w:r>
            <w:r w:rsidRPr="00D842C1">
              <w:rPr>
                <w:b/>
                <w:i/>
                <w:color w:val="auto"/>
              </w:rPr>
              <w:t xml:space="preserve"> arba abu kartu</w:t>
            </w:r>
            <w:r w:rsidRPr="00D842C1">
              <w:rPr>
                <w:color w:val="auto"/>
              </w:rPr>
              <w:t xml:space="preserve"> paima ir persiunčia kuo skubiau ir ne vėliau kaip per 48 valandas po tų su sveikata susijusių priežasčių išnykimo.</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288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6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6.</w:t>
            </w:r>
            <w:r w:rsidRPr="00D842C1">
              <w:rPr>
                <w:b/>
                <w:i/>
                <w:color w:val="auto"/>
              </w:rPr>
              <w:tab/>
            </w:r>
            <w:r w:rsidRPr="00D842C1">
              <w:rPr>
                <w:color w:val="auto"/>
              </w:rPr>
              <w:t>Kai tik</w:t>
            </w:r>
            <w:r w:rsidRPr="00D842C1">
              <w:rPr>
                <w:b/>
                <w:i/>
                <w:color w:val="auto"/>
              </w:rPr>
              <w:t xml:space="preserve"> kilmės</w:t>
            </w:r>
            <w:r w:rsidRPr="00D842C1">
              <w:rPr>
                <w:color w:val="auto"/>
              </w:rPr>
              <w:t xml:space="preserve"> valstybė narė užtikrina, kad atitinkamas asmuo, kurio duomenys į sistemą EURODAC įrašyti pagal 1 dalį, išvyko iš valstybių narių teritorijos pagal sprendimą jį grąžinti arba išsiųsti, ji</w:t>
            </w:r>
            <w:r w:rsidRPr="00D842C1">
              <w:rPr>
                <w:b/>
                <w:i/>
                <w:color w:val="auto"/>
              </w:rPr>
              <w:t xml:space="preserve"> atnaujina</w:t>
            </w:r>
            <w:r w:rsidRPr="00D842C1">
              <w:rPr>
                <w:color w:val="auto"/>
              </w:rPr>
              <w:t xml:space="preserve"> įrašytų atitinkamo asmens duomenų rinkinį pagal 2 dalį</w:t>
            </w:r>
            <w:r w:rsidRPr="00D842C1">
              <w:rPr>
                <w:b/>
                <w:i/>
                <w:color w:val="auto"/>
              </w:rPr>
              <w:t>, nurodydama jo išsiuntimo arba išvykimo datą</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6.</w:t>
            </w:r>
            <w:r w:rsidRPr="00D842C1">
              <w:rPr>
                <w:b/>
                <w:i/>
                <w:color w:val="auto"/>
              </w:rPr>
              <w:tab/>
            </w:r>
            <w:r w:rsidRPr="00D842C1">
              <w:rPr>
                <w:color w:val="auto"/>
              </w:rPr>
              <w:t>Kai tik</w:t>
            </w:r>
            <w:r w:rsidRPr="00D842C1">
              <w:rPr>
                <w:b/>
                <w:i/>
                <w:color w:val="auto"/>
              </w:rPr>
              <w:t xml:space="preserve"> atsakinga</w:t>
            </w:r>
            <w:r w:rsidRPr="00D842C1">
              <w:rPr>
                <w:color w:val="auto"/>
              </w:rPr>
              <w:t xml:space="preserve"> valstybė narė užtikrina, kad atitinkamas asmuo, kurio duomenys į sistemą EURODAC įrašyti pagal 1 dalį,</w:t>
            </w:r>
            <w:r w:rsidRPr="00D842C1">
              <w:rPr>
                <w:b/>
                <w:i/>
                <w:color w:val="auto"/>
              </w:rPr>
              <w:t xml:space="preserve"> gavo leidimą gyventi arba</w:t>
            </w:r>
            <w:r w:rsidRPr="00D842C1">
              <w:rPr>
                <w:color w:val="auto"/>
              </w:rPr>
              <w:t xml:space="preserve"> išvyko iš valstybių narių teritorijos pagal sprendimą jį grąžinti arba išsiųsti, ji</w:t>
            </w:r>
            <w:r w:rsidRPr="00D842C1">
              <w:rPr>
                <w:b/>
                <w:i/>
                <w:color w:val="auto"/>
              </w:rPr>
              <w:t xml:space="preserve"> ištrina</w:t>
            </w:r>
            <w:r w:rsidRPr="00D842C1">
              <w:rPr>
                <w:color w:val="auto"/>
              </w:rPr>
              <w:t xml:space="preserve"> įrašytų atitinkamo asmens duomenų rinkinį pagal 2 dalį.</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289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7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7.</w:t>
            </w:r>
            <w:r w:rsidRPr="00D842C1">
              <w:rPr>
                <w:b/>
                <w:i/>
                <w:color w:val="auto"/>
              </w:rPr>
              <w:tab/>
            </w:r>
            <w:r w:rsidRPr="00D842C1">
              <w:rPr>
                <w:color w:val="auto"/>
              </w:rPr>
              <w:t>Pirštų</w:t>
            </w:r>
            <w:r w:rsidRPr="00D842C1">
              <w:rPr>
                <w:b/>
                <w:i/>
                <w:color w:val="auto"/>
              </w:rPr>
              <w:t xml:space="preserve"> atspaudus paimti ir perduoti taip pat gali Europos sienų [ir pakrančių] apsaugos būrių nariai, atlikdami užduotis ir naudodamiesi įgaliojimais, nustatytais [Reglamente dėl Europos sienų [ir pakrančių] apsaugos pajėgų, kuriuo panaikinamas Reglamentas (EB) Nr. 2007/2004, Reglamentas (EB) Nr. 863/2007 ir Tarybos sprendimas 2005/267/EB].</w:t>
            </w:r>
          </w:p>
        </w:tc>
        <w:tc>
          <w:tcPr>
            <w:tcW w:w="4876" w:type="dxa"/>
          </w:tcPr>
          <w:p w:rsidR="00131F3A" w:rsidRPr="00D842C1" w:rsidRDefault="00131F3A" w:rsidP="00131F3A">
            <w:pPr>
              <w:pStyle w:val="Normal6"/>
              <w:rPr>
                <w:b/>
                <w:i/>
                <w:color w:val="auto"/>
              </w:rPr>
            </w:pPr>
            <w:r w:rsidRPr="00D842C1">
              <w:rPr>
                <w:color w:val="auto"/>
              </w:rPr>
              <w:t>7.</w:t>
            </w:r>
            <w:r w:rsidRPr="00D842C1">
              <w:rPr>
                <w:b/>
                <w:i/>
                <w:color w:val="auto"/>
              </w:rPr>
              <w:tab/>
            </w:r>
            <w:r w:rsidRPr="00D842C1">
              <w:rPr>
                <w:color w:val="auto"/>
              </w:rPr>
              <w:t>Pirštų</w:t>
            </w:r>
            <w:r w:rsidRPr="00D842C1">
              <w:rPr>
                <w:b/>
                <w:i/>
                <w:color w:val="auto"/>
              </w:rPr>
              <w:t xml:space="preserve"> antspaudus paima ir perduoda valstybių narių prieglobsčio ekspertai, įgiję baigę specialų mokymą apie pagrindines teises, teisę į prieglobstį ir kaip tenkinti specialiuosius pažeidžiamų migrantų, įskaitant vaikus, poreikius.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290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13 straipsnio 7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7.</w:t>
            </w:r>
            <w:r w:rsidRPr="00D842C1">
              <w:rPr>
                <w:b/>
                <w:i/>
                <w:color w:val="auto"/>
              </w:rPr>
              <w:tab/>
            </w:r>
            <w:r w:rsidRPr="00D842C1">
              <w:rPr>
                <w:color w:val="auto"/>
              </w:rPr>
              <w:t>Pirštų atspaudus paimti ir perduoti taip pat gali Europos sienų [ir pakrančių] apsaugos būrių nariai, atlikdami užduotis ir naudodamiesi įgaliojimais, nustatytais [Reglamente dėl Europos sienų [ir pakrančių] apsaugos pajėgų, kuriuo panaikinamas Reglamentas</w:t>
            </w:r>
            <w:r w:rsidRPr="00D842C1">
              <w:rPr>
                <w:b/>
                <w:i/>
                <w:color w:val="auto"/>
              </w:rPr>
              <w:t xml:space="preserve"> </w:t>
            </w:r>
            <w:r w:rsidRPr="00D842C1">
              <w:rPr>
                <w:color w:val="auto"/>
              </w:rPr>
              <w:t>(EB) Nr. 2007/2004, Reglamentas</w:t>
            </w:r>
            <w:r w:rsidRPr="00D842C1">
              <w:rPr>
                <w:b/>
                <w:i/>
                <w:color w:val="auto"/>
              </w:rPr>
              <w:t xml:space="preserve"> </w:t>
            </w:r>
            <w:r w:rsidRPr="00D842C1">
              <w:rPr>
                <w:color w:val="auto"/>
              </w:rPr>
              <w:t>(EB) Nr. 863/2007 ir Tarybos sprendimas 2005/267/EB].</w:t>
            </w:r>
          </w:p>
        </w:tc>
        <w:tc>
          <w:tcPr>
            <w:tcW w:w="4876" w:type="dxa"/>
          </w:tcPr>
          <w:p w:rsidR="00131F3A" w:rsidRPr="00D842C1" w:rsidRDefault="00131F3A" w:rsidP="00131F3A">
            <w:pPr>
              <w:pStyle w:val="Normal6"/>
              <w:rPr>
                <w:b/>
                <w:i/>
                <w:color w:val="auto"/>
              </w:rPr>
            </w:pPr>
            <w:r w:rsidRPr="00D842C1">
              <w:rPr>
                <w:color w:val="auto"/>
              </w:rPr>
              <w:t>7.</w:t>
            </w:r>
            <w:r w:rsidRPr="00D842C1">
              <w:rPr>
                <w:b/>
                <w:i/>
                <w:color w:val="auto"/>
              </w:rPr>
              <w:tab/>
            </w:r>
            <w:r w:rsidRPr="00D842C1">
              <w:rPr>
                <w:color w:val="auto"/>
              </w:rPr>
              <w:t>Pirštų atspaudus</w:t>
            </w:r>
            <w:r w:rsidRPr="00D842C1">
              <w:rPr>
                <w:b/>
                <w:i/>
                <w:color w:val="auto"/>
              </w:rPr>
              <w:t xml:space="preserve"> ir veido atvaizdus</w:t>
            </w:r>
            <w:r w:rsidRPr="00D842C1">
              <w:rPr>
                <w:color w:val="auto"/>
              </w:rPr>
              <w:t xml:space="preserve"> paimti ir perduoti taip pat gali Europos sienų [ir pakrančių] apsaugos būrių nariai, atlikdami užduotis ir naudodamiesi įgaliojimais, nustatytais [Reglamente dėl Europos sienų [ir pakrančių] apsaugos pajėgų, kuriuo panaikinamas Reglamentas</w:t>
            </w:r>
            <w:r w:rsidRPr="00D842C1">
              <w:rPr>
                <w:b/>
                <w:i/>
                <w:color w:val="auto"/>
              </w:rPr>
              <w:t xml:space="preserve"> </w:t>
            </w:r>
            <w:r w:rsidRPr="00D842C1">
              <w:rPr>
                <w:color w:val="auto"/>
              </w:rPr>
              <w:t>(EB) Nr. 2007/2004, Reglamentas</w:t>
            </w:r>
            <w:r w:rsidRPr="00D842C1">
              <w:rPr>
                <w:b/>
                <w:i/>
                <w:color w:val="auto"/>
              </w:rPr>
              <w:t xml:space="preserve"> </w:t>
            </w:r>
            <w:r w:rsidRPr="00D842C1">
              <w:rPr>
                <w:color w:val="auto"/>
              </w:rPr>
              <w:t>(EB) Nr. 863/2007 ir Tarybos sprendimas 2005/267/EB].</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291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4 skyriaus </w:t>
      </w:r>
      <w:r w:rsidR="00C27D9F" w:rsidRPr="00D842C1">
        <w:rPr>
          <w:color w:val="auto"/>
        </w:rPr>
        <w:t>antraštė</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VALSTYBĖJE NARĖJE APTIKTI NELEGALIAI ESANTYS TREČIŲJŲ ŠALIŲ PILIEČIAI ARBA ASMENYS BE PILIETYBĖS</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292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4 skyriaus </w:t>
      </w:r>
      <w:r w:rsidR="00C27D9F" w:rsidRPr="00D842C1">
        <w:rPr>
          <w:color w:val="auto"/>
        </w:rPr>
        <w:t>antraštė</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VALSTYBĖJE NARĖJE APTIKTI</w:t>
            </w:r>
            <w:r w:rsidRPr="00D842C1">
              <w:rPr>
                <w:b/>
                <w:i/>
                <w:color w:val="auto"/>
              </w:rPr>
              <w:t xml:space="preserve"> NELEGALIAI</w:t>
            </w:r>
            <w:r w:rsidRPr="00D842C1">
              <w:rPr>
                <w:color w:val="auto"/>
              </w:rPr>
              <w:t xml:space="preserve"> ESANTYS TREČIŲJŲ ŠALIŲ PILIEČIAI ARBA ASMENYS BE PILIETYBĖS</w:t>
            </w:r>
          </w:p>
        </w:tc>
        <w:tc>
          <w:tcPr>
            <w:tcW w:w="4876" w:type="dxa"/>
          </w:tcPr>
          <w:p w:rsidR="00131F3A" w:rsidRPr="00D842C1" w:rsidRDefault="00131F3A" w:rsidP="00131F3A">
            <w:pPr>
              <w:pStyle w:val="Normal6"/>
              <w:rPr>
                <w:b/>
                <w:i/>
                <w:color w:val="auto"/>
              </w:rPr>
            </w:pPr>
            <w:r w:rsidRPr="00D842C1">
              <w:rPr>
                <w:color w:val="auto"/>
              </w:rPr>
              <w:t>VALSTYBĖJE NARĖJE APTIKTI</w:t>
            </w:r>
            <w:r w:rsidRPr="00D842C1">
              <w:rPr>
                <w:b/>
                <w:i/>
                <w:color w:val="auto"/>
              </w:rPr>
              <w:t xml:space="preserve"> NETEISĖTAI</w:t>
            </w:r>
            <w:r w:rsidRPr="00D842C1">
              <w:rPr>
                <w:color w:val="auto"/>
              </w:rPr>
              <w:t xml:space="preserve"> ESANTYS TREČIŲJŲ ŠALIŲ PILIEČIAI ARBA ASMENYS BE PILIETYBĖS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susijęs su 3 straipsnio 1 dalies d punkte pateikta apibrėžtimi. Šis pakeitimas taikomas visam tekstui.</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293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294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Kiekviena valstybė narė nedelsdama paima kiekvieno ne jaunesnio kaip 6 metų trečiosios šalies piliečio arba asmens be pilietybės, kuris buvo aptiktas neteisėtai esantis jos teritorijoje, visų pirštų atspaudus ir veido atvaizdą.</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Kiekviena valstybė narė nedelsdama paima kiekvieno ne jaunesnio kaip 6 metų trečiosios šalies piliečio arba asmens be pilietybės, kuris buvo aptiktas neteisėtai esantis jos teritorijoje, visų pirštų atspaudus ir veido atvaizdą.</w:t>
            </w:r>
            <w:r w:rsidRPr="00D842C1">
              <w:rPr>
                <w:b/>
                <w:i/>
                <w:color w:val="auto"/>
              </w:rPr>
              <w:t xml:space="preserve"> Vaikų pirštų atspaudai ir veido atvaizdai visų pirma imami 1 straipsnio 1 dalies ca punkte nustatytu tikslu.</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tiesiogiai susijęs su Komisijos šiame straipsnyje siūlomu 14 metų amžiaus keitimu į 6 metų amžių.</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295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straipsnio 1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1a.</w:t>
            </w:r>
            <w:r w:rsidRPr="00D842C1">
              <w:rPr>
                <w:b/>
                <w:i/>
                <w:color w:val="auto"/>
              </w:rPr>
              <w:tab/>
              <w:t>Kad patikrintų, ar jos teritorijoje aptiktas neteisėtai esantis trečiosios šalies pilietis arba asmuo be pilietybės yra anksčiau padavęs tarptautinės apsaugos prašymą kitoje valstybėje narėje, valstybė narė gali į centrinę sistemą perduoti bet kokius pirštų atspaudų duomenis, susijusius su pirštų atspaudais, kuriuos ji galėjo būti paėmusi iš bet kurio ne jaunesnio kaip 14 metų trečiosios šalies piliečio arba asmens be pilietybės, kartu su tos valstybės narės naudojamu registracijos numeriu.</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Pakeitimu siekiama atstatyti 14 straipsnio teksto 1 dalies galiojimą.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296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straipsnio 2 dalies b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b)</w:t>
            </w:r>
            <w:r w:rsidRPr="00D842C1">
              <w:rPr>
                <w:b/>
                <w:i/>
                <w:color w:val="auto"/>
              </w:rPr>
              <w:tab/>
              <w:t>veido atvaizdą;</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297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straipsnio 2 dalies d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d)</w:t>
            </w:r>
            <w:r w:rsidRPr="00D842C1">
              <w:rPr>
                <w:b/>
                <w:i/>
                <w:color w:val="auto"/>
              </w:rPr>
              <w:tab/>
            </w:r>
            <w:r w:rsidRPr="00D842C1">
              <w:rPr>
                <w:color w:val="auto"/>
              </w:rPr>
              <w:t>pilietybę</w:t>
            </w:r>
            <w:r w:rsidRPr="00D842C1">
              <w:rPr>
                <w:b/>
                <w:i/>
                <w:color w:val="auto"/>
              </w:rPr>
              <w:t xml:space="preserve"> </w:t>
            </w:r>
            <w:r w:rsidRPr="00D842C1">
              <w:rPr>
                <w:color w:val="auto"/>
              </w:rPr>
              <w:t>(-es);</w:t>
            </w:r>
          </w:p>
        </w:tc>
        <w:tc>
          <w:tcPr>
            <w:tcW w:w="4876" w:type="dxa"/>
          </w:tcPr>
          <w:p w:rsidR="00131F3A" w:rsidRPr="00D842C1" w:rsidRDefault="00131F3A" w:rsidP="00131F3A">
            <w:pPr>
              <w:pStyle w:val="Normal6"/>
              <w:rPr>
                <w:b/>
                <w:i/>
                <w:color w:val="auto"/>
              </w:rPr>
            </w:pPr>
            <w:r w:rsidRPr="00D842C1">
              <w:rPr>
                <w:color w:val="auto"/>
              </w:rPr>
              <w:t>d)</w:t>
            </w:r>
            <w:r w:rsidRPr="00D842C1">
              <w:rPr>
                <w:b/>
                <w:i/>
                <w:color w:val="auto"/>
              </w:rPr>
              <w:tab/>
            </w:r>
            <w:r w:rsidRPr="00D842C1">
              <w:rPr>
                <w:color w:val="auto"/>
              </w:rPr>
              <w:t>pilietybę</w:t>
            </w:r>
            <w:r w:rsidRPr="00D842C1">
              <w:rPr>
                <w:b/>
                <w:i/>
                <w:color w:val="auto"/>
              </w:rPr>
              <w:t xml:space="preserve"> </w:t>
            </w:r>
            <w:r w:rsidRPr="00D842C1">
              <w:rPr>
                <w:color w:val="auto"/>
              </w:rPr>
              <w:t>(-es)</w:t>
            </w:r>
            <w:r w:rsidRPr="00D842C1">
              <w:rPr>
                <w:b/>
                <w:i/>
                <w:color w:val="auto"/>
              </w:rPr>
              <w:t>, numanomą ir deklaruotą pilietybę (-es) arba asmens be pilietybės (-ių) statusą pagal 1954 m. Konvencijos dėl asmenų be pilietybės statuso 1 straipsnio 1 dalį</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298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straipsnio 2 dalies g a punktas (naujas)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ga)</w:t>
            </w:r>
            <w:r w:rsidRPr="00D842C1">
              <w:rPr>
                <w:b/>
                <w:i/>
                <w:color w:val="auto"/>
              </w:rPr>
              <w:tab/>
              <w:t>nepilnamečių vaikų šeimos ryšių informaciją, pvz., šeimos narių ir lydinčiųjų asmenų vardus ir pavardes arba bet kokią svarbią informaciją, kuri galėtų padėti vykdyti galimą šeimos paiešką arba susijungimą;</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299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 Hilde Vautmans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straipsnio 2 dalies i a punktas (naujas)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ia)</w:t>
            </w:r>
            <w:r w:rsidRPr="00D842C1">
              <w:rPr>
                <w:b/>
                <w:i/>
                <w:color w:val="auto"/>
              </w:rPr>
              <w:tab/>
              <w:t>sprendimą grąžinti arba išsiuntimo iš šalies priemonę, kurios ėmėsi kilmės valstybė narė;</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siekiant didinti valstybių narių bendradarbiavimą neteisėtos migracijos valdymo srityje, reikėtų vietoj neteisėtai teritorijoje esančių piliečių prieglobsčio prašymo numerio įrašyti išsiuntimo iš šalies priemonės, kurios ėmėsi duomenis į EURODAC įtraukusi valstybė narė, pavadinimą;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300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 Hilde Vautmans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straipsnio 2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2a.</w:t>
            </w:r>
            <w:r w:rsidRPr="00D842C1">
              <w:rPr>
                <w:b/>
                <w:i/>
                <w:color w:val="auto"/>
              </w:rPr>
              <w:tab/>
              <w:t>Kai trečiųjų šalių piliečiai teritorijoje yra neteisėtai, tačiau į ją pateko teisėtai kirtę Šengeno erdvės išorės sieną ir yra užsibuvę ne ilgiau negu 15 dienų, valstybė narė gali nesilaikyti įpareigojimų pagal šio straipsnio 1 ir 2 dalis.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301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Juan Fernando López Aguilar,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straipsnio 2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2a.</w:t>
            </w:r>
            <w:r w:rsidRPr="00D842C1">
              <w:rPr>
                <w:b/>
                <w:i/>
                <w:color w:val="auto"/>
              </w:rPr>
              <w:tab/>
              <w:t>Kai trečiųjų šalių piliečiai teritorijoje yra neteisėtai, tačiau į ją pateko neteisėtai kirtę Šengeno erdvės išorės sieną ir yra užsibuvę ne ilgiau negu 15 dienų, valstybė narė gali nesilaikyti įpareigojimų pagal 1 ir 2 dalis.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tiesiogiai susijęs su Komisijos pasiūlymo 14 straipsniu. Taikymo srities išplėtimas siekiant įtraukti valstybėje narėje aptiktus nelegaliai esančius trečiųjų šalių piliečius turi būti atliekamas kartu numatant apsaugos priemones, jeigu asmuo į ES atvyko nelegaliai ir joje per ilgai užsibuvo keletą dienų dėl priežasčių, kurias būtų galima laikyti netyčinėmis.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302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Šio straipsnio 1 dalyje nurodyto trečiosios šalies piliečio arba asmens be pilietybės pirštų atspaudų duomenys į centrinę sistemą perduodami ir palyginami su kitų valstybių narių perduotais ir centrinėje sistemoje jau įrašytais asmenų, kurių pirštų atspaudai buvo paimti 10 straipsnio 1 dalies, 13 straipsnio 1 dalies ir 14 straipsnio 1 dalies tikslais, pirštų atspaudų duomenimis.</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Šio straipsnio 1 dalyje nurodyto trečiosios šalies piliečio arba asmens be pilietybės pirštų atspaudų</w:t>
            </w:r>
            <w:r w:rsidRPr="00D842C1">
              <w:rPr>
                <w:b/>
                <w:i/>
                <w:color w:val="auto"/>
              </w:rPr>
              <w:t xml:space="preserve"> ir veido atvaizdo</w:t>
            </w:r>
            <w:r w:rsidRPr="00D842C1">
              <w:rPr>
                <w:color w:val="auto"/>
              </w:rPr>
              <w:t xml:space="preserve"> duomenys į centrinę sistemą perduodami ir palyginami su kitų valstybių narių perduotais ir centrinėje sistemoje jau įrašytais asmenų, kurių pirštų atspaudai</w:t>
            </w:r>
            <w:r w:rsidRPr="00D842C1">
              <w:rPr>
                <w:b/>
                <w:i/>
                <w:color w:val="auto"/>
              </w:rPr>
              <w:t xml:space="preserve"> ir veido atvaizdas</w:t>
            </w:r>
            <w:r w:rsidRPr="00D842C1">
              <w:rPr>
                <w:color w:val="auto"/>
              </w:rPr>
              <w:t xml:space="preserve"> buvo paimti 10 straipsnio 1 dalies, 13 straipsnio 1 dalies ir 14 straipsnio 1 dalies tikslais, pirštų atspaudų</w:t>
            </w:r>
            <w:r w:rsidRPr="00D842C1">
              <w:rPr>
                <w:b/>
                <w:i/>
                <w:color w:val="auto"/>
              </w:rPr>
              <w:t xml:space="preserve"> ir veido atvaizdo</w:t>
            </w:r>
            <w:r w:rsidRPr="00D842C1">
              <w:rPr>
                <w:color w:val="auto"/>
              </w:rPr>
              <w:t xml:space="preserve"> duomenimis.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Komisijos pasiūlymo, į kurio visas reikiamas vietas neįtraukiamos abi sąvokos „pirštų antspaudai“ ir „veido atvaizdas“, kurios atitinka 2 straipsnyje minimą pareigą, korekcija.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303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14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Šio straipsnio</w:t>
            </w:r>
            <w:r w:rsidRPr="00D842C1">
              <w:rPr>
                <w:b/>
                <w:i/>
                <w:color w:val="auto"/>
              </w:rPr>
              <w:t xml:space="preserve"> 3</w:t>
            </w:r>
            <w:r w:rsidRPr="00D842C1">
              <w:rPr>
                <w:color w:val="auto"/>
              </w:rPr>
              <w:t xml:space="preserve"> dalyje nurodyto 72 valandų termino nesilaikymas neatleidžia valstybių narių nuo pareigos paimti ir perduoti pirštų</w:t>
            </w:r>
            <w:r w:rsidRPr="00D842C1">
              <w:rPr>
                <w:b/>
                <w:i/>
                <w:color w:val="auto"/>
              </w:rPr>
              <w:t xml:space="preserve"> atspaudus</w:t>
            </w:r>
            <w:r w:rsidRPr="00D842C1">
              <w:rPr>
                <w:color w:val="auto"/>
              </w:rPr>
              <w:t xml:space="preserve"> į centrinę sistemą. Kai dėl pirštų pagalvėlių būklės negalima paimti tokios kokybės pirštų atspaudų, kokios reikia tinkamam atspaudų palyginimui pagal reglamento 26 straipsnį, kilmės valstybė narė pakartotinai paima sulaikytų asmenų, kaip aprašyta šio straipsnio 1 dalyje, pirštų atspaudus ir persiunčia juos kuo skubiau, bet ne vėliau kaip per 48 valandas nuo jų sėkmingo pakartotinio paėmimo.</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Šio straipsnio</w:t>
            </w:r>
            <w:r w:rsidRPr="00D842C1">
              <w:rPr>
                <w:b/>
                <w:i/>
                <w:color w:val="auto"/>
              </w:rPr>
              <w:t xml:space="preserve"> 2</w:t>
            </w:r>
            <w:r w:rsidRPr="00D842C1">
              <w:rPr>
                <w:color w:val="auto"/>
              </w:rPr>
              <w:t xml:space="preserve"> dalyje nurodyto 72 valandų termino nesilaikymas neatleidžia valstybių narių nuo pareigos paimti ir perduoti pirštų</w:t>
            </w:r>
            <w:r w:rsidRPr="00D842C1">
              <w:rPr>
                <w:b/>
                <w:i/>
                <w:color w:val="auto"/>
              </w:rPr>
              <w:t xml:space="preserve"> atspaudų ir veido atvaizdo duomenis</w:t>
            </w:r>
            <w:r w:rsidRPr="00D842C1">
              <w:rPr>
                <w:color w:val="auto"/>
              </w:rPr>
              <w:t xml:space="preserve"> į centrinę sistemą. Kai dėl pirštų pagalvėlių būklės negalima paimti tokios kokybės pirštų atspaudų, kokios reikia tinkamam atspaudų palyginimui pagal reglamento 26 straipsnį, kilmės valstybė narė pakartotinai paima sulaikytų asmenų, kaip aprašyta šio straipsnio 1 dalyje, pirštų atspaudus ir persiunčia juos kuo skubiau, bet ne vėliau kaip per 48 valandas nuo jų sėkmingo pakartotinio paėmimo.</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Komisijos pasiūlymo, į kurio visas reikiamas vietas neįtraukiamos abi sąvokos „pirštų antspaudai“ ir „veido atvaizdas“, kurios atitinka 2 straipsnyje minimą pareigą, korekcija.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304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5 skyriaus </w:t>
      </w:r>
      <w:r w:rsidR="00C27D9F" w:rsidRPr="00D842C1">
        <w:rPr>
          <w:color w:val="auto"/>
        </w:rPr>
        <w:t>antraštė</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TARPTAUTINĖS APSAUGOS PRAŠYTOJŲ IR TREČIŲJŲ ŠALIŲ PILIEČIŲ, SULAIKYTŲ NETEISĖTAI KERTANT SIENĄ AR NETEISĖTAI ESANT VALSTYBĖS NARĖS TERITORIJOJE, DUOMENŲ PALYGINIMO PROCEDŪRA</w:t>
            </w:r>
          </w:p>
        </w:tc>
        <w:tc>
          <w:tcPr>
            <w:tcW w:w="4876" w:type="dxa"/>
          </w:tcPr>
          <w:p w:rsidR="00131F3A" w:rsidRPr="00D842C1" w:rsidRDefault="00131F3A" w:rsidP="00131F3A">
            <w:pPr>
              <w:pStyle w:val="Normal6"/>
              <w:rPr>
                <w:b/>
                <w:i/>
                <w:color w:val="auto"/>
              </w:rPr>
            </w:pPr>
            <w:r w:rsidRPr="00D842C1">
              <w:rPr>
                <w:color w:val="auto"/>
              </w:rPr>
              <w:t>TARPTAUTINĖS APSAUGOS PRAŠYTOJŲ</w:t>
            </w:r>
            <w:r w:rsidRPr="00D842C1">
              <w:rPr>
                <w:b/>
                <w:i/>
                <w:color w:val="auto"/>
              </w:rPr>
              <w:t>, TREČIŲJŲ ŠALIŲ PILIEČIŲ ARBA ASMENŲ BE PILIETYBĖS, DĖL KURIŲ VALSTYBĖ NARĖ KETINA VYKDYTI PERKĖLIMO Į ES PROCEDŪRĄ,</w:t>
            </w:r>
            <w:r w:rsidRPr="00D842C1">
              <w:rPr>
                <w:color w:val="auto"/>
              </w:rPr>
              <w:t xml:space="preserve"> IR TREČIŲJŲ ŠALIŲ PILIEČIŲ, SULAIKYTŲ NETEISĖTAI KERTANT SIENĄ AR NETEISĖTAI ESANT VALSTYBĖS NARĖS TERITORIJOJE, DUOMENŲ PALYGINIMO PROCEDŪRA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305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5 skyriaus </w:t>
      </w:r>
      <w:r w:rsidR="00C27D9F" w:rsidRPr="00D842C1">
        <w:rPr>
          <w:color w:val="auto"/>
        </w:rPr>
        <w:t>antraštė</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TARPTAUTINĖS APSAUGOS PRAŠYTOJŲ IR TREČIŲJŲ ŠALIŲ PILIEČIŲ, SULAIKYTŲ NETEISĖTAI KERTANT SIENĄ</w:t>
            </w:r>
            <w:r w:rsidRPr="00D842C1">
              <w:rPr>
                <w:b/>
                <w:i/>
                <w:color w:val="auto"/>
              </w:rPr>
              <w:t xml:space="preserve"> AR NETEISĖTAI ESANT VALSTYBĖS NARĖS TERITORIJOJE</w:t>
            </w:r>
            <w:r w:rsidRPr="00D842C1">
              <w:rPr>
                <w:color w:val="auto"/>
              </w:rPr>
              <w:t>, DUOMENŲ PALYGINIMO PROCEDŪRA</w:t>
            </w:r>
          </w:p>
        </w:tc>
        <w:tc>
          <w:tcPr>
            <w:tcW w:w="4876" w:type="dxa"/>
          </w:tcPr>
          <w:p w:rsidR="00131F3A" w:rsidRPr="00D842C1" w:rsidRDefault="00131F3A" w:rsidP="00131F3A">
            <w:pPr>
              <w:pStyle w:val="Normal6"/>
              <w:rPr>
                <w:b/>
                <w:i/>
                <w:color w:val="auto"/>
              </w:rPr>
            </w:pPr>
            <w:r w:rsidRPr="00D842C1">
              <w:rPr>
                <w:color w:val="auto"/>
              </w:rPr>
              <w:t>TARPTAUTINĖS APSAUGOS PRAŠYTOJŲ IR TREČIŲJŲ ŠALIŲ PILIEČIŲ, SULAIKYTŲ NETEISĖTAI KERTANT SIENĄ, DUOMENŲ PALYGINIMO PROCEDŪRA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306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5 skyriaus </w:t>
      </w:r>
      <w:r w:rsidR="00C27D9F" w:rsidRPr="00D842C1">
        <w:rPr>
          <w:color w:val="auto"/>
        </w:rPr>
        <w:t>antraštė</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TARPTAUTINĖS APSAUGOS PRAŠYTOJŲ IR TREČIŲJŲ ŠALIŲ PILIEČIŲ, SULAIKYTŲ NETEISĖTAI KERTANT SIENĄ AR NETEISĖTAI ESANT VALSTYBĖS NARĖS TERITORIJOJE, DUOMENŲ PALYGINIMO PROCEDŪRA</w:t>
            </w:r>
          </w:p>
        </w:tc>
        <w:tc>
          <w:tcPr>
            <w:tcW w:w="4876" w:type="dxa"/>
          </w:tcPr>
          <w:p w:rsidR="00131F3A" w:rsidRPr="00D842C1" w:rsidRDefault="00131F3A" w:rsidP="00131F3A">
            <w:pPr>
              <w:pStyle w:val="Normal6"/>
              <w:rPr>
                <w:b/>
                <w:i/>
                <w:color w:val="auto"/>
              </w:rPr>
            </w:pPr>
            <w:r w:rsidRPr="00D842C1">
              <w:rPr>
                <w:color w:val="auto"/>
              </w:rPr>
              <w:t>TARPTAUTINĖS APSAUGOS PRAŠYTOJŲ IR TREČIŲJŲ ŠALIŲ PILIEČIŲ,</w:t>
            </w:r>
            <w:r w:rsidRPr="00D842C1">
              <w:rPr>
                <w:b/>
                <w:i/>
                <w:color w:val="auto"/>
              </w:rPr>
              <w:t xml:space="preserve"> IR ASMENŲ BE PILIETYBĖS,</w:t>
            </w:r>
            <w:r w:rsidRPr="00D842C1">
              <w:rPr>
                <w:color w:val="auto"/>
              </w:rPr>
              <w:t xml:space="preserve"> SULAIKYTŲ NETEISĖTAI KERTANT SIENĄ AR NETEISĖTAI ESANT VALSTYBĖS NARĖS TERITORIJOJE, DUOMENŲ PALYGINIMO PROCEDŪRA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Komisijos pasiūlymo, į kurio visas reikiamas vietas neįtraukiama formuluotė „asmuo be pilietybės“, kuri atitinka 1 straipsnio a punkte minimą sistemos EURODAC tikslą, korekcija.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307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5 skyriaus </w:t>
      </w:r>
      <w:r w:rsidR="00C27D9F" w:rsidRPr="00D842C1">
        <w:rPr>
          <w:color w:val="auto"/>
        </w:rPr>
        <w:t>antraštė</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TARPTAUTINĖS APSAUGOS PRAŠYTOJŲ IR TREČIŲJŲ ŠALIŲ PILIEČIŲ, SULAIKYTŲ NETEISĖTAI</w:t>
            </w:r>
            <w:r w:rsidRPr="00D842C1">
              <w:rPr>
                <w:b/>
                <w:i/>
                <w:color w:val="auto"/>
              </w:rPr>
              <w:t xml:space="preserve"> KERTANT SIENĄ AR NETEISĖTAI</w:t>
            </w:r>
            <w:r w:rsidRPr="00D842C1">
              <w:rPr>
                <w:color w:val="auto"/>
              </w:rPr>
              <w:t xml:space="preserve"> ESANT VALSTYBĖS NARĖS TERITORIJOJE, DUOMENŲ PALYGINIMO PROCEDŪRA</w:t>
            </w:r>
          </w:p>
        </w:tc>
        <w:tc>
          <w:tcPr>
            <w:tcW w:w="4876" w:type="dxa"/>
          </w:tcPr>
          <w:p w:rsidR="00131F3A" w:rsidRPr="00D842C1" w:rsidRDefault="00131F3A" w:rsidP="00131F3A">
            <w:pPr>
              <w:pStyle w:val="Normal6"/>
              <w:rPr>
                <w:b/>
                <w:i/>
                <w:color w:val="auto"/>
              </w:rPr>
            </w:pPr>
            <w:r w:rsidRPr="00D842C1">
              <w:rPr>
                <w:color w:val="auto"/>
              </w:rPr>
              <w:t>TARPTAUTINĖS APSAUGOS PRAŠYTOJŲ IR TREČIŲJŲ ŠALIŲ PILIEČIŲ, SULAIKYTŲ NETEISĖTAI ESANT VALSTYBĖS NARĖS TERITORIJOJE, DUOMENŲ PALYGINIMO PROCEDŪRA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308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15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Bet kurios valstybės narės perduoti pirštų atspaudų</w:t>
            </w:r>
            <w:r w:rsidRPr="00D842C1">
              <w:rPr>
                <w:b/>
                <w:i/>
                <w:color w:val="auto"/>
              </w:rPr>
              <w:t xml:space="preserve"> ir veido atvaizdo</w:t>
            </w:r>
            <w:r w:rsidRPr="00D842C1">
              <w:rPr>
                <w:color w:val="auto"/>
              </w:rPr>
              <w:t xml:space="preserve"> duomenys, išskyrus pagal 11 straipsnio b ir c punktus perduotus duomenis, automatiškai lyginami su kitų valstybių narių perduotais ir centrinėje sistemoje jau saugomais pirštų atspaudų duomenimis</w:t>
            </w:r>
            <w:r w:rsidRPr="00D842C1">
              <w:rPr>
                <w:b/>
                <w:i/>
                <w:color w:val="auto"/>
              </w:rPr>
              <w:t xml:space="preserve"> </w:t>
            </w:r>
            <w:r w:rsidRPr="00D842C1">
              <w:rPr>
                <w:color w:val="auto"/>
              </w:rPr>
              <w:t>, kaip nurodyta 10 straipsnio 1 dalyje, 13 straipsnio 1 dalyje ir 14 straipsnio 1 dalyje</w:t>
            </w:r>
            <w:r w:rsidRPr="00D842C1">
              <w:rPr>
                <w:b/>
                <w:i/>
                <w:color w:val="auto"/>
              </w:rPr>
              <w:t xml:space="preserve">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Bet kurios valstybės narės perduoti pirštų atspaudų duomenys, išskyrus pagal 11 straipsnio b ir c punktus perduotus duomenis, automatiškai lyginami su kitų valstybių narių perduotais ir centrinėje sistemoje jau saugomais pirštų atspaudų duomenimis, kaip nurodyta 10 straipsnio 1 dalyje, 13 straipsnio 1 dalyje ir 14 straipsnio 1 dalyje.</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309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15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Bet kurios valstybės narės perduoti pirštų atspaudų ir veido atvaizdo duomenys, išskyrus pagal 11 straipsnio b ir c punktus perduotus duomenis, automatiškai lyginami su kitų valstybių narių perduotais ir centrinėje sistemoje jau saugomais pirštų atspaudų duomenimis</w:t>
            </w:r>
            <w:r w:rsidRPr="00D842C1">
              <w:rPr>
                <w:b/>
                <w:i/>
                <w:color w:val="auto"/>
              </w:rPr>
              <w:t xml:space="preserve"> </w:t>
            </w:r>
            <w:r w:rsidRPr="00D842C1">
              <w:rPr>
                <w:color w:val="auto"/>
              </w:rPr>
              <w:t>, kaip nurodyta 10 straipsnio 1 dalyje</w:t>
            </w:r>
            <w:r w:rsidRPr="00D842C1">
              <w:rPr>
                <w:b/>
                <w:i/>
                <w:color w:val="auto"/>
              </w:rPr>
              <w:t>,</w:t>
            </w:r>
            <w:r w:rsidRPr="00D842C1">
              <w:rPr>
                <w:color w:val="auto"/>
              </w:rPr>
              <w:t xml:space="preserve"> 13 straipsnio 1 dalyje</w:t>
            </w:r>
            <w:r w:rsidRPr="00D842C1">
              <w:rPr>
                <w:b/>
                <w:i/>
                <w:color w:val="auto"/>
              </w:rPr>
              <w:t xml:space="preserve"> ir 14 straipsnio 1 dalyje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Bet kurios valstybės narės perduoti pirštų atspaudų</w:t>
            </w:r>
            <w:r w:rsidRPr="00D842C1">
              <w:rPr>
                <w:b/>
                <w:i/>
                <w:color w:val="auto"/>
              </w:rPr>
              <w:t>, jei nėra kitos išeities,</w:t>
            </w:r>
            <w:r w:rsidRPr="00D842C1">
              <w:rPr>
                <w:color w:val="auto"/>
              </w:rPr>
              <w:t xml:space="preserve"> ir veido atvaizdo duomenys, išskyrus pagal 11 straipsnio b ir c punktus perduotus duomenis, automatiškai lyginami su kitų valstybių narių perduotais ir centrinėje sistemoje jau saugomais pirštų atspaudų duomenimis</w:t>
            </w:r>
            <w:r w:rsidRPr="00D842C1">
              <w:rPr>
                <w:b/>
                <w:i/>
                <w:color w:val="auto"/>
              </w:rPr>
              <w:t xml:space="preserve"> </w:t>
            </w:r>
            <w:r w:rsidRPr="00D842C1">
              <w:rPr>
                <w:color w:val="auto"/>
              </w:rPr>
              <w:t>, kaip nurodyta 10 straipsnio 1 dalyje</w:t>
            </w:r>
            <w:r w:rsidRPr="00D842C1">
              <w:rPr>
                <w:b/>
                <w:i/>
                <w:color w:val="auto"/>
              </w:rPr>
              <w:t xml:space="preserve"> ir</w:t>
            </w:r>
            <w:r w:rsidRPr="00D842C1">
              <w:rPr>
                <w:color w:val="auto"/>
              </w:rPr>
              <w:t xml:space="preserve"> 13 straipsnio 1 dalyje.</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 Įterpti žodžius „jeigu nėra kitos išeities“ yra būtina siekiant užtikrinti nuoseklumą su naujos pasiūlymo redakcijos 16 straipsniu, remiantis EDAPP pastabomis.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310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15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Bet kurios valstybės narės perduoti pirštų atspaudų ir veido atvaizdo duomenys, išskyrus pagal 11 straipsnio b ir c punktus perduotus duomenis, automatiškai lyginami su kitų valstybių narių perduotais ir centrinėje sistemoje jau saugomais pirštų atspaudų duomenimis</w:t>
            </w:r>
            <w:r w:rsidRPr="00D842C1">
              <w:rPr>
                <w:b/>
                <w:i/>
                <w:color w:val="auto"/>
              </w:rPr>
              <w:t xml:space="preserve"> </w:t>
            </w:r>
            <w:r w:rsidRPr="00D842C1">
              <w:rPr>
                <w:color w:val="auto"/>
              </w:rPr>
              <w:t>, kaip nurodyta 10 straipsnio 1 dalyje, 13 straipsnio 1 dalyje ir 14 straipsnio 1 dalyje</w:t>
            </w:r>
            <w:r w:rsidRPr="00D842C1">
              <w:rPr>
                <w:b/>
                <w:i/>
                <w:color w:val="auto"/>
              </w:rPr>
              <w:t xml:space="preserve">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Bet kurios valstybės narės perduoti pirštų atspaudų ir veido atvaizdo duomenys, išskyrus pagal 11 straipsnio b ir c punktus perduotus duomenis, automatiškai lyginami su kitų valstybių narių perduotais ir centrinėje sistemoje jau saugomais pirštų atspaudų duomenimis</w:t>
            </w:r>
            <w:r w:rsidRPr="00D842C1">
              <w:rPr>
                <w:b/>
                <w:i/>
                <w:color w:val="auto"/>
              </w:rPr>
              <w:t xml:space="preserve"> </w:t>
            </w:r>
            <w:r w:rsidRPr="00D842C1">
              <w:rPr>
                <w:color w:val="auto"/>
              </w:rPr>
              <w:t>, kaip nurodyta 10 straipsnio 1 dalyje,</w:t>
            </w:r>
            <w:r w:rsidRPr="00D842C1">
              <w:rPr>
                <w:b/>
                <w:i/>
                <w:color w:val="auto"/>
              </w:rPr>
              <w:t xml:space="preserve"> 12a straipsnyje,</w:t>
            </w:r>
            <w:r w:rsidRPr="00D842C1">
              <w:rPr>
                <w:color w:val="auto"/>
              </w:rPr>
              <w:t xml:space="preserve"> 13 straipsnio 1 dalyje ir 14 straipsnio 1 dalyje.</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311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15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Centrinė sistema valstybės narės prašymu užtikrina, kad šio straipsnio 1 dalyje nurodytas lyginimas apimtų ne tik kitų valstybių narių pirštų atspaudų ir veido atvaizdo duomenis, bet ir tos valstybės narės anksčiau perduotų pirštų atspaudų ir veido atvaizdo duomenis.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Centrinė sistema valstybės narės prašymu užtikrina, kad šio straipsnio 1 dalyje nurodytas lyginimas apimtų ne tik kitų valstybių narių pirštų atspaudų ir veido atvaizdo</w:t>
            </w:r>
            <w:r w:rsidRPr="00D842C1">
              <w:rPr>
                <w:b/>
                <w:i/>
                <w:color w:val="auto"/>
              </w:rPr>
              <w:t xml:space="preserve"> arba jų abiejų</w:t>
            </w:r>
            <w:r w:rsidRPr="00D842C1">
              <w:rPr>
                <w:color w:val="auto"/>
              </w:rPr>
              <w:t xml:space="preserve"> duomenis, bet ir tos valstybės narės anksčiau perduotų pirštų atspaudų ir veido atvaizdo</w:t>
            </w:r>
            <w:r w:rsidRPr="00D842C1">
              <w:rPr>
                <w:b/>
                <w:i/>
                <w:color w:val="auto"/>
              </w:rPr>
              <w:t xml:space="preserve"> arba jų abiejų</w:t>
            </w:r>
            <w:r w:rsidRPr="00D842C1">
              <w:rPr>
                <w:color w:val="auto"/>
              </w:rPr>
              <w:t xml:space="preserve"> duomenis.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312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15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Centrinė sistema atitikties arba neigiamą lyginimo rezultatą automatiškai perduoda kilmės valstybei narei laikydamasi 26 straipsnio 4 dalyje nustatytos tvarkos</w:t>
            </w:r>
            <w:r w:rsidRPr="00D842C1">
              <w:rPr>
                <w:b/>
                <w:i/>
                <w:color w:val="auto"/>
              </w:rPr>
              <w:t xml:space="preserve"> </w:t>
            </w:r>
            <w:r w:rsidRPr="00D842C1">
              <w:rPr>
                <w:color w:val="auto"/>
              </w:rPr>
              <w:t>. Atitikties atveju ji perduoda 12 straipsnyje</w:t>
            </w:r>
            <w:r w:rsidRPr="00D842C1">
              <w:rPr>
                <w:b/>
                <w:i/>
                <w:color w:val="auto"/>
              </w:rPr>
              <w:t>, 13</w:t>
            </w:r>
            <w:r w:rsidRPr="00D842C1">
              <w:rPr>
                <w:color w:val="auto"/>
              </w:rPr>
              <w:t xml:space="preserve"> straipsnio 2 dalyje</w:t>
            </w:r>
            <w:r w:rsidRPr="00D842C1">
              <w:rPr>
                <w:b/>
                <w:i/>
                <w:color w:val="auto"/>
              </w:rPr>
              <w:t xml:space="preserve"> ir 14 straipsnio 2 dalyje</w:t>
            </w:r>
            <w:r w:rsidRPr="00D842C1">
              <w:rPr>
                <w:color w:val="auto"/>
              </w:rPr>
              <w:t xml:space="preserve"> nurodytus duomenis, susijusius su visais sutampančiais duomenų rinkiniais, bei prireikus 19 straipsnio 1</w:t>
            </w:r>
            <w:r w:rsidRPr="00D842C1">
              <w:rPr>
                <w:b/>
                <w:i/>
                <w:color w:val="auto"/>
              </w:rPr>
              <w:t xml:space="preserve"> ir 4 dalyse</w:t>
            </w:r>
            <w:r w:rsidRPr="00D842C1">
              <w:rPr>
                <w:color w:val="auto"/>
              </w:rPr>
              <w:t xml:space="preserve"> nurodytą žymėjimą. Jei gaunamas neigiamas užklausos rezultatas, 12 straipsnyje</w:t>
            </w:r>
            <w:r w:rsidRPr="00D842C1">
              <w:rPr>
                <w:b/>
                <w:i/>
                <w:color w:val="auto"/>
              </w:rPr>
              <w:t>, 13</w:t>
            </w:r>
            <w:r w:rsidRPr="00D842C1">
              <w:rPr>
                <w:color w:val="auto"/>
              </w:rPr>
              <w:t xml:space="preserve"> straipsnio 2 dalyje</w:t>
            </w:r>
            <w:r w:rsidRPr="00D842C1">
              <w:rPr>
                <w:b/>
                <w:i/>
                <w:color w:val="auto"/>
              </w:rPr>
              <w:t xml:space="preserve"> ir 14 straipsnio 2 dalyje</w:t>
            </w:r>
            <w:r w:rsidRPr="00D842C1">
              <w:rPr>
                <w:color w:val="auto"/>
              </w:rPr>
              <w:t xml:space="preserve"> nurodyti duomenys neperduodami.</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Centrinė sistema atitikties arba neigiamą lyginimo rezultatą automatiškai perduoda kilmės valstybei narei laikydamasi 26 straipsnio 4 dalyje nustatytos tvarkos. Atitikties atveju ji perduoda 12 straipsnyje</w:t>
            </w:r>
            <w:r w:rsidRPr="00D842C1">
              <w:rPr>
                <w:b/>
                <w:i/>
                <w:color w:val="auto"/>
              </w:rPr>
              <w:t xml:space="preserve"> ir 13</w:t>
            </w:r>
            <w:r w:rsidRPr="00D842C1">
              <w:rPr>
                <w:color w:val="auto"/>
              </w:rPr>
              <w:t xml:space="preserve"> straipsnio 2 dalyje nurodytus duomenis, susijusius su visais sutampančiais duomenų rinkiniais, bei prireikus 19 straipsnio 1</w:t>
            </w:r>
            <w:r w:rsidRPr="00D842C1">
              <w:rPr>
                <w:b/>
                <w:i/>
                <w:color w:val="auto"/>
              </w:rPr>
              <w:t xml:space="preserve"> dalyje</w:t>
            </w:r>
            <w:r w:rsidRPr="00D842C1">
              <w:rPr>
                <w:color w:val="auto"/>
              </w:rPr>
              <w:t xml:space="preserve"> nurodytą žymėjimą. Jei gaunamas neigiamas užklausos rezultatas, 12 straipsnyje</w:t>
            </w:r>
            <w:r w:rsidRPr="00D842C1">
              <w:rPr>
                <w:b/>
                <w:i/>
                <w:color w:val="auto"/>
              </w:rPr>
              <w:t xml:space="preserve"> ir 13</w:t>
            </w:r>
            <w:r w:rsidRPr="00D842C1">
              <w:rPr>
                <w:color w:val="auto"/>
              </w:rPr>
              <w:t xml:space="preserve"> straipsnio 2 dalyje nurodyti duomenys neperduodami.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313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15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Centrinė sistema atitikties arba neigiamą lyginimo rezultatą automatiškai perduoda kilmės valstybei narei laikydamasi 26 straipsnio 4 dalyje nustatytos tvarkos. Atitikties atveju ji perduoda 12 straipsnyje, 13 straipsnio 2 dalyje ir 14 straipsnio 2 dalyje nurodytus duomenis, susijusius su visais sutampančiais duomenų rinkiniais, bei prireikus 19 straipsnio 1 ir 4 dalyse nurodytą žymėjimą. Jei gaunamas neigiamas</w:t>
            </w:r>
            <w:r w:rsidRPr="00D842C1">
              <w:rPr>
                <w:b/>
                <w:i/>
                <w:color w:val="auto"/>
              </w:rPr>
              <w:t xml:space="preserve"> užklausos</w:t>
            </w:r>
            <w:r w:rsidRPr="00D842C1">
              <w:rPr>
                <w:color w:val="auto"/>
              </w:rPr>
              <w:t xml:space="preserve"> rezultatas, 12 straipsnyje, 13 straipsnio 2 dalyje ir 14 straipsnio 2 dalyje nurodyti duomenys neperduodami.</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Centrinė sistema atitikties arba neigiamą lyginimo rezultatą automatiškai perduoda kilmės valstybei narei laikydamasi 26 straipsnio 4 dalyje nustatytos tvarkos. Atitikties atveju ji perduoda 12 straipsnyje, 13 straipsnio 2 dalyje ir 14 straipsnio 2 dalyje nurodytus duomenis, susijusius su visais sutampančiais duomenų rinkiniais, bei prireikus 19 straipsnio 1 ir 4 dalyse nurodytą žymėjimą. Jei gaunamas neigiamas rezultatas, 12 straipsnyje, 13 straipsnio 2 dalyje ir 14 straipsnio 2 dalyje nurodyti duomenys neperduodami.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314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15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Centrinė sistema atitikties arba neigiamą lyginimo rezultatą automatiškai perduoda kilmės valstybei narei laikydamasi 26 straipsnio 4 dalyje nustatytos tvarkos</w:t>
            </w:r>
            <w:r w:rsidRPr="00D842C1">
              <w:rPr>
                <w:b/>
                <w:i/>
                <w:color w:val="auto"/>
              </w:rPr>
              <w:t xml:space="preserve"> </w:t>
            </w:r>
            <w:r w:rsidRPr="00D842C1">
              <w:rPr>
                <w:color w:val="auto"/>
              </w:rPr>
              <w:t>. Atitikties atveju ji perduoda 12 straipsnyje, 13 straipsnio 2 dalyje ir 14 straipsnio 2 dalyje nurodytus duomenis, susijusius su visais sutampančiais duomenų rinkiniais, bei prireikus 19 straipsnio 1 ir 4 dalyse nurodytą žymėjimą. Jei gaunamas neigiamas užklausos rezultatas, 12 straipsnyje, 13 straipsnio 2 dalyje ir 14 straipsnio 2 dalyje nurodyti duomenys neperduodami.</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Centrinė sistema atitikties arba neigiamą lyginimo rezultatą automatiškai perduoda kilmės valstybei narei laikydamasi 26 straipsnio 4 dalyje nustatytos tvarkos</w:t>
            </w:r>
            <w:r w:rsidRPr="00D842C1">
              <w:rPr>
                <w:b/>
                <w:i/>
                <w:color w:val="auto"/>
              </w:rPr>
              <w:t xml:space="preserve"> </w:t>
            </w:r>
            <w:r w:rsidRPr="00D842C1">
              <w:rPr>
                <w:color w:val="auto"/>
              </w:rPr>
              <w:t>. Atitikties atveju ji perduoda 12 straipsnyje,</w:t>
            </w:r>
            <w:r w:rsidRPr="00D842C1">
              <w:rPr>
                <w:b/>
                <w:i/>
                <w:color w:val="auto"/>
              </w:rPr>
              <w:t xml:space="preserve"> 12b straipsnyje,</w:t>
            </w:r>
            <w:r w:rsidRPr="00D842C1">
              <w:rPr>
                <w:color w:val="auto"/>
              </w:rPr>
              <w:t xml:space="preserve"> 13 straipsnio 2 dalyje ir 14 straipsnio 2 dalyje nurodytus duomenis, susijusius su visais sutampančiais duomenų rinkiniais, bei prireikus 19 straipsnio 1</w:t>
            </w:r>
            <w:r w:rsidRPr="00D842C1">
              <w:rPr>
                <w:b/>
                <w:i/>
                <w:color w:val="auto"/>
              </w:rPr>
              <w:t>, 3a</w:t>
            </w:r>
            <w:r w:rsidRPr="00D842C1">
              <w:rPr>
                <w:color w:val="auto"/>
              </w:rPr>
              <w:t xml:space="preserve"> ir 4 dalyse nurodytą žymėjimą. Jei gaunamas neigiamas užklausos rezultatas, 12 straipsnyje,</w:t>
            </w:r>
            <w:r w:rsidRPr="00D842C1">
              <w:rPr>
                <w:b/>
                <w:i/>
                <w:color w:val="auto"/>
              </w:rPr>
              <w:t xml:space="preserve"> 12b straipsnyje,</w:t>
            </w:r>
            <w:r w:rsidRPr="00D842C1">
              <w:rPr>
                <w:color w:val="auto"/>
              </w:rPr>
              <w:t xml:space="preserve"> 13 straipsnio 2 dalyje ir 14 straipsnio 2 dalyje nurodyti duomenys neperduodami.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315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15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4.</w:t>
            </w:r>
            <w:r w:rsidRPr="00D842C1">
              <w:rPr>
                <w:b/>
                <w:i/>
                <w:color w:val="auto"/>
              </w:rPr>
              <w:tab/>
              <w:t>Jei valstybė narė iš EURODAC gauna atitikties įrodymų, galinčių padėti tai valstybei narei vykdyti įsipareigojimus pagal 1 straipsnio 1 dalies a punktą, tie įrodymai yra viršesni už bet kokią kitą gautą atitiktį.</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316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15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Jei valstybė narė iš EURODAC gauna atitikties įrodymų, galinčių padėti tai valstybei narei vykdyti įsipareigojimus pagal 1 straipsnio 1 dalies a punktą, tie įrodymai yra viršesni už bet kokią kitą gautą atitiktį.</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Jei valstybė narė iš EURODAC gauna atitikties įrodymų, galinčių padėti tai valstybei narei vykdyti įsipareigojimus pagal 1 straipsnio 1 dalies</w:t>
            </w:r>
            <w:r w:rsidRPr="00D842C1">
              <w:rPr>
                <w:b/>
                <w:i/>
                <w:color w:val="auto"/>
              </w:rPr>
              <w:t xml:space="preserve"> ca punktą ir 1 straipsnio 1 dalies</w:t>
            </w:r>
            <w:r w:rsidRPr="00D842C1">
              <w:rPr>
                <w:color w:val="auto"/>
              </w:rPr>
              <w:t xml:space="preserve"> a punktą, tie įrodymai yra viršesni už bet kokią kitą gautą atitiktį.</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317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16 straipsnis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Center"/>
              <w:rPr>
                <w:b/>
                <w:i/>
                <w:color w:val="auto"/>
                <w:lang w:val="lt-LT"/>
              </w:rPr>
            </w:pPr>
            <w:r w:rsidRPr="00D842C1">
              <w:rPr>
                <w:b/>
                <w:i/>
                <w:color w:val="auto"/>
                <w:lang w:val="lt-LT"/>
              </w:rPr>
              <w:t>16 straipsnis</w:t>
            </w:r>
            <w:r w:rsidRPr="00D842C1">
              <w:rPr>
                <w:b/>
                <w:i/>
                <w:color w:val="auto"/>
                <w:lang w:val="lt-LT"/>
              </w:rPr>
              <w:tab/>
            </w:r>
          </w:p>
        </w:tc>
        <w:tc>
          <w:tcPr>
            <w:tcW w:w="4876" w:type="dxa"/>
          </w:tcPr>
          <w:p w:rsidR="00131F3A" w:rsidRPr="00D842C1" w:rsidRDefault="00131F3A" w:rsidP="00131F3A">
            <w:pPr>
              <w:pStyle w:val="Normal6"/>
              <w:rPr>
                <w:b/>
                <w:i/>
                <w:color w:val="auto"/>
              </w:rPr>
            </w:pPr>
            <w:r w:rsidRPr="00D842C1">
              <w:rPr>
                <w:b/>
                <w:i/>
                <w:color w:val="auto"/>
              </w:rPr>
              <w:t>Išbraukta.</w:t>
            </w:r>
          </w:p>
        </w:tc>
      </w:tr>
      <w:tr w:rsidR="00131F3A" w:rsidRPr="00D842C1" w:rsidTr="00131F3A">
        <w:trPr>
          <w:jc w:val="center"/>
        </w:trPr>
        <w:tc>
          <w:tcPr>
            <w:tcW w:w="4876" w:type="dxa"/>
          </w:tcPr>
          <w:p w:rsidR="00131F3A" w:rsidRPr="00D842C1" w:rsidRDefault="00131F3A" w:rsidP="00131F3A">
            <w:pPr>
              <w:pStyle w:val="Center"/>
              <w:rPr>
                <w:b/>
                <w:i/>
                <w:color w:val="auto"/>
                <w:lang w:val="lt-LT"/>
              </w:rPr>
            </w:pPr>
            <w:r w:rsidRPr="00D842C1">
              <w:rPr>
                <w:b/>
                <w:i/>
                <w:color w:val="auto"/>
                <w:sz w:val="24"/>
                <w:lang w:val="lt-LT"/>
              </w:rPr>
              <w:t>Veido atvaizdo duomenų lyginimas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(1) Kai dėl pirštų pagalvėlių būklės negalima paimti tokios kokybės pirštų atspaudų, kokios reikia tinkamam atspaudų palyginimui pagal reglamento 26 straipsnį, arba kai 10 straipsnio 1 dalyje, 13 straipsnio 1 dalyje ir 14 straipsnio 1 dalyje nurodytas asmuo atsisako laikytis pirštų atspaudų ėmimo tvarkos, valstybė narė, jei nėra kitos išeities, taip pat gali atlikti veido atvaizdo lyginimą.</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(2) Veido atvaizdo duomenys ir duomenys, susiję su duomenų subjekto lytimi, gali būti lyginami automatiškai su veido atvaizdo duomenimis ir asmens duomenimis, susijusiais su duomenų subjekto lytimi, kuriuos perdavė kitos valstybės narės ir kurie jau saugomi centrinėje sistemoje, kaip nustatyta 10 straipsnio 1 dalyje, 13 straipsnio 1 dalyje ir 14 straipsnio 1 dalyje, išskyrus duomenis, perduotus pagal 11 straipsnio b ir c punktus.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(3) Centrinė sistema valstybės narės prašymu užtikrina, kad šio straipsnio 1 dalyje nurodytas lyginimas apimtų ne tik kitų valstybių narių veido atvaizdo duomenis, bet ir tos valstybės narės anksčiau perduotus veido atvaizdo duomenis.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(4) Centrinė sistema atitikties arba neigiamą lyginimo rezultatą automatiškai perduoda kilmės valstybei narei laikydamasi 26 straipsnio 4 dalyje nustatytos tvarkos. Atitikties atveju ji perduoda 12 straipsnyje, 13 straipsnio 2 dalyje ir 14 straipsnio 2 dalyje nurodytus duomenis, susijusius su visais sutampančiais duomenų rinkiniais, bei prireikus 17 straipsnio 1 ir 4 dalyse nurodytą žymėjimą. Jei gaunamas neigiamas užklausos rezultatas, 12 straipsnyje, 13 straipsnio 2 dalyje ir 14 straipsnio 2 dalyje nurodyti duomenys neperduodami.</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(5) Jei valstybė narė iš EURODAC gauna atitikties įrodymų, galinčių padėti tai valstybei narei vykdyti įsipareigojimus pagal 1 straipsnio 1 dalies a punktą, tie įrodymai yra viršesni už bet kokią kitą gautą atitiktį.</w:t>
            </w:r>
          </w:p>
        </w:tc>
        <w:tc>
          <w:tcPr>
            <w:tcW w:w="4876" w:type="dxa"/>
          </w:tcPr>
          <w:p w:rsidR="00131F3A" w:rsidRPr="00D842C1" w:rsidRDefault="00131F3A" w:rsidP="00131F3A">
            <w:pPr>
              <w:pStyle w:val="Normal6"/>
              <w:rPr>
                <w:color w:val="auto"/>
              </w:rPr>
            </w:pP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318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16 straipsnio </w:t>
      </w:r>
      <w:r w:rsidR="00C27D9F" w:rsidRPr="00D842C1">
        <w:rPr>
          <w:color w:val="auto"/>
        </w:rPr>
        <w:t>antraštė</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Veido atvaizdo duomenų lyginimas</w:t>
            </w:r>
          </w:p>
        </w:tc>
        <w:tc>
          <w:tcPr>
            <w:tcW w:w="4876" w:type="dxa"/>
          </w:tcPr>
          <w:p w:rsidR="00131F3A" w:rsidRPr="00D842C1" w:rsidRDefault="00131F3A" w:rsidP="00131F3A">
            <w:pPr>
              <w:pStyle w:val="Normal6"/>
              <w:rPr>
                <w:b/>
                <w:i/>
                <w:color w:val="auto"/>
              </w:rPr>
            </w:pPr>
            <w:r w:rsidRPr="00D842C1">
              <w:rPr>
                <w:b/>
                <w:i/>
                <w:color w:val="auto"/>
              </w:rPr>
              <w:t>Nepilnamečių</w:t>
            </w:r>
            <w:r w:rsidRPr="00D842C1">
              <w:rPr>
                <w:color w:val="auto"/>
              </w:rPr>
              <w:t xml:space="preserve"> veido atvaizdo duomenų lyginimas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319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16 straipsnio </w:t>
      </w:r>
      <w:r w:rsidR="00624C15" w:rsidRPr="00D842C1">
        <w:rPr>
          <w:color w:val="auto"/>
        </w:rPr>
        <w:t>antraštė</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Veido atvaizdo duomenų lyginimas</w:t>
            </w:r>
          </w:p>
        </w:tc>
        <w:tc>
          <w:tcPr>
            <w:tcW w:w="4876" w:type="dxa"/>
          </w:tcPr>
          <w:p w:rsidR="00131F3A" w:rsidRPr="00D842C1" w:rsidRDefault="00131F3A" w:rsidP="00131F3A">
            <w:pPr>
              <w:pStyle w:val="Normal6"/>
              <w:rPr>
                <w:b/>
                <w:i/>
                <w:color w:val="auto"/>
              </w:rPr>
            </w:pPr>
            <w:r w:rsidRPr="00D842C1">
              <w:rPr>
                <w:b/>
                <w:i/>
                <w:color w:val="auto"/>
              </w:rPr>
              <w:t>Tik</w:t>
            </w:r>
            <w:r w:rsidRPr="00D842C1">
              <w:rPr>
                <w:color w:val="auto"/>
              </w:rPr>
              <w:t xml:space="preserve"> veido atvaizdo duomenų lyginimas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320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16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Kai dėl pirštų pagalvėlių būklės negalima paimti tokios kokybės pirštų atspaudų, kokios reikia tinkamam atspaudų palyginimui pagal reglamento 26 straipsnį,</w:t>
            </w:r>
            <w:r w:rsidRPr="00D842C1">
              <w:rPr>
                <w:b/>
                <w:i/>
                <w:color w:val="auto"/>
              </w:rPr>
              <w:t xml:space="preserve"> arba kai 10 straipsnio 1 dalyje, 13 straipsnio 1 dalyje ir 14 straipsnio 1 dalyje nurodytas asmuo atsisako laikytis pirštų atspaudų ėmimo tvarkos,</w:t>
            </w:r>
            <w:r w:rsidRPr="00D842C1">
              <w:rPr>
                <w:color w:val="auto"/>
              </w:rPr>
              <w:t xml:space="preserve"> valstybė narė, jei nėra kitos išeities, taip pat gali atlikti veido atvaizdo lyginimą.</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Kai dėl pirštų pagalvėlių būklės negalima paimti tokios kokybės pirštų atspaudų, kokios reikia tinkamam atspaudų palyginimui pagal reglamento 26 straipsnį, valstybė narė, jei nėra kitos išeities, taip pat gali atlikti</w:t>
            </w:r>
            <w:r w:rsidRPr="00D842C1">
              <w:rPr>
                <w:b/>
                <w:i/>
                <w:color w:val="auto"/>
              </w:rPr>
              <w:t xml:space="preserve"> nepilnamečių</w:t>
            </w:r>
            <w:r w:rsidRPr="00D842C1">
              <w:rPr>
                <w:color w:val="auto"/>
              </w:rPr>
              <w:t xml:space="preserve"> veido atvaizdo lyginimą.</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321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16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Kai dėl pirštų pagalvėlių būklės negalima paimti tokios kokybės pirštų atspaudų, kokios reikia tinkamam atspaudų palyginimui pagal reglamento 26 straipsnį, arba kai 10 straipsnio 1 dalyje, 13 straipsnio 1 dalyje ir 14 straipsnio 1 dalyje nurodytas asmuo atsisako laikytis pirštų atspaudų ėmimo tvarkos, valstybė narė, jei nėra kitos išeities, taip pat</w:t>
            </w:r>
            <w:r w:rsidRPr="00D842C1">
              <w:rPr>
                <w:b/>
                <w:i/>
                <w:color w:val="auto"/>
              </w:rPr>
              <w:t xml:space="preserve"> gali atlikti</w:t>
            </w:r>
            <w:r w:rsidRPr="00D842C1">
              <w:rPr>
                <w:color w:val="auto"/>
              </w:rPr>
              <w:t xml:space="preserve"> veido atvaizdo lyginimą.</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Kai dėl pirštų pagalvėlių būklės negalima paimti tokios kokybės pirštų atspaudų, kokios reikia tinkamam atspaudų palyginimui pagal reglamento 26 straipsnį, arba kai 10 straipsnio 1 dalyje, 13 straipsnio 1 dalyje ir 14 straipsnio 1 dalyje nurodytas asmuo atsisako laikytis pirštų atspaudų ėmimo tvarkos, valstybė narė, jei nėra kitos išeities, taip pat</w:t>
            </w:r>
            <w:r w:rsidRPr="00D842C1">
              <w:rPr>
                <w:b/>
                <w:i/>
                <w:color w:val="auto"/>
              </w:rPr>
              <w:t xml:space="preserve"> atlieka</w:t>
            </w:r>
            <w:r w:rsidRPr="00D842C1">
              <w:rPr>
                <w:color w:val="auto"/>
              </w:rPr>
              <w:t xml:space="preserve"> veido atvaizdo lyginimą.</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322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16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Veido atvaizdo duomenys ir duomenys, susiję su duomenų subjekto lytimi, gali būti lyginami automatiškai su veido atvaizdo duomenimis ir asmens duomenimis, susijusiais su duomenų subjekto lytimi, kuriuos perdavė kitos valstybės narės ir kurie jau saugomi centrinėje sistemoje, kaip nustatyta 10 straipsnio 1 dalyje, 13 straipsnio 1 dalyje ir</w:t>
            </w:r>
            <w:r w:rsidRPr="00D842C1">
              <w:rPr>
                <w:b/>
                <w:i/>
                <w:color w:val="auto"/>
              </w:rPr>
              <w:t xml:space="preserve"> 14</w:t>
            </w:r>
            <w:r w:rsidRPr="00D842C1">
              <w:rPr>
                <w:color w:val="auto"/>
              </w:rPr>
              <w:t xml:space="preserve"> straipsnio</w:t>
            </w:r>
            <w:r w:rsidRPr="00D842C1">
              <w:rPr>
                <w:b/>
                <w:i/>
                <w:color w:val="auto"/>
              </w:rPr>
              <w:t xml:space="preserve"> 1</w:t>
            </w:r>
            <w:r w:rsidRPr="00D842C1">
              <w:rPr>
                <w:color w:val="auto"/>
              </w:rPr>
              <w:t xml:space="preserve"> dalyje</w:t>
            </w:r>
            <w:r w:rsidRPr="00D842C1">
              <w:rPr>
                <w:b/>
                <w:i/>
                <w:color w:val="auto"/>
              </w:rPr>
              <w:t>, išskyrus duomenis, perduotus pagal 11 straipsnio b ir c punktus</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Veido atvaizdo duomenys ir duomenys, susiję su duomenų subjekto lytimi, gali būti lyginami automatiškai su veido atvaizdo duomenimis ir asmens duomenimis, susijusiais su duomenų subjekto lytimi, kuriuos perdavė kitos valstybės narės ir kurie jau saugomi centrinėje sistemoje, kaip nustatyta 10 straipsnio 1 dalyje,</w:t>
            </w:r>
            <w:r w:rsidRPr="00D842C1">
              <w:rPr>
                <w:b/>
                <w:i/>
                <w:color w:val="auto"/>
              </w:rPr>
              <w:t xml:space="preserve"> 10 straipsnio 1a dalyje,</w:t>
            </w:r>
            <w:r w:rsidRPr="00D842C1">
              <w:rPr>
                <w:color w:val="auto"/>
              </w:rPr>
              <w:t xml:space="preserve"> 13 straipsnio 1 dalyje ir</w:t>
            </w:r>
            <w:r w:rsidRPr="00D842C1">
              <w:rPr>
                <w:b/>
                <w:i/>
                <w:color w:val="auto"/>
              </w:rPr>
              <w:t xml:space="preserve"> 13</w:t>
            </w:r>
            <w:r w:rsidRPr="00D842C1">
              <w:rPr>
                <w:color w:val="auto"/>
              </w:rPr>
              <w:t xml:space="preserve"> straipsnio</w:t>
            </w:r>
            <w:r w:rsidRPr="00D842C1">
              <w:rPr>
                <w:b/>
                <w:i/>
                <w:color w:val="auto"/>
              </w:rPr>
              <w:t xml:space="preserve"> 1a</w:t>
            </w:r>
            <w:r w:rsidRPr="00D842C1">
              <w:rPr>
                <w:color w:val="auto"/>
              </w:rPr>
              <w:t xml:space="preserve"> dalyje.</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323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16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Veido atvaizdo duomenys ir duomenys, susiję su duomenų subjekto lytimi, gali būti lyginami automatiškai su veido atvaizdo duomenimis ir asmens duomenimis, susijusiais su duomenų subjekto lytimi, kuriuos perdavė kitos valstybės narės ir kurie jau saugomi centrinėje sistemoje, kaip nustatyta 10 straipsnio 1 dalyje, 13 straipsnio 1 dalyje ir 14 straipsnio 1 dalyje, išskyrus duomenis, perduotus pagal 11 straipsnio b ir c punktus.</w:t>
            </w:r>
          </w:p>
        </w:tc>
        <w:tc>
          <w:tcPr>
            <w:tcW w:w="4876" w:type="dxa"/>
          </w:tcPr>
          <w:p w:rsidR="00131F3A" w:rsidRPr="00D842C1" w:rsidRDefault="00624C15" w:rsidP="00131F3A">
            <w:pPr>
              <w:pStyle w:val="Normal6"/>
              <w:rPr>
                <w:b/>
                <w:i/>
                <w:color w:val="auto"/>
              </w:rPr>
            </w:pPr>
            <w:r w:rsidRPr="00D842C1">
              <w:rPr>
                <w:color w:val="auto"/>
              </w:rPr>
              <w:t>(3)</w:t>
            </w:r>
            <w:r w:rsidRPr="00D842C1">
              <w:rPr>
                <w:b/>
                <w:i/>
                <w:color w:val="auto"/>
              </w:rPr>
              <w:tab/>
            </w:r>
            <w:r w:rsidR="00131F3A" w:rsidRPr="00D842C1">
              <w:rPr>
                <w:color w:val="auto"/>
              </w:rPr>
              <w:t>Veido atvaizdo duomenys ir duomenys, susiję su duomenų subjekto lytimi, gali būti lyginami automatiškai su veido atvaizdo duomenimis ir asmens duomenimis, susijusiais su duomenų subjekto lytimi, kuriuos perdavė kitos valstybės narės ir kurie jau saugomi centrinėje sistemoje, kaip nustatyta 10 straipsnio 1 dalyje,</w:t>
            </w:r>
            <w:r w:rsidR="00131F3A" w:rsidRPr="00D842C1">
              <w:rPr>
                <w:b/>
                <w:i/>
                <w:color w:val="auto"/>
              </w:rPr>
              <w:t xml:space="preserve"> 12a straipsnyje,</w:t>
            </w:r>
            <w:r w:rsidR="00131F3A" w:rsidRPr="00D842C1">
              <w:rPr>
                <w:color w:val="auto"/>
              </w:rPr>
              <w:t xml:space="preserve"> 13 straipsnio 1 dalyje ir 14 straipsnio 1 dalyje, išskyrus duomenis, perduotus pagal 11 straipsnio b ir c punktus.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324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16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Centrinė sistema atitikties arba neigiamą lyginimo rezultatą automatiškai perduoda kilmės valstybei narei laikydamasi 26 straipsnio 4 dalyje nustatytos tvarkos. Atitikties atveju ji perduoda 12 straipsnyje, 13 straipsnio 2 dalyje ir 14 straipsnio 2 dalyje nurodytus duomenis, susijusius su visais sutampančiais duomenų rinkiniais, bei prireikus</w:t>
            </w:r>
            <w:r w:rsidRPr="00D842C1">
              <w:rPr>
                <w:b/>
                <w:i/>
                <w:color w:val="auto"/>
              </w:rPr>
              <w:t xml:space="preserve"> 17</w:t>
            </w:r>
            <w:r w:rsidRPr="00D842C1">
              <w:rPr>
                <w:color w:val="auto"/>
              </w:rPr>
              <w:t xml:space="preserve"> straipsnio 1 ir 4 dalyse nurodytą žymėjimą. Jei gaunamas neigiamas užklausos rezultatas, 12 straipsnyje, 13 straipsnio 2 dalyje ir 14 straipsnio 2 dalyje nurodyti duomenys neperduodami.</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Centrinė sistema atitikties arba neigiamą lyginimo rezultatą automatiškai perduoda kilmės valstybei narei laikydamasi 26 straipsnio 4 dalyje nustatytos tvarkos. Atitikties atveju ji perduoda 12 straipsnyje, 13 straipsnio 2 dalyje ir 14 straipsnio 2 dalyje nurodytus duomenis, susijusius su visais sutampančiais duomenų rinkiniais, bei prireikus</w:t>
            </w:r>
            <w:r w:rsidRPr="00D842C1">
              <w:rPr>
                <w:b/>
                <w:i/>
                <w:color w:val="auto"/>
              </w:rPr>
              <w:t xml:space="preserve"> 19</w:t>
            </w:r>
            <w:r w:rsidRPr="00D842C1">
              <w:rPr>
                <w:color w:val="auto"/>
              </w:rPr>
              <w:t xml:space="preserve"> straipsnio 1 ir 4 dalyse nurodytą žymėjimą. Jei gaunamas neigiamas užklausos rezultatas, 12 straipsnyje, 13 straipsnio 2 dalyje ir 14 straipsnio 2 dalyje nurodyti duomenys neperduodami.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325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16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Centrinė sistema atitikties arba neigiamą lyginimo rezultatą automatiškai perduoda kilmės valstybei narei laikydamasi 26 straipsnio</w:t>
            </w:r>
            <w:r w:rsidRPr="00D842C1">
              <w:rPr>
                <w:b/>
                <w:i/>
                <w:color w:val="auto"/>
              </w:rPr>
              <w:t xml:space="preserve"> 4</w:t>
            </w:r>
            <w:r w:rsidRPr="00D842C1">
              <w:rPr>
                <w:color w:val="auto"/>
              </w:rPr>
              <w:t xml:space="preserve"> dalyje nustatytos tvarkos. Atitikties atveju ji perduoda 12 straipsnyje</w:t>
            </w:r>
            <w:r w:rsidRPr="00D842C1">
              <w:rPr>
                <w:b/>
                <w:i/>
                <w:color w:val="auto"/>
              </w:rPr>
              <w:t>, 13</w:t>
            </w:r>
            <w:r w:rsidRPr="00D842C1">
              <w:rPr>
                <w:color w:val="auto"/>
              </w:rPr>
              <w:t xml:space="preserve"> straipsnio 2 dalyje</w:t>
            </w:r>
            <w:r w:rsidRPr="00D842C1">
              <w:rPr>
                <w:b/>
                <w:i/>
                <w:color w:val="auto"/>
              </w:rPr>
              <w:t xml:space="preserve"> ir 14 straipsnio 2 dalyje</w:t>
            </w:r>
            <w:r w:rsidRPr="00D842C1">
              <w:rPr>
                <w:color w:val="auto"/>
              </w:rPr>
              <w:t xml:space="preserve"> nurodytus duomenis, susijusius su visais sutampančiais duomenų rinkiniais, bei prireikus</w:t>
            </w:r>
            <w:r w:rsidRPr="00D842C1">
              <w:rPr>
                <w:b/>
                <w:i/>
                <w:color w:val="auto"/>
              </w:rPr>
              <w:t xml:space="preserve"> 17</w:t>
            </w:r>
            <w:r w:rsidRPr="00D842C1">
              <w:rPr>
                <w:color w:val="auto"/>
              </w:rPr>
              <w:t xml:space="preserve"> straipsnio 1</w:t>
            </w:r>
            <w:r w:rsidRPr="00D842C1">
              <w:rPr>
                <w:b/>
                <w:i/>
                <w:color w:val="auto"/>
              </w:rPr>
              <w:t xml:space="preserve"> ir 4 dalyse</w:t>
            </w:r>
            <w:r w:rsidRPr="00D842C1">
              <w:rPr>
                <w:color w:val="auto"/>
              </w:rPr>
              <w:t xml:space="preserve"> nurodytą žymėjimą. Jei gaunamas neigiamas užklausos rezultatas, 12 straipsnyje</w:t>
            </w:r>
            <w:r w:rsidRPr="00D842C1">
              <w:rPr>
                <w:b/>
                <w:i/>
                <w:color w:val="auto"/>
              </w:rPr>
              <w:t>, 13</w:t>
            </w:r>
            <w:r w:rsidRPr="00D842C1">
              <w:rPr>
                <w:color w:val="auto"/>
              </w:rPr>
              <w:t xml:space="preserve"> straipsnio 2 dalyje</w:t>
            </w:r>
            <w:r w:rsidRPr="00D842C1">
              <w:rPr>
                <w:b/>
                <w:i/>
                <w:color w:val="auto"/>
              </w:rPr>
              <w:t xml:space="preserve"> ir 14 straipsnio 2 dalyje</w:t>
            </w:r>
            <w:r w:rsidRPr="00D842C1">
              <w:rPr>
                <w:color w:val="auto"/>
              </w:rPr>
              <w:t xml:space="preserve"> nurodyti duomenys neperduodami.</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Centrinė sistema atitikties arba neigiamą lyginimo rezultatą automatiškai perduoda kilmės valstybei narei laikydamasi 26 straipsnio</w:t>
            </w:r>
            <w:r w:rsidRPr="00D842C1">
              <w:rPr>
                <w:b/>
                <w:i/>
                <w:color w:val="auto"/>
              </w:rPr>
              <w:t xml:space="preserve"> 5</w:t>
            </w:r>
            <w:r w:rsidRPr="00D842C1">
              <w:rPr>
                <w:color w:val="auto"/>
              </w:rPr>
              <w:t xml:space="preserve"> dalyje nustatytos tvarkos. Atitikties atveju ji perduoda 12 straipsnyje</w:t>
            </w:r>
            <w:r w:rsidRPr="00D842C1">
              <w:rPr>
                <w:b/>
                <w:i/>
                <w:color w:val="auto"/>
              </w:rPr>
              <w:t xml:space="preserve"> ir 13</w:t>
            </w:r>
            <w:r w:rsidRPr="00D842C1">
              <w:rPr>
                <w:color w:val="auto"/>
              </w:rPr>
              <w:t xml:space="preserve"> straipsnio 2 dalyje nurodytus duomenis, susijusius su visais sutampančiais duomenų rinkiniais, bei prireikus</w:t>
            </w:r>
            <w:r w:rsidRPr="00D842C1">
              <w:rPr>
                <w:b/>
                <w:i/>
                <w:color w:val="auto"/>
              </w:rPr>
              <w:t xml:space="preserve"> 19</w:t>
            </w:r>
            <w:r w:rsidRPr="00D842C1">
              <w:rPr>
                <w:color w:val="auto"/>
              </w:rPr>
              <w:t xml:space="preserve"> straipsnio 1</w:t>
            </w:r>
            <w:r w:rsidRPr="00D842C1">
              <w:rPr>
                <w:b/>
                <w:i/>
                <w:color w:val="auto"/>
              </w:rPr>
              <w:t xml:space="preserve"> dalyje</w:t>
            </w:r>
            <w:r w:rsidRPr="00D842C1">
              <w:rPr>
                <w:color w:val="auto"/>
              </w:rPr>
              <w:t xml:space="preserve"> nurodytą žymėjimą. Jei gaunamas neigiamas užklausos rezultatas, 12 straipsnyje</w:t>
            </w:r>
            <w:r w:rsidRPr="00D842C1">
              <w:rPr>
                <w:b/>
                <w:i/>
                <w:color w:val="auto"/>
              </w:rPr>
              <w:t xml:space="preserve"> ir 13</w:t>
            </w:r>
            <w:r w:rsidRPr="00D842C1">
              <w:rPr>
                <w:color w:val="auto"/>
              </w:rPr>
              <w:t xml:space="preserve"> straipsnio 2 dalyje nurodyti duomenys neperduodami.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326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16 straipsnio 5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(5)</w:t>
            </w:r>
            <w:r w:rsidRPr="00D842C1">
              <w:rPr>
                <w:b/>
                <w:i/>
                <w:color w:val="auto"/>
              </w:rPr>
              <w:tab/>
              <w:t>Jei valstybė narė iš EURODAC gauna atitikties įrodymų, galinčių padėti tai valstybei narei vykdyti įsipareigojimus pagal 1 straipsnio 1 dalies a punktą, tie įrodymai yra viršesni už bet kokią kitą gautą atitiktį</w:t>
            </w:r>
            <w:r w:rsidRPr="00D842C1">
              <w:rPr>
                <w:color w:val="auto"/>
              </w:rPr>
              <w:t>.</w:t>
            </w:r>
          </w:p>
        </w:tc>
        <w:tc>
          <w:tcPr>
            <w:tcW w:w="4876" w:type="dxa"/>
          </w:tcPr>
          <w:p w:rsidR="00131F3A" w:rsidRPr="00D842C1" w:rsidRDefault="00131F3A" w:rsidP="00131F3A">
            <w:pPr>
              <w:pStyle w:val="Normal6"/>
              <w:rPr>
                <w:b/>
                <w:i/>
                <w:color w:val="auto"/>
              </w:rPr>
            </w:pPr>
            <w:r w:rsidRPr="00D842C1">
              <w:rPr>
                <w:b/>
                <w:i/>
                <w:color w:val="auto"/>
              </w:rPr>
              <w:t>Išbraukta</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327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16 straipsnio 5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(5)</w:t>
            </w:r>
            <w:r w:rsidRPr="00D842C1">
              <w:rPr>
                <w:b/>
                <w:i/>
                <w:color w:val="auto"/>
              </w:rPr>
              <w:tab/>
            </w:r>
            <w:r w:rsidRPr="00D842C1">
              <w:rPr>
                <w:color w:val="auto"/>
              </w:rPr>
              <w:t>Centrinė sistema atitikties arba neigiamą lyginimo rezultatą automatiškai perduoda kilmės valstybei narei laikydamasi 26 straipsnio 4 dalyje nustatytos tvarkos. Atitikties atveju ji perduoda 12 straipsnyje, 13 straipsnio 2 dalyje ir 14 straipsnio 2 dalyje nurodytus duomenis, susijusius su visais sutampančiais duomenų rinkiniais, bei prireikus 17 straipsnio 1 ir 4 dalyse nurodytą žymėjimą. Jei gaunamas neigiamas užklausos rezultatas, 12 straipsnyje, 13 straipsnio 2 dalyje ir 14 straipsnio 2 dalyje nurodyti duomenys neperduodami.</w:t>
            </w:r>
          </w:p>
        </w:tc>
        <w:tc>
          <w:tcPr>
            <w:tcW w:w="4876" w:type="dxa"/>
          </w:tcPr>
          <w:p w:rsidR="00131F3A" w:rsidRPr="00D842C1" w:rsidRDefault="00131F3A" w:rsidP="00131F3A">
            <w:pPr>
              <w:pStyle w:val="Normal6"/>
              <w:rPr>
                <w:b/>
                <w:i/>
                <w:color w:val="auto"/>
              </w:rPr>
            </w:pPr>
            <w:r w:rsidRPr="00D842C1">
              <w:rPr>
                <w:color w:val="auto"/>
              </w:rPr>
              <w:t>(5)</w:t>
            </w:r>
            <w:r w:rsidRPr="00D842C1">
              <w:rPr>
                <w:b/>
                <w:i/>
                <w:color w:val="auto"/>
              </w:rPr>
              <w:tab/>
            </w:r>
            <w:r w:rsidRPr="00D842C1">
              <w:rPr>
                <w:color w:val="auto"/>
              </w:rPr>
              <w:t>Centrinė sistema atitikties arba neigiamą lyginimo rezultatą automatiškai perduoda kilmės valstybei narei laikydamasi 26 straipsnio 4 dalyje nustatytos tvarkos. Atitikties atveju ji perduoda 12 straipsnyje,</w:t>
            </w:r>
            <w:r w:rsidRPr="00D842C1">
              <w:rPr>
                <w:b/>
                <w:i/>
                <w:color w:val="auto"/>
              </w:rPr>
              <w:t xml:space="preserve"> 12b straipsnyje,</w:t>
            </w:r>
            <w:r w:rsidRPr="00D842C1">
              <w:rPr>
                <w:color w:val="auto"/>
              </w:rPr>
              <w:t xml:space="preserve"> 13 straipsnio 2 dalyje ir 14 straipsnio 2 dalyje nurodytus duomenis, susijusius su visais sutampančiais duomenų rinkiniais, bei prireikus 17 straipsnio 1 ir 4 dalyse nurodytą žymėjimą. Jei gaunamas neigiamas užklausos rezultatas, 12 straipsnyje,</w:t>
            </w:r>
            <w:r w:rsidRPr="00D842C1">
              <w:rPr>
                <w:b/>
                <w:i/>
                <w:color w:val="auto"/>
              </w:rPr>
              <w:t xml:space="preserve"> 12b straipsnyje,</w:t>
            </w:r>
            <w:r w:rsidRPr="00D842C1">
              <w:rPr>
                <w:color w:val="auto"/>
              </w:rPr>
              <w:t xml:space="preserve"> 13 straipsnio 2 dalyje ir 14 straipsnio 2 dalyje nurodyti duomenys neperduodami.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328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16 straipsnio 5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(5)</w:t>
            </w:r>
            <w:r w:rsidRPr="00D842C1">
              <w:rPr>
                <w:b/>
                <w:i/>
                <w:color w:val="auto"/>
              </w:rPr>
              <w:tab/>
            </w:r>
            <w:r w:rsidRPr="00D842C1">
              <w:rPr>
                <w:color w:val="auto"/>
              </w:rPr>
              <w:t>Jei valstybė narė iš EURODAC gauna atitikties įrodymų, galinčių padėti tai valstybei narei vykdyti įsipareigojimus pagal 1 straipsnio 1 dalies a punktą, tie įrodymai yra viršesni už bet kokią kitą gautą atitiktį.</w:t>
            </w:r>
          </w:p>
        </w:tc>
        <w:tc>
          <w:tcPr>
            <w:tcW w:w="4876" w:type="dxa"/>
          </w:tcPr>
          <w:p w:rsidR="00131F3A" w:rsidRPr="00D842C1" w:rsidRDefault="00131F3A" w:rsidP="00131F3A">
            <w:pPr>
              <w:pStyle w:val="Normal6"/>
              <w:rPr>
                <w:b/>
                <w:i/>
                <w:color w:val="auto"/>
              </w:rPr>
            </w:pPr>
            <w:r w:rsidRPr="00D842C1">
              <w:rPr>
                <w:color w:val="auto"/>
              </w:rPr>
              <w:t>(5)</w:t>
            </w:r>
            <w:r w:rsidRPr="00D842C1">
              <w:rPr>
                <w:b/>
                <w:i/>
                <w:color w:val="auto"/>
              </w:rPr>
              <w:tab/>
            </w:r>
            <w:r w:rsidRPr="00D842C1">
              <w:rPr>
                <w:color w:val="auto"/>
              </w:rPr>
              <w:t>Jei valstybė narė iš EURODAC gauna atitikties įrodymų, galinčių padėti tai valstybei narei vykdyti įsipareigojimus pagal 1 straipsnio 1 dalies a</w:t>
            </w:r>
            <w:r w:rsidRPr="00D842C1">
              <w:rPr>
                <w:b/>
                <w:i/>
                <w:color w:val="auto"/>
              </w:rPr>
              <w:t xml:space="preserve"> arba ca</w:t>
            </w:r>
            <w:r w:rsidRPr="00D842C1">
              <w:rPr>
                <w:color w:val="auto"/>
              </w:rPr>
              <w:t xml:space="preserve"> punktą, tie įrodymai yra viršesni už bet kokią kitą gautą atitiktį.</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329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10 straipsnio 1 dalyje nurodytais tikslais kiekvienas 12 straipsnyje nurodytas duomenų rinkinys</w:t>
            </w:r>
            <w:r w:rsidRPr="00D842C1">
              <w:rPr>
                <w:b/>
                <w:i/>
                <w:color w:val="auto"/>
              </w:rPr>
              <w:t xml:space="preserve"> </w:t>
            </w:r>
            <w:r w:rsidRPr="00D842C1">
              <w:rPr>
                <w:color w:val="auto"/>
              </w:rPr>
              <w:t>, susijęs su tarptautinės apsaugos prašytoju, centrinėje sistemoje saugomas dešimt metų nuo pirštų atspaudų paėmimo datos.</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10 straipsnio 1 dalyje nurodytais tikslais kiekvienas 12 straipsnyje nurodytas duomenų rinkinys, susijęs su tarptautinės apsaugos prašytoju, centrinėje sistemoje saugomas dešimt metų nuo</w:t>
            </w:r>
            <w:r w:rsidRPr="00D842C1">
              <w:rPr>
                <w:b/>
                <w:i/>
                <w:color w:val="auto"/>
              </w:rPr>
              <w:t xml:space="preserve"> jo</w:t>
            </w:r>
            <w:r w:rsidRPr="00D842C1">
              <w:rPr>
                <w:color w:val="auto"/>
              </w:rPr>
              <w:t xml:space="preserve"> pirštų atspaudų</w:t>
            </w:r>
            <w:r w:rsidRPr="00D842C1">
              <w:rPr>
                <w:b/>
                <w:i/>
                <w:color w:val="auto"/>
              </w:rPr>
              <w:t xml:space="preserve"> ir veido atvaizdo</w:t>
            </w:r>
            <w:r w:rsidRPr="00D842C1">
              <w:rPr>
                <w:color w:val="auto"/>
              </w:rPr>
              <w:t xml:space="preserve">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Komisijos pasiūlymo, į kurio visas reikiamas vietas neįtraukiamos abi sąvokos „pirštų antspaudai“ ir „veido atvaizdas“, kurios atitinka 2 straipsnyje minimą pareigą, korekcija.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330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10 straipsnio 1 dalyje nurodytais tikslais kiekvienas 12 straipsnyje nurodytas duomenų rinkinys</w:t>
            </w:r>
            <w:r w:rsidRPr="00D842C1">
              <w:rPr>
                <w:b/>
                <w:i/>
                <w:color w:val="auto"/>
              </w:rPr>
              <w:t xml:space="preserve"> </w:t>
            </w:r>
            <w:r w:rsidRPr="00D842C1">
              <w:rPr>
                <w:color w:val="auto"/>
              </w:rPr>
              <w:t>, susijęs su tarptautinės apsaugos prašytoju, centrinėje sistemoje saugomas</w:t>
            </w:r>
            <w:r w:rsidRPr="00D842C1">
              <w:rPr>
                <w:b/>
                <w:i/>
                <w:color w:val="auto"/>
              </w:rPr>
              <w:t xml:space="preserve"> dešimt metų</w:t>
            </w:r>
            <w:r w:rsidRPr="00D842C1">
              <w:rPr>
                <w:color w:val="auto"/>
              </w:rPr>
              <w:t xml:space="preserve"> nuo pirštų atspaudų paėmimo datos.</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10 straipsnio 1 dalyje nurodytais tikslais kiekvienas 12 straipsnyje nurodytas duomenų rinkinys, susijęs su tarptautinės apsaugos prašytoju, centrinėje sistemoje saugomas</w:t>
            </w:r>
            <w:r w:rsidRPr="00D842C1">
              <w:rPr>
                <w:b/>
                <w:i/>
                <w:color w:val="auto"/>
              </w:rPr>
              <w:t xml:space="preserve"> penkerius metus</w:t>
            </w:r>
            <w:r w:rsidRPr="00D842C1">
              <w:rPr>
                <w:color w:val="auto"/>
              </w:rPr>
              <w:t xml:space="preserve"> nuo</w:t>
            </w:r>
            <w:r w:rsidRPr="00D842C1">
              <w:rPr>
                <w:b/>
                <w:i/>
                <w:color w:val="auto"/>
              </w:rPr>
              <w:t xml:space="preserve"> pirmo</w:t>
            </w:r>
            <w:r w:rsidRPr="00D842C1">
              <w:rPr>
                <w:color w:val="auto"/>
              </w:rPr>
              <w:t xml:space="preserve"> pirštų atspaudų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Pagal Darbo tvarkos taisyklių 104 straipsnį šis pakeitimas yra būtinas, nes jis neatsiejamai susijęs su kitais priimtinais pakeitimais, susijusiais su sistemos EURODAC tikslais (1 straipsnis), kuriais įtraukiamos nuorodos į būtinumo ir proporcingumo principų laikymąsi pagal Chartijos 52 straipsnio 1 dalį ir atitinkamą Europos Sąjungos Teisingumo Teismo praktiką.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331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Christine Revault D'Allonnes Bonnefoy, Sylvie Guillaume</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10 straipsnio 1 dalyje nurodytais tikslais kiekvienas 12 straipsnyje nurodytas duomenų rinkinys</w:t>
            </w:r>
            <w:r w:rsidRPr="00D842C1">
              <w:rPr>
                <w:b/>
                <w:i/>
                <w:color w:val="auto"/>
              </w:rPr>
              <w:t xml:space="preserve"> </w:t>
            </w:r>
            <w:r w:rsidRPr="00D842C1">
              <w:rPr>
                <w:color w:val="auto"/>
              </w:rPr>
              <w:t>, susijęs su tarptautinės apsaugos prašytoju, centrinėje sistemoje saugomas</w:t>
            </w:r>
            <w:r w:rsidRPr="00D842C1">
              <w:rPr>
                <w:b/>
                <w:i/>
                <w:color w:val="auto"/>
              </w:rPr>
              <w:t xml:space="preserve"> dešimt metų</w:t>
            </w:r>
            <w:r w:rsidRPr="00D842C1">
              <w:rPr>
                <w:color w:val="auto"/>
              </w:rPr>
              <w:t xml:space="preserve"> nuo pirštų atspaudų paėmimo datos.</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10 straipsnio 1 dalyje nurodytais tikslais kiekvienas 12 straipsnyje nurodytas duomenų rinkinys</w:t>
            </w:r>
            <w:r w:rsidRPr="00D842C1">
              <w:rPr>
                <w:b/>
                <w:i/>
                <w:color w:val="auto"/>
              </w:rPr>
              <w:t xml:space="preserve"> </w:t>
            </w:r>
            <w:r w:rsidRPr="00D842C1">
              <w:rPr>
                <w:color w:val="auto"/>
              </w:rPr>
              <w:t>, susijęs su tarptautinės apsaugos prašytoju, centrinėje sistemoje saugomas</w:t>
            </w:r>
            <w:r w:rsidRPr="00D842C1">
              <w:rPr>
                <w:b/>
                <w:i/>
                <w:color w:val="auto"/>
              </w:rPr>
              <w:t xml:space="preserve"> penkerius metus</w:t>
            </w:r>
            <w:r w:rsidRPr="00D842C1">
              <w:rPr>
                <w:color w:val="auto"/>
              </w:rPr>
              <w:t xml:space="preserve"> nuo pirštų atspaudų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10 metų duomenų saugojimo laikotarpis yra nepagrįstas ir per ilgas, atsižvelgiant į jo poveikį privačiam gyvenimui (žr. Europos žmogaus teisių konvencijos 8 straipsnį ir Europos Sąjungos pagrindinių teisių chartijos 7 straipsnį apie teisę į privatų gyvenimą). Siūlau 5 metų duomenų saugojimo laikotarpį, nes jis atitinka šiandien Komisijos siūlomą neteisėtai į ES atvykstančių asmenų duomenų saugojimo laikotarpį. Nėra jokios prasmės turėti 5 metais ilgesnį laikotarpį dėl neteisėtai teritorijoje esančių asmenų.</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332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1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1a.</w:t>
            </w:r>
            <w:r w:rsidRPr="00D842C1">
              <w:rPr>
                <w:b/>
                <w:i/>
                <w:color w:val="auto"/>
              </w:rPr>
              <w:tab/>
              <w:t>12a straipsnyje nustatytais tikslais kiekvienas duomenų rinkinys, susijęs su asmeniu, dėl kurio valstybė narė ketina vykdyti perkėlimo į ES procedūrą, saugomas centrinėje sistemoje 10 metų nuo jo pirštų atspaudų paėmimo datos, jeigu priimamas teigiamas sprendimas dėl to asmens perkėlimo.</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 Juo siekiama patikslinti asmenų, dėl kurių valstybės narės ketina vykdyti perkėlimo į ES procedūras, duomenų saugojimo trukmę. Siūloma tuo atveju, kai priimamas teigiamas sprendimas dėl asmens perkėlimo, jo duomenis saugoti 10 metų. Toks laikotarpis laikytinas pagrįstu, nes sutampa su šiame reglamente nustatytu kitų tarptautinės apsaugos gavėjų duomenų saugojimo laikotarpiu.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333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1 b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1b.</w:t>
            </w:r>
            <w:r w:rsidRPr="00D842C1">
              <w:rPr>
                <w:b/>
                <w:i/>
                <w:color w:val="auto"/>
              </w:rPr>
              <w:tab/>
              <w:t>Jeigu perkėlimo į ES procedūra neįvykdoma, valstybės narės išbraukia iš EURODAC pagal Reglamento XXX/XXX 10 straipsnio 2 dalį įrašytus duomenis.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 Siūloma tuo atveju, kai perkėlimo į ES procedūra neįvykdoma, išbraukti duomenis iš EURODAC.</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334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13 straipsnio 1 dalyje nustatytais tikslais kiekvienas duomenų rinkinys, susijęs su 13 straipsnio 2 dalyje nurodytu trečiosios šalies piliečiu arba asmeniu be pilietybės, saugomas centrinėje sistemoje</w:t>
            </w:r>
            <w:r w:rsidRPr="00D842C1">
              <w:rPr>
                <w:b/>
                <w:i/>
                <w:color w:val="auto"/>
              </w:rPr>
              <w:t xml:space="preserve"> 5</w:t>
            </w:r>
            <w:r w:rsidRPr="00D842C1">
              <w:rPr>
                <w:color w:val="auto"/>
              </w:rPr>
              <w:t xml:space="preserve"> metus nuo</w:t>
            </w:r>
            <w:r w:rsidRPr="00D842C1">
              <w:rPr>
                <w:b/>
                <w:i/>
                <w:color w:val="auto"/>
              </w:rPr>
              <w:t xml:space="preserve"> jo</w:t>
            </w:r>
            <w:r w:rsidRPr="00D842C1">
              <w:rPr>
                <w:color w:val="auto"/>
              </w:rPr>
              <w:t xml:space="preserve"> pirštų</w:t>
            </w:r>
            <w:r w:rsidRPr="00D842C1">
              <w:rPr>
                <w:b/>
                <w:i/>
                <w:color w:val="auto"/>
              </w:rPr>
              <w:t xml:space="preserve"> atspaudų paėmimo</w:t>
            </w:r>
            <w:r w:rsidRPr="00D842C1">
              <w:rPr>
                <w:color w:val="auto"/>
              </w:rPr>
              <w:t xml:space="preserve"> datos.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13 straipsnio 1 dalyje nustatytais tikslais kiekvienas duomenų rinkinys, susijęs su 13 straipsnio 2 dalyje nurodytu trečiosios šalies piliečiu arba asmeniu be pilietybės, saugomas centrinėje sistemoje</w:t>
            </w:r>
            <w:r w:rsidRPr="00D842C1">
              <w:rPr>
                <w:b/>
                <w:i/>
                <w:color w:val="auto"/>
              </w:rPr>
              <w:t xml:space="preserve"> vienerius</w:t>
            </w:r>
            <w:r w:rsidRPr="00D842C1">
              <w:rPr>
                <w:color w:val="auto"/>
              </w:rPr>
              <w:t xml:space="preserve"> metus nuo</w:t>
            </w:r>
            <w:r w:rsidRPr="00D842C1">
              <w:rPr>
                <w:b/>
                <w:i/>
                <w:color w:val="auto"/>
              </w:rPr>
              <w:t xml:space="preserve"> datos, kurią valstybė narė pirmą kartą apdorojo</w:t>
            </w:r>
            <w:r w:rsidRPr="00D842C1">
              <w:rPr>
                <w:color w:val="auto"/>
              </w:rPr>
              <w:t xml:space="preserve"> pirštų</w:t>
            </w:r>
            <w:r w:rsidRPr="00D842C1">
              <w:rPr>
                <w:b/>
                <w:i/>
                <w:color w:val="auto"/>
              </w:rPr>
              <w:t xml:space="preserve"> atspaudus, arba, jei tam trečiosios šalies piliečiui arba asmeniui be pilietybės paskelbtas draudimas atvykti, draudimo atvykti laikotarpiu nuo</w:t>
            </w:r>
            <w:r w:rsidRPr="00D842C1">
              <w:rPr>
                <w:color w:val="auto"/>
              </w:rPr>
              <w:t xml:space="preserve"> datos</w:t>
            </w:r>
            <w:r w:rsidRPr="00D842C1">
              <w:rPr>
                <w:b/>
                <w:i/>
                <w:color w:val="auto"/>
              </w:rPr>
              <w:t>, kurią valstybė narė pirmą kartą apdorojo pirštų atspaudus, iki ne daugiau kaip penkerių metų</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grindžiamas Europos duomenų apsaugos priežiūros pareigūno pastabomis, siekiant užtikrinti, kad duomenų saugojimo laikotarpis būtų proporcingas duomenų rinkimo tikslui. Kadangi šie duomenys turėtų būti saugomi draudimo atvykti tikslais, siūlome duomenų saugojimą suderinti su draudimo atvykti trukme. Jeigu draudimo atvykti nebūtų, duomenys turėtų būti saugomi ne penkerius, o vienerius metus.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335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13 straipsnio 1 dalyje nustatytais tikslais kiekvienas duomenų rinkinys, susijęs su 13 straipsnio 2 dalyje nurodytu trečiosios šalies piliečiu arba asmeniu be pilietybės, saugomas centrinėje sistemoje 5 metus nuo jo pirštų atspaudų paėmimo datos.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13 straipsnio 1 dalyje nustatytais tikslais kiekvienas duomenų rinkinys, susijęs su 13 straipsnio 2 dalyje nurodytu trečiosios šalies piliečiu arba asmeniu be pilietybės, saugomas centrinėje sistemoje</w:t>
            </w:r>
            <w:r w:rsidRPr="00D842C1">
              <w:rPr>
                <w:b/>
                <w:i/>
                <w:color w:val="auto"/>
              </w:rPr>
              <w:t xml:space="preserve"> laiką, ribojamą iki prieš konkretų asmenį pritaikytos priemonės trukmės, daugiausia</w:t>
            </w:r>
            <w:r w:rsidRPr="00D842C1">
              <w:rPr>
                <w:color w:val="auto"/>
              </w:rPr>
              <w:t xml:space="preserve"> 5 metus nuo</w:t>
            </w:r>
            <w:r w:rsidRPr="00D842C1">
              <w:rPr>
                <w:b/>
                <w:i/>
                <w:color w:val="auto"/>
              </w:rPr>
              <w:t xml:space="preserve"> pirmo</w:t>
            </w:r>
            <w:r w:rsidRPr="00D842C1">
              <w:rPr>
                <w:color w:val="auto"/>
              </w:rPr>
              <w:t xml:space="preserve"> jo pirštų atspaudų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336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13 straipsnio 1 dalyje nustatytais tikslais kiekvienas duomenų rinkinys, susijęs su 13 straipsnio 2 dalyje nurodytu trečiosios šalies piliečiu arba asmeniu be pilietybės, saugomas centrinėje sistemoje</w:t>
            </w:r>
            <w:r w:rsidRPr="00D842C1">
              <w:rPr>
                <w:b/>
                <w:i/>
                <w:color w:val="auto"/>
              </w:rPr>
              <w:t xml:space="preserve"> 5 metus</w:t>
            </w:r>
            <w:r w:rsidRPr="00D842C1">
              <w:rPr>
                <w:color w:val="auto"/>
              </w:rPr>
              <w:t xml:space="preserve"> nuo jo pirštų atspaudų paėmimo datos.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13 straipsnio 1 dalyje nustatytais tikslais kiekvienas duomenų rinkinys, susijęs su 13 straipsnio 2 dalyje nurodytu trečiosios šalies piliečiu arba asmeniu be pilietybės, saugomas centrinėje sistemoje</w:t>
            </w:r>
            <w:r w:rsidRPr="00D842C1">
              <w:rPr>
                <w:b/>
                <w:i/>
                <w:color w:val="auto"/>
              </w:rPr>
              <w:t xml:space="preserve"> 10 metų</w:t>
            </w:r>
            <w:r w:rsidRPr="00D842C1">
              <w:rPr>
                <w:color w:val="auto"/>
              </w:rPr>
              <w:t xml:space="preserve"> nuo jo pirštų atspaudų</w:t>
            </w:r>
            <w:r w:rsidRPr="00D842C1">
              <w:rPr>
                <w:b/>
                <w:i/>
                <w:color w:val="auto"/>
              </w:rPr>
              <w:t xml:space="preserve"> ir veido atvaizdo</w:t>
            </w:r>
            <w:r w:rsidRPr="00D842C1">
              <w:rPr>
                <w:color w:val="auto"/>
              </w:rPr>
              <w:t xml:space="preserve">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Pakeitimas</w:t>
      </w:r>
      <w:r w:rsidRPr="00D842C1">
        <w:rPr>
          <w:rStyle w:val="HideTWBExt"/>
          <w:color w:val="auto"/>
        </w:rPr>
        <w:t>&lt;NumAm&gt;</w:t>
      </w:r>
      <w:r w:rsidRPr="00D842C1">
        <w:rPr>
          <w:color w:val="auto"/>
        </w:rPr>
        <w:t>337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Fabio Massimo Castaldo, Laura Ferrara, Ignazio Corrao</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13 straipsnio 1 dalyje nustatytais tikslais kiekvienas duomenų rinkinys, susijęs su 13 straipsnio 2 dalyje nurodytu trečiosios šalies piliečiu arba asmeniu be pilietybės, saugomas centrinėje sistemoje</w:t>
            </w:r>
            <w:r w:rsidRPr="00D842C1">
              <w:rPr>
                <w:b/>
                <w:i/>
                <w:color w:val="auto"/>
              </w:rPr>
              <w:t xml:space="preserve"> 5 metus</w:t>
            </w:r>
            <w:r w:rsidRPr="00D842C1">
              <w:rPr>
                <w:color w:val="auto"/>
              </w:rPr>
              <w:t xml:space="preserve"> nuo jo pirštų atspaudų paėmimo datos.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13 straipsnio 1 dalyje nustatytais tikslais kiekvienas duomenų rinkinys, susijęs su 13 straipsnio 2 dalyje nurodytu trečiosios šalies piliečiu arba asmeniu be pilietybės, saugomas centrinėje sistemoje</w:t>
            </w:r>
            <w:r w:rsidRPr="00D842C1">
              <w:rPr>
                <w:b/>
                <w:i/>
                <w:color w:val="auto"/>
              </w:rPr>
              <w:t xml:space="preserve"> 18 mėnesių</w:t>
            </w:r>
            <w:r w:rsidRPr="00D842C1">
              <w:rPr>
                <w:color w:val="auto"/>
              </w:rPr>
              <w:t xml:space="preserve"> nuo jo pirštų atspaudų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{IT}</w:t>
      </w:r>
      <w:r w:rsidRPr="00D842C1">
        <w:rPr>
          <w:color w:val="auto"/>
          <w:lang w:val="lt-LT"/>
        </w:rPr>
        <w:t>it</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338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Monika Hohlmeier, Heinz K. Becker, Rachida Dati, Brice Hortefeux, Mariya Gabriel</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13 straipsnio 1 dalyje nustatytais tikslais kiekvienas duomenų rinkinys, susijęs su 13 straipsnio 2 dalyje nurodytu trečiosios šalies piliečiu arba asmeniu be pilietybės, saugomas centrinėje sistemoje</w:t>
            </w:r>
            <w:r w:rsidRPr="00D842C1">
              <w:rPr>
                <w:b/>
                <w:i/>
                <w:color w:val="auto"/>
              </w:rPr>
              <w:t xml:space="preserve"> 5 metus</w:t>
            </w:r>
            <w:r w:rsidRPr="00D842C1">
              <w:rPr>
                <w:color w:val="auto"/>
              </w:rPr>
              <w:t xml:space="preserve"> nuo jo pirštų atspaudų paėmimo datos.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13 straipsnio 1 dalyje nustatytais tikslais kiekvienas duomenų rinkinys, susijęs su 13 straipsnio 2 dalyje nurodytu trečiosios šalies piliečiu arba asmeniu be pilietybės, saugomas centrinėje sistemoje</w:t>
            </w:r>
            <w:r w:rsidRPr="00D842C1">
              <w:rPr>
                <w:b/>
                <w:i/>
                <w:color w:val="auto"/>
              </w:rPr>
              <w:t xml:space="preserve"> 10 metų</w:t>
            </w:r>
            <w:r w:rsidRPr="00D842C1">
              <w:rPr>
                <w:color w:val="auto"/>
              </w:rPr>
              <w:t xml:space="preserve"> nuo jo pirštų atspaudų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339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2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2a.</w:t>
            </w:r>
            <w:r w:rsidRPr="00D842C1">
              <w:rPr>
                <w:b/>
                <w:i/>
                <w:color w:val="auto"/>
              </w:rPr>
              <w:tab/>
              <w:t>10 straipsnio 1a dalyje ir 13 straipsnio 1a dalyje nurodytais tikslais su nepilnamečiais susijusių duomenų rinkinys centrinėje sistemoje saugomas penkerius metus nuo datos, kurią valstybė narė pirmą kartą apdorojo pirštų atspaudus.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To respect the duty to give a primary consideration to the best interests of the child, fingerprints should not be compared anymore with those taken in the past if the likelihood of a wrong match increases. In case of young children, the reliability of matches of fingerprints after more than five years have passed is not yet proven. To avoid the negative consequences of a possible mismatch after a certain period has elapsed, fingerprints of children younger than 14 years should only be automatically compared for a maximum of five years. Following this period, dactyloscopic experts should only carry out manually such comparisons to avoid disadvantages for the child.</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340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3.</w:t>
            </w:r>
            <w:r w:rsidRPr="00D842C1">
              <w:rPr>
                <w:b/>
                <w:i/>
                <w:color w:val="auto"/>
              </w:rPr>
              <w:tab/>
              <w:t>14 straipsnio 1 dalyje nustatytais tikslais kiekvienas duomenų rinkinys, susijęs su 14 straipsnio 2 dalyje nurodytu trečiosios šalies piliečiu arba asmeniu be pilietybės, saugomas centrinėje sistemoje 5 metus nuo jo pirštų atspaudų paėmimo datos.</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341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14 straipsnio 1 dalyje nustatytais tikslais kiekvienas duomenų rinkinys, susijęs su 14 straipsnio 2 dalyje nurodytu trečiosios šalies piliečiu arba asmeniu be pilietybės, saugomas centrinėje sistemoje 5 metus nuo jo pirštų atspaudų paėmimo datos.</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14 straipsnio 1 dalyje nustatytais tikslais kiekvienas duomenų rinkinys, susijęs su 14 straipsnio 2 dalyje nurodytu trečiosios šalies piliečiu arba asmeniu be pilietybės, saugomas centrinėje sistemoje</w:t>
            </w:r>
            <w:r w:rsidRPr="00D842C1">
              <w:rPr>
                <w:b/>
                <w:i/>
                <w:color w:val="auto"/>
              </w:rPr>
              <w:t xml:space="preserve"> laiką, ribojamą iki prieš konkretų asmenį pritaikytos priemonės trukmės, daugiausia</w:t>
            </w:r>
            <w:r w:rsidRPr="00D842C1">
              <w:rPr>
                <w:color w:val="auto"/>
              </w:rPr>
              <w:t xml:space="preserve"> 5 metus nuo</w:t>
            </w:r>
            <w:r w:rsidRPr="00D842C1">
              <w:rPr>
                <w:b/>
                <w:i/>
                <w:color w:val="auto"/>
              </w:rPr>
              <w:t xml:space="preserve"> pirmo</w:t>
            </w:r>
            <w:r w:rsidRPr="00D842C1">
              <w:rPr>
                <w:color w:val="auto"/>
              </w:rPr>
              <w:t xml:space="preserve"> jo pirštų atspaudų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342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14 straipsnio 1 dalyje nustatytais tikslais kiekvienas duomenų rinkinys, susijęs su 14 straipsnio 2 dalyje nurodytu trečiosios šalies piliečiu arba asmeniu be pilietybės, saugomas centrinėje sistemoje</w:t>
            </w:r>
            <w:r w:rsidRPr="00D842C1">
              <w:rPr>
                <w:b/>
                <w:i/>
                <w:color w:val="auto"/>
              </w:rPr>
              <w:t xml:space="preserve"> 5 metus</w:t>
            </w:r>
            <w:r w:rsidRPr="00D842C1">
              <w:rPr>
                <w:color w:val="auto"/>
              </w:rPr>
              <w:t xml:space="preserve"> nuo jo pirštų atspaudų paėmimo datos.</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14 straipsnio 1 dalyje nustatytais tikslais kiekvienas duomenų rinkinys, susijęs su 14 straipsnio 2 dalyje nurodytu trečiosios šalies piliečiu arba asmeniu be pilietybės, saugomas centrinėje sistemoje</w:t>
            </w:r>
            <w:r w:rsidRPr="00D842C1">
              <w:rPr>
                <w:b/>
                <w:i/>
                <w:color w:val="auto"/>
              </w:rPr>
              <w:t xml:space="preserve"> 10 metų</w:t>
            </w:r>
            <w:r w:rsidRPr="00D842C1">
              <w:rPr>
                <w:color w:val="auto"/>
              </w:rPr>
              <w:t xml:space="preserve"> nuo jo pirštų atspaudų</w:t>
            </w:r>
            <w:r w:rsidRPr="00D842C1">
              <w:rPr>
                <w:b/>
                <w:i/>
                <w:color w:val="auto"/>
              </w:rPr>
              <w:t xml:space="preserve"> ir veido atvaizdo</w:t>
            </w:r>
            <w:r w:rsidRPr="00D842C1">
              <w:rPr>
                <w:color w:val="auto"/>
              </w:rPr>
              <w:t xml:space="preserve">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Pakeitimas</w:t>
      </w:r>
      <w:r w:rsidRPr="00D842C1">
        <w:rPr>
          <w:rStyle w:val="HideTWBExt"/>
          <w:color w:val="auto"/>
        </w:rPr>
        <w:t>&lt;NumAm&gt;</w:t>
      </w:r>
      <w:r w:rsidRPr="00D842C1">
        <w:rPr>
          <w:color w:val="auto"/>
        </w:rPr>
        <w:t>343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Fabio Massimo Castaldo, Laura Ferrara, Ignazio Corrao</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14 straipsnio 1 dalyje nustatytais tikslais kiekvienas duomenų rinkinys, susijęs su 14 straipsnio 2 dalyje nurodytu trečiosios šalies piliečiu arba asmeniu be pilietybės, saugomas centrinėje sistemoje</w:t>
            </w:r>
            <w:r w:rsidRPr="00D842C1">
              <w:rPr>
                <w:b/>
                <w:i/>
                <w:color w:val="auto"/>
              </w:rPr>
              <w:t xml:space="preserve"> 5 metus</w:t>
            </w:r>
            <w:r w:rsidRPr="00D842C1">
              <w:rPr>
                <w:color w:val="auto"/>
              </w:rPr>
              <w:t xml:space="preserve"> nuo jo pirštų atspaudų paėmimo datos.</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14 straipsnio 1 dalyje nustatytais tikslais kiekvienas duomenų rinkinys, susijęs su 14 straipsnio 2 dalyje nurodytu trečiosios šalies piliečiu arba asmeniu be pilietybės, saugomas centrinėje sistemoje</w:t>
            </w:r>
            <w:r w:rsidRPr="00D842C1">
              <w:rPr>
                <w:b/>
                <w:i/>
                <w:color w:val="auto"/>
              </w:rPr>
              <w:t xml:space="preserve"> 18 mėnesių</w:t>
            </w:r>
            <w:r w:rsidRPr="00D842C1">
              <w:rPr>
                <w:color w:val="auto"/>
              </w:rPr>
              <w:t xml:space="preserve"> nuo jo pirštų atspaudų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{IT}</w:t>
      </w:r>
      <w:r w:rsidRPr="00D842C1">
        <w:rPr>
          <w:color w:val="auto"/>
          <w:lang w:val="lt-LT"/>
        </w:rPr>
        <w:t>it</w:t>
      </w:r>
      <w:r w:rsidRPr="00D842C1">
        <w:rPr>
          <w:rStyle w:val="HideTWBExt"/>
          <w:color w:val="auto"/>
          <w:lang w:val="lt-LT"/>
        </w:rPr>
        <w:t>&lt;/Original&gt;</w:t>
      </w:r>
    </w:p>
    <w:p w:rsidR="00131F3A" w:rsidRPr="00D842C1" w:rsidRDefault="00131F3A" w:rsidP="00131F3A">
      <w:pPr>
        <w:pStyle w:val="AMNumberTabs"/>
        <w:rPr>
          <w:color w:val="auto"/>
        </w:rPr>
      </w:pPr>
      <w:r w:rsidRPr="00D842C1">
        <w:rPr>
          <w:rStyle w:val="HideTWBExt"/>
          <w:color w:val="auto"/>
        </w:rPr>
        <w:t>&lt;/Amend&gt;&lt;Amend&gt;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344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Monika Hohlmeier, Heinz K. Becker, Rachida Dati, Brice Hortefeux, Mariya Gabriel</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14 straipsnio 1 dalyje nustatytais tikslais kiekvienas duomenų rinkinys, susijęs su 14 straipsnio 2 dalyje nurodytu trečiosios šalies piliečiu arba asmeniu be pilietybės, saugomas centrinėje sistemoje</w:t>
            </w:r>
            <w:r w:rsidRPr="00D842C1">
              <w:rPr>
                <w:b/>
                <w:i/>
                <w:color w:val="auto"/>
              </w:rPr>
              <w:t xml:space="preserve"> 5 metus</w:t>
            </w:r>
            <w:r w:rsidRPr="00D842C1">
              <w:rPr>
                <w:color w:val="auto"/>
              </w:rPr>
              <w:t xml:space="preserve"> nuo jo pirštų atspaudų paėmimo datos.</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14 straipsnio 1 dalyje nustatytais tikslais kiekvienas duomenų rinkinys, susijęs su 14 straipsnio 2 dalyje nurodytu trečiosios šalies piliečiu arba asmeniu be pilietybės, saugomas centrinėje sistemoje</w:t>
            </w:r>
            <w:r w:rsidRPr="00D842C1">
              <w:rPr>
                <w:b/>
                <w:i/>
                <w:color w:val="auto"/>
              </w:rPr>
              <w:t xml:space="preserve"> 10 metų</w:t>
            </w:r>
            <w:r w:rsidRPr="00D842C1">
              <w:rPr>
                <w:color w:val="auto"/>
              </w:rPr>
              <w:t xml:space="preserve"> nuo jo pirštų atspaudų paėmimo datos.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345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17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Pasibaigus šio straipsnio</w:t>
            </w:r>
            <w:r w:rsidRPr="00D842C1">
              <w:rPr>
                <w:b/>
                <w:i/>
                <w:color w:val="auto"/>
              </w:rPr>
              <w:t xml:space="preserve"> 1 –3</w:t>
            </w:r>
            <w:r w:rsidRPr="00D842C1">
              <w:rPr>
                <w:color w:val="auto"/>
              </w:rPr>
              <w:t xml:space="preserve"> dalyse nurodytiems duomenų saugojimo laikotarpiams</w:t>
            </w:r>
            <w:r w:rsidRPr="00D842C1">
              <w:rPr>
                <w:b/>
                <w:i/>
                <w:color w:val="auto"/>
              </w:rPr>
              <w:t xml:space="preserve"> </w:t>
            </w:r>
            <w:r w:rsidRPr="00D842C1">
              <w:rPr>
                <w:color w:val="auto"/>
              </w:rPr>
              <w:t>, centrinė sistema automatiškai ištrina duomenų subjektų duomenis iš centrinės sistemos.</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Pasibaigus šio straipsnio</w:t>
            </w:r>
            <w:r w:rsidRPr="00D842C1">
              <w:rPr>
                <w:b/>
                <w:i/>
                <w:color w:val="auto"/>
              </w:rPr>
              <w:t xml:space="preserve"> 1–2a</w:t>
            </w:r>
            <w:r w:rsidRPr="00D842C1">
              <w:rPr>
                <w:color w:val="auto"/>
              </w:rPr>
              <w:t xml:space="preserve"> dalyse nurodytiems duomenų saugojimo laikotarpiams, centrinė sistema automatiškai ištrina duomenų subjektų duomenis iš centrinės sistemos.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346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Dietmar Köster</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18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Duomenys, susiję su asmeniu, kokios nors valstybės narės pilietybę gavusiu nepasibaigus 17 straipsnio 1</w:t>
            </w:r>
            <w:r w:rsidRPr="00D842C1">
              <w:rPr>
                <w:b/>
                <w:i/>
                <w:color w:val="auto"/>
              </w:rPr>
              <w:t xml:space="preserve"> </w:t>
            </w:r>
            <w:r w:rsidRPr="00D842C1">
              <w:rPr>
                <w:color w:val="auto"/>
              </w:rPr>
              <w:t>, 2 arba 3 dalyje nurodytam laikotarpiui, centrinėje sistemoje ištrinami pagal 28 straipsnio 4 dalį</w:t>
            </w:r>
            <w:r w:rsidRPr="00D842C1">
              <w:rPr>
                <w:b/>
                <w:i/>
                <w:color w:val="auto"/>
              </w:rPr>
              <w:t>, kai tik</w:t>
            </w:r>
            <w:r w:rsidRPr="00D842C1">
              <w:rPr>
                <w:color w:val="auto"/>
              </w:rPr>
              <w:t xml:space="preserve"> kilmės valstybė narė</w:t>
            </w:r>
            <w:r w:rsidRPr="00D842C1">
              <w:rPr>
                <w:b/>
                <w:i/>
                <w:color w:val="auto"/>
              </w:rPr>
              <w:t xml:space="preserve"> sužino, kad</w:t>
            </w:r>
            <w:r w:rsidRPr="00D842C1">
              <w:rPr>
                <w:color w:val="auto"/>
              </w:rPr>
              <w:t xml:space="preserve"> atitinkamas asmuo tokią pilietybę gavo.</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Duomenys, susiję su asmeniu, kokios nors valstybės narės pilietybę gavusiu nepasibaigus 17 straipsnio 1, 2 arba 3 dalyje nurodytam laikotarpiui, centrinėje sistemoje ištrinami pagal 28 straipsnio 4 dalį</w:t>
            </w:r>
            <w:r w:rsidRPr="00D842C1">
              <w:rPr>
                <w:b/>
                <w:i/>
                <w:color w:val="auto"/>
              </w:rPr>
              <w:t>.</w:t>
            </w:r>
            <w:r w:rsidRPr="00D842C1">
              <w:rPr>
                <w:color w:val="auto"/>
              </w:rPr>
              <w:t xml:space="preserve"> Kilmės valstybė narė</w:t>
            </w:r>
            <w:r w:rsidRPr="00D842C1">
              <w:rPr>
                <w:b/>
                <w:i/>
                <w:color w:val="auto"/>
              </w:rPr>
              <w:t xml:space="preserve"> nedelsiant informuojama, jeigu</w:t>
            </w:r>
            <w:r w:rsidRPr="00D842C1">
              <w:rPr>
                <w:color w:val="auto"/>
              </w:rPr>
              <w:t xml:space="preserve"> atitinkamas asmuo tokią pilietybę gavo</w:t>
            </w:r>
            <w:r w:rsidRPr="00D842C1">
              <w:rPr>
                <w:b/>
                <w:i/>
                <w:color w:val="auto"/>
              </w:rPr>
              <w:t>, kad būtų ištrinti jo duomenys</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susijęs su Komisijos pasiūlymo 17 straipsnio 2 dalimi (nauja) ir 17 straipsnio 3 dalimi (nauja). Prailginus duomenų subjektų duomenų saugojimo laikotarpį, turėtų būti numatyta aiški pareiga vos tik asmeniui įgijus kurios nors valstybės narės pilietybę ištrinti duomenis.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347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18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Duomenys, susiję su asmeniu, kokios nors valstybės narės pilietybę gavusiu nepasibaigus 17 straipsnio 1</w:t>
            </w:r>
            <w:r w:rsidRPr="00D842C1">
              <w:rPr>
                <w:b/>
                <w:i/>
                <w:color w:val="auto"/>
              </w:rPr>
              <w:t xml:space="preserve"> </w:t>
            </w:r>
            <w:r w:rsidRPr="00D842C1">
              <w:rPr>
                <w:color w:val="auto"/>
              </w:rPr>
              <w:t>, 2 arba 3 dalyje nurodytam laikotarpiui, centrinėje sistemoje ištrinami pagal 28 straipsnio 4 dalį, kai tik</w:t>
            </w:r>
            <w:r w:rsidRPr="00D842C1">
              <w:rPr>
                <w:b/>
                <w:i/>
                <w:color w:val="auto"/>
              </w:rPr>
              <w:t xml:space="preserve"> kilmės valstybė narė sužino, kad</w:t>
            </w:r>
            <w:r w:rsidRPr="00D842C1">
              <w:rPr>
                <w:color w:val="auto"/>
              </w:rPr>
              <w:t xml:space="preserve"> atitinkamas asmuo tokią pilietybę</w:t>
            </w:r>
            <w:r w:rsidRPr="00D842C1">
              <w:rPr>
                <w:b/>
                <w:i/>
                <w:color w:val="auto"/>
              </w:rPr>
              <w:t xml:space="preserve"> gavo</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Duomenys, susiję su asmeniu, kokios nors valstybės narės pilietybę gavusiu nepasibaigus 17 straipsnio 1, 2 arba 3 dalyje nurodytam laikotarpiui, centrinėje sistemoje</w:t>
            </w:r>
            <w:r w:rsidRPr="00D842C1">
              <w:rPr>
                <w:b/>
                <w:i/>
                <w:color w:val="auto"/>
              </w:rPr>
              <w:t xml:space="preserve"> kuo greičiau</w:t>
            </w:r>
            <w:r w:rsidRPr="00D842C1">
              <w:rPr>
                <w:color w:val="auto"/>
              </w:rPr>
              <w:t xml:space="preserve"> ištrinami pagal 28 straipsnio 4 dalį, kai tik atitinkamas asmuo tokią pilietybę</w:t>
            </w:r>
            <w:r w:rsidRPr="00D842C1">
              <w:rPr>
                <w:b/>
                <w:i/>
                <w:color w:val="auto"/>
              </w:rPr>
              <w:t xml:space="preserve"> gauna</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Duomenų bazės turėtų būti kuo greičiau atnaujinamos, kad tinkamai veiktų.</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348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18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Duomenys, susiję su asmeniu, kokios nors valstybės narės pilietybę gavusiu nepasibaigus 17 straipsnio 1, 2 arba 3 dalyje nurodytam laikotarpiui, centrinėje sistemoje ištrinami pagal 28 straipsnio 4 dalį, kai tik kilmės valstybė narė sužino, kad atitinkamas asmuo tokią pilietybę gavo.</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Duomenys, susiję su asmeniu, kokios nors valstybės narės pilietybę gavusiu nepasibaigus 17 straipsnio 1</w:t>
            </w:r>
            <w:r w:rsidRPr="00D842C1">
              <w:rPr>
                <w:b/>
                <w:i/>
                <w:color w:val="auto"/>
              </w:rPr>
              <w:t xml:space="preserve"> ir 1a</w:t>
            </w:r>
            <w:r w:rsidRPr="00D842C1">
              <w:rPr>
                <w:color w:val="auto"/>
              </w:rPr>
              <w:t>, 2 arba 3 dalyje nurodytam laikotarpiui, centrinėje sistemoje ištrinami pagal 28 straipsnio 4 dalį, kai tik kilmės valstybė narė sužino, kad atitinkamas asmuo tokią pilietybę gavo.</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349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18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Duomenys, susiję su asmeniu, kokios nors valstybės narės pilietybę gavusiu nepasibaigus 17 straipsnio 1</w:t>
            </w:r>
            <w:r w:rsidRPr="00D842C1">
              <w:rPr>
                <w:b/>
                <w:i/>
                <w:color w:val="auto"/>
              </w:rPr>
              <w:t xml:space="preserve"> </w:t>
            </w:r>
            <w:r w:rsidRPr="00D842C1">
              <w:rPr>
                <w:color w:val="auto"/>
              </w:rPr>
              <w:t>, 2 arba</w:t>
            </w:r>
            <w:r w:rsidRPr="00D842C1">
              <w:rPr>
                <w:b/>
                <w:i/>
                <w:color w:val="auto"/>
              </w:rPr>
              <w:t xml:space="preserve"> 3</w:t>
            </w:r>
            <w:r w:rsidRPr="00D842C1">
              <w:rPr>
                <w:color w:val="auto"/>
              </w:rPr>
              <w:t xml:space="preserve"> dalyje nurodytam laikotarpiui, centrinėje sistemoje ištrinami pagal 28 straipsnio 4 dalį, kai tik kilmės valstybė narė sužino, kad atitinkamas asmuo tokią pilietybę gavo.</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Duomenys, susiję su asmeniu, kokios nors valstybės narės pilietybę gavusiu nepasibaigus 17 straipsnio 1, 2 arba</w:t>
            </w:r>
            <w:r w:rsidRPr="00D842C1">
              <w:rPr>
                <w:b/>
                <w:i/>
                <w:color w:val="auto"/>
              </w:rPr>
              <w:t xml:space="preserve"> 2a</w:t>
            </w:r>
            <w:r w:rsidRPr="00D842C1">
              <w:rPr>
                <w:color w:val="auto"/>
              </w:rPr>
              <w:t xml:space="preserve"> dalyje nurodytam laikotarpiui, centrinėje sistemoje ištrinami pagal 28 straipsnio 4 dalį, kai tik kilmės valstybė narė sužino, kad atitinkamas asmuo tokią pilietybę gavo.</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350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18 straipsnio 1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1a.</w:t>
            </w:r>
            <w:r w:rsidRPr="00D842C1">
              <w:rPr>
                <w:b/>
                <w:i/>
                <w:color w:val="auto"/>
              </w:rPr>
              <w:tab/>
              <w:t>Duomenys, susiję su asmeniu, kuriam suėjo 18 metų nepasibaigus 17 straipsnio 2a dalyje nurodytam laikotarpiui, centrinėje sistemoje ištrinami pagal 28 straipsnio 4 dalį, kai tik kilmės valstybė narė sužino, kad atitinkamam asmeniui suėjo 18 metų.</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reikalingas siekiant išlaikyti šio dokumento logiką, nes šiuo dokumentu turėtų būti siekiama apsaugoti vaikus, tapusius prekybos žmonėmis aukomis, ir padėti identifikuoti ir apsaugoti dingusius be žinios, dingusius arba pasislėpusius nelydimus vaikus, kaip Europos Komisija pabrėžė savo aiškinamajame memorandume, pateikiamame kartu su siūloma EURODAC reglamento nauja redakcija. Siekiant laikytis Chartijos 7, 8 ir 24 straipsnių, ne jaunesnių kaip šešerių metų amžiaus vaikų biometrinių duomenų tvarkymas gali būti pateisinamas tik tuo atveju, jei juo aiškiai siekiama vaiko apsaugos tikslo.</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351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18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Centrinė sistema kuo skubiau ir ne vėliau nei praėjus 72 valandoms visoms kilmės valstybėms narėms praneša apie tai, kad duomenis pagal 1 dalį ištrynė kita kilmės valstybė narė, nustačiusi atitiktį su duomenimis, kuriuos jos perdavė apie asmenis, nurodytus 10 straipsnio 1 dalyje, 13 straipsnio 1 dalyje arba 14 straipsnio 1 dalyje.</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Centrinė sistema kuo skubiau ir ne vėliau nei praėjus 72 valandoms visoms kilmės valstybėms narėms praneša apie tai, kad duomenis pagal 1 dalį ištrynė kita kilmės valstybė narė, nustačiusi atitiktį su duomenimis, kuriuos jos perdavė apie asmenis, nurodytus 10 straipsnio 1 dalyje,</w:t>
            </w:r>
            <w:r w:rsidRPr="00D842C1">
              <w:rPr>
                <w:b/>
                <w:i/>
                <w:color w:val="auto"/>
              </w:rPr>
              <w:t xml:space="preserve"> 12a straipsnyje,</w:t>
            </w:r>
            <w:r w:rsidRPr="00D842C1">
              <w:rPr>
                <w:color w:val="auto"/>
              </w:rPr>
              <w:t xml:space="preserve"> 13 straipsnio 1 dalyje arba 14 straipsnio 1 dalyje.</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352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18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Centrinė sistema kuo skubiau ir ne vėliau nei praėjus 72 valandoms visoms kilmės valstybėms narėms praneša apie tai, kad duomenis pagal 1</w:t>
            </w:r>
            <w:r w:rsidRPr="00D842C1">
              <w:rPr>
                <w:b/>
                <w:i/>
                <w:color w:val="auto"/>
              </w:rPr>
              <w:t xml:space="preserve"> dalį</w:t>
            </w:r>
            <w:r w:rsidRPr="00D842C1">
              <w:rPr>
                <w:color w:val="auto"/>
              </w:rPr>
              <w:t xml:space="preserve"> ištrynė kita kilmės valstybė narė, nustačiusi atitiktį su duomenimis, kuriuos jos perdavė apie asmenis, nurodytus 10 straipsnio 1 dalyje</w:t>
            </w:r>
            <w:r w:rsidRPr="00D842C1">
              <w:rPr>
                <w:b/>
                <w:i/>
                <w:color w:val="auto"/>
              </w:rPr>
              <w:t>,</w:t>
            </w:r>
            <w:r w:rsidRPr="00D842C1">
              <w:rPr>
                <w:color w:val="auto"/>
              </w:rPr>
              <w:t xml:space="preserve"> 13 straipsnio 1 dalyje</w:t>
            </w:r>
            <w:r w:rsidRPr="00D842C1">
              <w:rPr>
                <w:b/>
                <w:i/>
                <w:color w:val="auto"/>
              </w:rPr>
              <w:t xml:space="preserve"> arba 14 straipsnio 1 dalyje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Centrinė sistema kuo skubiau ir ne vėliau nei praėjus 72 valandoms visoms kilmės valstybėms narėms praneša apie tai, kad duomenis pagal 1</w:t>
            </w:r>
            <w:r w:rsidRPr="00D842C1">
              <w:rPr>
                <w:b/>
                <w:i/>
                <w:color w:val="auto"/>
              </w:rPr>
              <w:t xml:space="preserve"> ir 1a dalis</w:t>
            </w:r>
            <w:r w:rsidRPr="00D842C1">
              <w:rPr>
                <w:color w:val="auto"/>
              </w:rPr>
              <w:t xml:space="preserve"> ištrynė kita kilmės valstybė narė, nustačiusi atitiktį su duomenimis, kuriuos jos perdavė apie asmenis, nurodytus 10 straipsnio 1 dalyje</w:t>
            </w:r>
            <w:r w:rsidRPr="00D842C1">
              <w:rPr>
                <w:b/>
                <w:i/>
                <w:color w:val="auto"/>
              </w:rPr>
              <w:t xml:space="preserve"> arba</w:t>
            </w:r>
            <w:r w:rsidRPr="00D842C1">
              <w:rPr>
                <w:color w:val="auto"/>
              </w:rPr>
              <w:t xml:space="preserve"> 13 straipsnio 1 dalyje.</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reikalingas siekiant išlaikyti šio dokumento logiką, nes šiuo dokumentu turėtų būti siekiama apsaugoti vaikus, tapusius prekybos žmonėmis aukomis, ir padėti identifikuoti ir apsaugoti dingusius be žinios, dingusius arba pasislėpusius nelydimus vaikus, kaip Europos Komisija pabrėžė savo aiškinamajame memorandume, pateikiamame kartu su siūloma EURODAC reglamento nauja redakcija. Siekiant laikytis Chartijos 7, 8 ir 24 straipsnių, ne jaunesnių kaip šešerių metų amžiaus vaikų biometrinių duomenų tvarkymas gali būti pateisinamas tik tuo atveju, jei juo aiškiai siekiama vaiko apsaugos tikslo.</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353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a punkte nustatytais tikslais tarptautinės apsaugos prašytojui, kurio duomenys anksčiau buvo įrašyti į centrinę sistemą pagal 12 straipsnį, tarptautinę apsaugą suteikusi kilmės valstybė narė pažymi atitinkamus duomenis, laikydamasi</w:t>
            </w:r>
            <w:r w:rsidRPr="00D842C1">
              <w:rPr>
                <w:b/>
                <w:i/>
                <w:color w:val="auto"/>
              </w:rPr>
              <w:t xml:space="preserve"> </w:t>
            </w:r>
            <w:r w:rsidRPr="00D842C1">
              <w:rPr>
                <w:color w:val="auto"/>
              </w:rPr>
              <w:t>„eu-LISA“ nustatytų elektroninių ryšių su centrine sistema reikalavimų. Tas žymėjimas saugomas centrinėje sistemoje pagal 17 straipsnio 1 dalį, kad jį būtų galima perduoti pagal 15 straipsnį</w:t>
            </w:r>
            <w:r w:rsidRPr="00D842C1">
              <w:rPr>
                <w:b/>
                <w:i/>
                <w:color w:val="auto"/>
              </w:rPr>
              <w:t xml:space="preserve"> </w:t>
            </w:r>
            <w:r w:rsidRPr="00D842C1">
              <w:rPr>
                <w:color w:val="auto"/>
              </w:rPr>
              <w:t>. Centrinė sistema kuo skubiau ir ne vėliau nei po 72 valandų praneša visoms kilmės valstybėms narėms apie tai, kad nustatyta kitos kilmės valstybės narės pažymėtų duomenų ir jų perduotų duomenų, susijusių su 10 straipsnio 1 dalyje</w:t>
            </w:r>
            <w:r w:rsidRPr="00D842C1">
              <w:rPr>
                <w:b/>
                <w:i/>
                <w:color w:val="auto"/>
              </w:rPr>
              <w:t>, 13</w:t>
            </w:r>
            <w:r w:rsidRPr="00D842C1">
              <w:rPr>
                <w:color w:val="auto"/>
              </w:rPr>
              <w:t xml:space="preserve"> straipsnio 1 dalyje</w:t>
            </w:r>
            <w:r w:rsidRPr="00D842C1">
              <w:rPr>
                <w:b/>
                <w:i/>
                <w:color w:val="auto"/>
              </w:rPr>
              <w:t xml:space="preserve"> arba 14 straipsnio 1 dalyje</w:t>
            </w:r>
            <w:r w:rsidRPr="00D842C1">
              <w:rPr>
                <w:color w:val="auto"/>
              </w:rPr>
              <w:t xml:space="preserve"> nurodytais asmenimis, atitiktis. Tos kilmės valstybės narės taip pat pažymi atitinkamus duomenų rinkinius.</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a punkte nustatytais tikslais tarptautinės apsaugos prašytojui, kurio duomenys anksčiau buvo įrašyti į centrinę sistemą pagal 12 straipsnį, tarptautinę apsaugą suteikusi kilmės valstybė narė pažymi atitinkamus duomenis, laikydamasi</w:t>
            </w:r>
            <w:r w:rsidRPr="00D842C1">
              <w:rPr>
                <w:b/>
                <w:i/>
                <w:color w:val="auto"/>
              </w:rPr>
              <w:t xml:space="preserve"> </w:t>
            </w:r>
            <w:r w:rsidRPr="00D842C1">
              <w:rPr>
                <w:color w:val="auto"/>
              </w:rPr>
              <w:t>„eu-LISA“ nustatytų elektroninių ryšių su centrine sistema reikalavimų. Tas žymėjimas saugomas centrinėje sistemoje pagal 17 straipsnio 1 dalį, kad jį būtų galima perduoti pagal 15 straipsnį. Centrinė sistema kuo skubiau ir ne vėliau nei po 72 valandų praneša visoms kilmės valstybėms narėms apie tai, kad nustatyta kitos kilmės valstybės narės pažymėtų duomenų ir jų perduotų duomenų, susijusių su 10 straipsnio 1 dalyje</w:t>
            </w:r>
            <w:r w:rsidRPr="00D842C1">
              <w:rPr>
                <w:b/>
                <w:i/>
                <w:color w:val="auto"/>
              </w:rPr>
              <w:t xml:space="preserve"> arba 13</w:t>
            </w:r>
            <w:r w:rsidRPr="00D842C1">
              <w:rPr>
                <w:color w:val="auto"/>
              </w:rPr>
              <w:t xml:space="preserve"> straipsnio 1 dalyje nurodytais asmenimis, atitiktis. Tos kilmės valstybės narės taip pat pažymi atitinkamus duomenų rinkinius.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354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a punkte nustatytais tikslais tarptautinės apsaugos prašytojui, kurio duomenys anksčiau buvo įrašyti į centrinę sistemą pagal 12 straipsnį, tarptautinę apsaugą suteikusi kilmės valstybė narė pažymi atitinkamus duomenis, laikydamasi</w:t>
            </w:r>
            <w:r w:rsidRPr="00D842C1">
              <w:rPr>
                <w:b/>
                <w:i/>
                <w:color w:val="auto"/>
              </w:rPr>
              <w:t xml:space="preserve"> </w:t>
            </w:r>
            <w:r w:rsidRPr="00D842C1">
              <w:rPr>
                <w:color w:val="auto"/>
              </w:rPr>
              <w:t>„eu-LISA“ nustatytų elektroninių ryšių su centrine sistema reikalavimų. Tas žymėjimas saugomas centrinėje sistemoje pagal 17 straipsnio 1 dalį, kad jį būtų galima perduoti pagal 15</w:t>
            </w:r>
            <w:r w:rsidRPr="00D842C1">
              <w:rPr>
                <w:b/>
                <w:i/>
                <w:color w:val="auto"/>
              </w:rPr>
              <w:t xml:space="preserve"> straipsnį </w:t>
            </w:r>
            <w:r w:rsidRPr="00D842C1">
              <w:rPr>
                <w:color w:val="auto"/>
              </w:rPr>
              <w:t>. Centrinė sistema kuo skubiau ir ne vėliau nei po 72 valandų praneša visoms kilmės valstybėms narėms apie tai, kad nustatyta kitos kilmės valstybės narės pažymėtų duomenų ir jų perduotų duomenų, susijusių su 10 straipsnio 1 dalyje, 13 straipsnio 1 dalyje arba 14 straipsnio 1 dalyje nurodytais asmenimis, atitiktis. Tos kilmės valstybės narės taip pat pažymi atitinkamus duomenų rinkinius.</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a punkte nustatytais tikslais tarptautinės apsaugos prašytojui, kurio duomenys anksčiau buvo įrašyti į centrinę sistemą pagal 12 straipsnį, tarptautinę apsaugą suteikusi kilmės valstybė narė pažymi atitinkamus duomenis, laikydamasi</w:t>
            </w:r>
            <w:r w:rsidRPr="00D842C1">
              <w:rPr>
                <w:b/>
                <w:i/>
                <w:color w:val="auto"/>
              </w:rPr>
              <w:t xml:space="preserve"> </w:t>
            </w:r>
            <w:r w:rsidRPr="00D842C1">
              <w:rPr>
                <w:color w:val="auto"/>
              </w:rPr>
              <w:t>„eu-LISA“ nustatytų elektroninių ryšių su centrine sistema reikalavimų. Tas žymėjimas saugomas centrinėje sistemoje pagal 17 straipsnio 1 dalį, kad jį būtų galima perduoti pagal 15</w:t>
            </w:r>
            <w:r w:rsidRPr="00D842C1">
              <w:rPr>
                <w:b/>
                <w:i/>
                <w:color w:val="auto"/>
              </w:rPr>
              <w:t xml:space="preserve"> ir 16 straipsnius</w:t>
            </w:r>
            <w:r w:rsidRPr="00D842C1">
              <w:rPr>
                <w:color w:val="auto"/>
              </w:rPr>
              <w:t>. Centrinė sistema kuo skubiau ir ne vėliau nei po 72 valandų praneša visoms kilmės valstybėms narėms apie tai, kad nustatyta kitos kilmės valstybės narės pažymėtų duomenų ir jų perduotų duomenų, susijusių su 10 straipsnio 1 dalyje, 13 straipsnio 1 dalyje arba 14 straipsnio 1 dalyje nurodytais asmenimis, atitiktis. Tos kilmės valstybės narės taip pat pažymi atitinkamus duomenų rinkinius.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355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2 dalies pirma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Tarptautinės apsaugos gavėjų duomenys, saugomi centrinėje sistemoje ir pažymėti pagal šio straipsnio 1 dalį, prieinami norint juos palyginti 1 straipsnio 1 dalies c punkte nustatytais tikslais</w:t>
            </w:r>
            <w:r w:rsidRPr="00D842C1">
              <w:rPr>
                <w:b/>
                <w:i/>
                <w:color w:val="auto"/>
              </w:rPr>
              <w:t xml:space="preserve"> trejų metų laikotarpiu nuo dienos, kai duomenų subjektui suteikta tarptautinė apsauga</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Tarptautinės apsaugos gavėjų duomenys, saugomi centrinėje sistemoje ir pažymėti pagal šio straipsnio 1 dalį, prieinami norint juos palyginti 1 straipsnio 1 dalies c punkte nustatytais tikslais</w:t>
            </w:r>
            <w:r w:rsidRPr="00D842C1">
              <w:rPr>
                <w:b/>
                <w:i/>
                <w:color w:val="auto"/>
              </w:rPr>
              <w:t xml:space="preserve"> tol, kol tokie duomenys nėra automatiškai ištrinami iš centrinės sistemos pagal 17 straipsnio 4 dalį</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Duomenų bazės turėtų būti kuo greičiau atnaujinamos, kad tinkamai veiktų, todėl 17 straipsnio 4 dalyje nurodytas duomenų ištrynimo reikalavimas turėtų būti susietas su šia pastraipa.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356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2 dalies antra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Atitikties atveju centrinė sistema perduoda 12 straipsnio b–s punktuose nurodytus duomenis, susijusius su visais sutampančiais duomenų rinkiniais. Centrinė sistema neperduoda šio straipsnio 1 dalyje nurodyto žymėjimo. Pasibaigus trejų metų laikotarpiui, centrinė sistema automatiškai blokuoja šiuos duomenis, kad pateikus prašymą juos palyginti 1 straipsnio 1 dalies c punkte nustatytais tikslais jie negalėtų būti perduoti; vis dėlto tie duomenys iki jų ištrynimo laiko prieinami norint juos palyginti 1 straipsnio 1 dalies a punkte išdėstytais tikslais. Blokuoti duomenys neperduodami ir atitikties atveju centrinė sistema pateikia neigiamą valstybės narės užklausos rezultatą.</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Duomenų bazės turėtų būti prieinamos tol, kol jos neištrinamos pagal 17 straipsnio 4 dalį.</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357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Kilmės valstybė narė pašalina trečiosios šalies piliečio arba asmens be pilietybės, kurių duomenys anksčiau buvo pažymėti</w:t>
            </w:r>
            <w:r w:rsidRPr="00D842C1">
              <w:rPr>
                <w:b/>
                <w:i/>
                <w:color w:val="auto"/>
              </w:rPr>
              <w:t xml:space="preserve"> ar užblokuoti</w:t>
            </w:r>
            <w:r w:rsidRPr="00D842C1">
              <w:rPr>
                <w:color w:val="auto"/>
              </w:rPr>
              <w:t xml:space="preserve"> pagal šio straipsnio 1 ar 2 dalis, duomenų žymes</w:t>
            </w:r>
            <w:r w:rsidRPr="00D842C1">
              <w:rPr>
                <w:b/>
                <w:i/>
                <w:color w:val="auto"/>
              </w:rPr>
              <w:t xml:space="preserve"> arba šiuos duomenis atblokuoja</w:t>
            </w:r>
            <w:r w:rsidRPr="00D842C1">
              <w:rPr>
                <w:color w:val="auto"/>
              </w:rPr>
              <w:t>, jeigu jų statusas buvo panaikintas, nutrauktas arba atsisakyta jį pratęsti pagal [Direktyvos 2011/95/ES 14 arba 19 straipsnį].</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Kilmės valstybė narė pašalina trečiosios šalies piliečio arba asmens be pilietybės, kurių duomenys anksčiau buvo pažymėti pagal šio straipsnio 1 ar 2 dalis, duomenų žymes, jeigu jų statusas buvo panaikintas, nutrauktas arba atsisakyta jį pratęsti pagal [Direktyvos 2011/95/ES 14 arba 19 straipsnį].</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Atitinka ankstesnį pakeitimą.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358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3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3a.</w:t>
            </w:r>
            <w:r w:rsidRPr="00D842C1">
              <w:rPr>
                <w:b/>
                <w:i/>
                <w:color w:val="auto"/>
              </w:rPr>
              <w:tab/>
              <w:t>1 straipsnio 1 dalies aa punkte nustatytais tikslais kilmės valstybė narė, pagal Reglamentą XXX/XXX priėmusi teigiamą sprendimą dėl trečiosios šalies piliečio arba asmens be pilietybės, kurio duomenys anksčiau buvo įrašyti į centrinę sistemą pagal 12a straipsnį, perkėlimo į ES, pažymi atitinkamus duomenis, laikydamasi „eu-LISA“ nustatytų elektroninių ryšių su centrine sistema reikalavimų. Tas žymėjimas saugomas centrinėje sistemoje pagal 17 straipsnio 1a dalį, kad jį būtų galima perduoti pagal 15 ir 16 straipsnius. Centrinė sistema kuo skubiau ir ne vėliau nei po 72 valandų visoms kilmės valstybėms narėms praneša apie tai, kad duomenis pažymėjo kita kilmės valstybė narė, nustačiusi atitiktį su duomenimis, kuriuos jos perdavė apie asmenis, nurodytus 12a straipsnyje. Tos kilmės valstybės narės taip pat pažymi atitinkamus duomenų rinkinius.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359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3 b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3b.</w:t>
            </w:r>
            <w:r w:rsidRPr="00D842C1">
              <w:rPr>
                <w:b/>
                <w:i/>
                <w:color w:val="auto"/>
              </w:rPr>
              <w:tab/>
              <w:t>Jeigu pagal Reglamentą XXX/XXX pradėta trečiosios šalies piliečio arba asmens be pilietybės perkėlimo į ES procedūra neįvykdoma, atitinkama valstybė narė išbraukia iš EURODAC pagal šio reglamento 10 straipsnio 2 dalį įrašytus duomenis.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360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3 c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3c.</w:t>
            </w:r>
            <w:r w:rsidRPr="00D842C1">
              <w:rPr>
                <w:b/>
                <w:i/>
                <w:color w:val="auto"/>
              </w:rPr>
              <w:tab/>
              <w:t>Į tam tikrą valstybę narę perkeltų tarptautinės apsaugos gavėjų duomenys, saugomi centrinėje sistemoje ir pažymėti pagal šio straipsnio 3a dalį, yra prieinami norint juos palyginti 1 straipsnio 1 dalies c punkte nustatytais tikslais trejų metų laikotarpį nuo dienos, kai duomenų subjektas perkeltas į ES.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Atitikties atveju centrinė sistema perduoda 12b straipsnio b–l punktuose nurodytus duomenis, susijusius su visais sutampančiais duomenų rinkiniais. Centrinė sistema neperduoda šio straipsnio 1 dalyje nurodyto žymėjimo. Pasibaigus trejų metų laikotarpiui, centrinė sistema automatiškai blokuoja šiuos duomenis, kad pateikus prašymą juos palyginti 1 straipsnio 1 dalies c punkte nustatytais tikslais jie negalėtų būti perduoti; vis dėlto tie duomenys iki jų ištrynimo laiko prieinami norint juos palyginti 1 straipsnio 1 dalies aa punkte išdėstytais tikslais. Blokuoti duomenys neperduodami ir atitikties atveju centrinė sistema pateikia neigiamą valstybės narės užklausos rezultatą.</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361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3 d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3d.</w:t>
            </w:r>
            <w:r w:rsidRPr="00D842C1">
              <w:rPr>
                <w:b/>
                <w:i/>
                <w:color w:val="auto"/>
              </w:rPr>
              <w:tab/>
              <w:t>Kilmės valstybė narė pašalina trečiosios šalies piliečio arba asmens be pilietybės, kurių duomenys anksčiau buvo pažymėti ar užblokuoti pagal šio straipsnio 3a ar 3c dalis, duomenų žymes arba šiuos duomenis atblokuoja, jeigu jų statusas buvo panaikintas, nutrauktas arba atsisakyta jį pratęsti pagal [Direktyvos 2011/95/ES 14 arba 19 straipsnį].</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362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4.</w:t>
            </w:r>
            <w:r w:rsidRPr="00D842C1">
              <w:rPr>
                <w:b/>
                <w:i/>
                <w:color w:val="auto"/>
              </w:rPr>
              <w:tab/>
              <w:t>1 straipsnio 1 dalies b punkte nustatytais tikslais neteisėtai esančiam trečiosios šalies piliečiui arba asmeniui be pilietybės, kurio duomenys anksčiau buvo įrašyti į centrinę sistemą pagal 13 straipsnio 2 dalį ir 14 straipsnio 2 dalį, teisę gyventi šalyje patvirtinantį dokumentą suteikusi kilmės valstybė narė pažymi atitinkamus duomenis, laikydamasi „eu-LISA“ nustatytų elektroninių ryšių su centrine sistema reikalavimų. Tas žymėjimas saugomas centrinėje sistemoje pagal 17 straipsnio 2 ir 3 dalis, kad jį būtų galima perduoti pagal 15 ir 16 straipsnius. Centrinė sistema kuo skubiau ir ne vėliau nei po 72 valandų visoms kilmės valstybėms narėms praneša apie tai, kad duomenis pažymėjo kita kilmės valstybė narė, nustačiusi atitiktį su duomenimis, kuriuos jos perdavė apie asmenis, nurodytus 13 straipsnio 1 dalyje arba 14 straipsnio 1 dalyje. Tos kilmės valstybės narės taip pat pažymi atitinkamus duomenų rinkinius.</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neatsiejamai susijęs su priimtinu pakeitimu, kuriuo išbraukiamas 1 straipsnio 1 dalies b punktas.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363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19 straipsnio 5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5.</w:t>
            </w:r>
            <w:r w:rsidRPr="00D842C1">
              <w:rPr>
                <w:b/>
                <w:i/>
                <w:color w:val="auto"/>
              </w:rPr>
              <w:tab/>
              <w:t>Neteisėtai esančių trečiųjų šalių piliečių arba asmenų be pilietybės duomenys, saugomi centrinėje sistemoje ir pažymėti pagal šio straipsnio 4 dalį, yra prieinami norint juos palyginti 1 straipsnio 1 dalies c punkte nustatytais tikslais tol, kol jie nebus automatiškai ištrinti iš centrinės sistemos pagal 17 straipsnio 4 dalį.</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364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20 straipsnio </w:t>
      </w:r>
      <w:r w:rsidR="00624C15" w:rsidRPr="00D842C1">
        <w:rPr>
          <w:color w:val="auto"/>
        </w:rPr>
        <w:t>antraštė</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Pirštų</w:t>
            </w:r>
            <w:r w:rsidRPr="00D842C1">
              <w:rPr>
                <w:b/>
                <w:i/>
                <w:color w:val="auto"/>
              </w:rPr>
              <w:t xml:space="preserve"> atspaudų</w:t>
            </w:r>
            <w:r w:rsidRPr="00D842C1">
              <w:rPr>
                <w:color w:val="auto"/>
              </w:rPr>
              <w:t xml:space="preserve"> duomenų palyginimo su sistemos EURODAC duomenimis procedūra</w:t>
            </w:r>
          </w:p>
        </w:tc>
        <w:tc>
          <w:tcPr>
            <w:tcW w:w="4876" w:type="dxa"/>
          </w:tcPr>
          <w:p w:rsidR="00131F3A" w:rsidRPr="00D842C1" w:rsidRDefault="00131F3A" w:rsidP="00131F3A">
            <w:pPr>
              <w:pStyle w:val="Normal6"/>
              <w:rPr>
                <w:b/>
                <w:i/>
                <w:color w:val="auto"/>
              </w:rPr>
            </w:pPr>
            <w:r w:rsidRPr="00D842C1">
              <w:rPr>
                <w:color w:val="auto"/>
              </w:rPr>
              <w:t>Pirštų</w:t>
            </w:r>
            <w:r w:rsidRPr="00D842C1">
              <w:rPr>
                <w:b/>
                <w:i/>
                <w:color w:val="auto"/>
              </w:rPr>
              <w:t xml:space="preserve"> antspaudų, veido atvaizdo ir raidinių skaitmeninių</w:t>
            </w:r>
            <w:r w:rsidRPr="00D842C1">
              <w:rPr>
                <w:color w:val="auto"/>
              </w:rPr>
              <w:t xml:space="preserve"> duomenų palyginimo su sistemos EURODAC duomenimis procedūra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Correction of the commission'sproposal that doesn't insert in all the required places both 'fingerprints' and'facial image', which is in line with the obligation as mentioned in article 2. With regards to the search on alphanumeric data: 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toEurodac should be quick and effective, but should still take into considerationthat the main purpose of Eurodac is to support the Member States in applyingthe Dublin regulation.</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365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20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c punkte išdėstytais tikslais 6 straipsnio 1 dalyje ir 8 straipsnio 2 dalyje nurodytos paskirtos institucijos gali pateikti tikrinančiajai institucijai motyvuotą elektroninį prašymą, kaip numatyta pagal 21 straipsnio 1 dalį, kartu su jų naudojamu registracijos numeriu perduoti per nacionalinę duomenų perdavimo įstaigą pirštų atspaudų ir veido atvaizdo duomenis į centrinę sistemą siekiant juos palyginti. Gavusi tokį prašymą, tikrinančioji institucija tikrina, ar įvykdytos atitinkamai 21 arba 22 straipsniuose nustatytos prašymo palyginti duomenis teikimo sąlygos.</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c punkte išdėstytais tikslais 6 straipsnio 1 dalyje ir 8 straipsnio 2 dalyje nurodytos paskirtos institucijos gali pateikti tikrinančiajai institucijai motyvuotą elektroninį prašymą, kaip numatyta pagal 21 straipsnio 1 dalį, kartu su jų naudojamu registracijos numeriu perduoti per nacionalinę duomenų perdavimo įstaigą pirštų atspaudų ir veido atvaizdo duomenis į centrinę sistemą</w:t>
            </w:r>
            <w:r w:rsidRPr="00D842C1">
              <w:rPr>
                <w:b/>
                <w:i/>
                <w:color w:val="auto"/>
              </w:rPr>
              <w:t xml:space="preserve"> ir 6 straipsnio 1 dalyje nurodytas paskirtas institucijas</w:t>
            </w:r>
            <w:r w:rsidRPr="00D842C1">
              <w:rPr>
                <w:color w:val="auto"/>
              </w:rPr>
              <w:t xml:space="preserve"> siekiant juos palyginti. Gavusi tokį prašymą, tikrinančioji institucija tikrina, ar įvykdytos atitinkamai 21 arba 22 straipsniuose nustatytos prašymo palyginti duomenis teikimo sąlygos.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susijęs su 1 straipsnio 1 dalies c punktu. Tiek dėl techninių, tiek dėl duomenų apsaugos priežasčių, šiuo metu Europolas negali reikalauti palyginimo per nacionalinę ryšių palaikymo instituciją, nors teisės aktų leidėjas leido Europolui tai daryti 2013 m. išdėstymo nauja redakcija procedūros metu. Todėl Europolui turėtų būti leidžiama prašyti palyginimo be jokių aplinkinių kelių.</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366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20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c punkte išdėstytais tikslais 6 straipsnio 1 dalyje ir 8 straipsnio 2 dalyje nurodytos paskirtos institucijos gali pateikti tikrinančiajai institucijai motyvuotą elektroninį prašymą, kaip numatyta pagal 21 straipsnio 1 dalį, kartu su jų naudojamu registracijos numeriu perduoti per nacionalinę duomenų perdavimo įstaigą pirštų atspaudų</w:t>
            </w:r>
            <w:r w:rsidRPr="00D842C1">
              <w:rPr>
                <w:b/>
                <w:i/>
                <w:color w:val="auto"/>
              </w:rPr>
              <w:t xml:space="preserve"> ir</w:t>
            </w:r>
            <w:r w:rsidRPr="00D842C1">
              <w:rPr>
                <w:color w:val="auto"/>
              </w:rPr>
              <w:t xml:space="preserve"> veido atvaizdo duomenis į centrinę sistemą siekiant juos palyginti. Gavusi tokį prašymą, tikrinančioji institucija tikrina, ar įvykdytos atitinkamai 21 arba 22 straipsniuose nustatytos prašymo palyginti duomenis teikimo sąlygos.</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c punkte išdėstytais tikslais 6 straipsnio 1 dalyje ir 8 straipsnio 2 dalyje nurodytos paskirtos institucijos gali pateikti tikrinančiajai institucijai motyvuotą elektroninį prašymą, kaip numatyta pagal 21 straipsnio 1 dalį, kartu su jų naudojamu registracijos numeriu perduoti per nacionalinę duomenų perdavimo įstaigą pirštų atspaudų</w:t>
            </w:r>
            <w:r w:rsidRPr="00D842C1">
              <w:rPr>
                <w:b/>
                <w:i/>
                <w:color w:val="auto"/>
              </w:rPr>
              <w:t>,</w:t>
            </w:r>
            <w:r w:rsidRPr="00D842C1">
              <w:rPr>
                <w:color w:val="auto"/>
              </w:rPr>
              <w:t xml:space="preserve"> veido atvaizdo</w:t>
            </w:r>
            <w:r w:rsidRPr="00D842C1">
              <w:rPr>
                <w:b/>
                <w:i/>
                <w:color w:val="auto"/>
              </w:rPr>
              <w:t xml:space="preserve"> arba jų abiejų</w:t>
            </w:r>
            <w:r w:rsidRPr="00D842C1">
              <w:rPr>
                <w:color w:val="auto"/>
              </w:rPr>
              <w:t xml:space="preserve"> duomenis į centrinę sistemą siekiant juos palyginti. Gavusi tokį prašymą, tikrinančioji institucija tikrina, ar įvykdytos atitinkamai 21 arba 22 straipsniuose nustatytos prašymo palyginti duomenis teikimo sąlygos.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367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20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c punkte išdėstytais tikslais 6 straipsnio 1 dalyje</w:t>
            </w:r>
            <w:r w:rsidRPr="00D842C1">
              <w:rPr>
                <w:b/>
                <w:i/>
                <w:color w:val="auto"/>
              </w:rPr>
              <w:t xml:space="preserve"> ir 8 straipsnio 2 dalyje</w:t>
            </w:r>
            <w:r w:rsidRPr="00D842C1">
              <w:rPr>
                <w:color w:val="auto"/>
              </w:rPr>
              <w:t xml:space="preserve"> nurodytos paskirtos institucijos gali pateikti tikrinančiajai institucijai motyvuotą elektroninį prašymą, kaip numatyta pagal 21 straipsnio 1 dalį, kartu su jų naudojamu registracijos numeriu perduoti per nacionalinę duomenų perdavimo įstaigą pirštų atspaudų</w:t>
            </w:r>
            <w:r w:rsidRPr="00D842C1">
              <w:rPr>
                <w:b/>
                <w:i/>
                <w:color w:val="auto"/>
              </w:rPr>
              <w:t xml:space="preserve"> ir</w:t>
            </w:r>
            <w:r w:rsidRPr="00D842C1">
              <w:rPr>
                <w:color w:val="auto"/>
              </w:rPr>
              <w:t xml:space="preserve"> veido atvaizdo duomenis į centrinę sistemą siekiant juos palyginti. Gavusi tokį prašymą, tikrinančioji institucija tikrina, ar įvykdytos atitinkamai 21 arba 22 straipsniuose nustatytos prašymo palyginti duomenis teikimo sąlygos.</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c punkte išdėstytais tikslais 6 straipsnio 1 dalyje nurodytos paskirtos institucijos gali pateikti tikrinančiajai institucijai motyvuotą elektroninį prašymą, kaip numatyta pagal 21 straipsnio 1 dalį, kartu su jų naudojamu registracijos numeriu perduoti per nacionalinę duomenų perdavimo įstaigą pirštų atspaudų</w:t>
            </w:r>
            <w:r w:rsidRPr="00D842C1">
              <w:rPr>
                <w:b/>
                <w:i/>
                <w:color w:val="auto"/>
              </w:rPr>
              <w:t>,</w:t>
            </w:r>
            <w:r w:rsidRPr="00D842C1">
              <w:rPr>
                <w:color w:val="auto"/>
              </w:rPr>
              <w:t xml:space="preserve"> veido atvaizdo</w:t>
            </w:r>
            <w:r w:rsidRPr="00D842C1">
              <w:rPr>
                <w:b/>
                <w:i/>
                <w:color w:val="auto"/>
              </w:rPr>
              <w:t xml:space="preserve"> ir raidinius skaitmeninius</w:t>
            </w:r>
            <w:r w:rsidRPr="00D842C1">
              <w:rPr>
                <w:color w:val="auto"/>
              </w:rPr>
              <w:t xml:space="preserve"> duomenis į centrinę sistemą siekiant juos palyginti. Gavusi tokį prašymą, tikrinančioji institucija tikrina, ar įvykdytos atitinkamai 21 arba 22 straipsniuose nustatytos prašymo palyginti duomenis teikimo sąlygos.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Toks pat pakeitimas pagrindimas kaip 20 straipsnio pavadinimo pakeitimo pagrindimas.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368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20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Jeigu 21 arba 22 straipsniuose nurodytos prašymo palyginti teikimo sąlygos įvykdytos, tikrinančioji institucija perduoda prašymą palyginti duomenis nacionalinei duomenų perdavimo įstaigai, kuri jį nusiųs į centrinę sistemą vadovaudamasi 15 ir 16 straipsniais</w:t>
            </w:r>
            <w:r w:rsidRPr="00D842C1">
              <w:rPr>
                <w:b/>
                <w:i/>
                <w:color w:val="auto"/>
              </w:rPr>
              <w:t xml:space="preserve"> </w:t>
            </w:r>
            <w:r w:rsidRPr="00D842C1">
              <w:rPr>
                <w:color w:val="auto"/>
              </w:rPr>
              <w:t>, kad duomenys būtų palyginti su centrinei sistemai pagal 10 straipsnio 1 dalį</w:t>
            </w:r>
            <w:r w:rsidRPr="00D842C1">
              <w:rPr>
                <w:b/>
                <w:i/>
                <w:color w:val="auto"/>
              </w:rPr>
              <w:t>, 13</w:t>
            </w:r>
            <w:r w:rsidRPr="00D842C1">
              <w:rPr>
                <w:color w:val="auto"/>
              </w:rPr>
              <w:t xml:space="preserve"> straipsnio 1 dalį</w:t>
            </w:r>
            <w:r w:rsidRPr="00D842C1">
              <w:rPr>
                <w:b/>
                <w:i/>
                <w:color w:val="auto"/>
              </w:rPr>
              <w:t xml:space="preserve"> ir 14 straipsnio 1 dalį</w:t>
            </w:r>
            <w:r w:rsidRPr="00D842C1">
              <w:rPr>
                <w:color w:val="auto"/>
              </w:rPr>
              <w:t xml:space="preserve"> perduotais pirštų atspaudų</w:t>
            </w:r>
            <w:r w:rsidRPr="00D842C1">
              <w:rPr>
                <w:b/>
                <w:i/>
                <w:color w:val="auto"/>
              </w:rPr>
              <w:t xml:space="preserve"> ir</w:t>
            </w:r>
            <w:r w:rsidRPr="00D842C1">
              <w:rPr>
                <w:color w:val="auto"/>
              </w:rPr>
              <w:t xml:space="preserve"> veido atvaizdo duomenimis.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Jeigu 21 arba 22 straipsniuose nurodytos prašymo palyginti teikimo sąlygos įvykdytos, tikrinančioji institucija perduoda prašymą palyginti duomenis nacionalinei duomenų perdavimo įstaigai, kuri jį nusiųs į centrinę sistemą vadovaudamasi 15 ir 16 straipsniais, kad duomenys būtų palyginti su centrinei sistemai pagal 10 straipsnio 1 dalį</w:t>
            </w:r>
            <w:r w:rsidRPr="00D842C1">
              <w:rPr>
                <w:b/>
                <w:i/>
                <w:color w:val="auto"/>
              </w:rPr>
              <w:t xml:space="preserve"> ir 13</w:t>
            </w:r>
            <w:r w:rsidRPr="00D842C1">
              <w:rPr>
                <w:color w:val="auto"/>
              </w:rPr>
              <w:t xml:space="preserve"> straipsnio 1 dalį perduotais pirštų atspaudų</w:t>
            </w:r>
            <w:r w:rsidRPr="00D842C1">
              <w:rPr>
                <w:b/>
                <w:i/>
                <w:color w:val="auto"/>
              </w:rPr>
              <w:t>,</w:t>
            </w:r>
            <w:r w:rsidRPr="00D842C1">
              <w:rPr>
                <w:color w:val="auto"/>
              </w:rPr>
              <w:t xml:space="preserve"> veido atvaizdo</w:t>
            </w:r>
            <w:r w:rsidRPr="00D842C1">
              <w:rPr>
                <w:b/>
                <w:i/>
                <w:color w:val="auto"/>
              </w:rPr>
              <w:t xml:space="preserve"> arba jų abiejų</w:t>
            </w:r>
            <w:r w:rsidRPr="00D842C1">
              <w:rPr>
                <w:color w:val="auto"/>
              </w:rPr>
              <w:t xml:space="preserve"> duomenimis.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369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20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Jeigu 21 arba 22 straipsniuose nurodytos prašymo palyginti teikimo sąlygos įvykdytos, tikrinančioji institucija perduoda prašymą palyginti duomenis nacionalinei duomenų perdavimo įstaigai, kuri jį nusiųs į centrinę sistemą vadovaudamasi 15 ir 16 straipsniais</w:t>
            </w:r>
            <w:r w:rsidRPr="00D842C1">
              <w:rPr>
                <w:b/>
                <w:i/>
                <w:color w:val="auto"/>
              </w:rPr>
              <w:t xml:space="preserve"> </w:t>
            </w:r>
            <w:r w:rsidRPr="00D842C1">
              <w:rPr>
                <w:color w:val="auto"/>
              </w:rPr>
              <w:t>, kad duomenys būtų palyginti su centrinei sistemai pagal 10 straipsnio 1 dalį, 13 straipsnio 1 dalį ir 14 straipsnio 1 dalį perduotais pirštų atspaudų</w:t>
            </w:r>
            <w:r w:rsidRPr="00D842C1">
              <w:rPr>
                <w:b/>
                <w:i/>
                <w:color w:val="auto"/>
              </w:rPr>
              <w:t xml:space="preserve"> ir</w:t>
            </w:r>
            <w:r w:rsidRPr="00D842C1">
              <w:rPr>
                <w:color w:val="auto"/>
              </w:rPr>
              <w:t xml:space="preserve"> veido atvaizdo duomenimis.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Jeigu 21 arba 22 straipsniuose nurodytos prašymo palyginti teikimo sąlygos įvykdytos, tikrinančioji institucija perduoda prašymą palyginti duomenis nacionalinei duomenų perdavimo įstaigai, kuri jį nusiųs į centrinę sistemą vadovaudamasi 15 ir 16 straipsniais, kad duomenys būtų palyginti su centrinei sistemai pagal 10 straipsnio 1 dalį, 13 straipsnio 1 dalį ir 14 straipsnio 1 dalį perduotais pirštų atspaudų</w:t>
            </w:r>
            <w:r w:rsidRPr="00D842C1">
              <w:rPr>
                <w:b/>
                <w:i/>
                <w:color w:val="auto"/>
              </w:rPr>
              <w:t>,</w:t>
            </w:r>
            <w:r w:rsidRPr="00D842C1">
              <w:rPr>
                <w:color w:val="auto"/>
              </w:rPr>
              <w:t xml:space="preserve"> veido atvaizdo</w:t>
            </w:r>
            <w:r w:rsidRPr="00D842C1">
              <w:rPr>
                <w:b/>
                <w:i/>
                <w:color w:val="auto"/>
              </w:rPr>
              <w:t xml:space="preserve"> ir raidiniais skaitmeniniais</w:t>
            </w:r>
            <w:r w:rsidRPr="00D842C1">
              <w:rPr>
                <w:color w:val="auto"/>
              </w:rPr>
              <w:t xml:space="preserve"> duomenimis.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Toks pat pakeitimas pagrindimas kaip 20 straipsnio pavadinimo pakeitimo pagrindimas.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370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20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Jeigu 21 arba 22 straipsniuose nurodytos prašymo palyginti teikimo sąlygos įvykdytos, tikrinančioji institucija perduoda prašymą palyginti duomenis nacionalinei duomenų perdavimo įstaigai, kuri jį nusiųs į centrinę sistemą vadovaudamasi 15 ir 16 straipsniais</w:t>
            </w:r>
            <w:r w:rsidRPr="00D842C1">
              <w:rPr>
                <w:b/>
                <w:i/>
                <w:color w:val="auto"/>
              </w:rPr>
              <w:t xml:space="preserve"> </w:t>
            </w:r>
            <w:r w:rsidRPr="00D842C1">
              <w:rPr>
                <w:color w:val="auto"/>
              </w:rPr>
              <w:t>, kad duomenys būtų palyginti su centrinei sistemai pagal 10 straipsnio 1 dalį, 13 straipsnio 1 dalį ir 14 straipsnio 1 dalį perduotais pirštų atspaudų ir veido atvaizdo duomenimis.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Jeigu 21 arba 22 straipsniuose nurodytos prašymo palyginti teikimo sąlygos įvykdytos, tikrinančioji institucija perduoda prašymą palyginti duomenis nacionalinei duomenų perdavimo įstaigai, kuri jį nusiųs į centrinę sistemą vadovaudamasi 15 ir 16 straipsniais</w:t>
            </w:r>
            <w:r w:rsidRPr="00D842C1">
              <w:rPr>
                <w:b/>
                <w:i/>
                <w:color w:val="auto"/>
              </w:rPr>
              <w:t xml:space="preserve"> </w:t>
            </w:r>
            <w:r w:rsidRPr="00D842C1">
              <w:rPr>
                <w:color w:val="auto"/>
              </w:rPr>
              <w:t>, kad duomenys būtų palyginti su centrinei sistemai pagal 10 straipsnio 1 dalį,</w:t>
            </w:r>
            <w:r w:rsidRPr="00D842C1">
              <w:rPr>
                <w:b/>
                <w:i/>
                <w:color w:val="auto"/>
              </w:rPr>
              <w:t xml:space="preserve"> 12a straipsnį,</w:t>
            </w:r>
            <w:r w:rsidRPr="00D842C1">
              <w:rPr>
                <w:color w:val="auto"/>
              </w:rPr>
              <w:t xml:space="preserve"> 13 straipsnio 1 dalį ir 14 straipsnio 1 dalį perduotais pirštų atspaudų ir veido atvaizdo duomenimis.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371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20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Išimtiniais skubos atvejais, kai būtina užkirsti kelią gresiančiam teroristinės veikos ar kitos sunkios nusikalstamos veikos pavojui, tikrinančioji institucija gali perduoti palyginimo tikslais pirštų atspaudų duomenis nacionalinei duomenų perdavimo įstaigai iš karto gavusi tokį prašymą iš paskirtos institucijos ir tik vėliau patikrinti, ar įvykdytos visos 21 straipsnyje arba 22 straipsnyje nurodytos prašymo palyginti sąlygos, taip pat ir aplinkybę, ar tai faktiškai buvo išimtinis skubos atvejis. Prašymą išnagrinėjus, be reikalo nedelsiant atliekamas ex post patikrinimas.</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Išimtiniais skubos atvejais, kai būtina užkirsti kelią gresiančiam teroristinės veikos ar kitos sunkios nusikalstamos veikos pavojui, tikrinančioji institucija gali perduoti palyginimo tikslais pirštų atspaudų</w:t>
            </w:r>
            <w:r w:rsidRPr="00D842C1">
              <w:rPr>
                <w:b/>
                <w:i/>
                <w:color w:val="auto"/>
              </w:rPr>
              <w:t>, veido atvaizdo ir raidinius skaitmeninius</w:t>
            </w:r>
            <w:r w:rsidRPr="00D842C1">
              <w:rPr>
                <w:color w:val="auto"/>
              </w:rPr>
              <w:t xml:space="preserve"> duomenis nacionalinei duomenų perdavimo įstaigai iš karto gavusi tokį prašymą iš paskirtos institucijos ir tik vėliau patikrinti, ar įvykdytos visos 21 straipsnyje arba 22 straipsnyje nurodytos prašymo palyginti sąlygos, taip pat ir aplinkybę, ar tai faktiškai buvo išimtinis skubos atvejis. Prašymą išnagrinėjus, be reikalo nedelsiant atliekamas ex post patikrinimas.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Toks pat pakeitimas pagrindimas kaip 20 straipsnio pavadinimo pakeitimo pagrindimas.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372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21 straipsnio 1 dalies įžanginė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c punkte išdėstytais tikslais paskirtos institucijos, neviršydamos savo įgaliojimų, gali pateikti motyvuotą elektroninį prašymą palyginti pirštų atspaudų duomenis su centrinėje sistemoje saugomais duomenimis tik jeigu</w:t>
            </w:r>
            <w:r w:rsidRPr="00D842C1">
              <w:rPr>
                <w:b/>
                <w:i/>
                <w:color w:val="auto"/>
              </w:rPr>
              <w:t xml:space="preserve"> atlikus palyginimą su toliau išvardytų duomenų bazių informacija nebuvo nustatyta duomenų subjekto tapatybė</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c punkte išdėstytais tikslais paskirtos institucijos, neviršydamos savo įgaliojimų, gali pateikti motyvuotą elektroninį prašymą palyginti pirštų atspaudų</w:t>
            </w:r>
            <w:r w:rsidRPr="00D842C1">
              <w:rPr>
                <w:b/>
                <w:i/>
                <w:color w:val="auto"/>
              </w:rPr>
              <w:t>, veido atvaizdo ir radinius skaitmeninius</w:t>
            </w:r>
            <w:r w:rsidRPr="00D842C1">
              <w:rPr>
                <w:color w:val="auto"/>
              </w:rPr>
              <w:t xml:space="preserve"> duomenis su centrinėje sistemoje saugomais duomenimis tik jeigu</w:t>
            </w:r>
            <w:r w:rsidRPr="00D842C1">
              <w:rPr>
                <w:b/>
                <w:i/>
                <w:color w:val="auto"/>
              </w:rPr>
              <w:t xml:space="preserve"> atliktas pirminis patikrinimas</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Pakeitimas susijęs su pasiūlymo (nekodifikuoto teksto) 1 straipsnio 1 dalies c punktu, kuriame nurodoma, kad „Eurodac“ bus naudojama ne tik Dublino reglamentui įgyvendinti, bet ir teisėsaugos tikslais. Siekiant vykdyti valstybių narių paskirtų institucijų ir Europolo pareigą, prieigos prie sistemos EURODAC procedūra turėtų būti greita ir veiksminga, tačiau ją taikant turėtų būti atsižvelgiama į tai, kad pagrindinis sistemos EURODAC tikslas – padėti valstybėms narėms taikyti Dublino reglamentą.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373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21 straipsnio 1 dalies antra įtrauka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w:t>
            </w:r>
            <w:r w:rsidRPr="00D842C1">
              <w:rPr>
                <w:b/>
                <w:i/>
                <w:color w:val="auto"/>
              </w:rPr>
              <w:tab/>
            </w:r>
            <w:r w:rsidRPr="00D842C1">
              <w:rPr>
                <w:color w:val="auto"/>
              </w:rPr>
              <w:t>visų kitų valstybių narių pirštų atspaudų automatinių pirštų atspaudų identifikavimo sistemų pagal Sprendimą 2008/615/TVR</w:t>
            </w:r>
            <w:r w:rsidRPr="00D842C1">
              <w:rPr>
                <w:b/>
                <w:i/>
                <w:color w:val="auto"/>
              </w:rPr>
              <w:t>, kai palyginimas techniškai prieinamas, nebent būtų pagrįstų priežasčių tikėti, kad palyginus su tokių sistemų informacija nebus nustatyta duomenų subjekto tapatybė. Tokios pagrįstos priežastys pateikiamos motyvuotame elektroniniame prašyme palyginti duomenis su sistemos EURODAC duomenimis, kurį paskirta institucija atsiunčia tikrinančiajai institucijai</w:t>
            </w:r>
            <w:r w:rsidRPr="00D842C1">
              <w:rPr>
                <w:color w:val="auto"/>
              </w:rPr>
              <w:t>; ir</w:t>
            </w:r>
          </w:p>
        </w:tc>
        <w:tc>
          <w:tcPr>
            <w:tcW w:w="4876" w:type="dxa"/>
          </w:tcPr>
          <w:p w:rsidR="00131F3A" w:rsidRPr="00D842C1" w:rsidRDefault="00131F3A" w:rsidP="00131F3A">
            <w:pPr>
              <w:pStyle w:val="Normal6"/>
              <w:rPr>
                <w:b/>
                <w:i/>
                <w:color w:val="auto"/>
              </w:rPr>
            </w:pPr>
            <w:r w:rsidRPr="00D842C1">
              <w:rPr>
                <w:color w:val="auto"/>
              </w:rPr>
              <w:t>–</w:t>
            </w:r>
            <w:r w:rsidRPr="00D842C1">
              <w:rPr>
                <w:b/>
                <w:i/>
                <w:color w:val="auto"/>
              </w:rPr>
              <w:tab/>
            </w:r>
            <w:r w:rsidRPr="00D842C1">
              <w:rPr>
                <w:color w:val="auto"/>
              </w:rPr>
              <w:t>visų kitų valstybių narių pirštų atspaudų automatinių pirštų atspaudų identifikavimo sistemų pagal Sprendimą 2008/615/TVR; ir</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Pagal Darbo tvarkos taisyklių 104 straipsnį šis pakeitimas yra būtinas, nes jis neatsiejamai susijęs su kitais priimtinais pakeitimais, susijusiais su sistemos EURODAC tikslais (1 straipsnis), kuriais įtraukiamos nuorodos į būtinumo ir proporcingumo principų laikymąsi pagal Chartijos 52 straipsnio 1 dalį ir atitinkamą Europos Sąjungos Teisingumo Teismo praktiką.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374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21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dėl pirštų atspaudų arba veido atvaizdo duomenų.</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dėl</w:t>
            </w:r>
            <w:r w:rsidRPr="00D842C1">
              <w:rPr>
                <w:b/>
                <w:i/>
                <w:color w:val="auto"/>
              </w:rPr>
              <w:t xml:space="preserve"> to, kas būtina ir proporcinga, ir bet kuriuo atveju tik dėl</w:t>
            </w:r>
            <w:r w:rsidRPr="00D842C1">
              <w:rPr>
                <w:color w:val="auto"/>
              </w:rPr>
              <w:t xml:space="preserve"> pirštų atspaudų arba veido atvaizdo duomenų.</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Pagal Darbo tvarkos taisyklių 104 straipsnį šis pakeitimas yra būtinas, nes jis neatsiejamai susijęs su kitais priimtinais pakeitimais, susijusiais su sistemos EURODAC tikslais (1 straipsnis), kuriais įtraukiamos nuorodos į būtinumo ir proporcingumo principų laikymąsi pagal Chartijos 52 straipsnio 1 dalį ir atitinkamą Europos Sąjungos Teisingumo Teismo praktiką.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375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21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dėl pirštų atspaudų</w:t>
            </w:r>
            <w:r w:rsidRPr="00D842C1">
              <w:rPr>
                <w:b/>
                <w:i/>
                <w:color w:val="auto"/>
              </w:rPr>
              <w:t xml:space="preserve"> arba</w:t>
            </w:r>
            <w:r w:rsidRPr="00D842C1">
              <w:rPr>
                <w:color w:val="auto"/>
              </w:rPr>
              <w:t xml:space="preserve"> veido atvaizdo duomenų.</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dėl pirštų atspaudų</w:t>
            </w:r>
            <w:r w:rsidRPr="00D842C1">
              <w:rPr>
                <w:b/>
                <w:i/>
                <w:color w:val="auto"/>
              </w:rPr>
              <w:t>,</w:t>
            </w:r>
            <w:r w:rsidRPr="00D842C1">
              <w:rPr>
                <w:color w:val="auto"/>
              </w:rPr>
              <w:t xml:space="preserve"> veido atvaizdo</w:t>
            </w:r>
            <w:r w:rsidRPr="00D842C1">
              <w:rPr>
                <w:b/>
                <w:i/>
                <w:color w:val="auto"/>
              </w:rPr>
              <w:t xml:space="preserve"> arba raidinių skaitmeninių</w:t>
            </w:r>
            <w:r w:rsidRPr="00D842C1">
              <w:rPr>
                <w:color w:val="auto"/>
              </w:rPr>
              <w:t xml:space="preserve"> duomenų.</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Toks pat pakeitimas pagrindimas kaip 20 straipsnio pavadinimo pakeitimo pagrindimas.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376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21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dėl pirštų atspaudų</w:t>
            </w:r>
            <w:r w:rsidRPr="00D842C1">
              <w:rPr>
                <w:b/>
                <w:i/>
                <w:color w:val="auto"/>
              </w:rPr>
              <w:t xml:space="preserve"> arba</w:t>
            </w:r>
            <w:r w:rsidRPr="00D842C1">
              <w:rPr>
                <w:color w:val="auto"/>
              </w:rPr>
              <w:t xml:space="preserve"> veido atvaizdo duomenų.</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dėl pirštų atspaudų</w:t>
            </w:r>
            <w:r w:rsidRPr="00D842C1">
              <w:rPr>
                <w:b/>
                <w:i/>
                <w:color w:val="auto"/>
              </w:rPr>
              <w:t>,</w:t>
            </w:r>
            <w:r w:rsidRPr="00D842C1">
              <w:rPr>
                <w:color w:val="auto"/>
              </w:rPr>
              <w:t xml:space="preserve"> veido atvaizdo</w:t>
            </w:r>
            <w:r w:rsidRPr="00D842C1">
              <w:rPr>
                <w:b/>
                <w:i/>
                <w:color w:val="auto"/>
              </w:rPr>
              <w:t xml:space="preserve"> arba jų abiejų</w:t>
            </w:r>
            <w:r w:rsidRPr="00D842C1">
              <w:rPr>
                <w:color w:val="auto"/>
              </w:rPr>
              <w:t xml:space="preserve"> duomenų.</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377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22 straipsnis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Center"/>
              <w:rPr>
                <w:b/>
                <w:i/>
                <w:color w:val="auto"/>
                <w:lang w:val="lt-LT"/>
              </w:rPr>
            </w:pPr>
            <w:r w:rsidRPr="00D842C1">
              <w:rPr>
                <w:b/>
                <w:i/>
                <w:color w:val="auto"/>
                <w:lang w:val="lt-LT"/>
              </w:rPr>
              <w:t>22 straipsnis</w:t>
            </w:r>
            <w:r w:rsidRPr="00D842C1">
              <w:rPr>
                <w:b/>
                <w:i/>
                <w:color w:val="auto"/>
                <w:lang w:val="lt-LT"/>
              </w:rPr>
              <w:tab/>
            </w:r>
          </w:p>
        </w:tc>
        <w:tc>
          <w:tcPr>
            <w:tcW w:w="4876" w:type="dxa"/>
          </w:tcPr>
          <w:p w:rsidR="00131F3A" w:rsidRPr="00D842C1" w:rsidRDefault="00131F3A" w:rsidP="00131F3A">
            <w:pPr>
              <w:pStyle w:val="Normal6"/>
              <w:rPr>
                <w:b/>
                <w:i/>
                <w:color w:val="auto"/>
              </w:rPr>
            </w:pPr>
            <w:r w:rsidRPr="00D842C1">
              <w:rPr>
                <w:b/>
                <w:i/>
                <w:color w:val="auto"/>
              </w:rPr>
              <w:t>Išbraukta.</w:t>
            </w:r>
          </w:p>
        </w:tc>
      </w:tr>
      <w:tr w:rsidR="00131F3A" w:rsidRPr="00D842C1" w:rsidTr="00131F3A">
        <w:trPr>
          <w:jc w:val="center"/>
        </w:trPr>
        <w:tc>
          <w:tcPr>
            <w:tcW w:w="4876" w:type="dxa"/>
          </w:tcPr>
          <w:p w:rsidR="00131F3A" w:rsidRPr="00D842C1" w:rsidRDefault="00131F3A" w:rsidP="00131F3A">
            <w:pPr>
              <w:pStyle w:val="Center"/>
              <w:rPr>
                <w:b/>
                <w:i/>
                <w:color w:val="auto"/>
                <w:lang w:val="lt-LT"/>
              </w:rPr>
            </w:pPr>
            <w:r w:rsidRPr="00D842C1">
              <w:rPr>
                <w:b/>
                <w:i/>
                <w:color w:val="auto"/>
                <w:sz w:val="24"/>
                <w:lang w:val="lt-LT"/>
              </w:rPr>
              <w:t>Europolo prieigos prie sistemos EURODAC sąlygos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1. 1 straipsnio 1 dalies c punkte išdėstytais tikslais Europolo paskirta institucija gali pateikti motyvuotą elektroninį prašymą palyginti pirštų atspaudų duomenis su centrinėje sistemoje saugomais duomenimis neviršydama Europolo kompetencijos ir kai to reikia Europolo užduotims vykdyti, tik jeigu atlikus palyginimą su bet kuriose informacijos tvarkymo sistemose, kurios techniškai ir teisiškai prieinamos Europolui, saugomais pirštų atspaudų duomenimis nebuvo nustatyta duomenų subjekto tapatybė ir jeigu įvykdomos visos šios sąlygos: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a) atlikti palyginimą būtina siekiant remti ir stiprinti valstybių narių veiksmus, susijusius su teroristinių ar kitų sunkių nusikalstamų veikų, kurias tirti įgaliotas Europolas, prevencija, nustatymu ar ištyrimu – tai reiškia, kad kilo ypatingas susirūpinimas dėl visuomenės saugumo, dėl kurio ieškojimas duomenų bazėje yra proporcingas;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b) atlikti palyginimą būtina specifiniu atveju (pvz., sistemingi palyginimai neatliekami); ir</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c) esama pagrįstų priežasčių manyti, kad atlikus palyginimą bus labai prisidėta prie bet kokios susijusios nusikalstamos veikos prevencijos, nustatymo ar ištyrimo. Tokių pagrįstų priežasčių pirmiausia esama tada, kai esama rimto įtarimo, kad teroristine ar kita sunkia nusikalstama veika įtariamas, ją įvykdęs asmuo ar jos auka patenka į kategoriją, kurią apima šis reglamentas.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2. Prašymai palyginti duomenis su sistemos EURODAC duomenimis teikiami tik siekiant palyginti pirštų atspaudų ir veido atvaizdo duomenis.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3. Informaciją, gautą palyginus duomenis su sistemos EURODAC duomenimis, Europolas gali tvarkyti tik gavęs kilmės valstybės narės leidimą. Leidimas suteikiamas per tos valstybės narės nacionalinį Europolo padalinį.</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Italic"/>
              <w:rPr>
                <w:b/>
                <w:color w:val="auto"/>
              </w:rPr>
            </w:pPr>
            <w:r w:rsidRPr="00D842C1">
              <w:rPr>
                <w:b/>
                <w:color w:val="auto"/>
              </w:rPr>
              <w:t>(Šis pakeitimas taikomas visam tekstui. Jį priėmus reikės padaryti atitinkamus viso teksto pakeitimus.)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378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22 straipsnio 1 dalies įžanginė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c punkte išdėstytais tikslais Europolo paskirta institucija gali pateikti</w:t>
            </w:r>
            <w:r w:rsidRPr="00D842C1">
              <w:rPr>
                <w:b/>
                <w:i/>
                <w:color w:val="auto"/>
              </w:rPr>
              <w:t xml:space="preserve"> motyvuotą elektroninį</w:t>
            </w:r>
            <w:r w:rsidRPr="00D842C1">
              <w:rPr>
                <w:color w:val="auto"/>
              </w:rPr>
              <w:t xml:space="preserve"> prašymą</w:t>
            </w:r>
            <w:r w:rsidRPr="00D842C1">
              <w:rPr>
                <w:b/>
                <w:i/>
                <w:color w:val="auto"/>
              </w:rPr>
              <w:t xml:space="preserve"> palyginti pirštų atspaudų duomenis</w:t>
            </w:r>
            <w:r w:rsidRPr="00D842C1">
              <w:rPr>
                <w:color w:val="auto"/>
              </w:rPr>
              <w:t xml:space="preserve"> su centrinėje sistemoje saugomais duomenimis neviršydama Europolo kompetencijos ir kai to reikia Europolo užduotims vykdyti, tik jeigu</w:t>
            </w:r>
            <w:r w:rsidRPr="00D842C1">
              <w:rPr>
                <w:b/>
                <w:i/>
                <w:color w:val="auto"/>
              </w:rPr>
              <w:t xml:space="preserve"> atlikus palyginimą su</w:t>
            </w:r>
            <w:r w:rsidRPr="00D842C1">
              <w:rPr>
                <w:color w:val="auto"/>
              </w:rPr>
              <w:t xml:space="preserve"> bet kuriose informacijos tvarkymo sistemose, kurios techniškai ir teisiškai prieinamos Europolui</w:t>
            </w:r>
            <w:r w:rsidRPr="00D842C1">
              <w:rPr>
                <w:b/>
                <w:i/>
                <w:color w:val="auto"/>
              </w:rPr>
              <w:t>, saugomais pirštų atspaudų duomenimis nebuvo nustatyta duomenų subjekto tapatybė</w:t>
            </w:r>
            <w:r w:rsidRPr="00D842C1">
              <w:rPr>
                <w:color w:val="auto"/>
              </w:rPr>
              <w:t xml:space="preserve"> ir jeigu įvykdomos visos šios sąlygos:</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1 straipsnio 1 dalies c punkte išdėstytais tikslais Europolo paskirta institucija gali pateikti prašymą</w:t>
            </w:r>
            <w:r w:rsidRPr="00D842C1">
              <w:rPr>
                <w:b/>
                <w:i/>
                <w:color w:val="auto"/>
              </w:rPr>
              <w:t xml:space="preserve"> susipažinti</w:t>
            </w:r>
            <w:r w:rsidRPr="00D842C1">
              <w:rPr>
                <w:color w:val="auto"/>
              </w:rPr>
              <w:t xml:space="preserve"> su centrinėje sistemoje saugomais duomenimis neviršydama Europolo kompetencijos ir kai to reikia Europolo užduotims vykdyti, tik jeigu</w:t>
            </w:r>
            <w:r w:rsidRPr="00D842C1">
              <w:rPr>
                <w:b/>
                <w:i/>
                <w:color w:val="auto"/>
              </w:rPr>
              <w:t xml:space="preserve"> buvo atliktas pirminis patikrinimas</w:t>
            </w:r>
            <w:r w:rsidRPr="00D842C1">
              <w:rPr>
                <w:color w:val="auto"/>
              </w:rPr>
              <w:t xml:space="preserve"> bet kuriose informacijos tvarkymo sistemose, kurios techniškai ir teisiškai prieinamos Europolui ir jeigu įvykdomos visos šios sąlygos: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Pakeitimas susijęs su pasiūlymo (nekodifikuoto teksto) 1 straipsnio 1 dalies c punktu, kuriame nurodoma, kad „Eurodac“ bus naudojama ne tik Dublino reglamentui įgyvendinti, bet ir teisėsaugos tikslais. Siekiant vykdyti valstybių narių paskirtų institucijų ir Europolo pareigą, prieigos prie sistemos EURODAC procedūra turėtų būti greita ir veiksminga, tačiau ją taikant turėtų būti atsižvelgiama į tai, kad pagrindinis sistemos EURODAC tikslas – padėti valstybėms narėms taikyti Dublino reglamentą.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379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22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siekiant palyginti pirštų atspaudų ir veido atvaizdo duomenis.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w:t>
            </w:r>
            <w:r w:rsidRPr="00D842C1">
              <w:rPr>
                <w:b/>
                <w:i/>
                <w:color w:val="auto"/>
              </w:rPr>
              <w:t xml:space="preserve"> dėl to, kas būtina ir proporcinga, ir bet kuriuo atveju tik</w:t>
            </w:r>
            <w:r w:rsidRPr="00D842C1">
              <w:rPr>
                <w:color w:val="auto"/>
              </w:rPr>
              <w:t xml:space="preserve"> siekiant palyginti pirštų atspaudų ir veido atvaizdo duomenis.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Pagal Darbo tvarkos taisyklių 104 straipsnį šis pakeitimas yra būtinas, nes jis neatsiejamai susijęs su kitais priimtinais pakeitimais, susijusiais su sistemos EURODAC tikslais (1 straipsnis), kuriais įtraukiamos nuorodos į būtinumo ir proporcingumo principų laikymąsi pagal Chartijos 52 straipsnio 1 dalį ir atitinkamą Europos Sąjungos Teisingumo Teismo praktiką.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380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22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siekiant palyginti pirštų atspaudų ir veido atvaizdo duomenis.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siekiant palyginti pirštų atspaudų ir veido atvaizdo</w:t>
            </w:r>
            <w:r w:rsidRPr="00D842C1">
              <w:rPr>
                <w:b/>
                <w:i/>
                <w:color w:val="auto"/>
              </w:rPr>
              <w:t xml:space="preserve"> bei skaitmeninius</w:t>
            </w:r>
            <w:r w:rsidRPr="00D842C1">
              <w:rPr>
                <w:color w:val="auto"/>
              </w:rPr>
              <w:t xml:space="preserve"> duomenis.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Toks pat pakeitimas pagrindimas kaip 20 straipsnio pavadinimo pakeitimo pagrindimas.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381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22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siekiant palyginti pirštų atspaudų</w:t>
            </w:r>
            <w:r w:rsidRPr="00D842C1">
              <w:rPr>
                <w:b/>
                <w:i/>
                <w:color w:val="auto"/>
              </w:rPr>
              <w:t xml:space="preserve"> ir</w:t>
            </w:r>
            <w:r w:rsidRPr="00D842C1">
              <w:rPr>
                <w:color w:val="auto"/>
              </w:rPr>
              <w:t xml:space="preserve"> veido atvaizdo duomenis.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Prašymai palyginti duomenis su sistemos EURODAC duomenimis teikiami tik siekiant palyginti pirštų atspaudų</w:t>
            </w:r>
            <w:r w:rsidRPr="00D842C1">
              <w:rPr>
                <w:b/>
                <w:i/>
                <w:color w:val="auto"/>
              </w:rPr>
              <w:t>,</w:t>
            </w:r>
            <w:r w:rsidRPr="00D842C1">
              <w:rPr>
                <w:color w:val="auto"/>
              </w:rPr>
              <w:t xml:space="preserve"> veido atvaizdo</w:t>
            </w:r>
            <w:r w:rsidRPr="00D842C1">
              <w:rPr>
                <w:b/>
                <w:i/>
                <w:color w:val="auto"/>
              </w:rPr>
              <w:t xml:space="preserve"> arba jų abiejų</w:t>
            </w:r>
            <w:r w:rsidRPr="00D842C1">
              <w:rPr>
                <w:color w:val="auto"/>
              </w:rPr>
              <w:t xml:space="preserve"> duomenis.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382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23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Valstybės narės 1 straipsnio 1 dalies c punkte išdėstytais tikslais skaitmeniniu būdu apdoroja pirštų atspaudus ir juos perduoda duomenų formatu</w:t>
            </w:r>
            <w:r w:rsidRPr="00D842C1">
              <w:rPr>
                <w:b/>
                <w:i/>
                <w:color w:val="auto"/>
              </w:rPr>
              <w:t xml:space="preserve"> </w:t>
            </w:r>
            <w:r w:rsidRPr="00D842C1">
              <w:rPr>
                <w:color w:val="auto"/>
              </w:rPr>
              <w:t>, kaip nurodyta sutartame sąsajos kontrolės dokumente</w:t>
            </w:r>
            <w:r w:rsidRPr="00D842C1">
              <w:rPr>
                <w:b/>
                <w:i/>
                <w:color w:val="auto"/>
              </w:rPr>
              <w:t xml:space="preserve"> </w:t>
            </w:r>
            <w:r w:rsidRPr="00D842C1">
              <w:rPr>
                <w:color w:val="auto"/>
              </w:rPr>
              <w:t>, kad duomenis būtų galima palyginti kompiuterizuotos pirštų atspaudų atpažinimo sistemos priemonėmis.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Valstybės narės 1 straipsnio 1 dalies c punkte išdėstytais tikslais skaitmeniniu būdu apdoroja pirštų atspaudus</w:t>
            </w:r>
            <w:r w:rsidRPr="00D842C1">
              <w:rPr>
                <w:b/>
                <w:i/>
                <w:color w:val="auto"/>
              </w:rPr>
              <w:t xml:space="preserve"> bei veido atvaizdą</w:t>
            </w:r>
            <w:r w:rsidRPr="00D842C1">
              <w:rPr>
                <w:color w:val="auto"/>
              </w:rPr>
              <w:t xml:space="preserve"> ir juos perduoda duomenų formatu, kaip nurodyta sutartame sąsajos kontrolės dokumente, kad duomenis būtų galima palyginti kompiuterizuotos pirštų atspaudų atpažinimo sistemos priemonėmis.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Komisijos pasiūlymo, į kurio visas reikiamas vietas neįtraukiamos abi sąvokos „pirštų antspaudai“ ir „veido atvaizdas“, kurios atitinka 2 straipsnyje minimą pareigą, korekcija.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383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24 straipsnio 1 dalies a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a)</w:t>
            </w:r>
            <w:r w:rsidRPr="00D842C1">
              <w:rPr>
                <w:b/>
                <w:i/>
                <w:color w:val="auto"/>
              </w:rPr>
              <w:tab/>
            </w:r>
            <w:r w:rsidRPr="00D842C1">
              <w:rPr>
                <w:color w:val="auto"/>
              </w:rPr>
              <w:t>pirštų atspaudai</w:t>
            </w:r>
            <w:r w:rsidRPr="00D842C1">
              <w:rPr>
                <w:b/>
                <w:i/>
                <w:color w:val="auto"/>
              </w:rPr>
              <w:t xml:space="preserve"> ir</w:t>
            </w:r>
            <w:r w:rsidRPr="00D842C1">
              <w:rPr>
                <w:color w:val="auto"/>
              </w:rPr>
              <w:t xml:space="preserve"> veido atvaizdas būtų imami teisėtai;</w:t>
            </w:r>
          </w:p>
        </w:tc>
        <w:tc>
          <w:tcPr>
            <w:tcW w:w="4876" w:type="dxa"/>
          </w:tcPr>
          <w:p w:rsidR="00131F3A" w:rsidRPr="00D842C1" w:rsidRDefault="00131F3A" w:rsidP="00131F3A">
            <w:pPr>
              <w:pStyle w:val="Normal6"/>
              <w:rPr>
                <w:b/>
                <w:i/>
                <w:color w:val="auto"/>
              </w:rPr>
            </w:pPr>
            <w:r w:rsidRPr="00D842C1">
              <w:rPr>
                <w:color w:val="auto"/>
              </w:rPr>
              <w:t>a)</w:t>
            </w:r>
            <w:r w:rsidRPr="00D842C1">
              <w:rPr>
                <w:b/>
                <w:i/>
                <w:color w:val="auto"/>
              </w:rPr>
              <w:tab/>
            </w:r>
            <w:r w:rsidRPr="00D842C1">
              <w:rPr>
                <w:color w:val="auto"/>
              </w:rPr>
              <w:t>pirštų atspaudai</w:t>
            </w:r>
            <w:r w:rsidRPr="00D842C1">
              <w:rPr>
                <w:b/>
                <w:i/>
                <w:color w:val="auto"/>
              </w:rPr>
              <w:t>,</w:t>
            </w:r>
            <w:r w:rsidRPr="00D842C1">
              <w:rPr>
                <w:color w:val="auto"/>
              </w:rPr>
              <w:t xml:space="preserve"> veido atvaizdas</w:t>
            </w:r>
            <w:r w:rsidRPr="00D842C1">
              <w:rPr>
                <w:b/>
                <w:i/>
                <w:color w:val="auto"/>
              </w:rPr>
              <w:t xml:space="preserve"> arba jie abu</w:t>
            </w:r>
            <w:r w:rsidRPr="00D842C1">
              <w:rPr>
                <w:color w:val="auto"/>
              </w:rPr>
              <w:t xml:space="preserve"> būtų imami teisėtai;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384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24 straipsnio 1 dalies b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b)</w:t>
            </w:r>
            <w:r w:rsidRPr="00D842C1">
              <w:rPr>
                <w:b/>
                <w:i/>
                <w:color w:val="auto"/>
              </w:rPr>
              <w:tab/>
            </w:r>
            <w:r w:rsidRPr="00D842C1">
              <w:rPr>
                <w:color w:val="auto"/>
              </w:rPr>
              <w:t>pirštų atspaudų duomenys ir kiti duomenys, nurodyti 12 straipsnyje, 13 straipsnio 2 dalyje ir 14 straipsnio 2 dalyje, būtų teisėtai perduodami į centrinę sistemą;</w:t>
            </w:r>
          </w:p>
        </w:tc>
        <w:tc>
          <w:tcPr>
            <w:tcW w:w="4876" w:type="dxa"/>
          </w:tcPr>
          <w:p w:rsidR="00131F3A" w:rsidRPr="00D842C1" w:rsidRDefault="00131F3A" w:rsidP="00131F3A">
            <w:pPr>
              <w:pStyle w:val="Normal6"/>
              <w:rPr>
                <w:b/>
                <w:i/>
                <w:color w:val="auto"/>
              </w:rPr>
            </w:pPr>
            <w:r w:rsidRPr="00D842C1">
              <w:rPr>
                <w:color w:val="auto"/>
              </w:rPr>
              <w:t>b)</w:t>
            </w:r>
            <w:r w:rsidRPr="00D842C1">
              <w:rPr>
                <w:b/>
                <w:i/>
                <w:color w:val="auto"/>
              </w:rPr>
              <w:tab/>
            </w:r>
            <w:r w:rsidRPr="00D842C1">
              <w:rPr>
                <w:color w:val="auto"/>
              </w:rPr>
              <w:t>pirštų atspaudų duomenys ir kiti duomenys, nurodyti 12 straipsnyje,</w:t>
            </w:r>
            <w:r w:rsidRPr="00D842C1">
              <w:rPr>
                <w:b/>
                <w:i/>
                <w:color w:val="auto"/>
              </w:rPr>
              <w:t xml:space="preserve"> 12b straipsnyje,</w:t>
            </w:r>
            <w:r w:rsidRPr="00D842C1">
              <w:rPr>
                <w:color w:val="auto"/>
              </w:rPr>
              <w:t xml:space="preserve"> 13 straipsnio 2 dalyje ir 14 straipsnio 2 dalyje, būtų teisėtai perduodami į centrinę sistemą;</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385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24 straipsnio 1 dalies e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e)</w:t>
            </w:r>
            <w:r w:rsidRPr="00D842C1">
              <w:rPr>
                <w:b/>
                <w:i/>
                <w:color w:val="auto"/>
              </w:rPr>
              <w:tab/>
            </w:r>
            <w:r w:rsidRPr="00D842C1">
              <w:rPr>
                <w:color w:val="auto"/>
              </w:rPr>
              <w:t>iš centrinės sistemos perduoti pirštų atspaudų</w:t>
            </w:r>
            <w:r w:rsidRPr="00D842C1">
              <w:rPr>
                <w:b/>
                <w:i/>
                <w:color w:val="auto"/>
              </w:rPr>
              <w:t xml:space="preserve"> ir</w:t>
            </w:r>
            <w:r w:rsidRPr="00D842C1">
              <w:rPr>
                <w:color w:val="auto"/>
              </w:rPr>
              <w:t xml:space="preserve"> veido atvaizdo duomenų lyginimo rezultatai būtų tvarkomi teisėtai.</w:t>
            </w:r>
          </w:p>
        </w:tc>
        <w:tc>
          <w:tcPr>
            <w:tcW w:w="4876" w:type="dxa"/>
          </w:tcPr>
          <w:p w:rsidR="00131F3A" w:rsidRPr="00D842C1" w:rsidRDefault="00131F3A" w:rsidP="00131F3A">
            <w:pPr>
              <w:pStyle w:val="Normal6"/>
              <w:rPr>
                <w:b/>
                <w:i/>
                <w:color w:val="auto"/>
              </w:rPr>
            </w:pPr>
            <w:r w:rsidRPr="00D842C1">
              <w:rPr>
                <w:color w:val="auto"/>
              </w:rPr>
              <w:t>e)</w:t>
            </w:r>
            <w:r w:rsidRPr="00D842C1">
              <w:rPr>
                <w:b/>
                <w:i/>
                <w:color w:val="auto"/>
              </w:rPr>
              <w:tab/>
            </w:r>
            <w:r w:rsidRPr="00D842C1">
              <w:rPr>
                <w:color w:val="auto"/>
              </w:rPr>
              <w:t>iš centrinės sistemos perduoti pirštų atspaudų</w:t>
            </w:r>
            <w:r w:rsidRPr="00D842C1">
              <w:rPr>
                <w:b/>
                <w:i/>
                <w:color w:val="auto"/>
              </w:rPr>
              <w:t>,</w:t>
            </w:r>
            <w:r w:rsidRPr="00D842C1">
              <w:rPr>
                <w:color w:val="auto"/>
              </w:rPr>
              <w:t xml:space="preserve"> veido atvaizdo duomenų</w:t>
            </w:r>
            <w:r w:rsidRPr="00D842C1">
              <w:rPr>
                <w:b/>
                <w:i/>
                <w:color w:val="auto"/>
              </w:rPr>
              <w:t xml:space="preserve"> arba jų abiejų</w:t>
            </w:r>
            <w:r w:rsidRPr="00D842C1">
              <w:rPr>
                <w:color w:val="auto"/>
              </w:rPr>
              <w:t xml:space="preserve"> lyginimo rezultatai būtų tvarkomi teisėtai.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386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25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Pirštų atspaudai yra skaitmeniniu būdu apdorojami ir perduodami duomenų formatu</w:t>
            </w:r>
            <w:r w:rsidRPr="00D842C1">
              <w:rPr>
                <w:b/>
                <w:i/>
                <w:color w:val="auto"/>
              </w:rPr>
              <w:t xml:space="preserve"> </w:t>
            </w:r>
            <w:r w:rsidRPr="00D842C1">
              <w:rPr>
                <w:color w:val="auto"/>
              </w:rPr>
              <w:t>, kaip nurodyta sutartame sąsajos kontrolės dokumente. Kad centrinė sistema efektyviai veiktų,</w:t>
            </w:r>
            <w:r w:rsidRPr="00D842C1">
              <w:rPr>
                <w:b/>
                <w:i/>
                <w:color w:val="auto"/>
              </w:rPr>
              <w:t xml:space="preserve"> </w:t>
            </w:r>
            <w:r w:rsidRPr="00D842C1">
              <w:rPr>
                <w:color w:val="auto"/>
              </w:rPr>
              <w:t>„eu-LISA“ nustato techninius reikalavimus, užtikrinančius, kad duomenys elektroniniu būdu galėtų būti tinkamai perduodami iš valstybių narių į centrinę sistemą ir atvirkščiai.</w:t>
            </w:r>
            <w:r w:rsidRPr="00D842C1">
              <w:rPr>
                <w:b/>
                <w:i/>
                <w:color w:val="auto"/>
              </w:rPr>
              <w:t xml:space="preserve"> </w:t>
            </w:r>
            <w:r w:rsidRPr="00D842C1">
              <w:rPr>
                <w:color w:val="auto"/>
              </w:rPr>
              <w:t>„eu-LISA“ užtikrina, kad kompiuterizuota pirštų atspaudų ir veido atvaizdo atpažinimo sistema galėtų lyginti valstybių narių perduotus pirštų atspaudų ir veido atvaizdo duomenis.</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Pirštų atspaudai</w:t>
            </w:r>
            <w:r w:rsidRPr="00D842C1">
              <w:rPr>
                <w:b/>
                <w:i/>
                <w:color w:val="auto"/>
              </w:rPr>
              <w:t xml:space="preserve"> ir veido atvaizdas</w:t>
            </w:r>
            <w:r w:rsidRPr="00D842C1">
              <w:rPr>
                <w:color w:val="auto"/>
              </w:rPr>
              <w:t xml:space="preserve"> yra skaitmeniniu būdu apdorojami ir perduodami duomenų formatu, kaip nurodyta sutartame sąsajos kontrolės dokumente. Kad centrinė sistema efektyviai veiktų,</w:t>
            </w:r>
            <w:r w:rsidRPr="00D842C1">
              <w:rPr>
                <w:b/>
                <w:i/>
                <w:color w:val="auto"/>
              </w:rPr>
              <w:t xml:space="preserve"> </w:t>
            </w:r>
            <w:r w:rsidRPr="00D842C1">
              <w:rPr>
                <w:color w:val="auto"/>
              </w:rPr>
              <w:t>„eu-LISA“ nustato techninius reikalavimus, užtikrinančius, kad duomenys elektroniniu būdu galėtų būti tinkamai perduodami iš valstybių narių į centrinę sistemą ir atvirkščiai.</w:t>
            </w:r>
            <w:r w:rsidRPr="00D842C1">
              <w:rPr>
                <w:b/>
                <w:i/>
                <w:color w:val="auto"/>
              </w:rPr>
              <w:t xml:space="preserve"> </w:t>
            </w:r>
            <w:r w:rsidRPr="00D842C1">
              <w:rPr>
                <w:color w:val="auto"/>
              </w:rPr>
              <w:t>„eu-LISA“ užtikrina, kad kompiuterizuota pirštų atspaudų ir veido atvaizdo atpažinimo sistema galėtų lyginti valstybių narių perduotus pirštų atspaudų ir veido atvaizdo duomenis.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Komisijos pasiūlymo, į kurio visas reikiamas vietas neįtraukiamos abi sąvokos „pirštų antspaudai“ ir „veido atvaizdas“, kurios atitinka 2 straipsnyje minimą pareigą, korekcija.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387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25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Valstybės narės 12 straipsnyje</w:t>
            </w:r>
            <w:r w:rsidRPr="00D842C1">
              <w:rPr>
                <w:b/>
                <w:i/>
                <w:color w:val="auto"/>
              </w:rPr>
              <w:t>,</w:t>
            </w:r>
            <w:r w:rsidRPr="00D842C1">
              <w:rPr>
                <w:color w:val="auto"/>
              </w:rPr>
              <w:t xml:space="preserve"> 13 straipsnio 2 dalyje ir</w:t>
            </w:r>
            <w:r w:rsidRPr="00D842C1">
              <w:rPr>
                <w:b/>
                <w:i/>
                <w:color w:val="auto"/>
              </w:rPr>
              <w:t xml:space="preserve"> 14</w:t>
            </w:r>
            <w:r w:rsidRPr="00D842C1">
              <w:rPr>
                <w:color w:val="auto"/>
              </w:rPr>
              <w:t xml:space="preserve"> straipsnio 2 dalyje nurodytus duomenis perduoda elektroniniu būdu. 12 straipsnyje</w:t>
            </w:r>
            <w:r w:rsidRPr="00D842C1">
              <w:rPr>
                <w:b/>
                <w:i/>
                <w:color w:val="auto"/>
              </w:rPr>
              <w:t>, 13</w:t>
            </w:r>
            <w:r w:rsidRPr="00D842C1">
              <w:rPr>
                <w:color w:val="auto"/>
              </w:rPr>
              <w:t xml:space="preserve"> straipsnio 2 dalyje</w:t>
            </w:r>
            <w:r w:rsidRPr="00D842C1">
              <w:rPr>
                <w:b/>
                <w:i/>
                <w:color w:val="auto"/>
              </w:rPr>
              <w:t xml:space="preserve"> ir 14 straipsnio 2 dalyje</w:t>
            </w:r>
            <w:r w:rsidRPr="00D842C1">
              <w:rPr>
                <w:color w:val="auto"/>
              </w:rPr>
              <w:t xml:space="preserve"> nurodyti duomenys automatiškai įrašomi centrinėje sistemoje. Kad centrinė sistema efektyviai veiktų,</w:t>
            </w:r>
            <w:r w:rsidRPr="00D842C1">
              <w:rPr>
                <w:b/>
                <w:i/>
                <w:color w:val="auto"/>
              </w:rPr>
              <w:t xml:space="preserve"> </w:t>
            </w:r>
            <w:r w:rsidRPr="00D842C1">
              <w:rPr>
                <w:color w:val="auto"/>
              </w:rPr>
              <w:t>„eu-LISA“ nustato techninius reikalavimus, užtikrinančius, kad duomenys elektroniniu būdu galėtų būti tinkamai perduodami iš valstybių narių į centrinę sistemą ir atvirkščiai.</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Valstybės narės 12 straipsnyje</w:t>
            </w:r>
            <w:r w:rsidRPr="00D842C1">
              <w:rPr>
                <w:b/>
                <w:i/>
                <w:color w:val="auto"/>
              </w:rPr>
              <w:t xml:space="preserve"> ir</w:t>
            </w:r>
            <w:r w:rsidRPr="00D842C1">
              <w:rPr>
                <w:color w:val="auto"/>
              </w:rPr>
              <w:t xml:space="preserve"> 13 straipsnio 2 dalyje ir</w:t>
            </w:r>
            <w:r w:rsidRPr="00D842C1">
              <w:rPr>
                <w:b/>
                <w:i/>
                <w:color w:val="auto"/>
              </w:rPr>
              <w:t xml:space="preserve"> 13</w:t>
            </w:r>
            <w:r w:rsidRPr="00D842C1">
              <w:rPr>
                <w:color w:val="auto"/>
              </w:rPr>
              <w:t xml:space="preserve"> straipsnio 2 dalyje nurodytus duomenis perduoda elektroniniu būdu. 12 straipsnyje</w:t>
            </w:r>
            <w:r w:rsidRPr="00D842C1">
              <w:rPr>
                <w:b/>
                <w:i/>
                <w:color w:val="auto"/>
              </w:rPr>
              <w:t xml:space="preserve"> ir 13</w:t>
            </w:r>
            <w:r w:rsidRPr="00D842C1">
              <w:rPr>
                <w:color w:val="auto"/>
              </w:rPr>
              <w:t xml:space="preserve"> straipsnio 2 dalyje nurodyti duomenys automatiškai įrašomi centrinėje sistemoje. Kad centrinė sistema efektyviai veiktų,</w:t>
            </w:r>
            <w:r w:rsidRPr="00D842C1">
              <w:rPr>
                <w:b/>
                <w:i/>
                <w:color w:val="auto"/>
              </w:rPr>
              <w:t xml:space="preserve"> </w:t>
            </w:r>
            <w:r w:rsidRPr="00D842C1">
              <w:rPr>
                <w:color w:val="auto"/>
              </w:rPr>
              <w:t>„eu-LISA“ nustato techninius reikalavimus, užtikrinančius, kad duomenys elektroniniu būdu galėtų būti tinkamai perduodami iš valstybių narių į centrinę sistemą ir atvirkščiai.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388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25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Valstybės narės 12 straipsnyje, 13 straipsnio 2 dalyje ir 14 straipsnio 2 dalyje nurodytus duomenis perduoda elektroniniu būdu. 12 straipsnyje, 13 straipsnio 2 dalyje ir 14 straipsnio 2 dalyje nurodyti duomenys automatiškai įrašomi centrinėje sistemoje. Kad centrinė sistema efektyviai veiktų,</w:t>
            </w:r>
            <w:r w:rsidRPr="00D842C1">
              <w:rPr>
                <w:b/>
                <w:i/>
                <w:color w:val="auto"/>
              </w:rPr>
              <w:t xml:space="preserve"> </w:t>
            </w:r>
            <w:r w:rsidRPr="00D842C1">
              <w:rPr>
                <w:color w:val="auto"/>
              </w:rPr>
              <w:t>„eu-LISA“ nustato techninius reikalavimus, užtikrinančius, kad duomenys elektroniniu būdu galėtų būti tinkamai perduodami iš valstybių narių į centrinę sistemą ir atvirkščiai.</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Valstybės narės 12 straipsnyje,</w:t>
            </w:r>
            <w:r w:rsidRPr="00D842C1">
              <w:rPr>
                <w:b/>
                <w:i/>
                <w:color w:val="auto"/>
              </w:rPr>
              <w:t xml:space="preserve"> 12b straipsnyje,</w:t>
            </w:r>
            <w:r w:rsidRPr="00D842C1">
              <w:rPr>
                <w:color w:val="auto"/>
              </w:rPr>
              <w:t xml:space="preserve"> 13 straipsnio 2 dalyje ir 14 straipsnio 2 dalyje nurodytus duomenis perduoda elektroniniu būdu. 12 straipsnyje,</w:t>
            </w:r>
            <w:r w:rsidRPr="00D842C1">
              <w:rPr>
                <w:b/>
                <w:i/>
                <w:color w:val="auto"/>
              </w:rPr>
              <w:t xml:space="preserve"> 12b straipsnyje,</w:t>
            </w:r>
            <w:r w:rsidRPr="00D842C1">
              <w:rPr>
                <w:color w:val="auto"/>
              </w:rPr>
              <w:t xml:space="preserve"> 13 straipsnio 2 dalyje ir 14 straipsnio 2 dalyje nurodyti duomenys automatiškai įrašomi centrinėje sistemoje. Kad centrinė sistema efektyviai veiktų,</w:t>
            </w:r>
            <w:r w:rsidRPr="00D842C1">
              <w:rPr>
                <w:b/>
                <w:i/>
                <w:color w:val="auto"/>
              </w:rPr>
              <w:t xml:space="preserve"> </w:t>
            </w:r>
            <w:r w:rsidRPr="00D842C1">
              <w:rPr>
                <w:color w:val="auto"/>
              </w:rPr>
              <w:t>„eu-LISA“ nustato techninius reikalavimus, užtikrinančius, kad duomenys elektroniniu būdu galėtų būti tinkamai perduodami iš valstybių narių į centrinę sistemą ir atvirkščiai.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389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25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Pagal 12 straipsnio i punkte, 13 straipsnio 2 dalies i punkte, 14 straipsnio 2 dalies i punkte ir 20 straipsnio 1 dalyje nurodytą registracijos numerį turi būti galima tiksliai susieti duomenis su vienu konkrečiu asmeniu ir su tuos duomenis perduodančia valstybe nare. Be to, pagal jį turi būti galima nustatyti, ar tokie duomenys yra susiję su 10 straipsnio 1 dalyje, 13 straipsnio 1 dalyje arba 14 straipsnio 1 dalyje nurodytu asmeniu.</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Pagal 12 straipsnio i punkte,</w:t>
            </w:r>
            <w:r w:rsidRPr="00D842C1">
              <w:rPr>
                <w:b/>
                <w:i/>
                <w:color w:val="auto"/>
              </w:rPr>
              <w:t xml:space="preserve"> 12b straipsnyje,</w:t>
            </w:r>
            <w:r w:rsidRPr="00D842C1">
              <w:rPr>
                <w:color w:val="auto"/>
              </w:rPr>
              <w:t xml:space="preserve"> 13 straipsnio 2 dalies i punkte, 14 straipsnio 2 dalies i punkte ir 20 straipsnio 1 dalyje nurodytą registracijos numerį turi būti galima tiksliai susieti duomenis su vienu konkrečiu asmeniu ir su tuos duomenis perduodančia valstybe nare. Be to, pagal jį turi būti galima nustatyti, ar tokie duomenys yra susiję su 10 straipsnio 1 dalyje,</w:t>
            </w:r>
            <w:r w:rsidRPr="00D842C1">
              <w:rPr>
                <w:b/>
                <w:i/>
                <w:color w:val="auto"/>
              </w:rPr>
              <w:t xml:space="preserve"> 12a straipsnyje,</w:t>
            </w:r>
            <w:r w:rsidRPr="00D842C1">
              <w:rPr>
                <w:color w:val="auto"/>
              </w:rPr>
              <w:t xml:space="preserve"> 13 straipsnio 1 dalyje arba 14 straipsnio 1 dalyje nurodytu asmeniu.</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390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25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Pagal 12 straipsnio i punkte, 13 straipsnio 2 dalies i punkte</w:t>
            </w:r>
            <w:r w:rsidRPr="00D842C1">
              <w:rPr>
                <w:b/>
                <w:i/>
                <w:color w:val="auto"/>
              </w:rPr>
              <w:t>, 14 straipsnio 2 dalies i punkte</w:t>
            </w:r>
            <w:r w:rsidRPr="00D842C1">
              <w:rPr>
                <w:color w:val="auto"/>
              </w:rPr>
              <w:t xml:space="preserve"> ir 20 straipsnio 1 dalyje nurodytą registracijos numerį turi būti galima tiksliai susieti duomenis su vienu konkrečiu asmeniu ir su tuos duomenis perduodančia valstybe nare. Be to, pagal jį turi būti galima nustatyti, ar tokie duomenys yra susiję su 10 straipsnio 1 dalyje</w:t>
            </w:r>
            <w:r w:rsidRPr="00D842C1">
              <w:rPr>
                <w:b/>
                <w:i/>
                <w:color w:val="auto"/>
              </w:rPr>
              <w:t>, 13</w:t>
            </w:r>
            <w:r w:rsidRPr="00D842C1">
              <w:rPr>
                <w:color w:val="auto"/>
              </w:rPr>
              <w:t xml:space="preserve"> straipsnio 1 dalyje</w:t>
            </w:r>
            <w:r w:rsidRPr="00D842C1">
              <w:rPr>
                <w:b/>
                <w:i/>
                <w:color w:val="auto"/>
              </w:rPr>
              <w:t xml:space="preserve"> arba 14 straipsnio 1 dalyje</w:t>
            </w:r>
            <w:r w:rsidRPr="00D842C1">
              <w:rPr>
                <w:color w:val="auto"/>
              </w:rPr>
              <w:t xml:space="preserve"> nurodytu asmeniu.</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Pagal 12 straipsnio i punkte, 13 straipsnio 2 dalies i punkte ir 20 straipsnio 1 dalyje nurodytą registracijos numerį turi būti galima tiksliai susieti duomenis su vienu konkrečiu asmeniu ir su tuos duomenis perduodančia valstybe nare. Be to, pagal jį turi būti galima nustatyti, ar tokie duomenys yra susiję su 10 straipsnio 1 dalyje</w:t>
            </w:r>
            <w:r w:rsidRPr="00D842C1">
              <w:rPr>
                <w:b/>
                <w:i/>
                <w:color w:val="auto"/>
              </w:rPr>
              <w:t xml:space="preserve"> ir 13</w:t>
            </w:r>
            <w:r w:rsidRPr="00D842C1">
              <w:rPr>
                <w:color w:val="auto"/>
              </w:rPr>
              <w:t xml:space="preserve"> straipsnio 1 dalyje nurodytu asmeniu.</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391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25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Registracijos numeris prasideda atpažinimo raide arba raidėmis, pagal kurias yra nustatoma duomenis perduodanti valstybė narė. Po atpažinimo raidės ar raidžių eina asmens arba prašymo kategoriją žymintis skaitmuo.</w:t>
            </w:r>
            <w:r w:rsidRPr="00D842C1">
              <w:rPr>
                <w:b/>
                <w:i/>
                <w:color w:val="auto"/>
              </w:rPr>
              <w:t xml:space="preserve"> </w:t>
            </w:r>
            <w:r w:rsidRPr="00D842C1">
              <w:rPr>
                <w:color w:val="auto"/>
              </w:rPr>
              <w:t>„1“ žymi duomenis, susijusius su 10 straipsnio 1 dalyje nurodytais asmenimis,</w:t>
            </w:r>
            <w:r w:rsidRPr="00D842C1">
              <w:rPr>
                <w:b/>
                <w:i/>
                <w:color w:val="auto"/>
              </w:rPr>
              <w:t xml:space="preserve"> </w:t>
            </w:r>
            <w:r w:rsidRPr="00D842C1">
              <w:rPr>
                <w:color w:val="auto"/>
              </w:rPr>
              <w:t>„2“ – su 13 straipsnio 1 dalyje nurodytais asmenimis,</w:t>
            </w:r>
            <w:r w:rsidRPr="00D842C1">
              <w:rPr>
                <w:b/>
                <w:i/>
                <w:color w:val="auto"/>
              </w:rPr>
              <w:t xml:space="preserve"> </w:t>
            </w:r>
            <w:r w:rsidRPr="00D842C1">
              <w:rPr>
                <w:color w:val="auto"/>
              </w:rPr>
              <w:t>„3“ – su 14 straipsnio 1 dalyje nurodytais asmenimis,</w:t>
            </w:r>
            <w:r w:rsidRPr="00D842C1">
              <w:rPr>
                <w:b/>
                <w:i/>
                <w:color w:val="auto"/>
              </w:rPr>
              <w:t xml:space="preserve"> </w:t>
            </w:r>
            <w:r w:rsidRPr="00D842C1">
              <w:rPr>
                <w:color w:val="auto"/>
              </w:rPr>
              <w:t>„4“ – su 21 straipsnyje nurodytais prašymais,</w:t>
            </w:r>
            <w:r w:rsidRPr="00D842C1">
              <w:rPr>
                <w:b/>
                <w:i/>
                <w:color w:val="auto"/>
              </w:rPr>
              <w:t xml:space="preserve"> </w:t>
            </w:r>
            <w:r w:rsidRPr="00D842C1">
              <w:rPr>
                <w:color w:val="auto"/>
              </w:rPr>
              <w:t>„5“ – su 22 straipsnyje nurodytais prašymais,</w:t>
            </w:r>
            <w:r w:rsidRPr="00D842C1">
              <w:rPr>
                <w:b/>
                <w:i/>
                <w:color w:val="auto"/>
              </w:rPr>
              <w:t xml:space="preserve"> </w:t>
            </w:r>
            <w:r w:rsidRPr="00D842C1">
              <w:rPr>
                <w:color w:val="auto"/>
              </w:rPr>
              <w:t>„9“ – su 30 straipsnyje nurodytais prašymais.</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Registracijos numeris prasideda atpažinimo raide arba raidėmis, pagal kurias yra nustatoma duomenis perduodanti valstybė narė. Po atpažinimo raidės ar raidžių eina asmens arba prašymo kategoriją žymintis skaitmuo.</w:t>
            </w:r>
            <w:r w:rsidRPr="00D842C1">
              <w:rPr>
                <w:b/>
                <w:i/>
                <w:color w:val="auto"/>
              </w:rPr>
              <w:t xml:space="preserve"> </w:t>
            </w:r>
            <w:r w:rsidRPr="00D842C1">
              <w:rPr>
                <w:color w:val="auto"/>
              </w:rPr>
              <w:t>„1“ žymi duomenis, susijusius su 10 straipsnio 1 dalyje nurodytais asmenimis,</w:t>
            </w:r>
            <w:r w:rsidRPr="00D842C1">
              <w:rPr>
                <w:b/>
                <w:i/>
                <w:color w:val="auto"/>
              </w:rPr>
              <w:t xml:space="preserve"> </w:t>
            </w:r>
            <w:r w:rsidRPr="00D842C1">
              <w:rPr>
                <w:color w:val="auto"/>
              </w:rPr>
              <w:t>„2“ – su 13 straipsnio 1 dalyje nurodytais asmenimis,</w:t>
            </w:r>
            <w:r w:rsidRPr="00D842C1">
              <w:rPr>
                <w:b/>
                <w:i/>
                <w:color w:val="auto"/>
              </w:rPr>
              <w:t xml:space="preserve"> </w:t>
            </w:r>
            <w:r w:rsidRPr="00D842C1">
              <w:rPr>
                <w:color w:val="auto"/>
              </w:rPr>
              <w:t>„3“ – su 14 straipsnio 1 dalyje nurodytais asmenimis,</w:t>
            </w:r>
            <w:r w:rsidRPr="00D842C1">
              <w:rPr>
                <w:b/>
                <w:i/>
                <w:color w:val="auto"/>
              </w:rPr>
              <w:t xml:space="preserve"> </w:t>
            </w:r>
            <w:r w:rsidRPr="00D842C1">
              <w:rPr>
                <w:color w:val="auto"/>
              </w:rPr>
              <w:t>„4“ – su 21 straipsnyje nurodytais prašymais,</w:t>
            </w:r>
            <w:r w:rsidRPr="00D842C1">
              <w:rPr>
                <w:b/>
                <w:i/>
                <w:color w:val="auto"/>
              </w:rPr>
              <w:t xml:space="preserve"> </w:t>
            </w:r>
            <w:r w:rsidRPr="00D842C1">
              <w:rPr>
                <w:color w:val="auto"/>
              </w:rPr>
              <w:t>„5“ – su 22 straipsnyje nurodytais prašymais,</w:t>
            </w:r>
            <w:r w:rsidRPr="00D842C1">
              <w:rPr>
                <w:b/>
                <w:i/>
                <w:color w:val="auto"/>
              </w:rPr>
              <w:t xml:space="preserve"> </w:t>
            </w:r>
            <w:r w:rsidRPr="00D842C1">
              <w:rPr>
                <w:color w:val="auto"/>
              </w:rPr>
              <w:t>„9“ – su 30 straipsnyje nurodytais prašymais</w:t>
            </w:r>
            <w:r w:rsidRPr="00D842C1">
              <w:rPr>
                <w:b/>
                <w:i/>
                <w:color w:val="auto"/>
              </w:rPr>
              <w:t>, „6“ – su 12a straipsnyje nurodytais asmenimis</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392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25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Registracijos numeris prasideda atpažinimo raide arba raidėmis, pagal kurias yra nustatoma duomenis perduodanti valstybė narė. Po atpažinimo raidės ar raidžių eina asmens arba prašymo kategoriją žymintis skaitmuo.</w:t>
            </w:r>
            <w:r w:rsidRPr="00D842C1">
              <w:rPr>
                <w:b/>
                <w:i/>
                <w:color w:val="auto"/>
              </w:rPr>
              <w:t xml:space="preserve"> </w:t>
            </w:r>
            <w:r w:rsidRPr="00D842C1">
              <w:rPr>
                <w:color w:val="auto"/>
              </w:rPr>
              <w:t>„1“ žymi duomenis, susijusius su 10 straipsnio 1 dalyje nurodytais asmenimis,</w:t>
            </w:r>
            <w:r w:rsidRPr="00D842C1">
              <w:rPr>
                <w:b/>
                <w:i/>
                <w:color w:val="auto"/>
              </w:rPr>
              <w:t xml:space="preserve"> </w:t>
            </w:r>
            <w:r w:rsidRPr="00D842C1">
              <w:rPr>
                <w:color w:val="auto"/>
              </w:rPr>
              <w:t>„2“ – su 13 straipsnio 1 dalyje nurodytais asmenimis,</w:t>
            </w:r>
            <w:r w:rsidRPr="00D842C1">
              <w:rPr>
                <w:b/>
                <w:i/>
                <w:color w:val="auto"/>
              </w:rPr>
              <w:t xml:space="preserve"> </w:t>
            </w:r>
            <w:r w:rsidRPr="00D842C1">
              <w:rPr>
                <w:color w:val="auto"/>
              </w:rPr>
              <w:t>„</w:t>
            </w:r>
            <w:r w:rsidRPr="00D842C1">
              <w:rPr>
                <w:b/>
                <w:i/>
                <w:color w:val="auto"/>
              </w:rPr>
              <w:t>3“ – su 14 straipsnio 1 dalyje nurodytais asmenimis, „</w:t>
            </w:r>
            <w:r w:rsidRPr="00D842C1">
              <w:rPr>
                <w:color w:val="auto"/>
              </w:rPr>
              <w:t>4“ – su 21 straipsnyje nurodytais prašymais,</w:t>
            </w:r>
            <w:r w:rsidRPr="00D842C1">
              <w:rPr>
                <w:b/>
                <w:i/>
                <w:color w:val="auto"/>
              </w:rPr>
              <w:t xml:space="preserve"> </w:t>
            </w:r>
            <w:r w:rsidRPr="00D842C1">
              <w:rPr>
                <w:color w:val="auto"/>
              </w:rPr>
              <w:t>„5“ – su 22 straipsnyje nurodytais prašymais,</w:t>
            </w:r>
            <w:r w:rsidRPr="00D842C1">
              <w:rPr>
                <w:b/>
                <w:i/>
                <w:color w:val="auto"/>
              </w:rPr>
              <w:t xml:space="preserve"> </w:t>
            </w:r>
            <w:r w:rsidRPr="00D842C1">
              <w:rPr>
                <w:color w:val="auto"/>
              </w:rPr>
              <w:t>„9“ – su 30 straipsnyje nurodytais prašymais.</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Registracijos numeris prasideda atpažinimo raide arba raidėmis, pagal kurias yra nustatoma duomenis perduodanti valstybė narė. Po atpažinimo raidės ar raidžių eina asmens arba prašymo kategoriją žymintis skaitmuo.</w:t>
            </w:r>
            <w:r w:rsidRPr="00D842C1">
              <w:rPr>
                <w:b/>
                <w:i/>
                <w:color w:val="auto"/>
              </w:rPr>
              <w:t xml:space="preserve"> </w:t>
            </w:r>
            <w:r w:rsidRPr="00D842C1">
              <w:rPr>
                <w:color w:val="auto"/>
              </w:rPr>
              <w:t>„1“ žymi duomenis, susijusius su 10 straipsnio 1 dalyje nurodytais asmenimis,</w:t>
            </w:r>
            <w:r w:rsidRPr="00D842C1">
              <w:rPr>
                <w:b/>
                <w:i/>
                <w:color w:val="auto"/>
              </w:rPr>
              <w:t xml:space="preserve"> </w:t>
            </w:r>
            <w:r w:rsidRPr="00D842C1">
              <w:rPr>
                <w:color w:val="auto"/>
              </w:rPr>
              <w:t>„2“ – su 13 straipsnio 1 dalyje nurodytais asmenimis,</w:t>
            </w:r>
            <w:r w:rsidRPr="00D842C1">
              <w:rPr>
                <w:b/>
                <w:i/>
                <w:color w:val="auto"/>
              </w:rPr>
              <w:t xml:space="preserve"> </w:t>
            </w:r>
            <w:r w:rsidRPr="00D842C1">
              <w:rPr>
                <w:color w:val="auto"/>
              </w:rPr>
              <w:t>„4“ – su 21 straipsnyje nurodytais prašymais,</w:t>
            </w:r>
            <w:r w:rsidRPr="00D842C1">
              <w:rPr>
                <w:b/>
                <w:i/>
                <w:color w:val="auto"/>
              </w:rPr>
              <w:t xml:space="preserve"> </w:t>
            </w:r>
            <w:r w:rsidRPr="00D842C1">
              <w:rPr>
                <w:color w:val="auto"/>
              </w:rPr>
              <w:t>„5“ – su 22 straipsnyje nurodytais prašymais,</w:t>
            </w:r>
            <w:r w:rsidRPr="00D842C1">
              <w:rPr>
                <w:b/>
                <w:i/>
                <w:color w:val="auto"/>
              </w:rPr>
              <w:t xml:space="preserve"> </w:t>
            </w:r>
            <w:r w:rsidRPr="00D842C1">
              <w:rPr>
                <w:color w:val="auto"/>
              </w:rPr>
              <w:t>„9“ – su 30 straipsnyje nurodytais prašymais.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393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26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Valstybės narės užtikrina tinkamos kokybės pirštų atspaudų duomenų perdavimą, kad juos būtų galima lyginti naudojantis kompiuterizuota pirštų atspaudų ir veido atvaizdo atpažinimo sistema. Kad centrinės sistemos lyginimo rezultatai būtų labai tikslūs,</w:t>
            </w:r>
            <w:r w:rsidRPr="00D842C1">
              <w:rPr>
                <w:b/>
                <w:i/>
                <w:color w:val="auto"/>
              </w:rPr>
              <w:t xml:space="preserve"> </w:t>
            </w:r>
            <w:r w:rsidRPr="00D842C1">
              <w:rPr>
                <w:color w:val="auto"/>
              </w:rPr>
              <w:t>„eu-LISA“ apibrėžia tinkamą perduodamų pirštų atspaudų duomenų kokybę. Centrinė sistema kuo skubiau patikrina perduotų pirštų atspaudų</w:t>
            </w:r>
            <w:r w:rsidRPr="00D842C1">
              <w:rPr>
                <w:b/>
                <w:i/>
                <w:color w:val="auto"/>
              </w:rPr>
              <w:t xml:space="preserve"> ir</w:t>
            </w:r>
            <w:r w:rsidRPr="00D842C1">
              <w:rPr>
                <w:color w:val="auto"/>
              </w:rPr>
              <w:t xml:space="preserve"> veido atvaizdo duomenų kokybę. Jei pirštų atspaudų ar veido atvaizdo duomenys netinkami lyginti naudojant kompiuterizuotą pirštų atspaudų ir veido atvaizdo atpažinimo sistemą, centrinė sistema informuoja atitinkamą valstybę narę. Ta valstybė narė tuomet perduoda tinkamos kokybės pirštų atspaudų ar veido atvaizdo duomenis, naudodamasi tuo pačiu ankstesnių pirštų atspaudų ar veido atvaizdo duomenų registracijos numeriu.</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Valstybės narės užtikrina tinkamos kokybės pirštų atspaudų duomenų perdavimą, kad juos būtų galima lyginti naudojantis kompiuterizuota pirštų atspaudų ir veido atvaizdo atpažinimo sistema. Kad centrinės sistemos lyginimo rezultatai būtų labai tikslūs,</w:t>
            </w:r>
            <w:r w:rsidRPr="00D842C1">
              <w:rPr>
                <w:b/>
                <w:i/>
                <w:color w:val="auto"/>
              </w:rPr>
              <w:t xml:space="preserve"> </w:t>
            </w:r>
            <w:r w:rsidRPr="00D842C1">
              <w:rPr>
                <w:color w:val="auto"/>
              </w:rPr>
              <w:t>„eu-LISA“ apibrėžia tinkamą perduodamų pirštų atspaudų duomenų kokybę. Centrinė sistema kuo skubiau patikrina perduotų pirštų atspaudų</w:t>
            </w:r>
            <w:r w:rsidRPr="00D842C1">
              <w:rPr>
                <w:b/>
                <w:i/>
                <w:color w:val="auto"/>
              </w:rPr>
              <w:t xml:space="preserve"> ar</w:t>
            </w:r>
            <w:r w:rsidRPr="00D842C1">
              <w:rPr>
                <w:color w:val="auto"/>
              </w:rPr>
              <w:t xml:space="preserve"> veido atvaizdo duomenų kokybę. Jei pirštų atspaudų ar veido atvaizdo duomenys netinkami lyginti naudojant kompiuterizuotą pirštų atspaudų ir veido atvaizdo atpažinimo sistemą, centrinė sistema informuoja atitinkamą valstybę narę. Ta valstybė narė tuomet perduoda tinkamos kokybės pirštų atspaudų ar veido atvaizdo duomenis, naudodamasi tuo pačiu ankstesnių pirštų atspaudų ar veido atvaizdo duomenų registracijos numeriu.</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394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26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Valstybės narės užtikrina tinkamos kokybės pirštų atspaudų duomenų perdavimą, kad juos būtų galima lyginti naudojantis kompiuterizuota pirštų atspaudų ir veido atvaizdo atpažinimo sistema. Kad centrinės sistemos lyginimo rezultatai būtų labai tikslūs,</w:t>
            </w:r>
            <w:r w:rsidRPr="00D842C1">
              <w:rPr>
                <w:b/>
                <w:i/>
                <w:color w:val="auto"/>
              </w:rPr>
              <w:t xml:space="preserve"> </w:t>
            </w:r>
            <w:r w:rsidRPr="00D842C1">
              <w:rPr>
                <w:color w:val="auto"/>
              </w:rPr>
              <w:t>„eu-LISA“ apibrėžia tinkamą perduodamų pirštų atspaudų duomenų kokybę. Centrinė sistema kuo skubiau patikrina perduotų pirštų atspaudų ir veido atvaizdo duomenų kokybę. Jei pirštų atspaudų ar veido atvaizdo duomenys netinkami lyginti naudojant kompiuterizuotą pirštų atspaudų ir veido atvaizdo atpažinimo sistemą, centrinė sistema informuoja atitinkamą valstybę narę. Ta valstybė narė tuomet perduoda tinkamos kokybės pirštų atspaudų ar veido atvaizdo duomenis, naudodamasi tuo pačiu ankstesnių pirštų atspaudų ar veido atvaizdo duomenų registracijos numeriu.</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Valstybės narės užtikrina tinkamos kokybės pirštų atspaudų</w:t>
            </w:r>
            <w:r w:rsidRPr="00D842C1">
              <w:rPr>
                <w:b/>
                <w:i/>
                <w:color w:val="auto"/>
              </w:rPr>
              <w:t xml:space="preserve"> ir veido atvaizdo</w:t>
            </w:r>
            <w:r w:rsidRPr="00D842C1">
              <w:rPr>
                <w:color w:val="auto"/>
              </w:rPr>
              <w:t xml:space="preserve"> duomenų perdavimą, kad juos būtų galima lyginti naudojantis kompiuterizuota pirštų atspaudų ir veido atvaizdo atpažinimo sistema. Kad centrinės sistemos lyginimo rezultatai būtų labai tikslūs,</w:t>
            </w:r>
            <w:r w:rsidRPr="00D842C1">
              <w:rPr>
                <w:b/>
                <w:i/>
                <w:color w:val="auto"/>
              </w:rPr>
              <w:t xml:space="preserve"> </w:t>
            </w:r>
            <w:r w:rsidRPr="00D842C1">
              <w:rPr>
                <w:color w:val="auto"/>
              </w:rPr>
              <w:t>„eu-LISA“ apibrėžia tinkamą perduodamų pirštų atspaudų</w:t>
            </w:r>
            <w:r w:rsidRPr="00D842C1">
              <w:rPr>
                <w:b/>
                <w:i/>
                <w:color w:val="auto"/>
              </w:rPr>
              <w:t xml:space="preserve"> ir veido atvaizdo</w:t>
            </w:r>
            <w:r w:rsidRPr="00D842C1">
              <w:rPr>
                <w:color w:val="auto"/>
              </w:rPr>
              <w:t xml:space="preserve"> duomenų kokybę. Centrinė sistema kuo skubiau patikrina perduotų pirštų atspaudų ir veido atvaizdo duomenų kokybę. Jei pirštų atspaudų ar veido atvaizdo duomenys netinkami lyginti naudojant kompiuterizuotą pirštų atspaudų ir veido atvaizdo atpažinimo sistemą, centrinė sistema informuoja atitinkamą valstybę narę. Ta valstybė narė tuomet perduoda tinkamos kokybės pirštų atspaudų ar veido atvaizdo duomenis, naudodamasi tuo pačiu ankstesnių pirštų atspaudų ar veido atvaizdo duomenų registracijos numeriu.</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Komisijos pasiūlymo, į kurio visas reikiamas vietas neįtraukiamos abi sąvokos „pirštų antspaudai“ ir „veido atvaizdas“, kurios atitinka 2 straipsnyje minimą pareigą, korekcija.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395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26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Pagal 15 straipsnį atlikto pirštų atspaudų</w:t>
            </w:r>
            <w:r w:rsidRPr="00D842C1">
              <w:rPr>
                <w:b/>
                <w:i/>
                <w:color w:val="auto"/>
              </w:rPr>
              <w:t xml:space="preserve"> duomenų</w:t>
            </w:r>
            <w:r w:rsidRPr="00D842C1">
              <w:rPr>
                <w:color w:val="auto"/>
              </w:rPr>
              <w:t xml:space="preserve"> lyginimo rezultatus nedelsiant tikrina priimančiosios valstybės narės daktiloskopijos ekspertas, kaip apibrėžta pagal jos nacionalines taisykles, kvalifikuotas būtent šiame reglamente numatytų pirštų atspaudų palyginimo tipų srityje. Šio reglamento 1 straipsnio 1 dalies a ir b punktuose išdėstytais tikslais galutinį identifikavimą atlieka kilmės valstybė narė, bendradarbiaudama su atitinkamomis kitomis valstybėmis narėmis.</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Pagal 15 straipsnį atlikto pirštų atspaudų</w:t>
            </w:r>
            <w:r w:rsidRPr="00D842C1">
              <w:rPr>
                <w:b/>
                <w:i/>
                <w:color w:val="auto"/>
              </w:rPr>
              <w:t xml:space="preserve"> ir veido atvaizdo</w:t>
            </w:r>
            <w:r w:rsidRPr="00D842C1">
              <w:rPr>
                <w:color w:val="auto"/>
              </w:rPr>
              <w:t xml:space="preserve"> lyginimo rezultatus nedelsiant tikrina priimančiosios valstybės narės daktiloskopijos</w:t>
            </w:r>
            <w:r w:rsidRPr="00D842C1">
              <w:rPr>
                <w:b/>
                <w:i/>
                <w:color w:val="auto"/>
              </w:rPr>
              <w:t xml:space="preserve"> ir veido atvaizdų</w:t>
            </w:r>
            <w:r w:rsidRPr="00D842C1">
              <w:rPr>
                <w:color w:val="auto"/>
              </w:rPr>
              <w:t xml:space="preserve"> ekspertas, kaip apibrėžta pagal jos nacionalines taisykles, kvalifikuotas būtent šiame reglamente numatytų pirštų atspaudų</w:t>
            </w:r>
            <w:r w:rsidRPr="00D842C1">
              <w:rPr>
                <w:b/>
                <w:i/>
                <w:color w:val="auto"/>
              </w:rPr>
              <w:t xml:space="preserve"> ir veido atvaizdo</w:t>
            </w:r>
            <w:r w:rsidRPr="00D842C1">
              <w:rPr>
                <w:color w:val="auto"/>
              </w:rPr>
              <w:t xml:space="preserve"> palyginimo tipų srityje. Šio reglamento 1 straipsnio 1 dalies a ir b punktuose išdėstytais tikslais galutinį identifikavimą atlieka kilmės valstybė narė, bendradarbiaudama su atitinkamomis kitomis valstybėmis narėmis.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Pagal Darbo tvarkos taisyklių 104 straipsnį šis pakeitimas yra būtinas, nes jis neatsiejamai susijęs su kitais priimtinais pakeitimais, susijusiais su sistemos EURODAC tikslais (1 straipsnis), kuriais įtraukiamos tapatybės nustatymo apsaugos priemonės.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396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26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Pagal 15 straipsnį atlikto pirštų atspaudų duomenų lyginimo rezultatus nedelsiant tikrina priimančiosios valstybės narės daktiloskopijos ekspertas, kaip apibrėžta pagal jos nacionalines taisykles, kvalifikuotas būtent šiame reglamente numatytų pirštų atspaudų palyginimo tipų srityje. Šio reglamento 1 straipsnio 1 dalies a ir</w:t>
            </w:r>
            <w:r w:rsidRPr="00D842C1">
              <w:rPr>
                <w:b/>
                <w:i/>
                <w:color w:val="auto"/>
              </w:rPr>
              <w:t xml:space="preserve"> b</w:t>
            </w:r>
            <w:r w:rsidRPr="00D842C1">
              <w:rPr>
                <w:color w:val="auto"/>
              </w:rPr>
              <w:t xml:space="preserve"> punktuose išdėstytais tikslais galutinį identifikavimą atlieka kilmės valstybė narė, bendradarbiaudama su atitinkamomis kitomis valstybėmis narėmis.</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Pagal 15 straipsnį atlikto pirštų atspaudų duomenų lyginimo rezultatus nedelsiant tikrina priimančiosios valstybės narės daktiloskopijos ekspertas, kaip apibrėžta pagal jos nacionalines taisykles, kvalifikuotas būtent šiame reglamente numatytų pirštų atspaudų palyginimo tipų srityje. Šio reglamento 1 straipsnio 1 dalies a ir</w:t>
            </w:r>
            <w:r w:rsidRPr="00D842C1">
              <w:rPr>
                <w:b/>
                <w:i/>
                <w:color w:val="auto"/>
              </w:rPr>
              <w:t xml:space="preserve"> ca</w:t>
            </w:r>
            <w:r w:rsidRPr="00D842C1">
              <w:rPr>
                <w:color w:val="auto"/>
              </w:rPr>
              <w:t xml:space="preserve"> punktuose išdėstytais tikslais galutinį identifikavimą atlieka kilmės valstybė narė, bendradarbiaudama su atitinkamomis kitomis valstybėmis narėmis.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This amendment is admissible as inextricably linked to the admissible amendment deleting Article 1(1)(b). This amendment furthermore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397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26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Pagal 15 straipsnį atlikto pirštų atspaudų duomenų lyginimo rezultatus nedelsiant tikrina priimančiosios valstybės narės daktiloskopijos ekspertas, kaip apibrėžta pagal jos nacionalines taisykles, kvalifikuotas būtent šiame reglamente numatytų pirštų atspaudų palyginimo tipų srityje. Šio reglamento 1 straipsnio 1 dalies a ir b punktuose išdėstytais tikslais galutinį identifikavimą atlieka kilmės valstybė narė, bendradarbiaudama su atitinkamomis kitomis valstybėmis narėmis.</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Pagal 15 straipsnį atlikto pirštų atspaudų duomenų lyginimo rezultatus nedelsiant tikrina priimančiosios valstybės narės daktiloskopijos ekspertas, kaip apibrėžta pagal jos nacionalines taisykles, kvalifikuotas būtent šiame reglamente numatytų pirštų atspaudų palyginimo tipų srityje. Šio reglamento 1 straipsnio 1 dalies a</w:t>
            </w:r>
            <w:r w:rsidRPr="00D842C1">
              <w:rPr>
                <w:b/>
                <w:i/>
                <w:color w:val="auto"/>
              </w:rPr>
              <w:t>, aa</w:t>
            </w:r>
            <w:r w:rsidRPr="00D842C1">
              <w:rPr>
                <w:color w:val="auto"/>
              </w:rPr>
              <w:t xml:space="preserve"> ir b punktuose išdėstytais tikslais galutinį identifikavimą atlieka kilmės valstybė narė, bendradarbiaudama su atitinkamomis kitomis valstybėmis narėmis.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398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26 straipsnio 5 dalies pirma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Pagal 16 straipsnį atlikto veido atvaizdo duomenų lyginimo rezultatai nedelsiant patikrinami ir įvertinami gaunančiojoje valstybėje narėje. Šio reglamento 1 straipsnio 1 dalies a ir b punktuose išdėstytais tikslais galutinį identifikavimą atlieka kilmės valstybė narė, bendradarbiaudama su atitinkamomis kitomis valstybėmis narėmis.</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399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26 straipsnio 5 dalies pirma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Pagal 16 straipsnį atlikto veido atvaizdo duomenų lyginimo rezultatai nedelsiant patikrinami ir įvertinami gaunančiojoje valstybėje narėje. Šio reglamento 1 straipsnio 1 dalies a ir</w:t>
            </w:r>
            <w:r w:rsidRPr="00D842C1">
              <w:rPr>
                <w:b/>
                <w:i/>
                <w:color w:val="auto"/>
              </w:rPr>
              <w:t xml:space="preserve"> b</w:t>
            </w:r>
            <w:r w:rsidRPr="00D842C1">
              <w:rPr>
                <w:color w:val="auto"/>
              </w:rPr>
              <w:t xml:space="preserve"> punktuose išdėstytais tikslais galutinį identifikavimą atlieka kilmės valstybė narė, bendradarbiaudama su atitinkamomis kitomis valstybėmis narėmis.</w:t>
            </w:r>
          </w:p>
        </w:tc>
        <w:tc>
          <w:tcPr>
            <w:tcW w:w="4876" w:type="dxa"/>
          </w:tcPr>
          <w:p w:rsidR="00131F3A" w:rsidRPr="00D842C1" w:rsidRDefault="00131F3A" w:rsidP="00131F3A">
            <w:pPr>
              <w:pStyle w:val="Normal6"/>
              <w:rPr>
                <w:b/>
                <w:i/>
                <w:color w:val="auto"/>
              </w:rPr>
            </w:pPr>
            <w:r w:rsidRPr="00D842C1">
              <w:rPr>
                <w:color w:val="auto"/>
              </w:rPr>
              <w:t>Pagal 16 straipsnį atlikto veido atvaizdo duomenų lyginimo rezultatai nedelsiant patikrinami ir įvertinami gaunančiojoje valstybėje narėje. Šio reglamento 1 straipsnio 1 dalies a ir</w:t>
            </w:r>
            <w:r w:rsidRPr="00D842C1">
              <w:rPr>
                <w:b/>
                <w:i/>
                <w:color w:val="auto"/>
              </w:rPr>
              <w:t xml:space="preserve"> ca</w:t>
            </w:r>
            <w:r w:rsidRPr="00D842C1">
              <w:rPr>
                <w:color w:val="auto"/>
              </w:rPr>
              <w:t xml:space="preserve"> punktuose išdėstytais tikslais galutinį identifikavimą atlieka kilmės valstybė narė, bendradarbiaudama su atitinkamomis kitomis valstybėmis narėmis.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neatsiejamai susijęs su priimtinu pakeitimu, kuriuo išbraukiamas 1 straipsnio 1 dalies b punktas.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400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26 straipsnio 5 dalies pirma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Pagal 16 straipsnį atlikto veido atvaizdo duomenų lyginimo rezultatai nedelsiant patikrinami ir įvertinami gaunančiojoje valstybėje narėje. Šio reglamento 1 straipsnio 1 dalies a ir b punktuose išdėstytais tikslais galutinį identifikavimą atlieka kilmės valstybė narė, bendradarbiaudama su atitinkamomis kitomis valstybėmis narėmis.</w:t>
            </w:r>
          </w:p>
        </w:tc>
        <w:tc>
          <w:tcPr>
            <w:tcW w:w="4876" w:type="dxa"/>
          </w:tcPr>
          <w:p w:rsidR="00131F3A" w:rsidRPr="00D842C1" w:rsidRDefault="00131F3A" w:rsidP="00131F3A">
            <w:pPr>
              <w:pStyle w:val="Normal6"/>
              <w:rPr>
                <w:b/>
                <w:i/>
                <w:color w:val="auto"/>
              </w:rPr>
            </w:pPr>
            <w:r w:rsidRPr="00D842C1">
              <w:rPr>
                <w:color w:val="auto"/>
              </w:rPr>
              <w:t>Pagal 16 straipsnį atlikto veido atvaizdo duomenų lyginimo rezultatai nedelsiant patikrinami ir įvertinami gaunančiojoje valstybėje narėje. Šio reglamento 1 straipsnio 1 dalies a</w:t>
            </w:r>
            <w:r w:rsidRPr="00D842C1">
              <w:rPr>
                <w:b/>
                <w:i/>
                <w:color w:val="auto"/>
              </w:rPr>
              <w:t>, aa</w:t>
            </w:r>
            <w:r w:rsidRPr="00D842C1">
              <w:rPr>
                <w:color w:val="auto"/>
              </w:rPr>
              <w:t xml:space="preserve"> ir b punktuose išdėstytais tikslais galutinį identifikavimą atlieka kilmės valstybė narė, bendradarbiaudama su atitinkamomis kitomis valstybėmis narėmis.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401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28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Valstybių narių valdžios institucijos, kurios pagal šio straipsnio 1 dalį turi prieigą prie centrinėje sistemoje įrašytų duomenų, yra tos valdžios institucijos, kurias 1 straipsnio 1 dalies a ir b punktuose išdėstytais tikslais paskiria kiekviena valstybė narė. Atliekant tą paskyrimą apibrėžiamas konkretus padalinys, atsakingas už užduočių, susijusių su šio reglamento taikymu, vykdymą. Tokių padalinių sąrašą ir vėlesnius jo pakeitimus kiekviena valstybė nedelsdama perduoda Komisijai ir</w:t>
            </w:r>
            <w:r w:rsidRPr="00D842C1">
              <w:rPr>
                <w:b/>
                <w:i/>
                <w:color w:val="auto"/>
              </w:rPr>
              <w:t xml:space="preserve"> </w:t>
            </w:r>
            <w:r w:rsidRPr="00D842C1">
              <w:rPr>
                <w:color w:val="auto"/>
              </w:rPr>
              <w:t>„eu-LISA“</w:t>
            </w:r>
            <w:r w:rsidRPr="00D842C1">
              <w:rPr>
                <w:b/>
                <w:i/>
                <w:color w:val="auto"/>
              </w:rPr>
              <w:t xml:space="preserve"> </w:t>
            </w:r>
            <w:r w:rsidRPr="00D842C1">
              <w:rPr>
                <w:color w:val="auto"/>
              </w:rPr>
              <w:t>.</w:t>
            </w:r>
            <w:r w:rsidRPr="00D842C1">
              <w:rPr>
                <w:b/>
                <w:i/>
                <w:color w:val="auto"/>
              </w:rPr>
              <w:t xml:space="preserve"> </w:t>
            </w:r>
            <w:r w:rsidRPr="00D842C1">
              <w:rPr>
                <w:color w:val="auto"/>
              </w:rPr>
              <w:t>„eu-LISA“ suvestinį sąrašą skelbia Europos Sąjungos oficialiajame leidinyje. Pakeitimų atveju</w:t>
            </w:r>
            <w:r w:rsidRPr="00D842C1">
              <w:rPr>
                <w:b/>
                <w:i/>
                <w:color w:val="auto"/>
              </w:rPr>
              <w:t xml:space="preserve"> </w:t>
            </w:r>
            <w:r w:rsidRPr="00D842C1">
              <w:rPr>
                <w:color w:val="auto"/>
              </w:rPr>
              <w:t>„eu-LISA“ kartą per metus internetu skelbia atnaujintą suvestinį sąrašą.</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Valstybių narių valdžios institucijos, kurios pagal šio straipsnio 1 dalį turi prieigą prie centrinėje sistemoje įrašytų duomenų, yra tos valdžios institucijos, kurias 1 straipsnio 1 dalies a</w:t>
            </w:r>
            <w:r w:rsidRPr="00D842C1">
              <w:rPr>
                <w:b/>
                <w:i/>
                <w:color w:val="auto"/>
              </w:rPr>
              <w:t>, aa</w:t>
            </w:r>
            <w:r w:rsidRPr="00D842C1">
              <w:rPr>
                <w:color w:val="auto"/>
              </w:rPr>
              <w:t xml:space="preserve"> ir b punktuose išdėstytais tikslais paskiria kiekviena valstybė narė. Atliekant tą paskyrimą apibrėžiamas konkretus padalinys, atsakingas už užduočių, susijusių su šio reglamento taikymu, vykdymą. Tokių padalinių sąrašą ir vėlesnius jo pakeitimus kiekviena valstybė nedelsdama perduoda Komisijai ir</w:t>
            </w:r>
            <w:r w:rsidRPr="00D842C1">
              <w:rPr>
                <w:b/>
                <w:i/>
                <w:color w:val="auto"/>
              </w:rPr>
              <w:t xml:space="preserve"> </w:t>
            </w:r>
            <w:r w:rsidRPr="00D842C1">
              <w:rPr>
                <w:color w:val="auto"/>
              </w:rPr>
              <w:t>„eu-LISA“</w:t>
            </w:r>
            <w:r w:rsidRPr="00D842C1">
              <w:rPr>
                <w:b/>
                <w:i/>
                <w:color w:val="auto"/>
              </w:rPr>
              <w:t xml:space="preserve"> </w:t>
            </w:r>
            <w:r w:rsidRPr="00D842C1">
              <w:rPr>
                <w:color w:val="auto"/>
              </w:rPr>
              <w:t>.</w:t>
            </w:r>
            <w:r w:rsidRPr="00D842C1">
              <w:rPr>
                <w:b/>
                <w:i/>
                <w:color w:val="auto"/>
              </w:rPr>
              <w:t xml:space="preserve"> </w:t>
            </w:r>
            <w:r w:rsidRPr="00D842C1">
              <w:rPr>
                <w:color w:val="auto"/>
              </w:rPr>
              <w:t>„eu-LISA“ suvestinį sąrašą skelbia Europos Sąjungos oficialiajame leidinyje. Pakeitimų atveju</w:t>
            </w:r>
            <w:r w:rsidRPr="00D842C1">
              <w:rPr>
                <w:b/>
                <w:i/>
                <w:color w:val="auto"/>
              </w:rPr>
              <w:t xml:space="preserve"> </w:t>
            </w:r>
            <w:r w:rsidRPr="00D842C1">
              <w:rPr>
                <w:color w:val="auto"/>
              </w:rPr>
              <w:t>„eu-LISA“ kartą per metus internetu skelbia atnaujintą suvestinį sąrašą.</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402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28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Tik kilmės valstybė narė turi teisę keisti į centrinę sistemą perduotus duomenis, tokius duomenis taisydama ar papildydama, arba juos ištrinti, nedarydama poveikio ištrynimui, atliekamam pagal 18</w:t>
            </w:r>
            <w:r w:rsidRPr="00D842C1">
              <w:rPr>
                <w:b/>
                <w:i/>
                <w:color w:val="auto"/>
              </w:rPr>
              <w:t xml:space="preserve"> straipsnį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Tik kilmės valstybė narė turi teisę keisti į centrinę sistemą perduotus duomenis, tokius duomenis taisydama ar papildydama, arba juos ištrinti, nedarydama poveikio ištrynimui, atliekamam pagal 18</w:t>
            </w:r>
            <w:r w:rsidRPr="00D842C1">
              <w:rPr>
                <w:b/>
                <w:i/>
                <w:color w:val="auto"/>
              </w:rPr>
              <w:t xml:space="preserve"> ir 13 straipsnius</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403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29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351584" w:rsidP="00131F3A">
            <w:pPr>
              <w:pStyle w:val="ColumnHeading"/>
              <w:rPr>
                <w:color w:val="auto"/>
              </w:rPr>
            </w:pPr>
            <w:r w:rsidRPr="00D842C1">
              <w:rPr>
                <w:color w:val="auto"/>
              </w:rPr>
              <w:t>Komisijos siūlomas tekstas</w:t>
            </w:r>
          </w:p>
        </w:tc>
        <w:tc>
          <w:tcPr>
            <w:tcW w:w="4876" w:type="dxa"/>
          </w:tcPr>
          <w:p w:rsidR="00131F3A" w:rsidRPr="00D842C1" w:rsidRDefault="00351584"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1 straipsnio 1 dalies a ir b punktuose išdėstytais tikslais kiekviena valstybė narė imasi reikiamų priemonių, kad savo nacionalinėje sistemoje pasiektų šio straipsnio 1 ir 2 dalyse nustatytus tikslus. Be to, kiekviena valstybė narė tinkamai registruoja įgaliotų darbuotojų atliekamas duomenų įvedimo ir paieškos operacijas.</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1 straipsnio 1 dalies a</w:t>
            </w:r>
            <w:r w:rsidRPr="00D842C1">
              <w:rPr>
                <w:b/>
                <w:i/>
                <w:color w:val="auto"/>
              </w:rPr>
              <w:t>, aa</w:t>
            </w:r>
            <w:r w:rsidRPr="00D842C1">
              <w:rPr>
                <w:color w:val="auto"/>
              </w:rPr>
              <w:t xml:space="preserve"> ir b punktuose išdėstytais tikslais kiekviena valstybė narė imasi reikiamų priemonių, kad savo nacionalinėje sistemoje pasiektų šio straipsnio 1 ir 2 dalyse nustatytus tikslus. Be to, kiekviena valstybė narė tinkamai registruoja įgaliotų darbuotojų atliekamas duomenų įvedimo ir paieškos operacijas.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404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1 dalies įžanginė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Asmenį, kuriam taikomos 10 straipsnio 1 dalis, 13 straipsnio 1 dalis arba 14 straipsnio 1 dalis, kilmės valstybė narė raštu, o prireikus žodžiu kalba, kurią jis supranta arba kurią, kaip galima pagrįstai manyti, supranta, glausta, skaidria, suprantama ir lengvai prieinama forma, aiškia ir paprasta kalba informuoja apie:</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Asmenį, kuriam taikomos 10 straipsnio 1 dalis,</w:t>
            </w:r>
            <w:r w:rsidRPr="00D842C1">
              <w:rPr>
                <w:b/>
                <w:i/>
                <w:color w:val="auto"/>
              </w:rPr>
              <w:t xml:space="preserve"> 12a straipsnis,</w:t>
            </w:r>
            <w:r w:rsidRPr="00D842C1">
              <w:rPr>
                <w:color w:val="auto"/>
              </w:rPr>
              <w:t xml:space="preserve"> 13 straipsnio 1 dalis arba 14 straipsnio 1 dalis, kilmės valstybė narė raštu, o prireikus žodžiu kalba, kurią jis supranta arba kurią, kaip galima pagrįstai manyti, supranta, glausta, skaidria, suprantama ir lengvai prieinama forma, aiškia ir paprasta kalba informuoja apie:</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405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1 dalies įžanginė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Asmenį, kuriam taikomos 10 straipsnio 1 dalis</w:t>
            </w:r>
            <w:r w:rsidRPr="00D842C1">
              <w:rPr>
                <w:b/>
                <w:i/>
                <w:color w:val="auto"/>
              </w:rPr>
              <w:t>, 13</w:t>
            </w:r>
            <w:r w:rsidRPr="00D842C1">
              <w:rPr>
                <w:color w:val="auto"/>
              </w:rPr>
              <w:t xml:space="preserve"> straipsnio 1 dalis</w:t>
            </w:r>
            <w:r w:rsidRPr="00D842C1">
              <w:rPr>
                <w:b/>
                <w:i/>
                <w:color w:val="auto"/>
              </w:rPr>
              <w:t xml:space="preserve"> arba 14 straipsnio 1 dalis</w:t>
            </w:r>
            <w:r w:rsidRPr="00D842C1">
              <w:rPr>
                <w:color w:val="auto"/>
              </w:rPr>
              <w:t>, kilmės valstybė narė raštu, o prireikus žodžiu kalba, kurią jis supranta arba kurią, kaip galima pagrįstai manyti, supranta, glausta, skaidria, suprantama ir lengvai prieinama forma, aiškia ir paprasta kalba informuoja apie:</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Asmenį, kuriam taikomos 10 straipsnio 1 dalis</w:t>
            </w:r>
            <w:r w:rsidRPr="00D842C1">
              <w:rPr>
                <w:b/>
                <w:i/>
                <w:color w:val="auto"/>
              </w:rPr>
              <w:t xml:space="preserve"> arba 13</w:t>
            </w:r>
            <w:r w:rsidRPr="00D842C1">
              <w:rPr>
                <w:color w:val="auto"/>
              </w:rPr>
              <w:t xml:space="preserve"> straipsnio 1 dalis, kilmės valstybė narė raštu, o prireikus žodžiu kalba, kurią jis supranta arba kurią, kaip galima pagrįstai manyti, supranta, glausta, skaidria, suprantama ir lengvai prieinama forma, aiškia ir paprasta kalba informuoja apie:</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406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1 dalies b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b)</w:t>
            </w:r>
            <w:r w:rsidRPr="00D842C1">
              <w:rPr>
                <w:b/>
                <w:i/>
                <w:color w:val="auto"/>
              </w:rPr>
              <w:tab/>
            </w:r>
            <w:r w:rsidRPr="00D842C1">
              <w:rPr>
                <w:color w:val="auto"/>
              </w:rPr>
              <w:t>tikslą, kuriuo jo duomenys bus apdorojami sistemoje EURODAC, įskaitant Reglamento</w:t>
            </w:r>
            <w:r w:rsidRPr="00D842C1">
              <w:rPr>
                <w:b/>
                <w:i/>
                <w:color w:val="auto"/>
              </w:rPr>
              <w:t xml:space="preserve"> </w:t>
            </w:r>
            <w:r w:rsidRPr="00D842C1">
              <w:rPr>
                <w:color w:val="auto"/>
              </w:rPr>
              <w:t>(ES) Nr. […/…] tikslų aprašymą</w:t>
            </w:r>
            <w:r w:rsidRPr="00D842C1">
              <w:rPr>
                <w:b/>
                <w:i/>
                <w:color w:val="auto"/>
              </w:rPr>
              <w:t>,</w:t>
            </w:r>
            <w:r w:rsidRPr="00D842C1">
              <w:rPr>
                <w:color w:val="auto"/>
              </w:rPr>
              <w:t xml:space="preserve"> pagal jo 6 straipsnį, ir suprantamą fakto, kad valstybės narės ir Europolas gali naudotis sistema EURODAC teisėsaugos tikslais, paaiškinimą;</w:t>
            </w:r>
          </w:p>
        </w:tc>
        <w:tc>
          <w:tcPr>
            <w:tcW w:w="4876" w:type="dxa"/>
          </w:tcPr>
          <w:p w:rsidR="00131F3A" w:rsidRPr="00D842C1" w:rsidRDefault="00131F3A" w:rsidP="00131F3A">
            <w:pPr>
              <w:pStyle w:val="Normal6"/>
              <w:rPr>
                <w:b/>
                <w:i/>
                <w:color w:val="auto"/>
              </w:rPr>
            </w:pPr>
            <w:r w:rsidRPr="00D842C1">
              <w:rPr>
                <w:color w:val="auto"/>
              </w:rPr>
              <w:t>b)</w:t>
            </w:r>
            <w:r w:rsidRPr="00D842C1">
              <w:rPr>
                <w:b/>
                <w:i/>
                <w:color w:val="auto"/>
              </w:rPr>
              <w:tab/>
            </w:r>
            <w:r w:rsidRPr="00D842C1">
              <w:rPr>
                <w:color w:val="auto"/>
              </w:rPr>
              <w:t>tikslą, kuriuo jo duomenys bus apdorojami sistemoje EURODAC, įskaitant Reglamento</w:t>
            </w:r>
            <w:r w:rsidRPr="00D842C1">
              <w:rPr>
                <w:b/>
                <w:i/>
                <w:color w:val="auto"/>
              </w:rPr>
              <w:t xml:space="preserve"> </w:t>
            </w:r>
            <w:r w:rsidRPr="00D842C1">
              <w:rPr>
                <w:color w:val="auto"/>
              </w:rPr>
              <w:t>(ES) Nr. […/…] tikslų aprašymą pagal jo 6 straipsnį,</w:t>
            </w:r>
            <w:r w:rsidRPr="00D842C1">
              <w:rPr>
                <w:b/>
                <w:i/>
                <w:color w:val="auto"/>
              </w:rPr>
              <w:t xml:space="preserve"> prireikus – Reglamento XXX/XXX tikslų aprašymą</w:t>
            </w:r>
            <w:r w:rsidRPr="00D842C1">
              <w:rPr>
                <w:color w:val="auto"/>
              </w:rPr>
              <w:t xml:space="preserve"> ir suprantamą fakto, kad valstybės narės ir Europolas gali naudotis sistema EURODAC teisėsaugos tikslais, paaiškinimą;</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407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1 dalies c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c)</w:t>
            </w:r>
            <w:r w:rsidRPr="00D842C1">
              <w:rPr>
                <w:b/>
                <w:i/>
                <w:color w:val="auto"/>
              </w:rPr>
              <w:tab/>
            </w:r>
            <w:r w:rsidRPr="00D842C1">
              <w:rPr>
                <w:color w:val="auto"/>
              </w:rPr>
              <w:t>duomenų gavėjus</w:t>
            </w:r>
            <w:r w:rsidRPr="00D842C1">
              <w:rPr>
                <w:b/>
                <w:i/>
                <w:color w:val="auto"/>
              </w:rPr>
              <w:t xml:space="preserve"> arba duomenų gavėjų kategorijas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c)</w:t>
            </w:r>
            <w:r w:rsidRPr="00D842C1">
              <w:rPr>
                <w:b/>
                <w:i/>
                <w:color w:val="auto"/>
              </w:rPr>
              <w:tab/>
            </w:r>
            <w:r w:rsidRPr="00D842C1">
              <w:rPr>
                <w:color w:val="auto"/>
              </w:rPr>
              <w:t>duomenų gavėjus;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408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Maria Grapini, Juan Fernando López Aguilar</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1 dalies c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c)</w:t>
            </w:r>
            <w:r w:rsidRPr="00D842C1">
              <w:rPr>
                <w:b/>
                <w:i/>
                <w:color w:val="auto"/>
              </w:rPr>
              <w:tab/>
            </w:r>
            <w:r w:rsidRPr="00D842C1">
              <w:rPr>
                <w:color w:val="auto"/>
              </w:rPr>
              <w:t>duomenų gavėjus</w:t>
            </w:r>
            <w:r w:rsidRPr="00D842C1">
              <w:rPr>
                <w:b/>
                <w:i/>
                <w:color w:val="auto"/>
              </w:rPr>
              <w:t xml:space="preserve"> arba duomenų gavėjų kategorijas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c)</w:t>
            </w:r>
            <w:r w:rsidRPr="00D842C1">
              <w:rPr>
                <w:b/>
                <w:i/>
                <w:color w:val="auto"/>
              </w:rPr>
              <w:tab/>
            </w:r>
            <w:r w:rsidRPr="00D842C1">
              <w:rPr>
                <w:color w:val="auto"/>
              </w:rPr>
              <w:t>duomenų gavėjus;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409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1 dalies d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d)</w:t>
            </w:r>
            <w:r w:rsidRPr="00D842C1">
              <w:rPr>
                <w:b/>
                <w:i/>
                <w:color w:val="auto"/>
              </w:rPr>
              <w:tab/>
            </w:r>
            <w:r w:rsidRPr="00D842C1">
              <w:rPr>
                <w:color w:val="auto"/>
              </w:rPr>
              <w:t>jei tai asmuo, kuriam taikoma 10 straipsnio 1 dalis</w:t>
            </w:r>
            <w:r w:rsidRPr="00D842C1">
              <w:rPr>
                <w:b/>
                <w:i/>
                <w:color w:val="auto"/>
              </w:rPr>
              <w:t xml:space="preserve"> arba</w:t>
            </w:r>
            <w:r w:rsidRPr="00D842C1">
              <w:rPr>
                <w:color w:val="auto"/>
              </w:rPr>
              <w:t xml:space="preserve"> 13 straipsnio 1 dalis</w:t>
            </w:r>
            <w:r w:rsidRPr="00D842C1">
              <w:rPr>
                <w:b/>
                <w:i/>
                <w:color w:val="auto"/>
              </w:rPr>
              <w:t>, arba</w:t>
            </w:r>
            <w:r w:rsidRPr="00D842C1">
              <w:rPr>
                <w:color w:val="auto"/>
              </w:rPr>
              <w:t xml:space="preserve"> 14 straipsnio 1 dalis</w:t>
            </w:r>
            <w:r w:rsidRPr="00D842C1">
              <w:rPr>
                <w:b/>
                <w:i/>
                <w:color w:val="auto"/>
              </w:rPr>
              <w:t xml:space="preserve"> </w:t>
            </w:r>
            <w:r w:rsidRPr="00D842C1">
              <w:rPr>
                <w:color w:val="auto"/>
              </w:rPr>
              <w:t>, – prievolę paimti jo pirštų atspaudus;</w:t>
            </w:r>
          </w:p>
        </w:tc>
        <w:tc>
          <w:tcPr>
            <w:tcW w:w="4876" w:type="dxa"/>
          </w:tcPr>
          <w:p w:rsidR="00131F3A" w:rsidRPr="00D842C1" w:rsidRDefault="00131F3A" w:rsidP="00131F3A">
            <w:pPr>
              <w:pStyle w:val="Normal6"/>
              <w:rPr>
                <w:b/>
                <w:i/>
                <w:color w:val="auto"/>
              </w:rPr>
            </w:pPr>
            <w:r w:rsidRPr="00D842C1">
              <w:rPr>
                <w:color w:val="auto"/>
              </w:rPr>
              <w:t>d)</w:t>
            </w:r>
            <w:r w:rsidRPr="00D842C1">
              <w:rPr>
                <w:b/>
                <w:i/>
                <w:color w:val="auto"/>
              </w:rPr>
              <w:tab/>
            </w:r>
            <w:r w:rsidRPr="00D842C1">
              <w:rPr>
                <w:color w:val="auto"/>
              </w:rPr>
              <w:t>jei tai asmuo, kuriam taikoma 10 straipsnio 1 dalis</w:t>
            </w:r>
            <w:r w:rsidRPr="00D842C1">
              <w:rPr>
                <w:b/>
                <w:i/>
                <w:color w:val="auto"/>
              </w:rPr>
              <w:t>, 12a straipsnis,</w:t>
            </w:r>
            <w:r w:rsidRPr="00D842C1">
              <w:rPr>
                <w:color w:val="auto"/>
              </w:rPr>
              <w:t xml:space="preserve"> 13 straipsnio 1 dalis</w:t>
            </w:r>
            <w:r w:rsidRPr="00D842C1">
              <w:rPr>
                <w:b/>
                <w:i/>
                <w:color w:val="auto"/>
              </w:rPr>
              <w:t xml:space="preserve"> ar</w:t>
            </w:r>
            <w:r w:rsidRPr="00D842C1">
              <w:rPr>
                <w:color w:val="auto"/>
              </w:rPr>
              <w:t xml:space="preserve"> 14 straipsnio 1 dalis, – prievolę paimti jo pirštų atspaudus;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410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1 dalies d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d)</w:t>
            </w:r>
            <w:r w:rsidRPr="00D842C1">
              <w:rPr>
                <w:b/>
                <w:i/>
                <w:color w:val="auto"/>
              </w:rPr>
              <w:tab/>
            </w:r>
            <w:r w:rsidRPr="00D842C1">
              <w:rPr>
                <w:color w:val="auto"/>
              </w:rPr>
              <w:t>jei tai asmuo, kuriam taikoma 10 straipsnio 1 dalis arba 13 straipsnio 1 dalis, arba 14 straipsnio 1 dalis</w:t>
            </w:r>
            <w:r w:rsidRPr="00D842C1">
              <w:rPr>
                <w:b/>
                <w:i/>
                <w:color w:val="auto"/>
              </w:rPr>
              <w:t xml:space="preserve"> </w:t>
            </w:r>
            <w:r w:rsidRPr="00D842C1">
              <w:rPr>
                <w:color w:val="auto"/>
              </w:rPr>
              <w:t>, – prievolę paimti jo pirštų atspaudus;</w:t>
            </w:r>
          </w:p>
        </w:tc>
        <w:tc>
          <w:tcPr>
            <w:tcW w:w="4876" w:type="dxa"/>
          </w:tcPr>
          <w:p w:rsidR="00131F3A" w:rsidRPr="00D842C1" w:rsidRDefault="00131F3A" w:rsidP="00131F3A">
            <w:pPr>
              <w:pStyle w:val="Normal6"/>
              <w:rPr>
                <w:b/>
                <w:i/>
                <w:color w:val="auto"/>
              </w:rPr>
            </w:pPr>
            <w:r w:rsidRPr="00D842C1">
              <w:rPr>
                <w:color w:val="auto"/>
              </w:rPr>
              <w:t>d)</w:t>
            </w:r>
            <w:r w:rsidRPr="00D842C1">
              <w:rPr>
                <w:b/>
                <w:i/>
                <w:color w:val="auto"/>
              </w:rPr>
              <w:tab/>
            </w:r>
            <w:r w:rsidRPr="00D842C1">
              <w:rPr>
                <w:color w:val="auto"/>
              </w:rPr>
              <w:t>jei tai asmuo, kuriam taikoma 10 straipsnio 1 dalis arba 13 straipsnio 1 dalis, arba 14 straipsnio 1 dalis</w:t>
            </w:r>
            <w:r w:rsidRPr="00D842C1">
              <w:rPr>
                <w:b/>
                <w:i/>
                <w:color w:val="auto"/>
              </w:rPr>
              <w:t xml:space="preserve"> </w:t>
            </w:r>
            <w:r w:rsidRPr="00D842C1">
              <w:rPr>
                <w:color w:val="auto"/>
              </w:rPr>
              <w:t>, – prievolę paimti jo pirštų atspaudus</w:t>
            </w:r>
            <w:r w:rsidRPr="00D842C1">
              <w:rPr>
                <w:b/>
                <w:i/>
                <w:color w:val="auto"/>
              </w:rPr>
              <w:t xml:space="preserve"> ir veido atvaizdą</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Komisijos pasiūlymo, į kurio visas reikiamas vietas neįtraukiamos abi sąvokos „pirštų antspaudai“ ir „veido atvaizdas“, kurios atitinka 2 straipsnyje minimą pareigą, korekcija.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411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1 dalies d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d)</w:t>
            </w:r>
            <w:r w:rsidRPr="00D842C1">
              <w:rPr>
                <w:b/>
                <w:i/>
                <w:color w:val="auto"/>
              </w:rPr>
              <w:tab/>
            </w:r>
            <w:r w:rsidRPr="00D842C1">
              <w:rPr>
                <w:color w:val="auto"/>
              </w:rPr>
              <w:t>jei tai asmuo, kuriam taikoma 10 straipsnio 1 dalis arba 13 straipsnio 1 dalis,</w:t>
            </w:r>
            <w:r w:rsidRPr="00D842C1">
              <w:rPr>
                <w:b/>
                <w:i/>
                <w:color w:val="auto"/>
              </w:rPr>
              <w:t xml:space="preserve"> arba 14 straipsnio 1 dalis ,</w:t>
            </w:r>
            <w:r w:rsidRPr="00D842C1">
              <w:rPr>
                <w:color w:val="auto"/>
              </w:rPr>
              <w:t xml:space="preserve"> – prievolę paimti jo pirštų atspaudus;</w:t>
            </w:r>
          </w:p>
        </w:tc>
        <w:tc>
          <w:tcPr>
            <w:tcW w:w="4876" w:type="dxa"/>
          </w:tcPr>
          <w:p w:rsidR="00131F3A" w:rsidRPr="00D842C1" w:rsidRDefault="00131F3A" w:rsidP="00131F3A">
            <w:pPr>
              <w:pStyle w:val="Normal6"/>
              <w:rPr>
                <w:b/>
                <w:i/>
                <w:color w:val="auto"/>
              </w:rPr>
            </w:pPr>
            <w:r w:rsidRPr="00D842C1">
              <w:rPr>
                <w:color w:val="auto"/>
              </w:rPr>
              <w:t>d)</w:t>
            </w:r>
            <w:r w:rsidRPr="00D842C1">
              <w:rPr>
                <w:b/>
                <w:i/>
                <w:color w:val="auto"/>
              </w:rPr>
              <w:tab/>
            </w:r>
            <w:r w:rsidRPr="00D842C1">
              <w:rPr>
                <w:color w:val="auto"/>
              </w:rPr>
              <w:t>jei tai asmuo, kuriam taikoma 10 straipsnio 1 dalis arba 13 straipsnio 1 dalis, – prievolę paimti jo pirštų atspaudus;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priimtinas, nes yra neatskiriamai susijęs su priimtinais pakeitimais, kuriais išbraukiamos 14 straipsnio 1, 2, 4, 5 ir 6 dalys.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412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1 dalies f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f)</w:t>
            </w:r>
            <w:r w:rsidRPr="00D842C1">
              <w:rPr>
                <w:b/>
                <w:i/>
                <w:color w:val="auto"/>
              </w:rPr>
              <w:tab/>
            </w:r>
            <w:r w:rsidRPr="00D842C1">
              <w:rPr>
                <w:color w:val="auto"/>
              </w:rPr>
              <w:t>turimą teisę prašyti duomenų valdytojo leisti susipažinti su duomenimis apie jį ir teisę prašyti ištaisyti neteisingus jo duomenis ir papildyti neišsamius asmens duomenis arba ištrinti ar apriboti neteisėtai apdorotus jo asmens duomenis, taip pat teisę gauti informaciją apie naudojimosi šiomis teisėmis tvarką, įskaitant 32 straipsnio 1 dalyje nurodyto duomenų valdytojo ir priežiūros institucijų duomenis ryšiams;</w:t>
            </w:r>
          </w:p>
        </w:tc>
        <w:tc>
          <w:tcPr>
            <w:tcW w:w="4876" w:type="dxa"/>
          </w:tcPr>
          <w:p w:rsidR="00131F3A" w:rsidRPr="00D842C1" w:rsidRDefault="00131F3A" w:rsidP="00131F3A">
            <w:pPr>
              <w:pStyle w:val="Normal6"/>
              <w:rPr>
                <w:b/>
                <w:i/>
                <w:color w:val="auto"/>
              </w:rPr>
            </w:pPr>
            <w:r w:rsidRPr="00D842C1">
              <w:rPr>
                <w:color w:val="auto"/>
              </w:rPr>
              <w:t>f)</w:t>
            </w:r>
            <w:r w:rsidRPr="00D842C1">
              <w:rPr>
                <w:b/>
                <w:i/>
                <w:color w:val="auto"/>
              </w:rPr>
              <w:tab/>
            </w:r>
            <w:r w:rsidRPr="00D842C1">
              <w:rPr>
                <w:color w:val="auto"/>
              </w:rPr>
              <w:t>turimą teisę</w:t>
            </w:r>
            <w:r w:rsidRPr="00D842C1">
              <w:rPr>
                <w:b/>
                <w:i/>
                <w:color w:val="auto"/>
              </w:rPr>
              <w:t xml:space="preserve"> nesutikti su asmens duomenų tvarkymu,</w:t>
            </w:r>
            <w:r w:rsidRPr="00D842C1">
              <w:rPr>
                <w:color w:val="auto"/>
              </w:rPr>
              <w:t xml:space="preserve"> prašyti duomenų valdytojo leisti susipažinti su duomenimis apie jį ir teisę prašyti ištaisyti neteisingus jo duomenis ir papildyti neišsamius asmens duomenis arba ištrinti ar apriboti neteisėtai apdorotus jo asmens duomenis, taip pat teisę gauti informaciją apie naudojimosi šiomis teisėmis tvarką, įskaitant 32 straipsnio 1 dalyje nurodyto duomenų valdytojo ir priežiūros institucijų duomenis ryšiams;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Šiuo pakeitimu teisės suderinamos su Bendrajame duomenų apsaugos reglamento 15 straipsnio 1 dalyje nurodytomis teisėmis.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413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1 dalies g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g)</w:t>
            </w:r>
            <w:r w:rsidRPr="00D842C1">
              <w:rPr>
                <w:b/>
                <w:i/>
                <w:color w:val="auto"/>
              </w:rPr>
              <w:tab/>
            </w:r>
            <w:r w:rsidRPr="00D842C1">
              <w:rPr>
                <w:color w:val="auto"/>
              </w:rPr>
              <w:t>teisę pateikti skundą priežiūros institucijai.</w:t>
            </w:r>
          </w:p>
        </w:tc>
        <w:tc>
          <w:tcPr>
            <w:tcW w:w="4876" w:type="dxa"/>
          </w:tcPr>
          <w:p w:rsidR="00131F3A" w:rsidRPr="00D842C1" w:rsidRDefault="00131F3A" w:rsidP="00131F3A">
            <w:pPr>
              <w:pStyle w:val="Normal6"/>
              <w:rPr>
                <w:b/>
                <w:i/>
                <w:color w:val="auto"/>
              </w:rPr>
            </w:pPr>
            <w:r w:rsidRPr="00D842C1">
              <w:rPr>
                <w:color w:val="auto"/>
              </w:rPr>
              <w:t>g)</w:t>
            </w:r>
            <w:r w:rsidRPr="00D842C1">
              <w:rPr>
                <w:b/>
                <w:i/>
                <w:color w:val="auto"/>
              </w:rPr>
              <w:tab/>
            </w:r>
            <w:r w:rsidRPr="00D842C1">
              <w:rPr>
                <w:color w:val="auto"/>
              </w:rPr>
              <w:t>teisę pateikti skundą</w:t>
            </w:r>
            <w:r w:rsidRPr="00D842C1">
              <w:rPr>
                <w:b/>
                <w:i/>
                <w:color w:val="auto"/>
              </w:rPr>
              <w:t xml:space="preserve"> nacionalinei</w:t>
            </w:r>
            <w:r w:rsidRPr="00D842C1">
              <w:rPr>
                <w:color w:val="auto"/>
              </w:rPr>
              <w:t xml:space="preserve"> priežiūros institucijai.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Pagal 32 straipsnį.</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414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2 dalies pirma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Asmeniui, kuriam taikoma 10 straipsnio 1 dalis arba 13 straipsnio 1 dalis ir 14 straipsnio 1 dalis</w:t>
            </w:r>
            <w:r w:rsidRPr="00D842C1">
              <w:rPr>
                <w:b/>
                <w:i/>
                <w:color w:val="auto"/>
              </w:rPr>
              <w:t xml:space="preserve"> </w:t>
            </w:r>
            <w:r w:rsidRPr="00D842C1">
              <w:rPr>
                <w:color w:val="auto"/>
              </w:rPr>
              <w:t>, šio straipsnio 1 dalyje nurodyta informacija teikiama tuo metu, kai imami jo pirštų atspaudai.</w:t>
            </w:r>
          </w:p>
        </w:tc>
        <w:tc>
          <w:tcPr>
            <w:tcW w:w="4876" w:type="dxa"/>
          </w:tcPr>
          <w:p w:rsidR="00131F3A" w:rsidRPr="00D842C1" w:rsidRDefault="00131F3A" w:rsidP="00131F3A">
            <w:pPr>
              <w:pStyle w:val="Normal6"/>
              <w:rPr>
                <w:b/>
                <w:i/>
                <w:color w:val="auto"/>
              </w:rPr>
            </w:pPr>
            <w:r w:rsidRPr="00D842C1">
              <w:rPr>
                <w:color w:val="auto"/>
              </w:rPr>
              <w:t>Asmeniui, kuriam taikoma 10 straipsnio 1 dalis</w:t>
            </w:r>
            <w:r w:rsidRPr="00D842C1">
              <w:rPr>
                <w:b/>
                <w:i/>
                <w:color w:val="auto"/>
              </w:rPr>
              <w:t>, 12a straipsnis,</w:t>
            </w:r>
            <w:r w:rsidRPr="00D842C1">
              <w:rPr>
                <w:color w:val="auto"/>
              </w:rPr>
              <w:t xml:space="preserve"> arba 13 straipsnio 1 dalis ir 14 straipsnio 1 dalis</w:t>
            </w:r>
            <w:r w:rsidRPr="00D842C1">
              <w:rPr>
                <w:b/>
                <w:i/>
                <w:color w:val="auto"/>
              </w:rPr>
              <w:t xml:space="preserve"> </w:t>
            </w:r>
            <w:r w:rsidRPr="00D842C1">
              <w:rPr>
                <w:color w:val="auto"/>
              </w:rPr>
              <w:t>, šio straipsnio 1 dalyje nurodyta informacija teikiama tuo metu, kai imami jo pirštų atspaudai.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415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2 dalies pirma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Asmeniui, kuriam taikoma 10 straipsnio 1 dalis arba 13 straipsnio 1 dalis</w:t>
            </w:r>
            <w:r w:rsidRPr="00D842C1">
              <w:rPr>
                <w:b/>
                <w:i/>
                <w:color w:val="auto"/>
              </w:rPr>
              <w:t xml:space="preserve"> ir 14 straipsnio 1 dalis </w:t>
            </w:r>
            <w:r w:rsidRPr="00D842C1">
              <w:rPr>
                <w:color w:val="auto"/>
              </w:rPr>
              <w:t>, šio straipsnio 1 dalyje nurodyta informacija teikiama tuo metu, kai imami jo pirštų atspaudai.</w:t>
            </w:r>
          </w:p>
        </w:tc>
        <w:tc>
          <w:tcPr>
            <w:tcW w:w="4876" w:type="dxa"/>
          </w:tcPr>
          <w:p w:rsidR="00131F3A" w:rsidRPr="00D842C1" w:rsidRDefault="00131F3A" w:rsidP="00131F3A">
            <w:pPr>
              <w:pStyle w:val="Normal6"/>
              <w:rPr>
                <w:b/>
                <w:i/>
                <w:color w:val="auto"/>
              </w:rPr>
            </w:pPr>
            <w:r w:rsidRPr="00D842C1">
              <w:rPr>
                <w:color w:val="auto"/>
              </w:rPr>
              <w:t>Asmeniui, kuriam taikoma 10 straipsnio 1 dalis arba 13 straipsnio 1 dalis, šio straipsnio 1 dalyje nurodyta informacija teikiama tuo metu, kai imami jo pirštų atspaudai.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416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2 dalies antra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Kai asmuo, kuriam taikoma 10 straipsnio 1 dalis, 13 straipsnio 1 dalis ir 14 straipsnio 1 dalis, yra nepilnametis, valstybės narės informaciją suteikia jo amžiui tinkamu būdu.</w:t>
            </w:r>
          </w:p>
        </w:tc>
        <w:tc>
          <w:tcPr>
            <w:tcW w:w="4876" w:type="dxa"/>
          </w:tcPr>
          <w:p w:rsidR="00131F3A" w:rsidRPr="00D842C1" w:rsidRDefault="00131F3A" w:rsidP="00131F3A">
            <w:pPr>
              <w:pStyle w:val="Normal6"/>
              <w:rPr>
                <w:b/>
                <w:i/>
                <w:color w:val="auto"/>
              </w:rPr>
            </w:pPr>
            <w:r w:rsidRPr="00D842C1">
              <w:rPr>
                <w:color w:val="auto"/>
              </w:rPr>
              <w:t>Kai asmuo, kuriam taikoma 10 straipsnio 1 dalis, 13 straipsnio 1 dalis ir 14 straipsnio 1 dalis, yra nepilnametis, valstybės narės informaciją suteikia jo amžiui tinkamu būdu</w:t>
            </w:r>
            <w:r w:rsidRPr="00D842C1">
              <w:rPr>
                <w:b/>
                <w:i/>
                <w:color w:val="auto"/>
              </w:rPr>
              <w:t xml:space="preserve"> ir vaikui palankioje aplinkoje</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susijęs su Komisijos pasiūlymo 10, 13 ir 14 straipsnių pakeitimais. Šiuose straipsniuose Komisija mažina pirštų antspaudų ėmimui taikomą mažiausią amžių nuo 14 iki 6 metų. Todėl svarbu stiprinti nepilnamečių apsaugos priemones.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417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2 dalies antra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Kai asmuo, kuriam taikoma 10 straipsnio 1 dalis, 13 straipsnio 1 dalis ir 14 straipsnio 1 dalis, yra nepilnametis, valstybės narės informaciją suteikia jo amžiui tinkamu būdu.</w:t>
            </w:r>
          </w:p>
        </w:tc>
        <w:tc>
          <w:tcPr>
            <w:tcW w:w="4876" w:type="dxa"/>
          </w:tcPr>
          <w:p w:rsidR="00131F3A" w:rsidRPr="00D842C1" w:rsidRDefault="00131F3A" w:rsidP="00131F3A">
            <w:pPr>
              <w:pStyle w:val="Normal6"/>
              <w:rPr>
                <w:b/>
                <w:i/>
                <w:color w:val="auto"/>
              </w:rPr>
            </w:pPr>
            <w:r w:rsidRPr="00D842C1">
              <w:rPr>
                <w:color w:val="auto"/>
              </w:rPr>
              <w:t>Kai asmuo, kuriam taikoma 10 straipsnio 1 dalis,</w:t>
            </w:r>
            <w:r w:rsidRPr="00D842C1">
              <w:rPr>
                <w:b/>
                <w:i/>
                <w:color w:val="auto"/>
              </w:rPr>
              <w:t xml:space="preserve"> 12a straipsnis,</w:t>
            </w:r>
            <w:r w:rsidRPr="00D842C1">
              <w:rPr>
                <w:color w:val="auto"/>
              </w:rPr>
              <w:t xml:space="preserve"> 13 straipsnio 1 dalis ir 14 straipsnio 1 dalis, yra nepilnametis, valstybės narės informaciją suteikia jo amžiui tinkamu būdu.</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418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2 dalies antra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Kai asmuo, kuriam taikoma 10 straipsnio 1 dalis</w:t>
            </w:r>
            <w:r w:rsidRPr="00D842C1">
              <w:rPr>
                <w:b/>
                <w:i/>
                <w:color w:val="auto"/>
              </w:rPr>
              <w:t>, 13</w:t>
            </w:r>
            <w:r w:rsidRPr="00D842C1">
              <w:rPr>
                <w:color w:val="auto"/>
              </w:rPr>
              <w:t xml:space="preserve"> straipsnio 1 dalis</w:t>
            </w:r>
            <w:r w:rsidRPr="00D842C1">
              <w:rPr>
                <w:b/>
                <w:i/>
                <w:color w:val="auto"/>
              </w:rPr>
              <w:t xml:space="preserve"> ir 14 straipsnio 1 dalis</w:t>
            </w:r>
            <w:r w:rsidRPr="00D842C1">
              <w:rPr>
                <w:color w:val="auto"/>
              </w:rPr>
              <w:t>, yra nepilnametis, valstybės narės informaciją suteikia jo amžiui tinkamu būdu.</w:t>
            </w:r>
          </w:p>
        </w:tc>
        <w:tc>
          <w:tcPr>
            <w:tcW w:w="4876" w:type="dxa"/>
          </w:tcPr>
          <w:p w:rsidR="00131F3A" w:rsidRPr="00D842C1" w:rsidRDefault="00131F3A" w:rsidP="00131F3A">
            <w:pPr>
              <w:pStyle w:val="Normal6"/>
              <w:rPr>
                <w:b/>
                <w:i/>
                <w:color w:val="auto"/>
              </w:rPr>
            </w:pPr>
            <w:r w:rsidRPr="00D842C1">
              <w:rPr>
                <w:color w:val="auto"/>
              </w:rPr>
              <w:t>Kai asmuo, kuriam taikoma 10 straipsnio 1 dalis</w:t>
            </w:r>
            <w:r w:rsidRPr="00D842C1">
              <w:rPr>
                <w:b/>
                <w:i/>
                <w:color w:val="auto"/>
              </w:rPr>
              <w:t xml:space="preserve"> ir 13</w:t>
            </w:r>
            <w:r w:rsidRPr="00D842C1">
              <w:rPr>
                <w:color w:val="auto"/>
              </w:rPr>
              <w:t xml:space="preserve"> straipsnio 1 dalis, yra nepilnametis, valstybės narės informaciją suteikia jo amžiui tinkamu būdu.</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Furthermore, this amendment is admissible as inextricably linked to the admissible amendments deleting Article 14(1), Article 14(2), Article 14(4), Article 14(5) and Article 14(6).</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419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3 dalies trečia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Atmintinė parengiama taip, kad valstybės narės galėtų į ją įtraukti papildomą su valstybe nare susijusią informaciją. Ši su valstybe nare susijusi informacija apima bent duomenų subjekto teises, nacionalinių priežiūros institucijų informacijos galimybę, taip pat duomenų valdytojo</w:t>
            </w:r>
            <w:r w:rsidRPr="00D842C1">
              <w:rPr>
                <w:b/>
                <w:i/>
                <w:color w:val="auto"/>
              </w:rPr>
              <w:t xml:space="preserve"> </w:t>
            </w:r>
            <w:r w:rsidRPr="00D842C1">
              <w:rPr>
                <w:color w:val="auto"/>
              </w:rPr>
              <w:t>, duomenų apsaugos pareigūno ir nacionalinių priežiūros institucijų kontaktinius duomenis.</w:t>
            </w:r>
          </w:p>
        </w:tc>
        <w:tc>
          <w:tcPr>
            <w:tcW w:w="4876" w:type="dxa"/>
          </w:tcPr>
          <w:p w:rsidR="00131F3A" w:rsidRPr="00D842C1" w:rsidRDefault="00131F3A" w:rsidP="00131F3A">
            <w:pPr>
              <w:pStyle w:val="Normal6"/>
              <w:rPr>
                <w:b/>
                <w:i/>
                <w:color w:val="auto"/>
              </w:rPr>
            </w:pPr>
            <w:r w:rsidRPr="00D842C1">
              <w:rPr>
                <w:color w:val="auto"/>
              </w:rPr>
              <w:t>Atmintinė parengiama taip, kad valstybės narės galėtų į ją įtraukti papildomą su valstybe nare susijusią informaciją. Ši su valstybe nare susijusi informacija apima bent</w:t>
            </w:r>
            <w:r w:rsidRPr="00D842C1">
              <w:rPr>
                <w:b/>
                <w:i/>
                <w:color w:val="auto"/>
              </w:rPr>
              <w:t xml:space="preserve"> galimas administracines sankcijas pagal nacionalinę teisę, kurios gali grėsti asmeniui, jei jis nesilaikytų pirštų atspaudų ir veido atvaizdo ėmimo tvarkos,</w:t>
            </w:r>
            <w:r w:rsidRPr="00D842C1">
              <w:rPr>
                <w:color w:val="auto"/>
              </w:rPr>
              <w:t xml:space="preserve"> duomenų subjekto teises, nacionalinių priežiūros institucijų informacijos</w:t>
            </w:r>
            <w:r w:rsidRPr="00D842C1">
              <w:rPr>
                <w:b/>
                <w:i/>
                <w:color w:val="auto"/>
              </w:rPr>
              <w:t xml:space="preserve"> ir pagalbos</w:t>
            </w:r>
            <w:r w:rsidRPr="00D842C1">
              <w:rPr>
                <w:color w:val="auto"/>
              </w:rPr>
              <w:t xml:space="preserve"> galimybę, taip pat duomenų valdytojo</w:t>
            </w:r>
            <w:r w:rsidRPr="00D842C1">
              <w:rPr>
                <w:b/>
                <w:i/>
                <w:color w:val="auto"/>
              </w:rPr>
              <w:t xml:space="preserve"> </w:t>
            </w:r>
            <w:r w:rsidRPr="00D842C1">
              <w:rPr>
                <w:color w:val="auto"/>
              </w:rPr>
              <w:t>, duomenų apsaugos pareigūno ir nacionalinių priežiūros institucijų kontaktinius duomenis.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susijęs su 2 straipsniu (nauju). Komisija siūlo galimybę valstybėms narėms nustatyti administracines sankcijas pagal nacionalinę teisę, jei nesilaikoma pirštų atspaudų ir veido atspaudo ėmimo tvarkos. Šios sankcijos turėtų būti numatytos atmintinėje. Komisijos pasiūlyme žodis „pagalba“ buvo pakeistas žodžiu „informacija“ ir vėl įtrauktas šiuo pakeitimu.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420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30 straipsnio 3 dalies trečia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Atmintinė parengiama taip, kad valstybės narės galėtų į ją įtraukti papildomą su valstybe nare susijusią informaciją. Ši su valstybe nare susijusi informacija apima bent duomenų subjekto teises, nacionalinių priežiūros institucijų</w:t>
            </w:r>
            <w:r w:rsidRPr="00D842C1">
              <w:rPr>
                <w:b/>
                <w:i/>
                <w:color w:val="auto"/>
              </w:rPr>
              <w:t xml:space="preserve"> informacijos</w:t>
            </w:r>
            <w:r w:rsidRPr="00D842C1">
              <w:rPr>
                <w:color w:val="auto"/>
              </w:rPr>
              <w:t xml:space="preserve"> galimybę, taip pat duomenų valdytojo</w:t>
            </w:r>
            <w:r w:rsidRPr="00D842C1">
              <w:rPr>
                <w:b/>
                <w:i/>
                <w:color w:val="auto"/>
              </w:rPr>
              <w:t xml:space="preserve"> </w:t>
            </w:r>
            <w:r w:rsidRPr="00D842C1">
              <w:rPr>
                <w:color w:val="auto"/>
              </w:rPr>
              <w:t>, duomenų apsaugos pareigūno ir nacionalinių priežiūros institucijų kontaktinius duomenis.</w:t>
            </w:r>
          </w:p>
        </w:tc>
        <w:tc>
          <w:tcPr>
            <w:tcW w:w="4876" w:type="dxa"/>
          </w:tcPr>
          <w:p w:rsidR="00131F3A" w:rsidRPr="00D842C1" w:rsidRDefault="00131F3A" w:rsidP="00351584">
            <w:pPr>
              <w:pStyle w:val="Normal6"/>
              <w:rPr>
                <w:b/>
                <w:i/>
                <w:color w:val="auto"/>
              </w:rPr>
            </w:pPr>
            <w:r w:rsidRPr="00D842C1">
              <w:rPr>
                <w:color w:val="auto"/>
              </w:rPr>
              <w:t>Atmintinė parengiama taip, kad valstybės narės galėtų į ją įtraukti papildomą su valstybe nare susijusią informaciją. Ši su valstybe nare susijusi informacija apima bent duomenų subjekto teises, naci</w:t>
            </w:r>
            <w:r w:rsidR="00351584" w:rsidRPr="00D842C1">
              <w:rPr>
                <w:color w:val="auto"/>
              </w:rPr>
              <w:t>onalinių priežiūros institucijų</w:t>
            </w:r>
            <w:r w:rsidRPr="00D842C1">
              <w:rPr>
                <w:b/>
                <w:i/>
                <w:color w:val="auto"/>
              </w:rPr>
              <w:t xml:space="preserve"> pagalbos</w:t>
            </w:r>
            <w:r w:rsidRPr="00D842C1">
              <w:rPr>
                <w:color w:val="auto"/>
              </w:rPr>
              <w:t xml:space="preserve"> galimybę, taip pat duomenų valdytojo, duomenų apsaugos pareigūno ir nacionalinių priežiūros institucijų kontaktinius duomenis.</w:t>
            </w:r>
          </w:p>
        </w:tc>
      </w:tr>
    </w:tbl>
    <w:p w:rsidR="00131F3A" w:rsidRPr="00D842C1" w:rsidRDefault="00131F3A" w:rsidP="00131F3A">
      <w:pPr>
        <w:pStyle w:val="Olang"/>
        <w:rPr>
          <w:color w:val="auto"/>
          <w:lang w:val="lt-LT"/>
        </w:rPr>
      </w:pPr>
      <w:r w:rsidRPr="00D842C1">
        <w:rPr>
          <w:color w:val="auto"/>
          <w:lang w:val="lt-LT"/>
        </w:rPr>
        <w:t xml:space="preserve">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421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31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Šio reglamento 1 straipsnio 1 dalies a ir b punktuose išdėstytais tikslais duomenų subjekto teisė susipažinti su duomenimis, reikalauti juos ištaisyti ar ištrinti įgyvendinama vadovaujantis Reglamento</w:t>
            </w:r>
            <w:r w:rsidRPr="00D842C1">
              <w:rPr>
                <w:b/>
                <w:i/>
                <w:color w:val="auto"/>
              </w:rPr>
              <w:t xml:space="preserve"> </w:t>
            </w:r>
            <w:r w:rsidRPr="00D842C1">
              <w:rPr>
                <w:color w:val="auto"/>
              </w:rPr>
              <w:t>(ES) Nr. […/2016] III skyriumi ir taikoma, kaip nustatyta šiame straipsnyje</w:t>
            </w:r>
            <w:r w:rsidRPr="00D842C1">
              <w:rPr>
                <w:b/>
                <w:i/>
                <w:color w:val="auto"/>
              </w:rPr>
              <w:t xml:space="preserve">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Šio reglamento 1 straipsnio 1 dalies a</w:t>
            </w:r>
            <w:r w:rsidRPr="00D842C1">
              <w:rPr>
                <w:b/>
                <w:i/>
                <w:color w:val="auto"/>
              </w:rPr>
              <w:t>, aa</w:t>
            </w:r>
            <w:r w:rsidRPr="00D842C1">
              <w:rPr>
                <w:color w:val="auto"/>
              </w:rPr>
              <w:t xml:space="preserve"> ir b punktuose išdėstytais tikslais duomenų subjekto teisė susipažinti su duomenimis, reikalauti juos ištaisyti ar ištrinti įgyvendinama vadovaujantis Reglamento</w:t>
            </w:r>
            <w:r w:rsidRPr="00D842C1">
              <w:rPr>
                <w:b/>
                <w:i/>
                <w:color w:val="auto"/>
              </w:rPr>
              <w:t xml:space="preserve"> </w:t>
            </w:r>
            <w:r w:rsidRPr="00D842C1">
              <w:rPr>
                <w:color w:val="auto"/>
              </w:rPr>
              <w:t>(ES) Nr. […/2016] III skyriumi ir taikoma, kaip nustatyta šiame straipsnyje</w:t>
            </w:r>
            <w:r w:rsidRPr="00D842C1">
              <w:rPr>
                <w:b/>
                <w:i/>
                <w:color w:val="auto"/>
              </w:rPr>
              <w:t xml:space="preserve"> </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422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31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Duomenų subjekto teisė į duomenis kiekvienoje valstybėje narėje apima teisę gauti pranešimą apie su juo susijusius duomenis, įrašytus centrinėje sistemoje, ir apie valstybę narę, perdavusią juos į centrinę sistemą. Tokią galimybę susipažinti su duomenimis gali suteikti tik valstybė narė.</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Duomenų subjekto teisė į duomenis kiekvienoje valstybėje narėje apima teisę gauti pranešimą apie su juo susijusius duomenis, įrašytus centrinėje sistemoje, ir apie valstybę narę, perdavusią juos į centrinę sistemą. Tokią galimybę susipažinti su duomenimis gali suteikti tik valstybė narė.</w:t>
            </w:r>
            <w:r w:rsidRPr="00D842C1">
              <w:rPr>
                <w:b/>
                <w:i/>
                <w:color w:val="auto"/>
              </w:rPr>
              <w:br/>
              <w:t>1 straipsnio 1 dalyje išdėstytais tikslais kiekvienoje valstybėje narėje kiekvienas asmuo gali reikalauti, kad faktų neatitinkantys duomenys būtų ištaisyti arba kad neteisėtai įrašyti duomenys būtų ištrinti. Nepagrįstai nedelsdama duomenis ištaiso ir ištrina juos perdavusi valstybė narė, laikydamasi savo įstatymų, kitų teisės aktų ir procedūrų.</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423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32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Kiekviena valstybė narė nustato, kad pagal Direktyvos</w:t>
            </w:r>
            <w:r w:rsidRPr="00D842C1">
              <w:rPr>
                <w:b/>
                <w:i/>
                <w:color w:val="auto"/>
              </w:rPr>
              <w:t xml:space="preserve"> </w:t>
            </w:r>
            <w:r w:rsidRPr="00D842C1">
              <w:rPr>
                <w:color w:val="auto"/>
              </w:rPr>
              <w:t>, nurodytos Reglamento</w:t>
            </w:r>
            <w:r w:rsidRPr="00D842C1">
              <w:rPr>
                <w:b/>
                <w:i/>
                <w:color w:val="auto"/>
              </w:rPr>
              <w:t xml:space="preserve"> </w:t>
            </w:r>
            <w:r w:rsidRPr="00D842C1">
              <w:rPr>
                <w:color w:val="auto"/>
              </w:rPr>
              <w:t>(ES) […/2016] [46 straipsnio 1 dalyje], 41 straipsnį paskirta priežiūros institucija ar institucijos pagal jos atitinkamą nacionalinę teisę nepriklausomai prižiūrėtų, ar atitinkama valstybė narė 1 straipsnio 1 dalies a ir b punktuose nustatytais tikslais teisėtai apdoroja ir perduoda asmens duomenis į centrinę sistemą.</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Kiekviena valstybė narė nustato, kad pagal Direktyvos</w:t>
            </w:r>
            <w:r w:rsidRPr="00D842C1">
              <w:rPr>
                <w:b/>
                <w:i/>
                <w:color w:val="auto"/>
              </w:rPr>
              <w:t xml:space="preserve"> </w:t>
            </w:r>
            <w:r w:rsidRPr="00D842C1">
              <w:rPr>
                <w:color w:val="auto"/>
              </w:rPr>
              <w:t>, nurodytos Reglamento</w:t>
            </w:r>
            <w:r w:rsidRPr="00D842C1">
              <w:rPr>
                <w:b/>
                <w:i/>
                <w:color w:val="auto"/>
              </w:rPr>
              <w:t xml:space="preserve"> </w:t>
            </w:r>
            <w:r w:rsidRPr="00D842C1">
              <w:rPr>
                <w:color w:val="auto"/>
              </w:rPr>
              <w:t>(ES) […/2016] [46 straipsnio 1 dalyje], 41 straipsnį paskirta priežiūros institucija ar institucijos pagal jos atitinkamą nacionalinę teisę nepriklausomai prižiūrėtų, ar atitinkama valstybė narė 1 straipsnio 1 dalies a</w:t>
            </w:r>
            <w:r w:rsidRPr="00D842C1">
              <w:rPr>
                <w:b/>
                <w:i/>
                <w:color w:val="auto"/>
              </w:rPr>
              <w:t>, aa</w:t>
            </w:r>
            <w:r w:rsidRPr="00D842C1">
              <w:rPr>
                <w:color w:val="auto"/>
              </w:rPr>
              <w:t xml:space="preserve"> ir b punktuose nustatytais tikslais teisėtai apdoroja ir perduoda asmens duomenis į centrinę sistemą.</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424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34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3 dalyje nustatytu tikslu nacionalinės priežiūros institucijos ir Europos duomenų apsaugos priežiūros pareigūnas susitinka ne rečiau kaip du kartus per metus. Šių susitikimų išlaidas dengia ir susitikimus organizuoja Europos duomenų apsaugos priežiūros pareigūnas. Darbo tvarkos taisyklės priimamos per pirmąjį susitikimą. Prireikus kartu rengiami kiti darbo metodai. Bendra veiklos ataskaita</w:t>
            </w:r>
            <w:r w:rsidRPr="00D842C1">
              <w:rPr>
                <w:b/>
                <w:i/>
                <w:color w:val="auto"/>
              </w:rPr>
              <w:t xml:space="preserve"> kas dvejus metus</w:t>
            </w:r>
            <w:r w:rsidRPr="00D842C1">
              <w:rPr>
                <w:color w:val="auto"/>
              </w:rPr>
              <w:t xml:space="preserve"> siunčiama Europos Parlamentui, Tarybai, Komisijai ir</w:t>
            </w:r>
            <w:r w:rsidRPr="00D842C1">
              <w:rPr>
                <w:b/>
                <w:i/>
                <w:color w:val="auto"/>
              </w:rPr>
              <w:t xml:space="preserve"> </w:t>
            </w:r>
            <w:r w:rsidRPr="00D842C1">
              <w:rPr>
                <w:color w:val="auto"/>
              </w:rPr>
              <w:t>„eu-LISA“</w:t>
            </w:r>
            <w:r w:rsidRPr="00D842C1">
              <w:rPr>
                <w:b/>
                <w:i/>
                <w:color w:val="auto"/>
              </w:rPr>
              <w:t xml:space="preserve">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3 dalyje nustatytu tikslu nacionalinės priežiūros institucijos ir Europos duomenų apsaugos priežiūros pareigūnas susitinka ne rečiau kaip du kartus per metus. Šių susitikimų išlaidas dengia ir susitikimus organizuoja Europos duomenų apsaugos priežiūros pareigūnas. Darbo tvarkos taisyklės priimamos per pirmąjį susitikimą. Prireikus kartu rengiami kiti darbo metodai. Bendra veiklos ataskaita</w:t>
            </w:r>
            <w:r w:rsidRPr="00D842C1">
              <w:rPr>
                <w:b/>
                <w:i/>
                <w:color w:val="auto"/>
              </w:rPr>
              <w:t>, kurioje įvertinamas šio reglamento duomenų apsaugos nuostatų taikymas, taip pat prieigos prie sistemos EURODAC teisėsaugos tikslais būtinumas ir proporcingumas, kasmet</w:t>
            </w:r>
            <w:r w:rsidRPr="00D842C1">
              <w:rPr>
                <w:color w:val="auto"/>
              </w:rPr>
              <w:t xml:space="preserve"> siunčiama Europos Parlamentui, Tarybai, Komisijai ir</w:t>
            </w:r>
            <w:r w:rsidRPr="00D842C1">
              <w:rPr>
                <w:b/>
                <w:i/>
                <w:color w:val="auto"/>
              </w:rPr>
              <w:t xml:space="preserve"> </w:t>
            </w:r>
            <w:r w:rsidRPr="00D842C1">
              <w:rPr>
                <w:color w:val="auto"/>
              </w:rPr>
              <w:t>„eu-LISA“.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Pagal Darbo tvarkos taisyklių 104 straipsnį šis pakeitimas yra būtinas, nes jis neatsiejamai susijęs su kitais priimtinais pakeitimais, susijusiais su sistemos EURODAC tikslais (1 straipsnis), kuriais įtraukiamos nuorodos į būtinumo ir proporcingumo principų laikymąsi pagal Chartijos 52 straipsnio 1 dalį ir atitinkamą Europos Sąjungos Teisingumo Teismo praktiką.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425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36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Valstybės narės informuoja</w:t>
            </w:r>
            <w:r w:rsidRPr="00D842C1">
              <w:rPr>
                <w:b/>
                <w:i/>
                <w:color w:val="auto"/>
              </w:rPr>
              <w:t xml:space="preserve"> </w:t>
            </w:r>
            <w:r w:rsidRPr="00D842C1">
              <w:rPr>
                <w:color w:val="auto"/>
              </w:rPr>
              <w:t>„eu-LISA“ apie jų sistemose nustatytus saugumo incidentus nedarydamos poveikio pranešimui ir informacijai apie asmens duomenų pažeidimus pagal Reglamento</w:t>
            </w:r>
            <w:r w:rsidRPr="00D842C1">
              <w:rPr>
                <w:b/>
                <w:i/>
                <w:color w:val="auto"/>
              </w:rPr>
              <w:t xml:space="preserve"> </w:t>
            </w:r>
            <w:r w:rsidRPr="00D842C1">
              <w:rPr>
                <w:color w:val="auto"/>
              </w:rPr>
              <w:t>(ES) Nr.</w:t>
            </w:r>
            <w:r w:rsidRPr="00D842C1">
              <w:rPr>
                <w:b/>
                <w:i/>
                <w:color w:val="auto"/>
              </w:rPr>
              <w:t xml:space="preserve"> […/2016] [31 ir 32</w:t>
            </w:r>
            <w:r w:rsidRPr="00D842C1">
              <w:rPr>
                <w:color w:val="auto"/>
              </w:rPr>
              <w:t xml:space="preserve"> straipsnius] ir</w:t>
            </w:r>
            <w:r w:rsidRPr="00D842C1">
              <w:rPr>
                <w:b/>
                <w:i/>
                <w:color w:val="auto"/>
              </w:rPr>
              <w:t xml:space="preserve"> atitinkamai [28 ir 29 straipsnius] </w:t>
            </w:r>
            <w:r w:rsidRPr="00D842C1">
              <w:rPr>
                <w:color w:val="auto"/>
              </w:rPr>
              <w:t>. Apie saugumo incidentus</w:t>
            </w:r>
            <w:r w:rsidRPr="00D842C1">
              <w:rPr>
                <w:b/>
                <w:i/>
                <w:color w:val="auto"/>
              </w:rPr>
              <w:t xml:space="preserve"> </w:t>
            </w:r>
            <w:r w:rsidRPr="00D842C1">
              <w:rPr>
                <w:color w:val="auto"/>
              </w:rPr>
              <w:t>„eu-LISA“ informuoja valstybes nares, Europolą ir Europos duomenų apsaugos priežiūros pareigūną. Įvykus saugumo incidentui susijusios valstybės narės,</w:t>
            </w:r>
            <w:r w:rsidRPr="00D842C1">
              <w:rPr>
                <w:b/>
                <w:i/>
                <w:color w:val="auto"/>
              </w:rPr>
              <w:t xml:space="preserve"> </w:t>
            </w:r>
            <w:r w:rsidRPr="00D842C1">
              <w:rPr>
                <w:color w:val="auto"/>
              </w:rPr>
              <w:t>„eu-LISA“ ir Europolas bendradarbiauja.</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Valstybės narės informuoja</w:t>
            </w:r>
            <w:r w:rsidRPr="00D842C1">
              <w:rPr>
                <w:b/>
                <w:i/>
                <w:color w:val="auto"/>
              </w:rPr>
              <w:t xml:space="preserve"> </w:t>
            </w:r>
            <w:r w:rsidRPr="00D842C1">
              <w:rPr>
                <w:color w:val="auto"/>
              </w:rPr>
              <w:t>„eu-LISA“ apie jų sistemose nustatytus saugumo incidentus nedarydamos poveikio pranešimui ir informacijai apie asmens duomenų pažeidimus pagal Reglamento</w:t>
            </w:r>
            <w:r w:rsidRPr="00D842C1">
              <w:rPr>
                <w:b/>
                <w:i/>
                <w:color w:val="auto"/>
              </w:rPr>
              <w:t xml:space="preserve"> </w:t>
            </w:r>
            <w:r w:rsidRPr="00D842C1">
              <w:rPr>
                <w:color w:val="auto"/>
              </w:rPr>
              <w:t>(ES) Nr.</w:t>
            </w:r>
            <w:r w:rsidRPr="00D842C1">
              <w:rPr>
                <w:b/>
                <w:i/>
                <w:color w:val="auto"/>
              </w:rPr>
              <w:t> 679/2016 [33 ir 34</w:t>
            </w:r>
            <w:r w:rsidRPr="00D842C1">
              <w:rPr>
                <w:color w:val="auto"/>
              </w:rPr>
              <w:t xml:space="preserve"> straipsnius]</w:t>
            </w:r>
            <w:r w:rsidRPr="00D842C1">
              <w:rPr>
                <w:b/>
                <w:i/>
                <w:color w:val="auto"/>
              </w:rPr>
              <w:t>. Visų pirma, jeigu dėl saugumo incidento gali kilti didelis pavojus duomenų subjektų teisėms</w:t>
            </w:r>
            <w:r w:rsidRPr="00D842C1">
              <w:rPr>
                <w:color w:val="auto"/>
              </w:rPr>
              <w:t xml:space="preserve"> ir</w:t>
            </w:r>
            <w:r w:rsidRPr="00D842C1">
              <w:rPr>
                <w:b/>
                <w:i/>
                <w:color w:val="auto"/>
              </w:rPr>
              <w:t xml:space="preserve"> laisvėms, „eu-LISA“ be reikalo nedelsdama juos apie tai informuoja</w:t>
            </w:r>
            <w:r w:rsidRPr="00D842C1">
              <w:rPr>
                <w:color w:val="auto"/>
              </w:rPr>
              <w:t>. Apie saugumo incidentus</w:t>
            </w:r>
            <w:r w:rsidRPr="00D842C1">
              <w:rPr>
                <w:b/>
                <w:i/>
                <w:color w:val="auto"/>
              </w:rPr>
              <w:t xml:space="preserve"> </w:t>
            </w:r>
            <w:r w:rsidRPr="00D842C1">
              <w:rPr>
                <w:color w:val="auto"/>
              </w:rPr>
              <w:t>„eu-LISA“ informuoja valstybes nares, Europolą ir Europos duomenų apsaugos priežiūros pareigūną. Įvykus saugumo incidentui susijusios valstybės narės,</w:t>
            </w:r>
            <w:r w:rsidRPr="00D842C1">
              <w:rPr>
                <w:b/>
                <w:i/>
                <w:color w:val="auto"/>
              </w:rPr>
              <w:t xml:space="preserve"> </w:t>
            </w:r>
            <w:r w:rsidRPr="00D842C1">
              <w:rPr>
                <w:color w:val="auto"/>
              </w:rPr>
              <w:t>„eu-LISA“ ir Europolas bendradarbiauja.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Šiuo pakeitimu užtikrinama, kas asmenys būtų informuojami, jei yra duomenų pažeidimas, dėl kurio gali kilti pavojus jų teisėms ir laisvėms. Tai labai svarbu, jeigu kilmės šalis, įsibrovusi į sistemą EURODAC, randa konkrečios informacijos apie savo piliečius, ypač žmogaus teisių gynėjus, pabėgusius iš savo šalies.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426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37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Valstybės narės arba Europolas pagal šį reglamentą iš centrinės duomenų bazės gautų asmens duomenų neperduoda ir jų neleidžia gauti trečiosioms šalims, tarptautinėms organizacijoms arba privatiems subjektams, įsisteigusiems Sąjungoje ar už jos ribų. Šis draudimas taip pat taikomas, jei tie duomenys toliau tvarkomi nacionaliniu lygmeniu arba tarp valstybių narių, kaip nustatyta pagal</w:t>
            </w:r>
            <w:r w:rsidRPr="00D842C1">
              <w:rPr>
                <w:b/>
                <w:i/>
                <w:color w:val="auto"/>
              </w:rPr>
              <w:t xml:space="preserve"> [Direktyvos [2016/../ES] […] straipsnį].</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Valstybės narės arba Europolas pagal šį reglamentą iš centrinės duomenų bazės gautų asmens duomenų neperduoda ir jų neleidžia gauti trečiosioms šalims, tarptautinėms organizacijoms arba privatiems subjektams, įsisteigusiems Sąjungoje ar už jos ribų. Šis draudimas taip pat taikomas, jei tie duomenys toliau tvarkomi nacionaliniu lygmeniu arba tarp valstybių narių, kaip nustatyta pagal</w:t>
            </w:r>
            <w:r w:rsidRPr="00D842C1">
              <w:rPr>
                <w:b/>
                <w:i/>
                <w:color w:val="auto"/>
              </w:rPr>
              <w:t xml:space="preserve"> Reglamento (ES) 679/2016 ir Direktyvos [(ES) 2016/680] […]2b straipsnį.</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būtinas dėl neatidėliotinų priežasčių siekiant užtikrinti , kad būtų išlaikyta vidinė teksto struktūra užtikrinant nuoseklų Bendrojo duomenų apsaugos reglamento (Reglamento (ES) 679/2016) ir Policijos duomenų apsaugos direktyvos (Direktyva 2016/680/ES) taikymą visame EURODAC reglamente. Šis pakeitimas taip pat yra pagrįstas Europos Duomenų apsaugos priežiūros pareigūno pastabomis.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427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 Hilde Vautmans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37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Valstybės narės arba Europolas pagal šį reglamentą iš centrinės duomenų bazės gautų asmens duomenų neperduoda ir jų neleidžia gauti trečiosioms šalims, tarptautinėms organizacijoms arba privatiems subjektams, įsisteigusiems Sąjungoje ar už jos ribų. Šis draudimas taip pat taikomas, jei tie duomenys toliau tvarkomi nacionaliniu lygmeniu arba tarp valstybių narių, kaip nustatyta pagal [Direktyvos</w:t>
            </w:r>
            <w:r w:rsidRPr="00D842C1">
              <w:rPr>
                <w:b/>
                <w:i/>
                <w:color w:val="auto"/>
              </w:rPr>
              <w:t xml:space="preserve"> [2016/</w:t>
            </w:r>
            <w:r w:rsidRPr="00D842C1">
              <w:rPr>
                <w:color w:val="auto"/>
              </w:rPr>
              <w:t>..</w:t>
            </w:r>
            <w:r w:rsidRPr="00D842C1">
              <w:rPr>
                <w:b/>
                <w:i/>
                <w:color w:val="auto"/>
              </w:rPr>
              <w:t>/ES]</w:t>
            </w:r>
            <w:r w:rsidRPr="00D842C1">
              <w:rPr>
                <w:color w:val="auto"/>
              </w:rPr>
              <w:t xml:space="preserve"> […] straipsnį].</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Valstybės narės arba Europolas pagal šį reglamentą iš centrinės duomenų bazės gautų asmens duomenų neperduoda ir jų neleidžia gauti trečiosioms šalims, tarptautinėms organizacijoms arba privatiems subjektams, įsisteigusiems Sąjungoje ar už jos ribų. Šis draudimas taip pat taikomas, jei tie duomenys toliau tvarkomi nacionaliniu lygmeniu arba tarp valstybių narių, kaip nustatyta pagal [Direktyvos</w:t>
            </w:r>
            <w:r w:rsidRPr="00D842C1">
              <w:rPr>
                <w:b/>
                <w:i/>
                <w:color w:val="auto"/>
              </w:rPr>
              <w:t xml:space="preserve"> [(ES)2016/</w:t>
            </w:r>
            <w:r w:rsidRPr="00D842C1">
              <w:rPr>
                <w:color w:val="auto"/>
              </w:rPr>
              <w:t>..</w:t>
            </w:r>
            <w:r w:rsidRPr="00D842C1">
              <w:rPr>
                <w:b/>
                <w:i/>
                <w:color w:val="auto"/>
              </w:rPr>
              <w:t>]</w:t>
            </w:r>
            <w:r w:rsidRPr="00D842C1">
              <w:rPr>
                <w:color w:val="auto"/>
              </w:rPr>
              <w:t xml:space="preserve"> […] straipsnį]</w:t>
            </w:r>
            <w:r w:rsidRPr="00D842C1">
              <w:rPr>
                <w:b/>
                <w:i/>
                <w:color w:val="auto"/>
              </w:rPr>
              <w:t xml:space="preserve"> ] ir Reglamentą (ES) 2016/679</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Asmens duomenų tvarkymas taip pat reglamentuojamas Direktyva 95/46/EB, kuri 2018 m. gegužės mėn. bus pakeista bendruoju duomenų apsaugos reglamentu.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428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37 straipsnio 1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Valstybės narės arba Europolas pagal šį reglamentą iš centrinės duomenų bazės gautų asmens duomenų neperduoda ir jų neleidžia gauti trečiosioms šalims, tarptautinėms organizacijoms arba privatiems subjektams, įsisteigusiems Sąjungoje ar už jos ribų. Šis draudimas taip pat taikomas, jei tie duomenys toliau tvarkomi nacionaliniu lygmeniu arba tarp valstybių narių, kaip nustatyta pagal [Direktyvos</w:t>
            </w:r>
            <w:r w:rsidRPr="00D842C1">
              <w:rPr>
                <w:b/>
                <w:i/>
                <w:color w:val="auto"/>
              </w:rPr>
              <w:t xml:space="preserve"> [2016/</w:t>
            </w:r>
            <w:r w:rsidRPr="00D842C1">
              <w:rPr>
                <w:color w:val="auto"/>
              </w:rPr>
              <w:t>..</w:t>
            </w:r>
            <w:r w:rsidRPr="00D842C1">
              <w:rPr>
                <w:b/>
                <w:i/>
                <w:color w:val="auto"/>
              </w:rPr>
              <w:t>/ES]</w:t>
            </w:r>
            <w:r w:rsidRPr="00D842C1">
              <w:rPr>
                <w:color w:val="auto"/>
              </w:rPr>
              <w:t xml:space="preserve"> […] straipsnį].</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Valstybės narės arba Europolas pagal šį reglamentą iš centrinės duomenų bazės gautų asmens duomenų</w:t>
            </w:r>
            <w:r w:rsidRPr="00D842C1">
              <w:rPr>
                <w:b/>
                <w:i/>
                <w:color w:val="auto"/>
              </w:rPr>
              <w:t xml:space="preserve"> jokiomis aplinkybėmis</w:t>
            </w:r>
            <w:r w:rsidRPr="00D842C1">
              <w:rPr>
                <w:color w:val="auto"/>
              </w:rPr>
              <w:t xml:space="preserve"> neperduoda ir jų neleidžia gauti trečiosioms šalims, tarptautinėms organizacijoms arba privatiems subjektams, įsisteigusiems Sąjungoje ar už jos ribų. Šis draudimas taip pat taikomas, jei tie duomenys toliau tvarkomi nacionaliniu lygmeniu arba tarp valstybių narių, kaip nustatyta pagal [Direktyvos</w:t>
            </w:r>
            <w:r w:rsidRPr="00D842C1">
              <w:rPr>
                <w:b/>
                <w:i/>
                <w:color w:val="auto"/>
              </w:rPr>
              <w:t xml:space="preserve"> [(ES) 2016/</w:t>
            </w:r>
            <w:r w:rsidRPr="00D842C1">
              <w:rPr>
                <w:color w:val="auto"/>
              </w:rPr>
              <w:t>..</w:t>
            </w:r>
            <w:r w:rsidRPr="00D842C1">
              <w:rPr>
                <w:b/>
                <w:i/>
                <w:color w:val="auto"/>
              </w:rPr>
              <w:t>]</w:t>
            </w:r>
            <w:r w:rsidRPr="00D842C1">
              <w:rPr>
                <w:color w:val="auto"/>
              </w:rPr>
              <w:t xml:space="preserve"> […] straipsnį].</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Pagal Darbo tvarkos taisyklių 104 straipsnį šis pakeitimas yra būtinas, nes jis neatsiejamai susijęs su kitais priimtinais pakeitimais, susijusiais su sistemos EURODAC tikslais (1 straipsnis), kuriais įtraukiamos nuorodos į būtinumo ir proporcingumo principų laikymąsi pagal Chartijos 52 straipsnio 1 dalį ir atitinkamą Europos Sąjungos Teisingumo Teismo praktiką.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429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37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Valstybėje narėje gauti asmens duomenys, kuriais valstybės narės keičiasi nustačius atitiktį, gautą 1 straipsnio 1 dalies c punkte nustatytais tikslais, neperduodami trečiosioms šalims, jei esama realios rizikos, kad atlikus tokį perdavimą duomenų subjektas gali būti kankinamas, su juo gali būti nežmoniškai ir žeminamai elgiamasi arba jis gali būti baudžiamas ar kitaip pažeidžiamos jo pagrindinės teisės.</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Valstybėje narėje gauti asmens duomenys, kuriais valstybės narės keičiasi nustačius atitiktį, gautą 1 straipsnio 1 dalies c punkte nustatytais tikslais, neperduodami trečiosioms šalims,</w:t>
            </w:r>
            <w:r w:rsidRPr="00D842C1">
              <w:rPr>
                <w:b/>
                <w:i/>
                <w:color w:val="auto"/>
              </w:rPr>
              <w:t xml:space="preserve"> įskaitant atvejį,</w:t>
            </w:r>
            <w:r w:rsidRPr="00D842C1">
              <w:rPr>
                <w:color w:val="auto"/>
              </w:rPr>
              <w:t xml:space="preserve"> jei esama realios rizikos, kad atlikus tokį perdavimą duomenų subjektas gali būti kankinamas, su juo gali būti nežmoniškai ir žeminamai elgiamasi arba jis gali būti baudžiamas ar kitaip pažeidžiamos jo pagrindinės teisės.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Šis pakeitimas yra būtinas siekiant užtikrinti nuoseklų asmens duomenų perdavimo į trečiąsias šalis draudimą visame EURODAC reglamente. Šis pakeitimas neatsiejamai susijęs su 37 straipsnio 1 dalies pakeitimu. Jis taip pat yra pagrįstas Europos Duomenų apsaugos priežiūros pareigūno pastabomis.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430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 Dennis de Jong</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37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Informacija apie 10 straipsnio 1 dalyje</w:t>
            </w:r>
            <w:r w:rsidRPr="00D842C1">
              <w:rPr>
                <w:b/>
                <w:i/>
                <w:color w:val="auto"/>
              </w:rPr>
              <w:t xml:space="preserve"> nustatytų asmenų valstybėje narėje pateiktą tarptautinės apsaugos prašymą</w:t>
            </w:r>
            <w:r w:rsidRPr="00D842C1">
              <w:rPr>
                <w:color w:val="auto"/>
              </w:rPr>
              <w:t xml:space="preserve"> neatskleidžiama jokiai trečiajai šaliai</w:t>
            </w:r>
            <w:r w:rsidRPr="00D842C1">
              <w:rPr>
                <w:b/>
                <w:i/>
                <w:color w:val="auto"/>
              </w:rPr>
              <w:t>, ypač jei ta šalis yra prašytojo kilmės šalis</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Informacija apie 10 straipsnio 1 dalyje</w:t>
            </w:r>
            <w:r w:rsidRPr="00D842C1">
              <w:rPr>
                <w:b/>
                <w:i/>
                <w:color w:val="auto"/>
              </w:rPr>
              <w:t xml:space="preserve"> nustatytus asmenis</w:t>
            </w:r>
            <w:r w:rsidRPr="00D842C1">
              <w:rPr>
                <w:color w:val="auto"/>
              </w:rPr>
              <w:t xml:space="preserve"> neatskleidžiama jokiai trečiajai šaliai.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431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37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Informacija apie 10 straipsnio 1 dalyje</w:t>
            </w:r>
            <w:r w:rsidRPr="00D842C1">
              <w:rPr>
                <w:b/>
                <w:i/>
                <w:color w:val="auto"/>
              </w:rPr>
              <w:t xml:space="preserve"> nustatytų asmenų valstybėje narėje pateiktą tarptautinės apsaugos prašymą</w:t>
            </w:r>
            <w:r w:rsidRPr="00D842C1">
              <w:rPr>
                <w:color w:val="auto"/>
              </w:rPr>
              <w:t xml:space="preserve"> neatskleidžiama jokiai trečiajai šaliai, ypač jei ta šalis yra prašytojo kilmės šalis.</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Informacija apie 10 straipsnio 1 dalyje</w:t>
            </w:r>
            <w:r w:rsidRPr="00D842C1">
              <w:rPr>
                <w:b/>
                <w:i/>
                <w:color w:val="auto"/>
              </w:rPr>
              <w:t xml:space="preserve"> nustatytus asmenis</w:t>
            </w:r>
            <w:r w:rsidRPr="00D842C1">
              <w:rPr>
                <w:color w:val="auto"/>
              </w:rPr>
              <w:t xml:space="preserve"> neatskleidžiama jokiai trečiajai šaliai, ypač jei ta šalis yra prašytojo kilmės šalis.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Šiuo pakeitimu užtikrinama, kad informacija apie 10 straipsnio 1 dalyje nustatytus asmenis niekada nebūtų atskleidžiama trečiosioms šalims.</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432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Dietmar Köster,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37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Informacija apie 10 straipsnio 1 dalyje nustatytų asmenų valstybėje narėje pateiktą tarptautinės apsaugos prašymą neatskleidžiama jokiai trečiajai šaliai</w:t>
            </w:r>
            <w:r w:rsidRPr="00D842C1">
              <w:rPr>
                <w:b/>
                <w:i/>
                <w:color w:val="auto"/>
              </w:rPr>
              <w:t>, ypač jei ta šalis yra prašytojo kilmės šalis</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Informacija apie 10 straipsnio 1 dalyje nustatytų asmenų valstybėje narėje pateiktą tarptautinės apsaugos prašymą neatskleidžiama jokiai trečiajai šaliai.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433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37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Informacija apie 10 straipsnio 1 dalyje nustatytų asmenų valstybėje narėje pateiktą tarptautinės apsaugos prašymą neatskleidžiama jokiai trečiajai šaliai</w:t>
            </w:r>
            <w:r w:rsidRPr="00D842C1">
              <w:rPr>
                <w:b/>
                <w:i/>
                <w:color w:val="auto"/>
              </w:rPr>
              <w:t>, ypač jei ta šalis yra prašytojo kilmės šalis</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Informacija apie 10 straipsnio 1 dalyje nustatytų asmenų valstybėje narėje pateiktą tarptautinės apsaugos prašymą neatskleidžiama jokiai trečiajai šaliai.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434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37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Informacija apie 10 straipsnio 1 dalyje nustatytų asmenų valstybėje narėje pateiktą tarptautinės apsaugos prašymą neatskleidžiama jokiai trečiajai šaliai, ypač jei ta šalis yra prašytojo kilmės šalis.</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Informacija apie 10 straipsnio 1 dalyje</w:t>
            </w:r>
            <w:r w:rsidRPr="00D842C1">
              <w:rPr>
                <w:b/>
                <w:i/>
                <w:color w:val="auto"/>
              </w:rPr>
              <w:t xml:space="preserve"> ir 12a straipsnyje</w:t>
            </w:r>
            <w:r w:rsidRPr="00D842C1">
              <w:rPr>
                <w:color w:val="auto"/>
              </w:rPr>
              <w:t xml:space="preserve"> nustatytų asmenų valstybėje narėje pateiktą tarptautinės apsaugos prašymą neatskleidžiama jokiai trečiajai šaliai, ypač jei ta šalis yra prašytojo kilmės šalis.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Šis pakeitimas susijęs su pasiūlymu įtraukti naują kategoriją (naują IIa skyrių), juo siekiama tekstą nuosekliai suderinti su šiuo intarpu.</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435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38 straipsnis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Center"/>
              <w:rPr>
                <w:b/>
                <w:i/>
                <w:color w:val="auto"/>
                <w:lang w:val="lt-LT"/>
              </w:rPr>
            </w:pPr>
            <w:r w:rsidRPr="00D842C1">
              <w:rPr>
                <w:b/>
                <w:i/>
                <w:color w:val="auto"/>
                <w:lang w:val="lt-LT"/>
              </w:rPr>
              <w:t>38 straipsnis</w:t>
            </w:r>
            <w:r w:rsidRPr="00D842C1">
              <w:rPr>
                <w:b/>
                <w:i/>
                <w:color w:val="auto"/>
                <w:lang w:val="lt-LT"/>
              </w:rPr>
              <w:tab/>
            </w:r>
          </w:p>
        </w:tc>
        <w:tc>
          <w:tcPr>
            <w:tcW w:w="4876" w:type="dxa"/>
          </w:tcPr>
          <w:p w:rsidR="00131F3A" w:rsidRPr="00D842C1" w:rsidRDefault="00131F3A" w:rsidP="00131F3A">
            <w:pPr>
              <w:pStyle w:val="Normal6"/>
              <w:rPr>
                <w:b/>
                <w:i/>
                <w:color w:val="auto"/>
              </w:rPr>
            </w:pPr>
            <w:r w:rsidRPr="00D842C1">
              <w:rPr>
                <w:b/>
                <w:i/>
                <w:color w:val="auto"/>
              </w:rPr>
              <w:t>Išbraukta.</w:t>
            </w:r>
          </w:p>
        </w:tc>
      </w:tr>
      <w:tr w:rsidR="00131F3A" w:rsidRPr="00D842C1" w:rsidTr="00131F3A">
        <w:trPr>
          <w:jc w:val="center"/>
        </w:trPr>
        <w:tc>
          <w:tcPr>
            <w:tcW w:w="4876" w:type="dxa"/>
          </w:tcPr>
          <w:p w:rsidR="00131F3A" w:rsidRPr="00D842C1" w:rsidRDefault="00131F3A" w:rsidP="00131F3A">
            <w:pPr>
              <w:pStyle w:val="Center"/>
              <w:rPr>
                <w:b/>
                <w:i/>
                <w:color w:val="auto"/>
                <w:lang w:val="lt-LT"/>
              </w:rPr>
            </w:pPr>
            <w:r w:rsidRPr="00D842C1">
              <w:rPr>
                <w:b/>
                <w:i/>
                <w:color w:val="auto"/>
                <w:sz w:val="24"/>
                <w:lang w:val="lt-LT"/>
              </w:rPr>
              <w:t>Duomenų perdavimas trečiosioms šalims grąžinimo tikslais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1. Nukrypstant nuo šio reglamento 37 straipsnio, asmens duomenis, susijusius su asmenimis, nurodytais 10 straipsnio 1 dalyje, 13 straipsnio 2 dalyje ir 14 straipsnio 1 dalyje, kuriuos valstybė narė gavo nustačiusi atitiktį 1 straipsnio 1 dalies a arba b punkte nustatytais tikslais, galima perduoti arba leisti gauti trečiajai šaliai, kaip nustatyta Reglamento (ES) Nr. […/2016] 46 straipsnyje, prireikus siekiant įrodyti trečiųjų šalių piliečių tapatybę grąžinimo tikslais, tik tada, kai laikomasi tokių sąlygų:</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b) trečioji šalis aiškiai sutinka naudoti duomenis tik tuo tikslu, dėl kurio jie buvo pateikti, ir tik teisėtam ir būtinam tikslų, nustatytų 1 straipsnio 1 dalies b punkte, įgyvendinimui ir ištrinti tuos duomenis, kai nebelieka pagrįstų priežasčių juos saugoti;</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c) kilmės valstybė narė, įvedusi duomenis į centrinę sistemą, davė sutikimą, o atitinkamas asmuo buvo informuotas, kad jo asmens duomenimis gali būti dalijamasi su trečiosios šalies institucijomis.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2. Informacija apie 10 straipsnio 1 dalyje nustatytų asmenų valstybėje narėje pateiktą tarptautinės apsaugos prašymą neatskleidžiama jokiai trečiajai šaliai, ypač jei ta šalis yra prašytojo kilmės šalis.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3. Trečiajai šaliai nesuteikiama tiesioginė prieiga prie centrinės sistemos pirštų atspaudų duomenų lyginimo ar perdavimo tikslais ar prie bet kokių kitų trečiosios šalies piliečio ar asmens be pilietybės asmens duomenų ir jai nesuteikiama prieiga per valstybės narės paskirtą nacionalinę duomenų perdavimo įstaigą.</w:t>
            </w:r>
          </w:p>
        </w:tc>
        <w:tc>
          <w:tcPr>
            <w:tcW w:w="4876" w:type="dxa"/>
          </w:tcPr>
          <w:p w:rsidR="00131F3A" w:rsidRPr="00D842C1" w:rsidRDefault="00131F3A" w:rsidP="00131F3A">
            <w:pPr>
              <w:pStyle w:val="Normal6"/>
              <w:rPr>
                <w:color w:val="auto"/>
              </w:rPr>
            </w:pP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436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 Dennis de Jong</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38 straipsnis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Center"/>
              <w:rPr>
                <w:b/>
                <w:i/>
                <w:color w:val="auto"/>
                <w:lang w:val="lt-LT"/>
              </w:rPr>
            </w:pPr>
            <w:r w:rsidRPr="00D842C1">
              <w:rPr>
                <w:b/>
                <w:i/>
                <w:color w:val="auto"/>
                <w:lang w:val="lt-LT"/>
              </w:rPr>
              <w:t>38 straipsnis</w:t>
            </w:r>
            <w:r w:rsidRPr="00D842C1">
              <w:rPr>
                <w:b/>
                <w:i/>
                <w:color w:val="auto"/>
                <w:lang w:val="lt-LT"/>
              </w:rPr>
              <w:tab/>
            </w:r>
          </w:p>
        </w:tc>
        <w:tc>
          <w:tcPr>
            <w:tcW w:w="4876" w:type="dxa"/>
          </w:tcPr>
          <w:p w:rsidR="00131F3A" w:rsidRPr="00D842C1" w:rsidRDefault="00131F3A" w:rsidP="00131F3A">
            <w:pPr>
              <w:pStyle w:val="Normal6"/>
              <w:rPr>
                <w:b/>
                <w:i/>
                <w:color w:val="auto"/>
              </w:rPr>
            </w:pPr>
            <w:r w:rsidRPr="00D842C1">
              <w:rPr>
                <w:b/>
                <w:i/>
                <w:color w:val="auto"/>
              </w:rPr>
              <w:t>Išbraukta.</w:t>
            </w:r>
          </w:p>
        </w:tc>
      </w:tr>
      <w:tr w:rsidR="00131F3A" w:rsidRPr="00D842C1" w:rsidTr="00131F3A">
        <w:trPr>
          <w:jc w:val="center"/>
        </w:trPr>
        <w:tc>
          <w:tcPr>
            <w:tcW w:w="4876" w:type="dxa"/>
          </w:tcPr>
          <w:p w:rsidR="00131F3A" w:rsidRPr="00D842C1" w:rsidRDefault="00131F3A" w:rsidP="00131F3A">
            <w:pPr>
              <w:pStyle w:val="Center"/>
              <w:rPr>
                <w:b/>
                <w:i/>
                <w:color w:val="auto"/>
                <w:lang w:val="lt-LT"/>
              </w:rPr>
            </w:pPr>
            <w:r w:rsidRPr="00D842C1">
              <w:rPr>
                <w:b/>
                <w:i/>
                <w:color w:val="auto"/>
                <w:sz w:val="24"/>
                <w:lang w:val="lt-LT"/>
              </w:rPr>
              <w:t>Duomenų perdavimas trečiosioms šalims grąžinimo tikslais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1. Nukrypstant nuo šio reglamento 37 straipsnio, asmens duomenis, susijusius su asmenimis, nurodytais 10 straipsnio 1 dalyje, 13 straipsnio 2 dalyje ir 14 straipsnio 1 dalyje, kuriuos valstybė narė gavo nustačiusi atitiktį 1 straipsnio 1 dalies a arba b punkte nustatytais tikslais, galima perduoti arba leisti gauti trečiajai šaliai, kaip nustatyta Reglamento (ES) Nr. […/2016] 46 straipsnyje, prireikus siekiant įrodyti trečiųjų šalių piliečių tapatybę grąžinimo tikslais, tik tada, kai laikomasi tokių sąlygų:</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b) trečioji šalis aiškiai sutinka naudoti duomenis tik tuo tikslu, dėl kurio jie buvo pateikti, ir tik teisėtam ir būtinam tikslų, nustatytų 1 straipsnio 1 dalies b punkte, įgyvendinimui ir ištrinti tuos duomenis, kai nebelieka pagrįstų priežasčių juos saugoti;</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c) kilmės valstybė narė, įvedusi duomenis į centrinę sistemą, davė sutikimą, o atitinkamas asmuo buvo informuotas, kad jo asmens duomenimis gali būti dalijamasi su trečiosios šalies institucijomis.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2. Informacija apie 10 straipsnio 1 dalyje nustatytų asmenų valstybėje narėje pateiktą tarptautinės apsaugos prašymą neatskleidžiama jokiai trečiajai šaliai, ypač jei ta šalis yra prašytojo kilmės šalis.</w:t>
            </w:r>
          </w:p>
        </w:tc>
        <w:tc>
          <w:tcPr>
            <w:tcW w:w="4876" w:type="dxa"/>
          </w:tcPr>
          <w:p w:rsidR="00131F3A" w:rsidRPr="00D842C1" w:rsidRDefault="00131F3A" w:rsidP="00131F3A">
            <w:pPr>
              <w:pStyle w:val="Normal6"/>
              <w:rPr>
                <w:color w:val="auto"/>
              </w:rPr>
            </w:pP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3. Trečiajai šaliai nesuteikiama tiesioginė prieiga prie centrinės sistemos pirštų atspaudų duomenų lyginimo ar perdavimo tikslais ar prie bet kokių kitų trečiosios šalies piliečio ar asmens be pilietybės asmens duomenų ir jai nesuteikiama prieiga per valstybės narės paskirtą nacionalinę duomenų perdavimo įstaigą.</w:t>
            </w:r>
          </w:p>
        </w:tc>
        <w:tc>
          <w:tcPr>
            <w:tcW w:w="4876" w:type="dxa"/>
          </w:tcPr>
          <w:p w:rsidR="00131F3A" w:rsidRPr="00D842C1" w:rsidRDefault="00131F3A" w:rsidP="00131F3A">
            <w:pPr>
              <w:pStyle w:val="Normal6"/>
              <w:rPr>
                <w:color w:val="auto"/>
              </w:rPr>
            </w:pP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437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38 straipsnio 1 dalies įžanginė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Nukrypstant nuo šio reglamento 37 straipsnio, asmens duomenis, susijusius su asmenimis, nurodytais 10 straipsnio 1 dalyje, 13 straipsnio 2 dalyje ir 14 straipsnio 1 dalyje, kuriuos valstybė narė gavo nustačiusi atitiktį 1 straipsnio 1 dalies a arba b punkte nustatytais tikslais, galima perduoti arba leisti gauti trečiajai šaliai, kaip nustatyta Reglamento</w:t>
            </w:r>
            <w:r w:rsidRPr="00D842C1">
              <w:rPr>
                <w:b/>
                <w:i/>
                <w:color w:val="auto"/>
              </w:rPr>
              <w:t xml:space="preserve"> </w:t>
            </w:r>
            <w:r w:rsidRPr="00D842C1">
              <w:rPr>
                <w:color w:val="auto"/>
              </w:rPr>
              <w:t>(ES) Nr. […/2016] 46 straipsnyje, prireikus siekiant įrodyti trečiųjų šalių piliečių tapatybę grąžinimo tikslais, tik tada, kai laikomasi tokių sąlygų:</w:t>
            </w:r>
          </w:p>
        </w:tc>
        <w:tc>
          <w:tcPr>
            <w:tcW w:w="4876" w:type="dxa"/>
          </w:tcPr>
          <w:p w:rsidR="00131F3A" w:rsidRPr="00D842C1" w:rsidRDefault="00131F3A" w:rsidP="00131F3A">
            <w:pPr>
              <w:pStyle w:val="Normal6"/>
              <w:rPr>
                <w:b/>
                <w:i/>
                <w:color w:val="auto"/>
              </w:rPr>
            </w:pPr>
            <w:r w:rsidRPr="00D842C1">
              <w:rPr>
                <w:color w:val="auto"/>
              </w:rPr>
              <w:t>1.</w:t>
            </w:r>
            <w:r w:rsidRPr="00D842C1">
              <w:rPr>
                <w:b/>
                <w:i/>
                <w:color w:val="auto"/>
              </w:rPr>
              <w:tab/>
            </w:r>
            <w:r w:rsidRPr="00D842C1">
              <w:rPr>
                <w:color w:val="auto"/>
              </w:rPr>
              <w:t>Nukrypstant nuo šio reglamento 37 straipsnio,</w:t>
            </w:r>
            <w:r w:rsidRPr="00D842C1">
              <w:rPr>
                <w:b/>
                <w:i/>
                <w:color w:val="auto"/>
              </w:rPr>
              <w:t xml:space="preserve"> tik būtinus</w:t>
            </w:r>
            <w:r w:rsidRPr="00D842C1">
              <w:rPr>
                <w:color w:val="auto"/>
              </w:rPr>
              <w:t xml:space="preserve"> asmens duomenis, susijusius su asmenimis, nurodytais 10 straipsnio 1 dalyje, 13 straipsnio 2 dalyje ir 14 straipsnio 1 dalyje, kuriuos valstybė narė gavo nustačiusi atitiktį 1 straipsnio 1 dalies a arba b punkte nustatytais tikslais, galima perduoti arba leisti gauti trečiajai šaliai, kaip nustatyta Reglamento</w:t>
            </w:r>
            <w:r w:rsidRPr="00D842C1">
              <w:rPr>
                <w:b/>
                <w:i/>
                <w:color w:val="auto"/>
              </w:rPr>
              <w:t xml:space="preserve"> </w:t>
            </w:r>
            <w:r w:rsidRPr="00D842C1">
              <w:rPr>
                <w:color w:val="auto"/>
              </w:rPr>
              <w:t>(ES) Nr. […/2016] 46 straipsnyje, prireikus siekiant įrodyti trečiųjų šalių piliečių tapatybę grąžinimo tikslais, tik tada, kai laikomasi tokių sąlygų:</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438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Maria Grapini, Juan Fernando López Aguilar</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38 straipsnio 1 dalies c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c)</w:t>
            </w:r>
            <w:r w:rsidRPr="00D842C1">
              <w:rPr>
                <w:b/>
                <w:i/>
                <w:color w:val="auto"/>
              </w:rPr>
              <w:tab/>
            </w:r>
            <w:r w:rsidRPr="00D842C1">
              <w:rPr>
                <w:color w:val="auto"/>
              </w:rPr>
              <w:t>kilmės valstybė narė, įvedusi duomenis į centrinę sistemą, davė sutikimą, o atitinkamas asmuo buvo informuotas, kad jo asmens duomenimis</w:t>
            </w:r>
            <w:r w:rsidRPr="00D842C1">
              <w:rPr>
                <w:b/>
                <w:i/>
                <w:color w:val="auto"/>
              </w:rPr>
              <w:t xml:space="preserve"> gali būti</w:t>
            </w:r>
            <w:r w:rsidRPr="00D842C1">
              <w:rPr>
                <w:color w:val="auto"/>
              </w:rPr>
              <w:t xml:space="preserve"> dalijamasi su trečiosios šalies institucijomis.</w:t>
            </w:r>
          </w:p>
        </w:tc>
        <w:tc>
          <w:tcPr>
            <w:tcW w:w="4876" w:type="dxa"/>
          </w:tcPr>
          <w:p w:rsidR="00131F3A" w:rsidRPr="00D842C1" w:rsidRDefault="00131F3A" w:rsidP="00131F3A">
            <w:pPr>
              <w:pStyle w:val="Normal6"/>
              <w:rPr>
                <w:b/>
                <w:i/>
                <w:color w:val="auto"/>
              </w:rPr>
            </w:pPr>
            <w:r w:rsidRPr="00D842C1">
              <w:rPr>
                <w:color w:val="auto"/>
              </w:rPr>
              <w:t>c)</w:t>
            </w:r>
            <w:r w:rsidRPr="00D842C1">
              <w:rPr>
                <w:b/>
                <w:i/>
                <w:color w:val="auto"/>
              </w:rPr>
              <w:tab/>
            </w:r>
            <w:r w:rsidRPr="00D842C1">
              <w:rPr>
                <w:color w:val="auto"/>
              </w:rPr>
              <w:t>kilmės valstybė narė, įvedusi duomenis į centrinę sistemą, davė sutikimą, o atitinkamas asmuo buvo informuotas, kad jo asmens duomenimis</w:t>
            </w:r>
            <w:r w:rsidRPr="00D842C1">
              <w:rPr>
                <w:b/>
                <w:i/>
                <w:color w:val="auto"/>
              </w:rPr>
              <w:t xml:space="preserve"> bus</w:t>
            </w:r>
            <w:r w:rsidRPr="00D842C1">
              <w:rPr>
                <w:color w:val="auto"/>
              </w:rPr>
              <w:t xml:space="preserve"> dalijamasi su</w:t>
            </w:r>
            <w:r w:rsidRPr="00D842C1">
              <w:rPr>
                <w:b/>
                <w:i/>
                <w:color w:val="auto"/>
              </w:rPr>
              <w:t xml:space="preserve"> tos</w:t>
            </w:r>
            <w:r w:rsidRPr="00D842C1">
              <w:rPr>
                <w:color w:val="auto"/>
              </w:rPr>
              <w:t xml:space="preserve"> trečiosios šalies institucijomis.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439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38 straipsnio 1 dalies c punktas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c)</w:t>
            </w:r>
            <w:r w:rsidRPr="00D842C1">
              <w:rPr>
                <w:b/>
                <w:i/>
                <w:color w:val="auto"/>
              </w:rPr>
              <w:tab/>
            </w:r>
            <w:r w:rsidRPr="00D842C1">
              <w:rPr>
                <w:color w:val="auto"/>
              </w:rPr>
              <w:t>kilmės valstybė narė, įvedusi duomenis į centrinę sistemą, davė sutikimą, o atitinkamas asmuo buvo informuotas, kad jo asmens duomenimis</w:t>
            </w:r>
            <w:r w:rsidRPr="00D842C1">
              <w:rPr>
                <w:b/>
                <w:i/>
                <w:color w:val="auto"/>
              </w:rPr>
              <w:t xml:space="preserve"> gali būti</w:t>
            </w:r>
            <w:r w:rsidRPr="00D842C1">
              <w:rPr>
                <w:color w:val="auto"/>
              </w:rPr>
              <w:t xml:space="preserve"> dalijamasi su trečiosios šalies institucijomis.</w:t>
            </w:r>
          </w:p>
        </w:tc>
        <w:tc>
          <w:tcPr>
            <w:tcW w:w="4876" w:type="dxa"/>
          </w:tcPr>
          <w:p w:rsidR="00131F3A" w:rsidRPr="00D842C1" w:rsidRDefault="00131F3A" w:rsidP="00131F3A">
            <w:pPr>
              <w:pStyle w:val="Normal6"/>
              <w:rPr>
                <w:b/>
                <w:i/>
                <w:color w:val="auto"/>
              </w:rPr>
            </w:pPr>
            <w:r w:rsidRPr="00D842C1">
              <w:rPr>
                <w:color w:val="auto"/>
              </w:rPr>
              <w:t>c)</w:t>
            </w:r>
            <w:r w:rsidRPr="00D842C1">
              <w:rPr>
                <w:b/>
                <w:i/>
                <w:color w:val="auto"/>
              </w:rPr>
              <w:tab/>
            </w:r>
            <w:r w:rsidRPr="00D842C1">
              <w:rPr>
                <w:color w:val="auto"/>
              </w:rPr>
              <w:t>kilmės valstybė narė, įvedusi duomenis į centrinę sistemą, davė sutikimą, o atitinkamas asmuo buvo informuotas, kad jo asmens duomenimis</w:t>
            </w:r>
            <w:r w:rsidRPr="00D842C1">
              <w:rPr>
                <w:b/>
                <w:i/>
                <w:color w:val="auto"/>
              </w:rPr>
              <w:t xml:space="preserve"> bus</w:t>
            </w:r>
            <w:r w:rsidRPr="00D842C1">
              <w:rPr>
                <w:color w:val="auto"/>
              </w:rPr>
              <w:t xml:space="preserve"> dalijamasi su</w:t>
            </w:r>
            <w:r w:rsidRPr="00D842C1">
              <w:rPr>
                <w:b/>
                <w:i/>
                <w:color w:val="auto"/>
              </w:rPr>
              <w:t xml:space="preserve"> konkrečios</w:t>
            </w:r>
            <w:r w:rsidRPr="00D842C1">
              <w:rPr>
                <w:color w:val="auto"/>
              </w:rPr>
              <w:t xml:space="preserve"> trečiosios šalies institucijomis.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440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38 straipsnio 1 dalies c a punktas (naujas)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ca)</w:t>
            </w:r>
            <w:r w:rsidRPr="00D842C1">
              <w:rPr>
                <w:b/>
                <w:i/>
                <w:color w:val="auto"/>
              </w:rPr>
              <w:tab/>
              <w:t>galutinį sprendimą, kuris turi būti priimtas dėl trečiosios šalies piliečio tarptautinės apsaugos prašymo.</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441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Maria Grapini, Juan Fernando López Aguilar, Dietmar Köster,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38 straipsnio 1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624C15" w:rsidP="00131F3A">
            <w:pPr>
              <w:pStyle w:val="Normal6"/>
              <w:rPr>
                <w:b/>
                <w:i/>
                <w:color w:val="auto"/>
              </w:rPr>
            </w:pPr>
            <w:r w:rsidRPr="00D842C1">
              <w:rPr>
                <w:b/>
                <w:i/>
                <w:color w:val="auto"/>
              </w:rPr>
              <w:t>1</w:t>
            </w:r>
            <w:r w:rsidR="00131F3A" w:rsidRPr="00D842C1">
              <w:rPr>
                <w:b/>
                <w:i/>
                <w:color w:val="auto"/>
              </w:rPr>
              <w:t>a.</w:t>
            </w:r>
            <w:r w:rsidR="00131F3A" w:rsidRPr="00D842C1">
              <w:rPr>
                <w:b/>
                <w:i/>
                <w:color w:val="auto"/>
              </w:rPr>
              <w:tab/>
              <w:t>Valstybėje narėje gauti asmens duomenys, kuriais valstybės narės keičiasi nustačius atitiktį, gautą 1 straipsnio 1 dalies a ir b punktuose nustatytais tikslais, neperduodami trečiosioms šalims, jei esama realios rizikos, kad atlikus tokį perdavimą duomenų subjektas gali būti kankinamas, su juo gali būti nežmoniškai ir žeminamai elgiamasi arba jis gali būti baudžiamas ar kitaip pažeidžiamos jo pagrindinės teisės.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442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38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Informacija apie 10 straipsnio 1 dalyje nustatytų asmenų valstybėje narėje pateiktą tarptautinės apsaugos prašymą neatskleidžiama jokiai trečiajai šaliai</w:t>
            </w:r>
            <w:r w:rsidRPr="00D842C1">
              <w:rPr>
                <w:b/>
                <w:i/>
                <w:color w:val="auto"/>
              </w:rPr>
              <w:t>, ypač jei ta šalis yra prašytojo kilmės šalis</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Informacija apie 10 straipsnio 1 dalyje nustatytų asmenų valstybėje narėje pateiktą tarptautinės apsaugos prašymą neatskleidžiama jokiai trečiajai šaliai.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443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Sylvia-Yvonne Kaufmann, Josef Weidenholzer, Vilija Blinkevičiūtė, Péter Niedermüller, Kati Piri, Maria Grapini, Juan Fernando López Aguilar, Caterina Chinnici</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38 straipsnio 2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Informacija apie 10 straipsnio 1 dalyje nustatytų asmenų valstybėje narėje pateiktą tarptautinės apsaugos prašymą neatskleidžiama jokiai trečiajai šaliai</w:t>
            </w:r>
            <w:r w:rsidRPr="00D842C1">
              <w:rPr>
                <w:b/>
                <w:i/>
                <w:color w:val="auto"/>
              </w:rPr>
              <w:t>, ypač jei ta šalis yra prašytojo kilmės šalis</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2.</w:t>
            </w:r>
            <w:r w:rsidRPr="00D842C1">
              <w:rPr>
                <w:b/>
                <w:i/>
                <w:color w:val="auto"/>
              </w:rPr>
              <w:tab/>
            </w:r>
            <w:r w:rsidRPr="00D842C1">
              <w:rPr>
                <w:color w:val="auto"/>
              </w:rPr>
              <w:t>Informacija apie 10 straipsnio 1 dalyje nustatytų asmenų valstybėje narėje pateiktą tarptautinės apsaugos prašymą neatskleidžiama jokiai trečiajai šaliai.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444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38 straipsnio 3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Trečiajai šaliai nesuteikiama tiesioginė prieiga prie centrinės sistemos pirštų atspaudų duomenų lyginimo ar perdavimo tikslais ar prie bet kokių kitų trečiosios šalies piliečio ar asmens be pilietybės asmens duomenų ir jai nesuteikiama prieiga per valstybės narės paskirtą nacionalinę duomenų perdavimo įstaigą.</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Trečiajai šaliai nesuteikiama tiesioginė prieiga prie centrinės sistemos pirštų atspaudų</w:t>
            </w:r>
            <w:r w:rsidRPr="00D842C1">
              <w:rPr>
                <w:b/>
                <w:i/>
                <w:color w:val="auto"/>
              </w:rPr>
              <w:t xml:space="preserve"> ar veido atvaizdo</w:t>
            </w:r>
            <w:r w:rsidRPr="00D842C1">
              <w:rPr>
                <w:color w:val="auto"/>
              </w:rPr>
              <w:t xml:space="preserve"> duomenų lyginimo ar perdavimo tikslais ar prie bet kokių kitų trečiosios šalies piliečio ar asmens be pilietybės asmens duomenų ir jai nesuteikiama prieiga per valstybės narės paskirtą nacionalinę duomenų perdavimo įstaigą.</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Komisijos pasiūlymo, į kurio visas reikiamas vietas neįtraukiamos abi sąvokos „pirštų antspaudai“ ir „veido atvaizdas“, kurios atitinka 2 straipsnyje minimą pareigą, korekcija.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445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 Hilde Vautmans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40 straipsnio 2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2a.</w:t>
            </w:r>
            <w:r w:rsidRPr="00D842C1">
              <w:rPr>
                <w:b/>
                <w:i/>
                <w:color w:val="auto"/>
              </w:rPr>
              <w:tab/>
              <w:t>Galutinė atsakomybė už asmens duomenų tvarkymą tenka valstybei narei, kuri jį prižiūri pagal Reglamentą (ES) 2016/679.</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Reikia pažymėti, kad galutinė atsakomybė už asmens duomenų tvarkymą tenka valstybei narei, kuri jį prižiūri pagal bendrąjį duomenų apsaugos reglamentą (Reglamentą (ES) 2016/679).</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446</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40 straipsnio 3 dalies įžanginė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Žalos atlyginimo reikalavimus valstybei narei už šio straipsnio 1 ir 2 dalyse nurodytą žalą reglamentuoja pažeidimu kaltinamos valstybės narės nacionalinės teisės nuostatos pagal Reglamento</w:t>
            </w:r>
            <w:r w:rsidRPr="00D842C1">
              <w:rPr>
                <w:b/>
                <w:i/>
                <w:color w:val="auto"/>
              </w:rPr>
              <w:t xml:space="preserve"> </w:t>
            </w:r>
            <w:r w:rsidRPr="00D842C1">
              <w:rPr>
                <w:color w:val="auto"/>
              </w:rPr>
              <w:t>(ES)</w:t>
            </w:r>
            <w:r w:rsidRPr="00D842C1">
              <w:rPr>
                <w:b/>
                <w:i/>
                <w:color w:val="auto"/>
              </w:rPr>
              <w:t xml:space="preserve"> […/2016] [75</w:t>
            </w:r>
            <w:r w:rsidRPr="00D842C1">
              <w:rPr>
                <w:color w:val="auto"/>
              </w:rPr>
              <w:t xml:space="preserve"> ir</w:t>
            </w:r>
            <w:r w:rsidRPr="00D842C1">
              <w:rPr>
                <w:b/>
                <w:i/>
                <w:color w:val="auto"/>
              </w:rPr>
              <w:t xml:space="preserve"> 76] straipsnius ir</w:t>
            </w:r>
            <w:r w:rsidRPr="00D842C1">
              <w:rPr>
                <w:color w:val="auto"/>
              </w:rPr>
              <w:t xml:space="preserve"> Direktyvos</w:t>
            </w:r>
            <w:r w:rsidRPr="00D842C1">
              <w:rPr>
                <w:b/>
                <w:i/>
                <w:color w:val="auto"/>
              </w:rPr>
              <w:t xml:space="preserve"> [2016/… /ES] [52 ir 53] straipsnius </w:t>
            </w:r>
            <w:r w:rsidRPr="00D842C1">
              <w:rPr>
                <w:color w:val="auto"/>
              </w:rPr>
              <w:t>.</w:t>
            </w:r>
          </w:p>
        </w:tc>
        <w:tc>
          <w:tcPr>
            <w:tcW w:w="4876" w:type="dxa"/>
          </w:tcPr>
          <w:p w:rsidR="00131F3A" w:rsidRPr="00D842C1" w:rsidRDefault="00131F3A" w:rsidP="00131F3A">
            <w:pPr>
              <w:pStyle w:val="Normal6"/>
              <w:rPr>
                <w:b/>
                <w:i/>
                <w:color w:val="auto"/>
              </w:rPr>
            </w:pPr>
            <w:r w:rsidRPr="00D842C1">
              <w:rPr>
                <w:color w:val="auto"/>
              </w:rPr>
              <w:t>3.</w:t>
            </w:r>
            <w:r w:rsidRPr="00D842C1">
              <w:rPr>
                <w:b/>
                <w:i/>
                <w:color w:val="auto"/>
              </w:rPr>
              <w:tab/>
            </w:r>
            <w:r w:rsidRPr="00D842C1">
              <w:rPr>
                <w:color w:val="auto"/>
              </w:rPr>
              <w:t>Žalos atlyginimo reikalavimus valstybei narei už šio straipsnio 1 ir 2 dalyse nurodytą žalą reglamentuoja pažeidimu kaltinamos valstybės narės nacionalinės teisės nuostatos pagal Reglamento</w:t>
            </w:r>
            <w:r w:rsidRPr="00D842C1">
              <w:rPr>
                <w:b/>
                <w:i/>
                <w:color w:val="auto"/>
              </w:rPr>
              <w:t xml:space="preserve"> </w:t>
            </w:r>
            <w:r w:rsidRPr="00D842C1">
              <w:rPr>
                <w:color w:val="auto"/>
              </w:rPr>
              <w:t>(ES)</w:t>
            </w:r>
            <w:r w:rsidRPr="00D842C1">
              <w:rPr>
                <w:b/>
                <w:i/>
                <w:color w:val="auto"/>
              </w:rPr>
              <w:t xml:space="preserve"> [2016/679] VIII skyrių</w:t>
            </w:r>
            <w:r w:rsidRPr="00D842C1">
              <w:rPr>
                <w:color w:val="auto"/>
              </w:rPr>
              <w:t xml:space="preserve"> ir Direktyvos</w:t>
            </w:r>
            <w:r w:rsidRPr="00D842C1">
              <w:rPr>
                <w:b/>
                <w:i/>
                <w:color w:val="auto"/>
              </w:rPr>
              <w:t xml:space="preserve"> [(ES) 2016/680] VIII skyrių dėl teisių gynimo priemonių, įpareigojimų ir sankcijų</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447</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 Hilde Vautmans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42 straipsnio 2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2a.</w:t>
            </w:r>
            <w:r w:rsidRPr="00D842C1">
              <w:rPr>
                <w:b/>
                <w:i/>
                <w:color w:val="auto"/>
              </w:rPr>
              <w:tab/>
              <w:t>„eu-LISA“ sukuria saugų AIS centrinės sistemos ir EURODAC centrinės sistemos ryšių kanalą, kad būtų užtikrinta abiejų sistemų sąveika. Abiejų sistemų ryšys būtinas, kad AIS užregistruotus trečiųjų šalių piliečių biometrinius duomenis būtų galima perduoti EURODAC, kai šių biometrinių duomenų įregistravimas yra numatytas šiame reglamente.</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Atvykimo ir išvykimo sistemos tikslas bus užregistruoti trečiųjų šalių piliečių, atvykstančių į Šengeno erdvę trumpalaikiam buvimui, atvykimo ir išvykimo datą ir nurodyti bet kokį leidžiamo buvimo laikotarpio viršijimą. Taigi užsibuvęs trečiosios šalies pilietis šalyje yra neteisėtai, todėl turėtų būti užregistruotas EURODAC pagal 14 straipsnį. Užtikrinus šių sistemų sąveikumą valstybėms narėms nebereikėtų vykdyti tokių asmenų paieškos ir būtų išvengta duomenų kartojimosi.</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448</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Malin Björk, Barbara Spinelli, Marina Albiol Guzmán</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42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b/>
                <w:i/>
                <w:color w:val="auto"/>
              </w:rPr>
              <w:t>4.</w:t>
            </w:r>
            <w:r w:rsidRPr="00D842C1">
              <w:rPr>
                <w:b/>
                <w:i/>
                <w:color w:val="auto"/>
              </w:rPr>
              <w:tab/>
              <w:t>Ne vėliau kaip [2020 m.] „eu-LISA“ atlieka techninių galimybių integruoti veido atvaizdo atpažinimo programinę įrangą į centrinę sistemą tyrimą, kad būtų galima palyginti veido atvaizdus. Atliekant tyrimą vertinamas veido atvaizdo atpažinimo programinės įrangos rezultatų patikimumas ir tikslumas EURODAC tikslais ir teikiamos bet kokios reikiamos rekomendacijos prieš integruojant veido atvaizdo atpažinimo technologiją į centrinę sistemą.</w:t>
            </w:r>
          </w:p>
        </w:tc>
        <w:tc>
          <w:tcPr>
            <w:tcW w:w="4876" w:type="dxa"/>
          </w:tcPr>
          <w:p w:rsidR="00131F3A" w:rsidRPr="00D842C1" w:rsidRDefault="00131F3A" w:rsidP="00131F3A">
            <w:pPr>
              <w:pStyle w:val="Normal6"/>
              <w:rPr>
                <w:b/>
                <w:i/>
                <w:color w:val="auto"/>
              </w:rPr>
            </w:pPr>
            <w:r w:rsidRPr="00D842C1">
              <w:rPr>
                <w:b/>
                <w:i/>
                <w:color w:val="auto"/>
              </w:rPr>
              <w:t>Išbraukta.</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449</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42 straipsnio 4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Ne vėliau kaip [2020 m.]</w:t>
            </w:r>
            <w:r w:rsidRPr="00D842C1">
              <w:rPr>
                <w:b/>
                <w:i/>
                <w:color w:val="auto"/>
              </w:rPr>
              <w:t xml:space="preserve"> </w:t>
            </w:r>
            <w:r w:rsidRPr="00D842C1">
              <w:rPr>
                <w:color w:val="auto"/>
              </w:rPr>
              <w:t>„eu-LISA“ atlieka techninių galimybių integruoti veido atvaizdo atpažinimo programinę įrangą į centrinę sistemą tyrimą, kad būtų galima palyginti veido atvaizdus. Atliekant tyrimą vertinamas veido atvaizdo atpažinimo programinės įrangos rezultatų patikimumas ir tikslumas EURODAC tikslais ir teikiamos bet kokios reikiamos rekomendacijos prieš integruojant veido atvaizdo atpažinimo technologiją į centrinę sistemą.</w:t>
            </w:r>
          </w:p>
        </w:tc>
        <w:tc>
          <w:tcPr>
            <w:tcW w:w="4876" w:type="dxa"/>
          </w:tcPr>
          <w:p w:rsidR="00131F3A" w:rsidRPr="00D842C1" w:rsidRDefault="00131F3A" w:rsidP="00131F3A">
            <w:pPr>
              <w:pStyle w:val="Normal6"/>
              <w:rPr>
                <w:b/>
                <w:i/>
                <w:color w:val="auto"/>
              </w:rPr>
            </w:pPr>
            <w:r w:rsidRPr="00D842C1">
              <w:rPr>
                <w:color w:val="auto"/>
              </w:rPr>
              <w:t>4.</w:t>
            </w:r>
            <w:r w:rsidRPr="00D842C1">
              <w:rPr>
                <w:b/>
                <w:i/>
                <w:color w:val="auto"/>
              </w:rPr>
              <w:tab/>
            </w:r>
            <w:r w:rsidRPr="00D842C1">
              <w:rPr>
                <w:color w:val="auto"/>
              </w:rPr>
              <w:t>Ne vėliau kaip [2020 m.]</w:t>
            </w:r>
            <w:r w:rsidRPr="00D842C1">
              <w:rPr>
                <w:b/>
                <w:i/>
                <w:color w:val="auto"/>
              </w:rPr>
              <w:t xml:space="preserve"> </w:t>
            </w:r>
            <w:r w:rsidRPr="00D842C1">
              <w:rPr>
                <w:color w:val="auto"/>
              </w:rPr>
              <w:t>„eu-LISA“ atlieka techninių galimybių integruoti veido atvaizdo atpažinimo programinę įrangą į centrinę sistemą</w:t>
            </w:r>
            <w:r w:rsidRPr="00D842C1">
              <w:rPr>
                <w:b/>
                <w:i/>
                <w:color w:val="auto"/>
              </w:rPr>
              <w:t xml:space="preserve"> ir šio integravimo pridėtinės vertės</w:t>
            </w:r>
            <w:r w:rsidRPr="00D842C1">
              <w:rPr>
                <w:color w:val="auto"/>
              </w:rPr>
              <w:t xml:space="preserve"> tyrimą, kad būtų galima palyginti veido atvaizdus. Atliekant tyrimą vertinamas veido atvaizdo atpažinimo programinės įrangos rezultatų patikimumas ir tikslumas EURODAC tikslais ir teikiamos bet kokios reikiamos rekomendacijos prieš integruojant veido atvaizdo atpažinimo technologiją į centrinę sistemą.</w:t>
            </w:r>
            <w:r w:rsidRPr="00D842C1">
              <w:rPr>
                <w:b/>
                <w:i/>
                <w:color w:val="auto"/>
              </w:rPr>
              <w:t xml:space="preserve"> Atliekant šį tyrimą taip pat atliekamas galimų veido atpažinimo programinę įrangą naudojant kylančių grėsmių teisėms į privatumą ir žmogaus orumą, vaiko teisėms ir nediskriminavimui poveikio vertinimas. Atliekant tyrimą atsižvelgiama į Sąjungos agentūrų, Europos duomenų apsaugos priežiūros pareigūno, atitinkamų subjektų ir mokslininkų nuomonę.</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450</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42 straipsnio 4 a dalis (nauja)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color w:val="auto"/>
              </w:rPr>
            </w:pPr>
          </w:p>
        </w:tc>
        <w:tc>
          <w:tcPr>
            <w:tcW w:w="4876" w:type="dxa"/>
          </w:tcPr>
          <w:p w:rsidR="00131F3A" w:rsidRPr="00D842C1" w:rsidRDefault="00131F3A" w:rsidP="00131F3A">
            <w:pPr>
              <w:pStyle w:val="Normal6"/>
              <w:rPr>
                <w:b/>
                <w:i/>
                <w:color w:val="auto"/>
              </w:rPr>
            </w:pPr>
            <w:r w:rsidRPr="00D842C1">
              <w:rPr>
                <w:b/>
                <w:i/>
                <w:color w:val="auto"/>
              </w:rPr>
              <w:t>4a.</w:t>
            </w:r>
            <w:r w:rsidRPr="00D842C1">
              <w:rPr>
                <w:b/>
                <w:i/>
                <w:color w:val="auto"/>
              </w:rPr>
              <w:tab/>
              <w:t>„eu-LISA“ turėtų ne vėliau kaip 2020 m. atlikti tyrimą siekdama nustatyti, ar reikėtų suderinti įvairių ES duomenų bankų biometrinių identifikatorių derinius, ar reikėtų EURODAC identifikatorių skaičių sumažinti iki keturių pirštų atspaudų ir vieno veido atvaizdo, kaip tai padaryta atvykimo ir išvykimo sistemos atveju pagal Europos Parlamento ir Tarybos reglamentą (ES) .../...;</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Reikėtų suderinti įvairių ES duomenų bankų biometrinių identifikatorių derinius, siekiant užtikrinti jų sąveikumą ir veiksmingiausiai juos panaudoti.</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451</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Sophia in 't Veld</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42 straipsnio 5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5.</w:t>
            </w:r>
            <w:r w:rsidRPr="00D842C1">
              <w:rPr>
                <w:b/>
                <w:i/>
                <w:color w:val="auto"/>
              </w:rPr>
              <w:tab/>
            </w:r>
            <w:r w:rsidRPr="00D842C1">
              <w:rPr>
                <w:color w:val="auto"/>
              </w:rPr>
              <w:t>Ne vėliau kaip […]</w:t>
            </w:r>
            <w:r w:rsidRPr="00D842C1">
              <w:rPr>
                <w:b/>
                <w:i/>
                <w:color w:val="auto"/>
              </w:rPr>
              <w:t xml:space="preserve"> </w:t>
            </w:r>
            <w:r w:rsidRPr="00D842C1">
              <w:rPr>
                <w:color w:val="auto"/>
              </w:rPr>
              <w:t>, o paskui – kas ketverius metus Komisija rengia bendrą sistemos EURODAC įvertinimą, kuriame tikrina pasiektus rezultatus pagal nustatytus tikslus ir poveikį pagrindinėms teisėms, įskaitant tai, ar suteikus prieigą prie duomenų teisėsaugos tikslais asmenys, kuriuos apima šis reglamentas, buvo netiesiogiai diskriminuojami, ir tiria pamatinių nuostatų tolesnį galiojimą bei išvadų reikšmę būsimai veiklai bei teikia reikiamas rekomendacijas. Komisija vertinimą perduoda Europos Parlamentui ir Tarybai.</w:t>
            </w:r>
          </w:p>
        </w:tc>
        <w:tc>
          <w:tcPr>
            <w:tcW w:w="4876" w:type="dxa"/>
          </w:tcPr>
          <w:p w:rsidR="00131F3A" w:rsidRPr="00D842C1" w:rsidRDefault="00131F3A" w:rsidP="00131F3A">
            <w:pPr>
              <w:pStyle w:val="Normal6"/>
              <w:rPr>
                <w:b/>
                <w:i/>
                <w:color w:val="auto"/>
              </w:rPr>
            </w:pPr>
            <w:r w:rsidRPr="00D842C1">
              <w:rPr>
                <w:color w:val="auto"/>
              </w:rPr>
              <w:t>5.</w:t>
            </w:r>
            <w:r w:rsidRPr="00D842C1">
              <w:rPr>
                <w:b/>
                <w:i/>
                <w:color w:val="auto"/>
              </w:rPr>
              <w:tab/>
            </w:r>
            <w:r w:rsidRPr="00D842C1">
              <w:rPr>
                <w:color w:val="auto"/>
              </w:rPr>
              <w:t>Ne vėliau kaip […]</w:t>
            </w:r>
            <w:r w:rsidRPr="00D842C1">
              <w:rPr>
                <w:b/>
                <w:i/>
                <w:color w:val="auto"/>
              </w:rPr>
              <w:t xml:space="preserve"> </w:t>
            </w:r>
            <w:r w:rsidRPr="00D842C1">
              <w:rPr>
                <w:color w:val="auto"/>
              </w:rPr>
              <w:t>, o paskui – kas ketverius metus Komisija rengia bendrą sistemos EURODAC įvertinimą,</w:t>
            </w:r>
            <w:r w:rsidRPr="00D842C1">
              <w:rPr>
                <w:b/>
                <w:i/>
                <w:color w:val="auto"/>
              </w:rPr>
              <w:t xml:space="preserve"> atliekamą kartu su išsamių poveikio privatumui ir duomenų apsaugai vertinimu,</w:t>
            </w:r>
            <w:r w:rsidRPr="00D842C1">
              <w:rPr>
                <w:color w:val="auto"/>
              </w:rPr>
              <w:t xml:space="preserve"> kuriame tikrina pasiektus rezultatus pagal nustatytus tikslus ir poveikį pagrindinėms teisėms, įskaitant tai, ar suteikus prieigą prie duomenų teisėsaugos tikslais asmenys, kuriuos apima šis reglamentas, buvo netiesiogiai diskriminuojami, ir tiria pamatinių nuostatų tolesnį galiojimą bei išvadų reikšmę būsimai veiklai bei teikia reikiamas rekomendacijas. Komisija vertinimą perduoda Europos Parlamentui ir Tarybai.</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Pagal Darbo tvarkos taisyklių 104 straipsnį šis pakeitimas yra būtinas, nes jis neatsiejamai susijęs su kitais priimtinais pakeitimais, susijusiais su sistemos EURODAC tikslais (1 straipsnis), kuriais įtraukiamos nuorodos į būtinumo ir proporcingumo principų laikymąsi pagal Chartijos 52 straipsnio 1 dalį ir atitinkamą Europos Sąjungos Teisingumo Teismo praktiką.</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452</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Jeroen Lenaers</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42 straipsnio 8 dalies įžanginė dalis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8.</w:t>
            </w:r>
            <w:r w:rsidRPr="00D842C1">
              <w:rPr>
                <w:b/>
                <w:i/>
                <w:color w:val="auto"/>
              </w:rPr>
              <w:tab/>
            </w:r>
            <w:r w:rsidRPr="00D842C1">
              <w:rPr>
                <w:color w:val="auto"/>
              </w:rPr>
              <w:t>Kiekviena valstybė narė ir Europolas, atsižvelgdami į nacionalinės teisės nuostatas dėl neskelbtinos informacijos viešinimo, parengia metines ataskaitas apie pirštų duomenų palyginimo su sistemos EURODAC duomenimis veiksmingumą teisėsaugos tikslais, kuriose pateikiama informacija ir statistiniai duomenys apie:</w:t>
            </w:r>
          </w:p>
        </w:tc>
        <w:tc>
          <w:tcPr>
            <w:tcW w:w="4876" w:type="dxa"/>
          </w:tcPr>
          <w:p w:rsidR="00131F3A" w:rsidRPr="00D842C1" w:rsidRDefault="00131F3A" w:rsidP="00131F3A">
            <w:pPr>
              <w:pStyle w:val="Normal6"/>
              <w:rPr>
                <w:b/>
                <w:i/>
                <w:color w:val="auto"/>
              </w:rPr>
            </w:pPr>
            <w:r w:rsidRPr="00D842C1">
              <w:rPr>
                <w:color w:val="auto"/>
              </w:rPr>
              <w:t>8.</w:t>
            </w:r>
            <w:r w:rsidRPr="00D842C1">
              <w:rPr>
                <w:b/>
                <w:i/>
                <w:color w:val="auto"/>
              </w:rPr>
              <w:tab/>
            </w:r>
            <w:r w:rsidRPr="00D842C1">
              <w:rPr>
                <w:color w:val="auto"/>
              </w:rPr>
              <w:t>Kiekviena valstybė narė ir Europolas, atsižvelgdami į nacionalinės teisės nuostatas dėl neskelbtinos informacijos viešinimo, parengia metines ataskaitas apie pirštų duomenų</w:t>
            </w:r>
            <w:r w:rsidRPr="00D842C1">
              <w:rPr>
                <w:b/>
                <w:i/>
                <w:color w:val="auto"/>
              </w:rPr>
              <w:t xml:space="preserve"> ir veido atvaizdo</w:t>
            </w:r>
            <w:r w:rsidRPr="00D842C1">
              <w:rPr>
                <w:color w:val="auto"/>
              </w:rPr>
              <w:t xml:space="preserve"> palyginimo su sistemos EURODAC duomenimis veiksmingumą teisėsaugos tikslais, kuriose pateikiama informacija ir statistiniai duomenys apie:</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Komisijos pasiūlymo, į kurio visas reikiamas vietas neįtraukiamos abi sąvokos „pirštų antspaudai“ ir „veido atvaizdas“, kurios atitinka 2 straipsnyje minimą pareigą, korekcija.</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453</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44 straipsnio </w:t>
      </w:r>
      <w:r w:rsidR="00624C15" w:rsidRPr="00D842C1">
        <w:rPr>
          <w:color w:val="auto"/>
        </w:rPr>
        <w:t>pirma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Šio reglamento nuostatos netaikomos jokiai teritorijai, kuriai [netaikomas Reglamentas</w:t>
            </w:r>
            <w:r w:rsidRPr="00D842C1">
              <w:rPr>
                <w:b/>
                <w:i/>
                <w:color w:val="auto"/>
              </w:rPr>
              <w:t xml:space="preserve"> </w:t>
            </w:r>
            <w:r w:rsidRPr="00D842C1">
              <w:rPr>
                <w:color w:val="auto"/>
              </w:rPr>
              <w:t>(ES) Nr. 604/2013].</w:t>
            </w:r>
          </w:p>
        </w:tc>
        <w:tc>
          <w:tcPr>
            <w:tcW w:w="4876" w:type="dxa"/>
          </w:tcPr>
          <w:p w:rsidR="00131F3A" w:rsidRPr="00D842C1" w:rsidRDefault="00131F3A" w:rsidP="00131F3A">
            <w:pPr>
              <w:pStyle w:val="Normal6"/>
              <w:rPr>
                <w:b/>
                <w:i/>
                <w:color w:val="auto"/>
              </w:rPr>
            </w:pPr>
            <w:r w:rsidRPr="00D842C1">
              <w:rPr>
                <w:color w:val="auto"/>
              </w:rPr>
              <w:t>Šio reglamento nuostatos netaikomos jokiai teritorijai, kuriai [netaikomas Reglamentas</w:t>
            </w:r>
            <w:r w:rsidRPr="00D842C1">
              <w:rPr>
                <w:b/>
                <w:i/>
                <w:color w:val="auto"/>
              </w:rPr>
              <w:t xml:space="preserve"> </w:t>
            </w:r>
            <w:r w:rsidRPr="00D842C1">
              <w:rPr>
                <w:color w:val="auto"/>
              </w:rPr>
              <w:t>(ES) Nr. 604/2013]</w:t>
            </w:r>
            <w:r w:rsidRPr="00D842C1">
              <w:rPr>
                <w:b/>
                <w:i/>
                <w:color w:val="auto"/>
              </w:rPr>
              <w:t>, nepažeidžiant Reglamento XXX/XXX nuostatų</w:t>
            </w:r>
            <w:r w:rsidRPr="00D842C1">
              <w:rPr>
                <w:color w:val="auto"/>
              </w:rPr>
              <w:t>.</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{FR}</w:t>
      </w:r>
      <w:r w:rsidRPr="00D842C1">
        <w:rPr>
          <w:color w:val="auto"/>
          <w:lang w:val="lt-LT"/>
        </w:rPr>
        <w:t>fr</w:t>
      </w:r>
      <w:r w:rsidRPr="00D842C1">
        <w:rPr>
          <w:rStyle w:val="HideTWBExt"/>
          <w:color w:val="auto"/>
          <w:lang w:val="lt-L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Pr="00D842C1">
        <w:rPr>
          <w:color w:val="auto"/>
          <w:lang w:val="lt-LT"/>
        </w:rPr>
        <w:t>Pagrindimas</w:t>
      </w:r>
      <w:r w:rsidRPr="00D842C1">
        <w:rPr>
          <w:rStyle w:val="HideTWBExt"/>
          <w:color w:val="auto"/>
          <w:lang w:val="lt-LT"/>
        </w:rPr>
        <w:t>&lt;/TitreJust&gt;</w:t>
      </w:r>
    </w:p>
    <w:p w:rsidR="00131F3A" w:rsidRPr="00D842C1" w:rsidRDefault="00131F3A" w:rsidP="00131F3A">
      <w:pPr>
        <w:pStyle w:val="Normal12Italic"/>
        <w:rPr>
          <w:color w:val="auto"/>
          <w:lang w:val="lt-LT"/>
        </w:rPr>
      </w:pPr>
      <w:r w:rsidRPr="00D842C1">
        <w:rPr>
          <w:color w:val="auto"/>
          <w:lang w:val="lt-LT"/>
        </w:rPr>
        <w:t>Išdėstymas nauja redakcija. Čia reikalinga nuoroda į būsimojo reglamento, kuriuo nustatoma Sąjungos lygmens perkėlimo į ES sistema, būsimą taikymo sritį, kad šį reglamentą būtų galima taikyti ir joje.</w:t>
      </w:r>
    </w:p>
    <w:p w:rsidR="00131F3A" w:rsidRPr="00D842C1" w:rsidRDefault="00131F3A" w:rsidP="00131F3A">
      <w:r w:rsidRPr="00D842C1">
        <w:rPr>
          <w:rStyle w:val="HideTWBExt"/>
        </w:rPr>
        <w:t>&lt;/Amend&gt;</w:t>
      </w:r>
    </w:p>
    <w:p w:rsidR="00131F3A" w:rsidRPr="00D842C1" w:rsidRDefault="00131F3A" w:rsidP="00131F3A">
      <w:pPr>
        <w:pStyle w:val="AMNumberTabs"/>
        <w:rPr>
          <w:color w:val="auto"/>
        </w:rPr>
      </w:pPr>
      <w:r w:rsidRPr="00D842C1">
        <w:rPr>
          <w:rStyle w:val="HideTWBExt"/>
          <w:color w:val="auto"/>
        </w:rPr>
        <w: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454</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Judith Sargentini</w:t>
      </w:r>
      <w:r w:rsidRPr="00D842C1">
        <w:rPr>
          <w:rStyle w:val="HideTWBExt"/>
          <w:color w:val="auto"/>
        </w:rPr>
        <w:t>&lt;/Members&gt;</w:t>
      </w:r>
    </w:p>
    <w:p w:rsidR="00131F3A" w:rsidRPr="00D842C1" w:rsidRDefault="00131F3A" w:rsidP="00131F3A">
      <w:r w:rsidRPr="00D842C1">
        <w:rPr>
          <w:rStyle w:val="HideTWBExt"/>
        </w:rPr>
        <w:t>&lt;AuNomDe&gt;</w:t>
      </w:r>
      <w:r w:rsidRPr="00D842C1">
        <w:rPr>
          <w:rStyle w:val="HideTWBInt"/>
        </w:rPr>
        <w:t>{Verts/ALE}</w:t>
      </w:r>
      <w:r w:rsidRPr="00D842C1">
        <w:t>Verts/ALE frakcijos vardu</w:t>
      </w:r>
      <w:r w:rsidRPr="00D842C1">
        <w:rPr>
          <w:rStyle w:val="HideTWBExt"/>
        </w:rPr>
        <w:t>&lt;/AuNomDe&gt;</w:t>
      </w:r>
    </w:p>
    <w:p w:rsidR="00131F3A" w:rsidRPr="00D842C1" w:rsidRDefault="00131F3A" w:rsidP="00131F3A">
      <w:r w:rsidRPr="00D842C1">
        <w:rPr>
          <w:rStyle w:val="HideTWBExt"/>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 xml:space="preserve">47 straipsnio </w:t>
      </w:r>
      <w:r w:rsidR="00624C15" w:rsidRPr="00D842C1">
        <w:rPr>
          <w:color w:val="auto"/>
        </w:rPr>
        <w:t>trečia pastraipa</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131F3A" w:rsidRPr="00D842C1" w:rsidTr="00131F3A">
        <w:trPr>
          <w:jc w:val="center"/>
        </w:trPr>
        <w:tc>
          <w:tcPr>
            <w:tcW w:w="4876" w:type="dxa"/>
          </w:tcPr>
          <w:p w:rsidR="00131F3A" w:rsidRPr="00D842C1" w:rsidRDefault="00131F3A" w:rsidP="00131F3A">
            <w:pPr>
              <w:pStyle w:val="Normal6"/>
              <w:rPr>
                <w:b/>
                <w:i/>
                <w:color w:val="auto"/>
              </w:rPr>
            </w:pPr>
            <w:r w:rsidRPr="00D842C1">
              <w:rPr>
                <w:color w:val="auto"/>
              </w:rPr>
              <w:t>2 straipsnio 2 dalis, 32 straipsnis ir – 1 straipsnio 1 dalies a</w:t>
            </w:r>
            <w:r w:rsidRPr="00D842C1">
              <w:rPr>
                <w:b/>
                <w:i/>
                <w:color w:val="auto"/>
              </w:rPr>
              <w:t xml:space="preserve"> ir b punktuose</w:t>
            </w:r>
            <w:r w:rsidRPr="00D842C1">
              <w:rPr>
                <w:color w:val="auto"/>
              </w:rPr>
              <w:t xml:space="preserve"> nustatytais tikslais – 28 straipsnio 4 dalis, 30 straipsnis ir 37 straipsnis taikomi nuo datos, nurodytos Reglamento</w:t>
            </w:r>
            <w:r w:rsidRPr="00D842C1">
              <w:rPr>
                <w:b/>
                <w:i/>
                <w:color w:val="auto"/>
              </w:rPr>
              <w:t xml:space="preserve"> </w:t>
            </w:r>
            <w:r w:rsidRPr="00D842C1">
              <w:rPr>
                <w:color w:val="auto"/>
              </w:rPr>
              <w:t>(ES) […/2016] 91 straipsnio 2 dalyje. Iki tos datos taikomi Reglamento Nr. 603/1013 2 straipsnio 2 dalis, 27 straipsnio 4 dalis, 29 straipsnis, 30 straipsnis ir 35 straipsnis.</w:t>
            </w:r>
          </w:p>
        </w:tc>
        <w:tc>
          <w:tcPr>
            <w:tcW w:w="4876" w:type="dxa"/>
          </w:tcPr>
          <w:p w:rsidR="00131F3A" w:rsidRPr="00D842C1" w:rsidRDefault="00131F3A" w:rsidP="00131F3A">
            <w:pPr>
              <w:pStyle w:val="Normal6"/>
              <w:rPr>
                <w:b/>
                <w:i/>
                <w:color w:val="auto"/>
              </w:rPr>
            </w:pPr>
            <w:r w:rsidRPr="00D842C1">
              <w:rPr>
                <w:color w:val="auto"/>
              </w:rPr>
              <w:t>2 straipsnio 2 dalis, 32 straipsnis ir – 1 straipsnio 1 dalies a</w:t>
            </w:r>
            <w:r w:rsidRPr="00D842C1">
              <w:rPr>
                <w:b/>
                <w:i/>
                <w:color w:val="auto"/>
              </w:rPr>
              <w:t xml:space="preserve"> punkte</w:t>
            </w:r>
            <w:r w:rsidRPr="00D842C1">
              <w:rPr>
                <w:color w:val="auto"/>
              </w:rPr>
              <w:t xml:space="preserve"> nustatytais tikslais – 28 straipsnio 4 dalis, 30 straipsnis ir 37 straipsnis taikomi nuo datos, nurodytos Reglamento</w:t>
            </w:r>
            <w:r w:rsidRPr="00D842C1">
              <w:rPr>
                <w:b/>
                <w:i/>
                <w:color w:val="auto"/>
              </w:rPr>
              <w:t xml:space="preserve"> </w:t>
            </w:r>
            <w:r w:rsidRPr="00D842C1">
              <w:rPr>
                <w:color w:val="auto"/>
              </w:rPr>
              <w:t>(ES) […/2016] 91 straipsnio 2 dalyje. Iki tos datos taikomi Reglamento Nr. 603/1013 2 straipsnio 2 dalis, 27 straipsnio 4 dalis, 29 straipsnis, 30 straipsnis ir 35 straipsnis.</w:t>
            </w:r>
          </w:p>
        </w:tc>
      </w:tr>
    </w:tbl>
    <w:p w:rsidR="00131F3A" w:rsidRPr="00D842C1" w:rsidRDefault="00131F3A" w:rsidP="00131F3A">
      <w:pPr>
        <w:pStyle w:val="Olang"/>
        <w:rPr>
          <w:color w:val="auto"/>
          <w:lang w:val="lt-LT"/>
        </w:rPr>
      </w:pPr>
      <w:r w:rsidRPr="00D842C1">
        <w:rPr>
          <w:color w:val="auto"/>
          <w:lang w:val="lt-LT"/>
        </w:rPr>
        <w:t xml:space="preserve">Or. </w:t>
      </w:r>
      <w:r w:rsidRPr="00D842C1">
        <w:rPr>
          <w:rStyle w:val="HideTWBExt"/>
          <w:color w:val="auto"/>
          <w:lang w:val="lt-LT"/>
        </w:rPr>
        <w:t>&lt;Original&gt;</w:t>
      </w:r>
      <w:r w:rsidRPr="00D842C1">
        <w:rPr>
          <w:rStyle w:val="HideTWBInt"/>
          <w:color w:val="auto"/>
          <w:lang w:val="lt-LT"/>
        </w:rPr>
        <w:t>{EN}</w:t>
      </w:r>
      <w:r w:rsidRPr="00D842C1">
        <w:rPr>
          <w:color w:val="auto"/>
          <w:lang w:val="lt-LT"/>
        </w:rPr>
        <w:t>en</w:t>
      </w:r>
      <w:r w:rsidRPr="00D842C1">
        <w:rPr>
          <w:rStyle w:val="HideTWBExt"/>
          <w:color w:val="auto"/>
          <w:lang w:val="lt-LT"/>
        </w:rPr>
        <w:t>&lt;/Original&gt;</w:t>
      </w:r>
    </w:p>
    <w:p w:rsidR="00131F3A" w:rsidRPr="00D842C1" w:rsidRDefault="00131F3A" w:rsidP="00131F3A">
      <w:pPr>
        <w:pStyle w:val="AMNumberTabs"/>
        <w:rPr>
          <w:color w:val="auto"/>
        </w:rPr>
      </w:pPr>
      <w:r w:rsidRPr="00D842C1">
        <w:rPr>
          <w:rStyle w:val="HideTWBExt"/>
          <w:color w:val="auto"/>
        </w:rPr>
        <w:t>&lt;/Amend&gt;&lt;Amend&gt;</w:t>
      </w:r>
      <w:r w:rsidRPr="00D842C1">
        <w:rPr>
          <w:color w:val="auto"/>
        </w:rPr>
        <w:t xml:space="preserve">Pakeitimas </w:t>
      </w:r>
      <w:r w:rsidRPr="00D842C1">
        <w:rPr>
          <w:color w:val="auto"/>
        </w:rPr>
        <w:tab/>
      </w:r>
      <w:r w:rsidRPr="00D842C1">
        <w:rPr>
          <w:color w:val="auto"/>
        </w:rPr>
        <w:tab/>
      </w:r>
      <w:r w:rsidRPr="00D842C1">
        <w:rPr>
          <w:rStyle w:val="HideTWBExt"/>
          <w:color w:val="auto"/>
        </w:rPr>
        <w:t>&lt;NumAm&gt;</w:t>
      </w:r>
      <w:r w:rsidRPr="00D842C1">
        <w:rPr>
          <w:color w:val="auto"/>
        </w:rPr>
        <w:t>455</w:t>
      </w:r>
      <w:r w:rsidRPr="00D842C1">
        <w:rPr>
          <w:rStyle w:val="HideTWBExt"/>
          <w:color w:val="auto"/>
        </w:rPr>
        <w:t>&lt;/NumAm&gt;</w:t>
      </w:r>
    </w:p>
    <w:p w:rsidR="00131F3A" w:rsidRPr="00D842C1" w:rsidRDefault="00131F3A" w:rsidP="00131F3A">
      <w:pPr>
        <w:pStyle w:val="NormalBold"/>
        <w:rPr>
          <w:color w:val="auto"/>
        </w:rPr>
      </w:pPr>
      <w:r w:rsidRPr="00D842C1">
        <w:rPr>
          <w:rStyle w:val="HideTWBExt"/>
          <w:color w:val="auto"/>
        </w:rPr>
        <w:t>&lt;RepeatBlock-By&gt;&lt;Members&gt;</w:t>
      </w:r>
      <w:r w:rsidRPr="00D842C1">
        <w:rPr>
          <w:color w:val="auto"/>
        </w:rPr>
        <w:t>Gérard Deprez, Louis Michel, Petr Ježek</w:t>
      </w:r>
      <w:r w:rsidRPr="00D842C1">
        <w:rPr>
          <w:rStyle w:val="HideTWBExt"/>
          <w:color w:val="auto"/>
        </w:rPr>
        <w:t>&lt;/Members&gt;</w:t>
      </w:r>
    </w:p>
    <w:p w:rsidR="00131F3A" w:rsidRPr="00D842C1" w:rsidRDefault="00131F3A" w:rsidP="00131F3A">
      <w:pPr>
        <w:pStyle w:val="NormalBold"/>
        <w:rPr>
          <w:color w:val="auto"/>
        </w:rPr>
      </w:pPr>
      <w:r w:rsidRPr="00D842C1">
        <w:rPr>
          <w:rStyle w:val="HideTWBExt"/>
          <w:color w:val="auto"/>
        </w:rPr>
        <w:t>&lt;/RepeatBlock-By&gt;</w:t>
      </w:r>
    </w:p>
    <w:p w:rsidR="00131F3A" w:rsidRPr="00D842C1" w:rsidRDefault="00131F3A" w:rsidP="00131F3A">
      <w:pPr>
        <w:pStyle w:val="NormalBold"/>
        <w:rPr>
          <w:color w:val="auto"/>
        </w:rPr>
      </w:pPr>
      <w:r w:rsidRPr="00D842C1">
        <w:rPr>
          <w:rStyle w:val="HideTWBExt"/>
          <w:color w:val="auto"/>
        </w:rPr>
        <w:t>&lt;DocAmend&gt;</w:t>
      </w:r>
      <w:r w:rsidRPr="00D842C1">
        <w:rPr>
          <w:color w:val="auto"/>
        </w:rPr>
        <w:t>Pasiūlymas dėl reglamento</w:t>
      </w:r>
      <w:r w:rsidRPr="00D842C1">
        <w:rPr>
          <w:rStyle w:val="HideTWBExt"/>
          <w:color w:val="auto"/>
        </w:rPr>
        <w:t>&lt;/DocAmend&gt;</w:t>
      </w:r>
    </w:p>
    <w:p w:rsidR="00131F3A" w:rsidRPr="00D842C1" w:rsidRDefault="00131F3A" w:rsidP="00131F3A">
      <w:pPr>
        <w:pStyle w:val="NormalBold"/>
        <w:rPr>
          <w:color w:val="auto"/>
        </w:rPr>
      </w:pPr>
      <w:r w:rsidRPr="00D842C1">
        <w:rPr>
          <w:rStyle w:val="HideTWBExt"/>
          <w:color w:val="auto"/>
        </w:rPr>
        <w:t>&lt;Article&gt;</w:t>
      </w:r>
      <w:r w:rsidRPr="00D842C1">
        <w:rPr>
          <w:color w:val="auto"/>
        </w:rPr>
        <w:t>I a priedas (naujas)</w:t>
      </w:r>
      <w:r w:rsidRPr="00D842C1">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1F3A" w:rsidRPr="00D842C1" w:rsidTr="00131F3A">
        <w:trPr>
          <w:trHeight w:hRule="exact" w:val="240"/>
          <w:jc w:val="center"/>
        </w:trPr>
        <w:tc>
          <w:tcPr>
            <w:tcW w:w="9752" w:type="dxa"/>
            <w:gridSpan w:val="2"/>
          </w:tcPr>
          <w:p w:rsidR="00131F3A" w:rsidRPr="00D842C1" w:rsidRDefault="00131F3A" w:rsidP="00131F3A"/>
        </w:tc>
      </w:tr>
      <w:tr w:rsidR="00131F3A" w:rsidRPr="00D842C1" w:rsidTr="00131F3A">
        <w:trPr>
          <w:trHeight w:val="240"/>
          <w:jc w:val="center"/>
        </w:trPr>
        <w:tc>
          <w:tcPr>
            <w:tcW w:w="4876" w:type="dxa"/>
          </w:tcPr>
          <w:p w:rsidR="00131F3A" w:rsidRPr="00D842C1" w:rsidRDefault="00131F3A" w:rsidP="00131F3A">
            <w:pPr>
              <w:pStyle w:val="ColumnHeading"/>
              <w:rPr>
                <w:color w:val="auto"/>
              </w:rPr>
            </w:pPr>
            <w:r w:rsidRPr="00D842C1">
              <w:rPr>
                <w:color w:val="auto"/>
              </w:rPr>
              <w:t>Komisijos siūlomas tekstas</w:t>
            </w:r>
          </w:p>
        </w:tc>
        <w:tc>
          <w:tcPr>
            <w:tcW w:w="4876" w:type="dxa"/>
          </w:tcPr>
          <w:p w:rsidR="00131F3A" w:rsidRPr="00D842C1" w:rsidRDefault="00131F3A" w:rsidP="00131F3A">
            <w:pPr>
              <w:pStyle w:val="ColumnHeading"/>
              <w:rPr>
                <w:color w:val="auto"/>
              </w:rPr>
            </w:pPr>
            <w:r w:rsidRPr="00D842C1">
              <w:rPr>
                <w:color w:val="auto"/>
              </w:rPr>
              <w:t>Pakeitimas</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Ia priedas Bendras požiūris į EURODAC reglamento įgyvendinimą, kiek tai susiję su pareiga paimti pirštų atspaudus</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Tais atvejais, kai sistemos EURODAC duomenų subjektas iš pradžių nebendradarbiauja imant pirštų antspaudus, siekiant priversti dalyvauti tokiame bendradarbiavime imamasi visų pagrįstų ir proporcingų priemonių. Tuo tikslu ir siekiant užtikrinti, kad būtų laikomasi Sąjungos teisės, valstybės narės laikosi toliau nurodyto požiūrio.</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1. Valstybė narė informuoja duomenų subjektą apie pareigą leisti paimti pirštų antspaudus pagal Sąjungos teisę ir gali jam paaiškinti, kad jam naudinga visapusiškai ir iškart bendradarbiauti ir pateikti savo pirštų antspaudus. Visų pirma, duomenų subjektu gali būti paaiškinta, kad jei prašo prieglobsčio kitoje valstybėje narėje pagal Europos Parlamento ir Tarybos reglamentą (ES) [.../...] (Dublino reglamentą), galima naudoti pirštų antspaudus arba kitus netiesioginius įrodymus kaip pagrindą vykdyti jo perkėlimą į valstybę narę, kuri yra atsakinga už jo prieglobsčio prašymą. Valstybė narė taip pat gali duomenų subjektui paaiškinti, kad jei jis vėliau paprašys prieglobsčio, bus ir pareiga leisti paimti pirštų antspaudus.</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2. Jeigu duomenų subjektas, kuris prieglobsčio neprašė, ir toliau atsako bendradarbiauti imant pirštų antspaudus, jis gali būti laikomas neteisėtu migrantu ir valstybės narės gali apsvarstyti galimybę, jei kitos švelnesnės alternatyvios prievartos priemonės negali būti veiksmingai taikomos, sulaikyti jį pagal Europos Parlamento ir Tarybos direktyvos 2008/115/EB (Grąžinimo direktyva) 15 straipsnio nuostatas. Kol duomenų subjektas atsisako bendradarbiauti pradiniame tapatybės nustatymo procese, įskaitant bendradarbiavimą imant jo pirštų atspaudus, kaip reikalaujama pagal Sąjungos teisę ir (arba) nacionalinę teisę, paprastai negalima padaryti išvados, ar reali jo grąžinimo perspektyva, ar ne, ir valstybės narės gali apsvarstyti galimybę, jei kitos švelnesnės alternatyvios prievartos priemonės negali būti veiksmingai taikomos, jį sulaikyti pagal Grąžinimo direktyvos sąlygas.</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3. Tais atvejais, kai duomenų subjektas prašė prieglobsčio ir atsisako bendradarbiauti imant pirštų antspaudus, valstybės narės gali nuspręsti jį sulaikyti, siekiant nustatyti arba patikrinti jo tapatybę arba pilietybę, taip pat paimant jo pirštų atspaudus, kaip reikalaujama pagal Sąjungos teisę pagal Direktyvą (ES) .../... (Priėmimo sąlygų direktyva).</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4. Jeigu atitinkama valstybė narė savo nacionalinėje teisinėje sistemoje numatė paspartintų ir (arba) pasienio procedūrų galimybę, valstybės narės gali informuoti prieglobsčio prašytoją, kad pagal dabartinės Prieglobsčio suteikimo procedūros direktyvos 23 straipsnio 4 dalies m punktą arba pagal Prieglobsčio suteikimo procedūros direktyvos naujos redakcijos 31 straipsnio 8 dalies i punktą (kuri turi būti perkelta į nacionalinę teisę iki 2015 m. liepos 20 d.), jam atsisakius bendradarbiauti imant pirštų antspaudus jo tarptautinės apsaugos prašymui gali būti taikoma paspartinta ir (arba) pasienio procedūra. Valstybė narė gali išsamiau paaiškinti, kad jo prieglobsčio prašymo nagrinėjimas taikant tokią paspartintą ir (arba) pasienio procedūra galėtų lemti, kad prašymas atlikus atitinkamą ir išsamų jo privalumų nagrinėjimą galėtų būti laikomas akivaizdžiai nepagrįstu. Jeigu numatyta valstybės narės nacionalinėje teisėje ir pagal Sąjungos ir tarptautinę teisę, dėl tokios išvados galėtų būti reikšmingai apribota atmesta prašytojo teisė pasilikti teritorijoje, kol bus nagrinėjama apeliacija dėl prašymo atmetimo, ir jis gali būti grąžintas anksčiau negu bus priimtas sprendimas dėl apeliacijos. Be to, valstybės narės gali paaiškinti, kad tokiomis aplinkybėmis sprendimas grąžinti gali būti priimtas kartu su Sąjungos masto draudimu iki penkerių metų atvykti.</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5. Duomenų subjektas sulaikomas tik kiek įmanoma trumpiau ir tiek, kiek būtina, kaip nustatyta pagal Sąjungos teisę.</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6. Nepriklausomai nuo to, ar priimtas sprendimas sulaikyti duomenų subjektą, ar ne, valstybės narės teikia informaciją ir konsultacijas siekiant duomenų subjektui paaiškinti jo, kaip neteisėto migranto arba kaip prieglobsčio prašytojo, teises ir pareigas (įskaitant teisę į veiksmingą teisinę gynybą). Tai apima Dublino reglamento išaiškinimą ir galėtų apimti lankstinukų naudojimą pagal [Komisijos įgyvendinimo reglamento (ES) Nr. 118/2014</w:t>
            </w:r>
            <w:r w:rsidRPr="00D842C1">
              <w:rPr>
                <w:b/>
                <w:i/>
                <w:color w:val="000005"/>
              </w:rPr>
              <w:t> X–XII priedus]. Dublino reglamento išaiškinimas apima elementus, kurie galėtų būti svarbūs, jeigu duomenų subjektas prašytų prieglobsčio, pvz., šeimos susijungimo taisykles.</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7. Jeigu pirminės konsultacijos nebuvo sėkmingos, valstybė narė, visapusiškai laikydamasi proporcingumo principo ir Europos Sąjungos pagrindinių teisių chartijos, gali griebtis prievartos, kaip kraštutinės priemonės. Jeigu valstybės narės nusprendžia tai daryti, duomenų subjektas informuojamas, kad siekiant paimti jo pirštų antspaudus gali būti naudojama prievarta. Jeigu duomenų subjektas vis dar atsisako bendradarbiauti, prievartą proporcingai naudoti išmokyti pareigūnai gali panaudoti reikalingą minimalią prievartą ir kartu užtikrinta pagarba duomenų subjekto orumui ir fizinei neliečiamybei, kaip apibrėžta patvirtintoje pirštų antspaudų ėmimo tvarkoje. Šioje tvarkoje turėtų būti pateiktas aiškus paaiškinimas duomenų subjektui, kokių veiksmų pareigūnas ketina imtis, kad priverstų bendradarbiauti. Pareigūnas parodo, kad nebuvo kitos tinkamos alternatyvios priemonės pagrįstos prievartos naudojimui. Kiekvienu konkrečiu atveju atliekamas vertinimas, ar nėra tokios alternatyvos, atsižvelgiant į konkrečias aplinkybės ir atitinkamo asmens pažeidžiamumą. Valstybės narės gali laikyti, kad niekada nedera naudoti prievartos siekiant priversti tam tikrus pažeidžiamus asmenis, pvz., nepilnamečius arba nėščias moteris, duoti pirštų antspaudus. Jeigu pažeidžiamų asmenų atžvilgiu naudojama tam tikra prievarta, užtikrinama, kad taikoma procedūra būtų specialiai pritaikyta tokiems asmenims. Prievartos naudojimas visada įrašomas, o procedūros įrašas saugomas tol, kol būtina siekiant suteikti galimybę minimam asmeniui teisėtai apskųsti institucijos veiksmus.</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8. Valstybės narės deda pastangas išvengti migrantų pirštų antspaudų ėmimo du kartus. Todėl valstybės narės gali nuspręsti vykdyti tapatybės nustatymą Prieglobsčio ir (arba) Dublino reglamento tikslais ir neteisėtų migrantų tapatybės nustatymą pagal nacionalinę teisę jų grąžinimo ir kitais teisėtais tikslais, kurie neatitinka Prieglobsčio ir (arba) Dublino reglamento, vienu veiksmu ir taip apriboti administracinę ir migrantams tenkančią naštą. Valstybės narės turėtų turėti veikiančias sistemas, kad galėtų naudoti tą patį pirštų antspaudų rinkinį jiems saugoti nacionalinėje AFIS ir perduoti į centrinę sistemą EURODAC. Tapatybės nustatymas ir pirštų atspaudų ėmimas atliekama kuo ankstesniame procedūros etape.</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9. Jeigu prašytojo pirštų pagalvėlės sužalotos arba kitaip padaryta taip, kad būtų neįmanoma paimti pirštų antspaudų (pvz., naudojant klijus), ir jei yra pagrįsta galimybė, kad per trumpą laiką bus neįmanoma paimti tokius pirštų antspaudus, valstybės narės gali nuspręsti, kad jį reikia laikyti įkalintą tol, kol bus galima paimti jo pirštų antspaudus. Bandymai pakartotinai paimti duomenų subjektų pirštų antspaudus atliekami reguliariai.</w:t>
            </w:r>
          </w:p>
        </w:tc>
      </w:tr>
      <w:tr w:rsidR="00351584" w:rsidRPr="00D842C1" w:rsidTr="00131F3A">
        <w:trPr>
          <w:jc w:val="center"/>
        </w:trPr>
        <w:tc>
          <w:tcPr>
            <w:tcW w:w="4876" w:type="dxa"/>
          </w:tcPr>
          <w:p w:rsidR="00351584" w:rsidRPr="00D842C1" w:rsidRDefault="00351584" w:rsidP="00351584">
            <w:pPr>
              <w:pStyle w:val="Normal6"/>
              <w:rPr>
                <w:color w:val="auto"/>
              </w:rPr>
            </w:pPr>
          </w:p>
        </w:tc>
        <w:tc>
          <w:tcPr>
            <w:tcW w:w="4876" w:type="dxa"/>
          </w:tcPr>
          <w:p w:rsidR="00351584" w:rsidRPr="00D842C1" w:rsidRDefault="00351584" w:rsidP="00351584">
            <w:pPr>
              <w:pStyle w:val="Normal6"/>
              <w:rPr>
                <w:b/>
                <w:i/>
                <w:color w:val="000005"/>
              </w:rPr>
            </w:pPr>
            <w:r w:rsidRPr="00D842C1">
              <w:rPr>
                <w:b/>
                <w:i/>
                <w:color w:val="000005"/>
              </w:rPr>
              <w:t>10. Sėkmingai paėmus sulaikyto duomenų subjekto pirštų antspaudus, jis paleidžiamas į laisvę, jeigu nėra konkrečios priežasties, kaip nustatyta Grąžinimo direktyvoje arba pagal Sąjungos prieglobsčio teisės aktus, juos laikyti toliau.</w:t>
            </w:r>
          </w:p>
        </w:tc>
      </w:tr>
    </w:tbl>
    <w:p w:rsidR="004652EC" w:rsidRPr="00D21CE0" w:rsidRDefault="004652EC" w:rsidP="004652EC">
      <w:pPr>
        <w:pStyle w:val="Olang"/>
      </w:pPr>
      <w:r w:rsidRPr="00D21CE0">
        <w:t xml:space="preserve">Or. </w:t>
      </w:r>
      <w:r w:rsidRPr="00D21CE0">
        <w:rPr>
          <w:rStyle w:val="HideTWBExt"/>
        </w:rPr>
        <w:t>&lt;Original&gt;</w:t>
      </w:r>
      <w:r w:rsidRPr="00D21CE0">
        <w:rPr>
          <w:rStyle w:val="HideTWBInt"/>
        </w:rPr>
        <w:t>{</w:t>
      </w:r>
      <w:r>
        <w:rPr>
          <w:rStyle w:val="HideTWBInt"/>
        </w:rPr>
        <w:t>EN</w:t>
      </w:r>
      <w:r w:rsidRPr="00D21CE0">
        <w:rPr>
          <w:rStyle w:val="HideTWBInt"/>
        </w:rPr>
        <w:t>}</w:t>
      </w:r>
      <w:r>
        <w:t>en</w:t>
      </w:r>
      <w:r w:rsidRPr="00D21CE0">
        <w:rPr>
          <w:rStyle w:val="HideTWBExt"/>
        </w:rPr>
        <w:t>&lt;/Original&gt;</w:t>
      </w:r>
    </w:p>
    <w:p w:rsidR="00131F3A" w:rsidRPr="00D842C1" w:rsidRDefault="00131F3A" w:rsidP="00131F3A">
      <w:pPr>
        <w:pStyle w:val="JustificationTitle"/>
        <w:rPr>
          <w:color w:val="auto"/>
          <w:lang w:val="lt-LT"/>
        </w:rPr>
      </w:pPr>
      <w:r w:rsidRPr="00D842C1">
        <w:rPr>
          <w:rStyle w:val="HideTWBExt"/>
          <w:color w:val="auto"/>
          <w:lang w:val="lt-LT"/>
        </w:rPr>
        <w:t>&lt;TitreJust&gt;</w:t>
      </w:r>
      <w:r w:rsidR="00351584" w:rsidRPr="00D842C1">
        <w:rPr>
          <w:color w:val="auto"/>
          <w:lang w:val="lt-LT"/>
        </w:rPr>
        <w:t>Pagrindimas</w:t>
      </w:r>
      <w:r w:rsidRPr="00D842C1">
        <w:rPr>
          <w:rStyle w:val="HideTWBExt"/>
          <w:color w:val="auto"/>
          <w:lang w:val="lt-LT"/>
        </w:rPr>
        <w:t>&lt;/TitreJust&gt;</w:t>
      </w:r>
    </w:p>
    <w:p w:rsidR="00351584" w:rsidRPr="00D842C1" w:rsidRDefault="00351584" w:rsidP="00351584">
      <w:pPr>
        <w:pStyle w:val="Normal12Italic"/>
        <w:rPr>
          <w:lang w:val="lt-LT"/>
        </w:rPr>
      </w:pPr>
      <w:r w:rsidRPr="00D842C1">
        <w:rPr>
          <w:lang w:val="lt-LT"/>
        </w:rPr>
        <w:t>Išdėstymas nauja redakcija: Užklausos rezultatai rodo, kad kai kurios valstybės narės leidžia naudoti sulaikymą siekdamos užtikrinti, kad būtų paimti migrantų pirštų antspaudai, kai kurios leidžia naudoti proporcingą prievartą, o kitos nenaudoja nei sulaikymo, nei prievartos. Būtina suderinti galiojančią praktiką siekiant užtikrinti, kad valstybių narių įsipareigojimai pagal EURODAC reglamentą būtų įvykdyti tokio pat lygio apsaugos priemonėmis.</w:t>
      </w:r>
    </w:p>
    <w:p w:rsidR="00131F3A" w:rsidRPr="00D842C1" w:rsidRDefault="00351584" w:rsidP="00351584">
      <w:pPr>
        <w:pStyle w:val="Normal12Italic"/>
        <w:rPr>
          <w:color w:val="auto"/>
          <w:lang w:val="lt-LT"/>
        </w:rPr>
      </w:pPr>
      <w:r w:rsidRPr="00D842C1">
        <w:rPr>
          <w:lang w:val="lt-LT"/>
        </w:rPr>
        <w:t>Bendras Komisijos sukurtas metodas pateiktas SWD(2015) 150 final.</w:t>
      </w:r>
    </w:p>
    <w:p w:rsidR="005A0F5F" w:rsidRPr="00D842C1" w:rsidRDefault="00131F3A" w:rsidP="00131F3A">
      <w:bookmarkStart w:id="0" w:name="_GoBack"/>
      <w:bookmarkEnd w:id="0"/>
      <w:r w:rsidRPr="00D842C1">
        <w:rPr>
          <w:rStyle w:val="HideTWBExt"/>
        </w:rPr>
        <w:t>&lt;/Amend&gt;&lt;/RepeatBlock-Amend&gt;</w:t>
      </w:r>
    </w:p>
    <w:sectPr w:rsidR="005A0F5F" w:rsidRPr="00D842C1" w:rsidSect="00D07ED2">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D9F" w:rsidRPr="00D842C1" w:rsidRDefault="00C27D9F">
      <w:r w:rsidRPr="00D842C1">
        <w:separator/>
      </w:r>
    </w:p>
  </w:endnote>
  <w:endnote w:type="continuationSeparator" w:id="0">
    <w:p w:rsidR="00C27D9F" w:rsidRPr="00D842C1" w:rsidRDefault="00C27D9F">
      <w:r w:rsidRPr="00D842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ED2" w:rsidRPr="00D842C1" w:rsidRDefault="00D07ED2" w:rsidP="00D07ED2">
    <w:pPr>
      <w:pStyle w:val="Footer"/>
      <w:rPr>
        <w:lang w:val="lt-LT"/>
      </w:rPr>
    </w:pPr>
    <w:r w:rsidRPr="00D842C1">
      <w:rPr>
        <w:lang w:val="lt-LT"/>
      </w:rPr>
      <w:t>PE</w:t>
    </w:r>
    <w:r w:rsidRPr="00D842C1">
      <w:rPr>
        <w:rStyle w:val="HideTWBExt"/>
        <w:lang w:val="lt-LT"/>
      </w:rPr>
      <w:t>&lt;NoPE&gt;</w:t>
    </w:r>
    <w:r w:rsidRPr="00D842C1">
      <w:rPr>
        <w:lang w:val="lt-LT"/>
      </w:rPr>
      <w:t>601.041</w:t>
    </w:r>
    <w:r w:rsidRPr="00D842C1">
      <w:rPr>
        <w:rStyle w:val="HideTWBExt"/>
        <w:lang w:val="lt-LT"/>
      </w:rPr>
      <w:t>&lt;/NoPE&gt;&lt;Version&gt;</w:t>
    </w:r>
    <w:r w:rsidRPr="00D842C1">
      <w:rPr>
        <w:lang w:val="lt-LT"/>
      </w:rPr>
      <w:t>v02-00</w:t>
    </w:r>
    <w:r w:rsidRPr="00D842C1">
      <w:rPr>
        <w:rStyle w:val="HideTWBExt"/>
        <w:lang w:val="lt-LT"/>
      </w:rPr>
      <w:t>&lt;/Version&gt;</w:t>
    </w:r>
    <w:r w:rsidRPr="00D842C1">
      <w:rPr>
        <w:lang w:val="lt-LT"/>
      </w:rPr>
      <w:tab/>
    </w:r>
    <w:r w:rsidRPr="00D842C1">
      <w:rPr>
        <w:lang w:val="lt-LT"/>
      </w:rPr>
      <w:fldChar w:fldCharType="begin"/>
    </w:r>
    <w:r w:rsidRPr="00D842C1">
      <w:rPr>
        <w:lang w:val="lt-LT"/>
      </w:rPr>
      <w:instrText xml:space="preserve"> PAGE  \* MERGEFORMAT </w:instrText>
    </w:r>
    <w:r w:rsidRPr="00D842C1">
      <w:rPr>
        <w:lang w:val="lt-LT"/>
      </w:rPr>
      <w:fldChar w:fldCharType="separate"/>
    </w:r>
    <w:r w:rsidR="004652EC">
      <w:rPr>
        <w:noProof/>
        <w:lang w:val="lt-LT"/>
      </w:rPr>
      <w:t>112</w:t>
    </w:r>
    <w:r w:rsidRPr="00D842C1">
      <w:rPr>
        <w:lang w:val="lt-LT"/>
      </w:rPr>
      <w:fldChar w:fldCharType="end"/>
    </w:r>
    <w:r w:rsidRPr="00D842C1">
      <w:rPr>
        <w:lang w:val="lt-LT"/>
      </w:rPr>
      <w:t>/</w:t>
    </w:r>
    <w:r w:rsidRPr="00D842C1">
      <w:rPr>
        <w:lang w:val="lt-LT"/>
      </w:rPr>
      <w:fldChar w:fldCharType="begin"/>
    </w:r>
    <w:r w:rsidRPr="00D842C1">
      <w:rPr>
        <w:lang w:val="lt-LT"/>
      </w:rPr>
      <w:instrText xml:space="preserve"> NUMPAGES  \* MERGEFORMAT </w:instrText>
    </w:r>
    <w:r w:rsidRPr="00D842C1">
      <w:rPr>
        <w:lang w:val="lt-LT"/>
      </w:rPr>
      <w:fldChar w:fldCharType="separate"/>
    </w:r>
    <w:r w:rsidR="004652EC">
      <w:rPr>
        <w:noProof/>
        <w:lang w:val="lt-LT"/>
      </w:rPr>
      <w:t>113</w:t>
    </w:r>
    <w:r w:rsidRPr="00D842C1">
      <w:rPr>
        <w:lang w:val="lt-LT"/>
      </w:rPr>
      <w:fldChar w:fldCharType="end"/>
    </w:r>
    <w:r w:rsidRPr="00D842C1">
      <w:rPr>
        <w:lang w:val="lt-LT"/>
      </w:rPr>
      <w:tab/>
    </w:r>
    <w:r w:rsidRPr="00D842C1">
      <w:rPr>
        <w:rStyle w:val="HideTWBExt"/>
        <w:lang w:val="lt-LT"/>
      </w:rPr>
      <w:t>&lt;PathFdR&gt;</w:t>
    </w:r>
    <w:r w:rsidRPr="00D842C1">
      <w:rPr>
        <w:lang w:val="lt-LT"/>
      </w:rPr>
      <w:t>AM\1119742LT.docx</w:t>
    </w:r>
    <w:r w:rsidRPr="00D842C1">
      <w:rPr>
        <w:rStyle w:val="HideTWBExt"/>
        <w:lang w:val="lt-LT"/>
      </w:rPr>
      <w:t>&lt;/PathFdR&gt;</w:t>
    </w:r>
  </w:p>
  <w:p w:rsidR="00C27D9F" w:rsidRPr="00D842C1" w:rsidRDefault="00D07ED2" w:rsidP="00D07ED2">
    <w:pPr>
      <w:pStyle w:val="Footer2"/>
    </w:pPr>
    <w:r w:rsidRPr="00D842C1">
      <w:t>LT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ED2" w:rsidRPr="00D842C1" w:rsidRDefault="00D07ED2" w:rsidP="00D07ED2">
    <w:pPr>
      <w:pStyle w:val="Footer"/>
      <w:rPr>
        <w:lang w:val="lt-LT"/>
      </w:rPr>
    </w:pPr>
    <w:r w:rsidRPr="00D842C1">
      <w:rPr>
        <w:rStyle w:val="HideTWBExt"/>
        <w:lang w:val="lt-LT"/>
      </w:rPr>
      <w:t>&lt;PathFdR&gt;</w:t>
    </w:r>
    <w:r w:rsidRPr="00D842C1">
      <w:rPr>
        <w:lang w:val="lt-LT"/>
      </w:rPr>
      <w:t>AM\1119742LT.docx</w:t>
    </w:r>
    <w:r w:rsidRPr="00D842C1">
      <w:rPr>
        <w:rStyle w:val="HideTWBExt"/>
        <w:lang w:val="lt-LT"/>
      </w:rPr>
      <w:t>&lt;/PathFdR&gt;</w:t>
    </w:r>
    <w:r w:rsidRPr="00D842C1">
      <w:rPr>
        <w:lang w:val="lt-LT"/>
      </w:rPr>
      <w:tab/>
    </w:r>
    <w:r w:rsidRPr="00D842C1">
      <w:rPr>
        <w:lang w:val="lt-LT"/>
      </w:rPr>
      <w:fldChar w:fldCharType="begin"/>
    </w:r>
    <w:r w:rsidRPr="00D842C1">
      <w:rPr>
        <w:lang w:val="lt-LT"/>
      </w:rPr>
      <w:instrText xml:space="preserve"> PAGE  \* MERGEFORMAT </w:instrText>
    </w:r>
    <w:r w:rsidRPr="00D842C1">
      <w:rPr>
        <w:lang w:val="lt-LT"/>
      </w:rPr>
      <w:fldChar w:fldCharType="separate"/>
    </w:r>
    <w:r w:rsidR="004652EC">
      <w:rPr>
        <w:noProof/>
        <w:lang w:val="lt-LT"/>
      </w:rPr>
      <w:t>113</w:t>
    </w:r>
    <w:r w:rsidRPr="00D842C1">
      <w:rPr>
        <w:lang w:val="lt-LT"/>
      </w:rPr>
      <w:fldChar w:fldCharType="end"/>
    </w:r>
    <w:r w:rsidRPr="00D842C1">
      <w:rPr>
        <w:lang w:val="lt-LT"/>
      </w:rPr>
      <w:t>/</w:t>
    </w:r>
    <w:r w:rsidRPr="00D842C1">
      <w:rPr>
        <w:lang w:val="lt-LT"/>
      </w:rPr>
      <w:fldChar w:fldCharType="begin"/>
    </w:r>
    <w:r w:rsidRPr="00D842C1">
      <w:rPr>
        <w:lang w:val="lt-LT"/>
      </w:rPr>
      <w:instrText xml:space="preserve"> NUMPAGES  \* MERGEFORMAT </w:instrText>
    </w:r>
    <w:r w:rsidRPr="00D842C1">
      <w:rPr>
        <w:lang w:val="lt-LT"/>
      </w:rPr>
      <w:fldChar w:fldCharType="separate"/>
    </w:r>
    <w:r w:rsidR="004652EC">
      <w:rPr>
        <w:noProof/>
        <w:lang w:val="lt-LT"/>
      </w:rPr>
      <w:t>113</w:t>
    </w:r>
    <w:r w:rsidRPr="00D842C1">
      <w:rPr>
        <w:lang w:val="lt-LT"/>
      </w:rPr>
      <w:fldChar w:fldCharType="end"/>
    </w:r>
    <w:r w:rsidRPr="00D842C1">
      <w:rPr>
        <w:lang w:val="lt-LT"/>
      </w:rPr>
      <w:tab/>
      <w:t>PE</w:t>
    </w:r>
    <w:r w:rsidRPr="00D842C1">
      <w:rPr>
        <w:rStyle w:val="HideTWBExt"/>
        <w:lang w:val="lt-LT"/>
      </w:rPr>
      <w:t>&lt;NoPE&gt;</w:t>
    </w:r>
    <w:r w:rsidRPr="00D842C1">
      <w:rPr>
        <w:lang w:val="lt-LT"/>
      </w:rPr>
      <w:t>601.041</w:t>
    </w:r>
    <w:r w:rsidRPr="00D842C1">
      <w:rPr>
        <w:rStyle w:val="HideTWBExt"/>
        <w:lang w:val="lt-LT"/>
      </w:rPr>
      <w:t>&lt;/NoPE&gt;&lt;Version&gt;</w:t>
    </w:r>
    <w:r w:rsidRPr="00D842C1">
      <w:rPr>
        <w:lang w:val="lt-LT"/>
      </w:rPr>
      <w:t>v02-00</w:t>
    </w:r>
    <w:r w:rsidRPr="00D842C1">
      <w:rPr>
        <w:rStyle w:val="HideTWBExt"/>
        <w:lang w:val="lt-LT"/>
      </w:rPr>
      <w:t>&lt;/Version&gt;</w:t>
    </w:r>
  </w:p>
  <w:p w:rsidR="00C27D9F" w:rsidRPr="00D842C1" w:rsidRDefault="00D07ED2" w:rsidP="00D07ED2">
    <w:pPr>
      <w:pStyle w:val="Footer2"/>
    </w:pPr>
    <w:r w:rsidRPr="00D842C1">
      <w:tab/>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ED2" w:rsidRPr="00D842C1" w:rsidRDefault="00D07ED2" w:rsidP="00D07ED2">
    <w:pPr>
      <w:pStyle w:val="Footer"/>
      <w:rPr>
        <w:lang w:val="lt-LT"/>
      </w:rPr>
    </w:pPr>
    <w:r w:rsidRPr="00D842C1">
      <w:rPr>
        <w:rStyle w:val="HideTWBExt"/>
        <w:lang w:val="lt-LT"/>
      </w:rPr>
      <w:t>&lt;PathFdR&gt;</w:t>
    </w:r>
    <w:r w:rsidRPr="00D842C1">
      <w:rPr>
        <w:lang w:val="lt-LT"/>
      </w:rPr>
      <w:t>AM\1119742LT.docx</w:t>
    </w:r>
    <w:r w:rsidRPr="00D842C1">
      <w:rPr>
        <w:rStyle w:val="HideTWBExt"/>
        <w:lang w:val="lt-LT"/>
      </w:rPr>
      <w:t>&lt;/PathFdR&gt;</w:t>
    </w:r>
    <w:r w:rsidRPr="00D842C1">
      <w:rPr>
        <w:lang w:val="lt-LT"/>
      </w:rPr>
      <w:tab/>
    </w:r>
    <w:r w:rsidRPr="00D842C1">
      <w:rPr>
        <w:lang w:val="lt-LT"/>
      </w:rPr>
      <w:tab/>
      <w:t>PE</w:t>
    </w:r>
    <w:r w:rsidRPr="00D842C1">
      <w:rPr>
        <w:rStyle w:val="HideTWBExt"/>
        <w:lang w:val="lt-LT"/>
      </w:rPr>
      <w:t>&lt;NoPE&gt;</w:t>
    </w:r>
    <w:r w:rsidRPr="00D842C1">
      <w:rPr>
        <w:lang w:val="lt-LT"/>
      </w:rPr>
      <w:t>601.041</w:t>
    </w:r>
    <w:r w:rsidRPr="00D842C1">
      <w:rPr>
        <w:rStyle w:val="HideTWBExt"/>
        <w:lang w:val="lt-LT"/>
      </w:rPr>
      <w:t>&lt;/NoPE&gt;&lt;Version&gt;</w:t>
    </w:r>
    <w:r w:rsidRPr="00D842C1">
      <w:rPr>
        <w:lang w:val="lt-LT"/>
      </w:rPr>
      <w:t>v02-00</w:t>
    </w:r>
    <w:r w:rsidRPr="00D842C1">
      <w:rPr>
        <w:rStyle w:val="HideTWBExt"/>
        <w:lang w:val="lt-LT"/>
      </w:rPr>
      <w:t>&lt;/Version&gt;</w:t>
    </w:r>
  </w:p>
  <w:p w:rsidR="00C27D9F" w:rsidRPr="00D842C1" w:rsidRDefault="00D07ED2" w:rsidP="00D07ED2">
    <w:pPr>
      <w:pStyle w:val="Footer2"/>
      <w:tabs>
        <w:tab w:val="center" w:pos="4535"/>
        <w:tab w:val="right" w:pos="9921"/>
      </w:tabs>
    </w:pPr>
    <w:r w:rsidRPr="00D842C1">
      <w:t>LT</w:t>
    </w:r>
    <w:r w:rsidRPr="00D842C1">
      <w:tab/>
    </w:r>
    <w:r w:rsidRPr="00D842C1">
      <w:rPr>
        <w:b w:val="0"/>
        <w:i/>
        <w:color w:val="C0C0C0"/>
        <w:sz w:val="22"/>
      </w:rPr>
      <w:t>Suvienijusi įvairovę</w:t>
    </w:r>
    <w:r w:rsidRPr="00D842C1">
      <w:tab/>
      <w:t>LT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D9F" w:rsidRPr="00D842C1" w:rsidRDefault="00C27D9F">
      <w:r w:rsidRPr="00D842C1">
        <w:separator/>
      </w:r>
    </w:p>
  </w:footnote>
  <w:footnote w:type="continuationSeparator" w:id="0">
    <w:p w:rsidR="00C27D9F" w:rsidRPr="00D842C1" w:rsidRDefault="00C27D9F">
      <w:r w:rsidRPr="00D842C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2EC" w:rsidRDefault="004652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2EC" w:rsidRDefault="004652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2EC" w:rsidRDefault="004652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9"/>
    <w:docVar w:name="TXTLANGUE" w:val="LT"/>
    <w:docVar w:name="TXTLANGUEMIN" w:val="lt"/>
    <w:docVar w:name="TXTNRFIRSTAM" w:val="272"/>
    <w:docVar w:name="TXTNRLASTAM" w:val="455"/>
    <w:docVar w:name="TXTNRPE" w:val="601.041"/>
    <w:docVar w:name="TXTPEorAP" w:val="PE"/>
    <w:docVar w:name="TXTROUTE" w:val="AM\1119742LT.docx"/>
    <w:docVar w:name="TXTVERSION" w:val="02-00"/>
  </w:docVars>
  <w:rsids>
    <w:rsidRoot w:val="005A0F5F"/>
    <w:rsid w:val="00051EE9"/>
    <w:rsid w:val="00131F3A"/>
    <w:rsid w:val="00316043"/>
    <w:rsid w:val="003513A8"/>
    <w:rsid w:val="00351584"/>
    <w:rsid w:val="0036294F"/>
    <w:rsid w:val="00383838"/>
    <w:rsid w:val="004652EC"/>
    <w:rsid w:val="005864B0"/>
    <w:rsid w:val="005A0F5F"/>
    <w:rsid w:val="00624C15"/>
    <w:rsid w:val="00636FE9"/>
    <w:rsid w:val="006D1A34"/>
    <w:rsid w:val="00755F0D"/>
    <w:rsid w:val="008F42BA"/>
    <w:rsid w:val="00955F4E"/>
    <w:rsid w:val="009D2D79"/>
    <w:rsid w:val="00B54DE8"/>
    <w:rsid w:val="00C27D9F"/>
    <w:rsid w:val="00C64F88"/>
    <w:rsid w:val="00C90511"/>
    <w:rsid w:val="00C939F1"/>
    <w:rsid w:val="00D07ED2"/>
    <w:rsid w:val="00D842C1"/>
    <w:rsid w:val="00DA7FF2"/>
    <w:rsid w:val="00DD5453"/>
    <w:rsid w:val="00E3605A"/>
    <w:rsid w:val="00F02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D615972-8607-4790-98C5-8F009116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E3605A"/>
    <w:pPr>
      <w:tabs>
        <w:tab w:val="center" w:pos="4513"/>
        <w:tab w:val="right" w:pos="9026"/>
      </w:tabs>
    </w:pPr>
  </w:style>
  <w:style w:type="character" w:customStyle="1" w:styleId="HeaderChar">
    <w:name w:val="Header Char"/>
    <w:basedOn w:val="DefaultParagraphFont"/>
    <w:link w:val="Header"/>
    <w:rsid w:val="00E36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D6F1372D.dotm</Template>
  <TotalTime>0</TotalTime>
  <Pages>113</Pages>
  <Words>25211</Words>
  <Characters>194455</Characters>
  <Application>Microsoft Office Word</Application>
  <DocSecurity>0</DocSecurity>
  <Lines>7202</Lines>
  <Paragraphs>2711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216955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MIKUCIONIS Kazimieras</cp:lastModifiedBy>
  <cp:revision>2</cp:revision>
  <dcterms:created xsi:type="dcterms:W3CDTF">2017-03-17T09:08:00Z</dcterms:created>
  <dcterms:modified xsi:type="dcterms:W3CDTF">2017-03-17T09:08:00Z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1119742</vt:lpwstr>
  </property>
  <property fmtid="{D5CDD505-2E9C-101B-9397-08002B2CF9AE}" pid="4" name="&lt;FooterPath&gt;">
    <vt:lpwstr>AM\1119114XM.doc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20170308-165306-167916-430419</vt:lpwstr>
  </property>
  <property fmtid="{D5CDD505-2E9C-101B-9397-08002B2CF9AE}" pid="8" name="PE Number">
    <vt:lpwstr>601.041</vt:lpwstr>
  </property>
  <property fmtid="{D5CDD505-2E9C-101B-9397-08002B2CF9AE}" pid="9" name="UID">
    <vt:lpwstr>eu.europa.europarl-TMP1-0000-0000000185_00.00-xm-00.00_text-xml</vt:lpwstr>
  </property>
  <property fmtid="{D5CDD505-2E9C-101B-9397-08002B2CF9AE}" pid="10" name="LastEdited with">
    <vt:lpwstr>9.0.0 Build [20170301]</vt:lpwstr>
  </property>
  <property fmtid="{D5CDD505-2E9C-101B-9397-08002B2CF9AE}" pid="11" name="FooterPath">
    <vt:lpwstr>AM\1119742LT.docx</vt:lpwstr>
  </property>
  <property fmtid="{D5CDD505-2E9C-101B-9397-08002B2CF9AE}" pid="12" name="Bookout">
    <vt:lpwstr>OK - 2017/03/17 10:08</vt:lpwstr>
  </property>
</Properties>
</file>