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944CB0" w:rsidRPr="009D2EDD">
        <w:trPr>
          <w:trHeight w:hRule="exact" w:val="1417"/>
          <w:jc w:val="center"/>
        </w:trPr>
        <w:tc>
          <w:tcPr>
            <w:tcW w:w="6804" w:type="dxa"/>
            <w:vAlign w:val="center"/>
          </w:tcPr>
          <w:p w:rsidR="00A77B3E" w:rsidRPr="009D2EDD" w:rsidRDefault="001E7D6E">
            <w:pPr>
              <w:pStyle w:val="EPName"/>
            </w:pPr>
            <w:bookmarkStart w:id="0" w:name="_GoBack"/>
            <w:bookmarkEnd w:id="0"/>
            <w:r w:rsidRPr="009D2EDD">
              <w:t>Europa-Parlamentet</w:t>
            </w:r>
          </w:p>
          <w:p w:rsidR="00944CB0" w:rsidRPr="009D2EDD" w:rsidRDefault="001E7D6E">
            <w:pPr>
              <w:pStyle w:val="EPTerm"/>
            </w:pPr>
            <w:r w:rsidRPr="009D2EDD">
              <w:t>2014-2019</w:t>
            </w:r>
          </w:p>
        </w:tc>
        <w:tc>
          <w:tcPr>
            <w:tcW w:w="2268" w:type="dxa"/>
          </w:tcPr>
          <w:p w:rsidR="00944CB0" w:rsidRPr="009D2EDD" w:rsidRDefault="0088322B">
            <w:pPr>
              <w:pStyle w:val="EPLogo"/>
            </w:pPr>
            <w:r w:rsidRPr="009D2ED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1pt">
                  <v:imagedata r:id="rId7" o:title=""/>
                </v:shape>
              </w:pict>
            </w:r>
          </w:p>
        </w:tc>
      </w:tr>
    </w:tbl>
    <w:p w:rsidR="00A77B3E" w:rsidRPr="009D2EDD" w:rsidRDefault="0088322B">
      <w:pPr>
        <w:pStyle w:val="LineTop"/>
      </w:pPr>
    </w:p>
    <w:p w:rsidR="00944CB0" w:rsidRPr="009D2EDD" w:rsidRDefault="001E7D6E">
      <w:pPr>
        <w:pStyle w:val="ZCommittee"/>
      </w:pPr>
      <w:r w:rsidRPr="009D2EDD">
        <w:rPr>
          <w:rStyle w:val="HideTWBExt"/>
        </w:rPr>
        <w:t>&lt;Commission&gt;</w:t>
      </w:r>
      <w:r w:rsidRPr="009D2EDD">
        <w:rPr>
          <w:rStyle w:val="HideTWBInt"/>
          <w:color w:val="auto"/>
        </w:rPr>
        <w:t>{LIBE}</w:t>
      </w:r>
      <w:r w:rsidRPr="009D2EDD">
        <w:rPr>
          <w:color w:val="auto"/>
        </w:rPr>
        <w:t>Udvalget om Borgernes Rettigheder og Retlige og Indre Anliggender</w:t>
      </w:r>
      <w:r w:rsidRPr="009D2EDD">
        <w:rPr>
          <w:rStyle w:val="HideTWBExt"/>
        </w:rPr>
        <w:t>&lt;/Commission&gt;</w:t>
      </w:r>
    </w:p>
    <w:p w:rsidR="00944CB0" w:rsidRPr="009D2EDD" w:rsidRDefault="00944CB0">
      <w:pPr>
        <w:pStyle w:val="LineBottom"/>
      </w:pPr>
    </w:p>
    <w:p w:rsidR="00944CB0" w:rsidRPr="009D2EDD" w:rsidRDefault="001E7D6E">
      <w:pPr>
        <w:pStyle w:val="RefProc"/>
      </w:pPr>
      <w:r w:rsidRPr="009D2EDD">
        <w:rPr>
          <w:rStyle w:val="HideTWBExt"/>
        </w:rPr>
        <w:t>&lt;RefProc&gt;</w:t>
      </w:r>
      <w:r w:rsidRPr="009D2EDD">
        <w:rPr>
          <w:color w:val="auto"/>
        </w:rPr>
        <w:t>2016/0223</w:t>
      </w:r>
      <w:r w:rsidRPr="009D2EDD">
        <w:rPr>
          <w:rStyle w:val="HideTWBExt"/>
        </w:rPr>
        <w:t>&lt;/RefProc&gt;&lt;RefTypeProc&gt;</w:t>
      </w:r>
      <w:r w:rsidRPr="009D2EDD">
        <w:rPr>
          <w:color w:val="auto"/>
        </w:rPr>
        <w:t>(COD)</w:t>
      </w:r>
      <w:r w:rsidRPr="009D2EDD">
        <w:rPr>
          <w:rStyle w:val="HideTWBExt"/>
        </w:rPr>
        <w:t>&lt;/RefTypeProc&gt;</w:t>
      </w:r>
    </w:p>
    <w:p w:rsidR="00944CB0" w:rsidRPr="009D2EDD" w:rsidRDefault="001E7D6E">
      <w:pPr>
        <w:pStyle w:val="ZDate"/>
      </w:pPr>
      <w:r w:rsidRPr="009D2EDD">
        <w:rPr>
          <w:rStyle w:val="HideTWBExt"/>
        </w:rPr>
        <w:t>&lt;Date&gt;</w:t>
      </w:r>
      <w:r w:rsidRPr="009D2EDD">
        <w:rPr>
          <w:rStyle w:val="HideTWBInt"/>
          <w:color w:val="auto"/>
        </w:rPr>
        <w:t>{27/03/2017}</w:t>
      </w:r>
      <w:r w:rsidRPr="009D2EDD">
        <w:rPr>
          <w:color w:val="auto"/>
        </w:rPr>
        <w:t>27.3.2017</w:t>
      </w:r>
      <w:r w:rsidRPr="009D2EDD">
        <w:rPr>
          <w:rStyle w:val="HideTWBExt"/>
        </w:rPr>
        <w:t>&lt;/Date&gt;</w:t>
      </w:r>
    </w:p>
    <w:p w:rsidR="00944CB0" w:rsidRPr="009D2EDD" w:rsidRDefault="001E7D6E">
      <w:pPr>
        <w:pStyle w:val="TypeDocAM"/>
      </w:pPr>
      <w:r w:rsidRPr="009D2EDD">
        <w:rPr>
          <w:rStyle w:val="HideTWBExt"/>
        </w:rPr>
        <w:t>&lt;TypeAM&gt;</w:t>
      </w:r>
      <w:r w:rsidRPr="009D2EDD">
        <w:rPr>
          <w:color w:val="auto"/>
        </w:rPr>
        <w:t>ÆNDRINGSFORSLAG</w:t>
      </w:r>
      <w:r w:rsidRPr="009D2EDD">
        <w:rPr>
          <w:rStyle w:val="HideTWBExt"/>
        </w:rPr>
        <w:t>&lt;/TypeAM&gt;</w:t>
      </w:r>
    </w:p>
    <w:p w:rsidR="00944CB0" w:rsidRPr="009D2EDD" w:rsidRDefault="001E7D6E">
      <w:pPr>
        <w:pStyle w:val="NRAMS"/>
      </w:pPr>
      <w:r w:rsidRPr="009D2EDD">
        <w:rPr>
          <w:rStyle w:val="HideTWBExt"/>
        </w:rPr>
        <w:t>&lt;RangeAM&gt;</w:t>
      </w:r>
      <w:r w:rsidRPr="009D2EDD">
        <w:rPr>
          <w:color w:val="auto"/>
        </w:rPr>
        <w:t>96 - 416</w:t>
      </w:r>
      <w:r w:rsidR="00F56731" w:rsidRPr="009D2EDD">
        <w:rPr>
          <w:rStyle w:val="FootnoteReference"/>
          <w:color w:val="auto"/>
        </w:rPr>
        <w:footnoteReference w:id="1"/>
      </w:r>
      <w:r w:rsidRPr="009D2EDD">
        <w:rPr>
          <w:rStyle w:val="HideTWBExt"/>
        </w:rPr>
        <w:t>&lt;/RangeAM&gt;</w:t>
      </w:r>
    </w:p>
    <w:p w:rsidR="00944CB0" w:rsidRPr="009D2EDD" w:rsidRDefault="001E7D6E">
      <w:pPr>
        <w:pStyle w:val="CoverBold"/>
      </w:pPr>
      <w:r w:rsidRPr="009D2EDD">
        <w:rPr>
          <w:rStyle w:val="HideTWBExt"/>
        </w:rPr>
        <w:t>&lt;TitreType&gt;</w:t>
      </w:r>
      <w:r w:rsidRPr="009D2EDD">
        <w:rPr>
          <w:color w:val="auto"/>
        </w:rPr>
        <w:t>Udkast til betænkning</w:t>
      </w:r>
      <w:r w:rsidRPr="009D2EDD">
        <w:rPr>
          <w:rStyle w:val="HideTWBExt"/>
        </w:rPr>
        <w:t>&lt;/TitreType&gt;</w:t>
      </w:r>
    </w:p>
    <w:p w:rsidR="00944CB0" w:rsidRPr="009D2EDD" w:rsidRDefault="001E7D6E">
      <w:pPr>
        <w:pStyle w:val="CoverBold"/>
      </w:pPr>
      <w:r w:rsidRPr="009D2EDD">
        <w:rPr>
          <w:rStyle w:val="HideTWBExt"/>
        </w:rPr>
        <w:t>&lt;Rapporteur&gt;</w:t>
      </w:r>
      <w:r w:rsidRPr="009D2EDD">
        <w:rPr>
          <w:color w:val="auto"/>
        </w:rPr>
        <w:t>Tanja Fajon</w:t>
      </w:r>
      <w:r w:rsidRPr="009D2EDD">
        <w:rPr>
          <w:rStyle w:val="HideTWBExt"/>
        </w:rPr>
        <w:t>&lt;/Rapporteur&gt;</w:t>
      </w:r>
    </w:p>
    <w:p w:rsidR="00944CB0" w:rsidRPr="009D2EDD" w:rsidRDefault="001E7D6E">
      <w:pPr>
        <w:pStyle w:val="Cover24"/>
      </w:pPr>
      <w:r w:rsidRPr="009D2EDD">
        <w:t>(PE599.799v02-00)</w:t>
      </w:r>
    </w:p>
    <w:p w:rsidR="00944CB0" w:rsidRPr="009D2EDD" w:rsidRDefault="001E7D6E">
      <w:pPr>
        <w:pStyle w:val="Cover24"/>
      </w:pPr>
      <w:r w:rsidRPr="009D2EDD">
        <w:rPr>
          <w:rStyle w:val="HideTWBExt"/>
        </w:rPr>
        <w:t>&lt;Titre&gt;</w:t>
      </w:r>
      <w:r w:rsidRPr="009D2EDD">
        <w:t>om fastsættelse af standarder for anerkendelse af tredjelandsstatsborgere eller statsløse som personer med international beskyttelse, for en ensartet status for flygtninge eller for personer, der er berettiget til subsidiær beskyttelse, og for indholdet af en sådan beskyttelse og om ændring af Rådets direktiv 2003/109/EF af 25. november 2003 om tredjelandsstatsborgeres status som fastboende udlænding</w:t>
      </w:r>
      <w:r w:rsidRPr="009D2EDD">
        <w:rPr>
          <w:rStyle w:val="HideTWBExt"/>
        </w:rPr>
        <w:t>&lt;/Titre&gt;</w:t>
      </w:r>
    </w:p>
    <w:p w:rsidR="00944CB0" w:rsidRPr="009D2EDD" w:rsidRDefault="001E7D6E">
      <w:pPr>
        <w:pStyle w:val="CoverNormal"/>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Cover24"/>
      </w:pPr>
      <w:r w:rsidRPr="009D2EDD">
        <w:rPr>
          <w:rStyle w:val="HideTWBExt"/>
        </w:rPr>
        <w:t>&lt;DocRef&gt;</w:t>
      </w:r>
      <w:r w:rsidRPr="009D2EDD">
        <w:rPr>
          <w:color w:val="auto"/>
        </w:rPr>
        <w:t>(COM(2016)0466 – C8-0324/2016 – 2016/0223(COD))</w:t>
      </w:r>
      <w:r w:rsidRPr="009D2EDD">
        <w:rPr>
          <w:rStyle w:val="HideTWBExt"/>
        </w:rPr>
        <w:t>&lt;/DocRef&gt;</w:t>
      </w:r>
    </w:p>
    <w:p w:rsidR="00944CB0" w:rsidRPr="009D2EDD" w:rsidRDefault="001E7D6E">
      <w:r w:rsidRPr="009D2EDD">
        <w:br w:type="page"/>
      </w:r>
      <w:r w:rsidRPr="009D2EDD">
        <w:lastRenderedPageBreak/>
        <w:t>AM_Com_LegReport</w:t>
      </w:r>
    </w:p>
    <w:p w:rsidR="00944CB0" w:rsidRPr="009D2EDD" w:rsidRDefault="001E7D6E">
      <w:pPr>
        <w:pStyle w:val="AMNumberTabs"/>
      </w:pPr>
      <w:r w:rsidRPr="009D2EDD">
        <w:br w:type="page"/>
      </w:r>
      <w:r w:rsidRPr="009D2EDD">
        <w:rPr>
          <w:rStyle w:val="HideTWBExt"/>
        </w:rPr>
        <w:lastRenderedPageBreak/>
        <w:t>&lt;RepeatBlock-AmendA&gt;&lt;AmendA&gt;</w:t>
      </w:r>
      <w:r w:rsidRPr="009D2EDD">
        <w:rPr>
          <w:color w:val="auto"/>
        </w:rPr>
        <w:t xml:space="preserve">Ændringsforslag </w:t>
      </w:r>
      <w:r w:rsidRPr="009D2EDD">
        <w:tab/>
      </w:r>
      <w:r w:rsidRPr="009D2EDD">
        <w:tab/>
      </w:r>
      <w:r w:rsidRPr="009D2EDD">
        <w:rPr>
          <w:rStyle w:val="HideTWBExt"/>
        </w:rPr>
        <w:t>&lt;NumAmA&gt;</w:t>
      </w:r>
      <w:r w:rsidRPr="009D2EDD">
        <w:rPr>
          <w:color w:val="auto"/>
        </w:rPr>
        <w:t>96</w:t>
      </w:r>
      <w:r w:rsidRPr="009D2EDD">
        <w:rPr>
          <w:rStyle w:val="HideTWBExt"/>
        </w:rPr>
        <w:t>&lt;/NumAmA&gt;</w:t>
      </w:r>
    </w:p>
    <w:p w:rsidR="00944CB0" w:rsidRPr="009D2EDD" w:rsidRDefault="001E7D6E">
      <w:pPr>
        <w:pStyle w:val="NormalBold"/>
      </w:pPr>
      <w:r w:rsidRPr="009D2EDD">
        <w:rPr>
          <w:rStyle w:val="HideTWBExt"/>
        </w:rPr>
        <w:t>&lt;RepeatBlock-By&gt;&lt;Members&gt;</w:t>
      </w:r>
      <w:r w:rsidRPr="009D2EDD">
        <w:rPr>
          <w:color w:val="auto"/>
        </w:rPr>
        <w:t>Kristina Winberg</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944CB0">
            <w:pPr>
              <w:pStyle w:val="ColumnHeading"/>
              <w:rPr>
                <w:color w:val="auto"/>
              </w:rPr>
            </w:pPr>
          </w:p>
        </w:tc>
        <w:tc>
          <w:tcPr>
            <w:tcW w:w="4876" w:type="dxa"/>
          </w:tcPr>
          <w:p w:rsidR="00944CB0" w:rsidRPr="009D2EDD" w:rsidRDefault="001E7D6E">
            <w:pPr>
              <w:pStyle w:val="ColumnHeading"/>
              <w:rPr>
                <w:color w:val="auto"/>
              </w:rPr>
            </w:pPr>
            <w:r w:rsidRPr="009D2EDD">
              <w:rPr>
                <w:color w:val="auto"/>
              </w:rPr>
              <w:t>Forslag om forkastelse</w:t>
            </w:r>
          </w:p>
        </w:tc>
      </w:tr>
      <w:tr w:rsidR="00944CB0" w:rsidRPr="009D2EDD">
        <w:trPr>
          <w:jc w:val="center"/>
        </w:trPr>
        <w:tc>
          <w:tcPr>
            <w:tcW w:w="4876" w:type="dxa"/>
          </w:tcPr>
          <w:p w:rsidR="00944CB0" w:rsidRPr="009D2EDD" w:rsidRDefault="00944CB0">
            <w:pPr>
              <w:pStyle w:val="ColumnHeading"/>
              <w:rPr>
                <w:color w:val="auto"/>
              </w:rPr>
            </w:pPr>
          </w:p>
        </w:tc>
        <w:tc>
          <w:tcPr>
            <w:tcW w:w="4876" w:type="dxa"/>
          </w:tcPr>
          <w:p w:rsidR="00944CB0" w:rsidRPr="009D2EDD" w:rsidRDefault="001E7D6E">
            <w:pPr>
              <w:pStyle w:val="StyleNormal6TimesNewRomanBoldItalic"/>
              <w:rPr>
                <w:color w:val="auto"/>
              </w:rPr>
            </w:pPr>
            <w:r w:rsidRPr="009D2EDD">
              <w:rPr>
                <w:color w:val="auto"/>
              </w:rPr>
              <w:t>Europa-Parlamentet forkaster Kommissionens forslag til en forordning fra Europa-Parlamentet og Rådet om standarder for anerkendelse af tredjelandsstatsborgere eller statsløse som berettigede til international beskyttelse, for en ensartet status for flygtninge eller for personer, der er berettiget til subsidiær beskyttelse, og for indholdet af sådan beskyttelse og om ændring af Rådets direktiv 2003/109 / EF af 25. november 2003 om status tredjelandsstatsborgere som fastboende udlænding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&lt;/AmendA&gt;</w:t>
      </w:r>
    </w:p>
    <w:p w:rsidR="00944CB0" w:rsidRPr="009D2EDD" w:rsidRDefault="001E7D6E">
      <w:pPr>
        <w:pStyle w:val="AMNumberTabs"/>
      </w:pPr>
      <w:r w:rsidRPr="009D2EDD">
        <w:rPr>
          <w:rStyle w:val="HideTWBExt"/>
        </w:rPr>
        <w:t>&lt;AmendA&gt;</w:t>
      </w:r>
      <w:r w:rsidRPr="009D2EDD">
        <w:rPr>
          <w:color w:val="auto"/>
        </w:rPr>
        <w:t xml:space="preserve">Ændringsforslag </w:t>
      </w:r>
      <w:r w:rsidRPr="009D2EDD">
        <w:tab/>
      </w:r>
      <w:r w:rsidRPr="009D2EDD">
        <w:tab/>
      </w:r>
      <w:r w:rsidRPr="009D2EDD">
        <w:rPr>
          <w:rStyle w:val="HideTWBExt"/>
        </w:rPr>
        <w:t>&lt;NumAmA&gt;</w:t>
      </w:r>
      <w:r w:rsidRPr="009D2EDD">
        <w:rPr>
          <w:color w:val="auto"/>
        </w:rPr>
        <w:t>97</w:t>
      </w:r>
      <w:r w:rsidRPr="009D2EDD">
        <w:rPr>
          <w:rStyle w:val="HideTWBExt"/>
        </w:rPr>
        <w:t>&lt;/NumAmA&gt;</w:t>
      </w:r>
    </w:p>
    <w:p w:rsidR="00944CB0" w:rsidRPr="009D2EDD" w:rsidRDefault="001E7D6E">
      <w:pPr>
        <w:pStyle w:val="NormalBold"/>
      </w:pPr>
      <w:r w:rsidRPr="009D2EDD">
        <w:rPr>
          <w:rStyle w:val="HideTWBExt"/>
        </w:rPr>
        <w:t>&lt;RepeatBlock-By&gt;&lt;Members&gt;</w:t>
      </w:r>
      <w:r w:rsidRPr="009D2EDD">
        <w:rPr>
          <w:color w:val="auto"/>
        </w:rPr>
        <w:t>Auke Zijlstra, Janice Atkinson</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944CB0">
            <w:pPr>
              <w:pStyle w:val="ColumnHeading"/>
              <w:rPr>
                <w:color w:val="auto"/>
              </w:rPr>
            </w:pPr>
          </w:p>
        </w:tc>
        <w:tc>
          <w:tcPr>
            <w:tcW w:w="4876" w:type="dxa"/>
          </w:tcPr>
          <w:p w:rsidR="00944CB0" w:rsidRPr="009D2EDD" w:rsidRDefault="001E7D6E">
            <w:pPr>
              <w:pStyle w:val="ColumnHeading"/>
              <w:rPr>
                <w:color w:val="auto"/>
              </w:rPr>
            </w:pPr>
            <w:r w:rsidRPr="009D2EDD">
              <w:rPr>
                <w:color w:val="auto"/>
              </w:rPr>
              <w:t>Forslag om forkastelse</w:t>
            </w:r>
          </w:p>
        </w:tc>
      </w:tr>
      <w:tr w:rsidR="00944CB0" w:rsidRPr="009D2EDD">
        <w:trPr>
          <w:jc w:val="center"/>
        </w:trPr>
        <w:tc>
          <w:tcPr>
            <w:tcW w:w="4876" w:type="dxa"/>
          </w:tcPr>
          <w:p w:rsidR="00944CB0" w:rsidRPr="009D2EDD" w:rsidRDefault="00944CB0">
            <w:pPr>
              <w:pStyle w:val="ColumnHeading"/>
              <w:rPr>
                <w:color w:val="auto"/>
              </w:rPr>
            </w:pPr>
          </w:p>
        </w:tc>
        <w:tc>
          <w:tcPr>
            <w:tcW w:w="4876" w:type="dxa"/>
          </w:tcPr>
          <w:p w:rsidR="00944CB0" w:rsidRPr="009D2EDD" w:rsidRDefault="001E7D6E">
            <w:pPr>
              <w:pStyle w:val="StyleNormal6TimesNewRomanBoldItalic"/>
              <w:rPr>
                <w:color w:val="auto"/>
              </w:rPr>
            </w:pPr>
            <w:r w:rsidRPr="009D2EDD">
              <w:rPr>
                <w:color w:val="auto"/>
              </w:rPr>
              <w:t>Europa-Parlamentet forkaster Kommissionens forslag til en forordning fra Europa-Parlamentet og Rådet om standarder for anerkendelse af tredjelandsstatsborgere eller statsløse som berettigede til international beskyttelse, for en ensartet status for flygtninge eller for personer, der er berettiget til subsidiær beskyttelse, og for indholdet af sådan beskyttelse og om ændring af Rådets direktiv 2003/109 / EF af 25. november 2003 om status tredjelandsstatsborgere som fastboende udlænding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&lt;/AmendA&gt;</w:t>
      </w:r>
    </w:p>
    <w:p w:rsidR="00944CB0" w:rsidRPr="009D2EDD" w:rsidRDefault="001E7D6E">
      <w:pPr>
        <w:pStyle w:val="AMNumberTabs"/>
      </w:pPr>
      <w:r w:rsidRPr="009D2EDD">
        <w:rPr>
          <w:rStyle w:val="HideTWBExt"/>
        </w:rPr>
        <w:t>&lt;AmendA&gt;</w:t>
      </w:r>
      <w:r w:rsidRPr="009D2EDD">
        <w:rPr>
          <w:color w:val="auto"/>
        </w:rPr>
        <w:t xml:space="preserve">Ændringsforslag </w:t>
      </w:r>
      <w:r w:rsidRPr="009D2EDD">
        <w:tab/>
      </w:r>
      <w:r w:rsidRPr="009D2EDD">
        <w:tab/>
      </w:r>
      <w:r w:rsidRPr="009D2EDD">
        <w:rPr>
          <w:rStyle w:val="HideTWBExt"/>
        </w:rPr>
        <w:t>&lt;NumAmA&gt;</w:t>
      </w:r>
      <w:r w:rsidRPr="009D2EDD">
        <w:rPr>
          <w:color w:val="auto"/>
        </w:rPr>
        <w:t>98</w:t>
      </w:r>
      <w:r w:rsidRPr="009D2EDD">
        <w:rPr>
          <w:rStyle w:val="HideTWBExt"/>
        </w:rPr>
        <w:t>&lt;/NumAmA&gt;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944CB0">
            <w:pPr>
              <w:pStyle w:val="ColumnHeading"/>
              <w:rPr>
                <w:color w:val="auto"/>
              </w:rPr>
            </w:pPr>
          </w:p>
        </w:tc>
        <w:tc>
          <w:tcPr>
            <w:tcW w:w="4876" w:type="dxa"/>
          </w:tcPr>
          <w:p w:rsidR="00944CB0" w:rsidRPr="009D2EDD" w:rsidRDefault="001E7D6E">
            <w:pPr>
              <w:pStyle w:val="ColumnHeading"/>
              <w:rPr>
                <w:color w:val="auto"/>
              </w:rPr>
            </w:pPr>
            <w:r w:rsidRPr="009D2EDD">
              <w:rPr>
                <w:color w:val="auto"/>
              </w:rPr>
              <w:t>Forslag om forkastelse</w:t>
            </w:r>
          </w:p>
        </w:tc>
      </w:tr>
      <w:tr w:rsidR="00944CB0" w:rsidRPr="009D2EDD">
        <w:trPr>
          <w:jc w:val="center"/>
        </w:trPr>
        <w:tc>
          <w:tcPr>
            <w:tcW w:w="4876" w:type="dxa"/>
          </w:tcPr>
          <w:p w:rsidR="00944CB0" w:rsidRPr="009D2EDD" w:rsidRDefault="00944CB0">
            <w:pPr>
              <w:pStyle w:val="ColumnHeading"/>
              <w:rPr>
                <w:color w:val="auto"/>
              </w:rPr>
            </w:pPr>
          </w:p>
        </w:tc>
        <w:tc>
          <w:tcPr>
            <w:tcW w:w="4876" w:type="dxa"/>
          </w:tcPr>
          <w:p w:rsidR="00944CB0" w:rsidRPr="009D2EDD" w:rsidRDefault="001E7D6E">
            <w:pPr>
              <w:pStyle w:val="StyleNormal6TimesNewRomanBoldItalic"/>
              <w:rPr>
                <w:color w:val="auto"/>
              </w:rPr>
            </w:pPr>
            <w:r w:rsidRPr="009D2EDD">
              <w:rPr>
                <w:color w:val="auto"/>
              </w:rPr>
              <w:t>Europa-Parlamentet forkaster Kommissionens forslag til en forordning fra Europa-Parlamentet og Rådet om standarder for anerkendelse af tredjelandsstatsborgere eller statsløse som berettigede til international beskyttelse, for en ensartet status for flygtninge eller for personer, der er berettiget til subsidiær beskyttelse, og for indholdet af sådan beskyttelse og om ændring af Rådets direktiv 2003/109 / EF af 25. november 2003 om status tredjelandsstatsborgere som fastboende udlænding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&lt;/AmendA&gt;</w:t>
      </w:r>
    </w:p>
    <w:p w:rsidR="00944CB0" w:rsidRPr="009D2EDD" w:rsidRDefault="001E7D6E">
      <w:pPr>
        <w:pStyle w:val="AMNumberTabs"/>
      </w:pPr>
      <w:r w:rsidRPr="009D2EDD">
        <w:rPr>
          <w:rStyle w:val="HideTWBExt"/>
        </w:rPr>
        <w:t>&lt;AmendA&gt;</w:t>
      </w:r>
      <w:r w:rsidRPr="009D2EDD">
        <w:rPr>
          <w:color w:val="auto"/>
        </w:rPr>
        <w:t xml:space="preserve">Ændringsforslag </w:t>
      </w:r>
      <w:r w:rsidRPr="009D2EDD">
        <w:tab/>
      </w:r>
      <w:r w:rsidRPr="009D2EDD">
        <w:tab/>
      </w:r>
      <w:r w:rsidRPr="009D2EDD">
        <w:rPr>
          <w:rStyle w:val="HideTWBExt"/>
        </w:rPr>
        <w:t>&lt;NumAmA&gt;</w:t>
      </w:r>
      <w:r w:rsidRPr="009D2EDD">
        <w:rPr>
          <w:color w:val="auto"/>
        </w:rPr>
        <w:t>99</w:t>
      </w:r>
      <w:r w:rsidRPr="009D2EDD">
        <w:rPr>
          <w:rStyle w:val="HideTWBExt"/>
        </w:rPr>
        <w:t>&lt;/NumAmA&gt;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lovgivningsmæssig beslutning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Henvisning 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Forslag til lovgivningsmæssig beslutning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w:t>
            </w:r>
            <w:r w:rsidRPr="009D2EDD">
              <w:tab/>
              <w:t>der henviser til udtalelse fra Det Europæiske Økonomiske og Sociale Udvalg af 14. december 2016</w:t>
            </w:r>
            <w:r w:rsidRPr="009D2EDD">
              <w:rPr>
                <w:rStyle w:val="SupBoldItalic"/>
                <w:color w:val="auto"/>
              </w:rPr>
              <w:t>1</w:t>
            </w:r>
            <w:r w:rsidRPr="009D2EDD">
              <w:t>,</w:t>
            </w:r>
          </w:p>
        </w:tc>
        <w:tc>
          <w:tcPr>
            <w:tcW w:w="4876" w:type="dxa"/>
          </w:tcPr>
          <w:p w:rsidR="00944CB0" w:rsidRPr="009D2EDD" w:rsidRDefault="001E7D6E">
            <w:pPr>
              <w:pStyle w:val="Normal6"/>
              <w:rPr>
                <w:color w:val="auto"/>
              </w:rPr>
            </w:pPr>
            <w:r w:rsidRPr="009D2EDD">
              <w:rPr>
                <w:b/>
                <w:i/>
                <w:color w:val="auto"/>
              </w:rPr>
              <w:t>udgår</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1</w:t>
            </w:r>
            <w:r w:rsidRPr="009D2EDD">
              <w:t>Endnu ikke offentliggjort i EUT.</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Det Europæiske Økonomiske og Sociale Udvalg er et rådgivende organer, for hvilke der kun er ringe belæg for at antage, at den ændrer politik, og overlapninger, af andre. Det bør derfor afskaffes. For at lette denne Parlamentet burde se bort fra sin udtalelse og således gør den delvis de facto afskaffet.</w:t>
      </w:r>
    </w:p>
    <w:p w:rsidR="00944CB0" w:rsidRPr="009D2EDD" w:rsidRDefault="001E7D6E">
      <w:r w:rsidRPr="009D2EDD">
        <w:rPr>
          <w:rStyle w:val="HideTWBExt"/>
        </w:rPr>
        <w:t>&lt;/AmendA&gt;</w:t>
      </w:r>
    </w:p>
    <w:p w:rsidR="00944CB0" w:rsidRPr="009D2EDD" w:rsidRDefault="001E7D6E">
      <w:pPr>
        <w:pStyle w:val="AMNumberTabs"/>
      </w:pPr>
      <w:r w:rsidRPr="009D2EDD">
        <w:rPr>
          <w:rStyle w:val="HideTWBExt"/>
        </w:rPr>
        <w:t>&lt;AmendA&gt;</w:t>
      </w:r>
      <w:r w:rsidRPr="009D2EDD">
        <w:rPr>
          <w:color w:val="auto"/>
        </w:rPr>
        <w:t xml:space="preserve">Ændringsforslag </w:t>
      </w:r>
      <w:r w:rsidRPr="009D2EDD">
        <w:tab/>
      </w:r>
      <w:r w:rsidRPr="009D2EDD">
        <w:tab/>
      </w:r>
      <w:r w:rsidRPr="009D2EDD">
        <w:rPr>
          <w:rStyle w:val="HideTWBExt"/>
        </w:rPr>
        <w:t>&lt;NumAmA&gt;</w:t>
      </w:r>
      <w:r w:rsidRPr="009D2EDD">
        <w:rPr>
          <w:color w:val="auto"/>
        </w:rPr>
        <w:t>100</w:t>
      </w:r>
      <w:r w:rsidRPr="009D2EDD">
        <w:rPr>
          <w:rStyle w:val="HideTWBExt"/>
        </w:rPr>
        <w:t>&lt;/NumAmA&gt;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lovgivningsmæssig beslutning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Henvisning 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Forslag til lovgivningsmæssig beslutning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w:t>
            </w:r>
            <w:r w:rsidRPr="009D2EDD">
              <w:tab/>
              <w:t>der henviser til udtalelse fra Regionsudvalget af 8. februar 2017</w:t>
            </w:r>
            <w:r w:rsidRPr="009D2EDD">
              <w:rPr>
                <w:rStyle w:val="SupBoldItalic"/>
                <w:color w:val="auto"/>
              </w:rPr>
              <w:t>2</w:t>
            </w:r>
            <w:r w:rsidRPr="009D2EDD">
              <w:t>,</w:t>
            </w:r>
          </w:p>
        </w:tc>
        <w:tc>
          <w:tcPr>
            <w:tcW w:w="4876" w:type="dxa"/>
          </w:tcPr>
          <w:p w:rsidR="00944CB0" w:rsidRPr="009D2EDD" w:rsidRDefault="001E7D6E">
            <w:pPr>
              <w:pStyle w:val="Normal6"/>
              <w:rPr>
                <w:color w:val="auto"/>
              </w:rPr>
            </w:pPr>
            <w:r w:rsidRPr="009D2EDD">
              <w:rPr>
                <w:b/>
                <w:i/>
                <w:color w:val="auto"/>
              </w:rPr>
              <w:t>udgår</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2</w:t>
            </w:r>
            <w:r w:rsidRPr="009D2EDD">
              <w:t>Endnu ikke offentliggjort i EUT.</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I betragtning af den større rolle i lovgivningsproceduren EU-Parliament rolle for Regionsudvalget i udformningen af EU-lovgivningen ikke længere er gyldig, og den bør derfor afskaffes. For at gøre dette lettere bør se bort fra sin udtalelse EU-Parliament og således gør den delvis de facto afskaffet.</w:t>
      </w:r>
    </w:p>
    <w:p w:rsidR="00944CB0" w:rsidRPr="009D2EDD" w:rsidRDefault="001E7D6E">
      <w:r w:rsidRPr="009D2EDD">
        <w:rPr>
          <w:rStyle w:val="HideTWBExt"/>
        </w:rPr>
        <w:t>&lt;/AmendA&gt;&lt;/RepeatBlock-AmendA&gt;&lt;RepeatBlock-AmendB&gt;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101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Afsnit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Forslag til</w:t>
            </w:r>
          </w:p>
          <w:p w:rsidR="00944CB0" w:rsidRPr="009D2EDD" w:rsidRDefault="001E7D6E">
            <w:pPr>
              <w:pStyle w:val="Normal6"/>
              <w:rPr>
                <w:color w:val="auto"/>
              </w:rPr>
            </w:pPr>
            <w:r w:rsidRPr="009D2EDD">
              <w:t>Europa-Parlamentets og Rådets forordning om standarder for anerkendelse af tredjelandsstatsborgere eller statsløse som berettigede til international beskyttelse, for en ensartet status for flygtninge eller for personer, der er berettiget til subsidiær beskyttelse, og for indholdet af sådan beskyttelse og om ændring af Rådets direktiv 2003/109 / EF af 25. november 2003 om status tredjelandsstatsborgere som fastboende udlænding</w:t>
            </w:r>
          </w:p>
          <w:p w:rsidR="00944CB0" w:rsidRPr="009D2EDD" w:rsidRDefault="001E7D6E">
            <w:pPr>
              <w:pStyle w:val="Normal6"/>
              <w:rPr>
                <w:color w:val="auto"/>
              </w:rPr>
            </w:pPr>
            <w:r w:rsidRPr="009D2EDD">
              <w:rPr>
                <w:color w:val="auto"/>
              </w:rPr>
              <w:t>om fastsættelse af standarder for anerkendelse af tredjelandsstatsborgere eller statsløse som personer med international beskyttelse, for en ensartet status for flygtninge eller for personer, der er berettiget til subsidiær beskyttelse, og for indholdet af en sådan beskyttelse og om ændring af Rådets direktiv 2003/109/EF af 25. november 2003 om tredjelandsstatsborgeres status som fastboende udlænding</w:t>
            </w:r>
          </w:p>
        </w:tc>
        <w:tc>
          <w:tcPr>
            <w:tcW w:w="4876" w:type="dxa"/>
          </w:tcPr>
          <w:p w:rsidR="00944CB0" w:rsidRPr="009D2EDD" w:rsidRDefault="001E7D6E">
            <w:pPr>
              <w:pStyle w:val="Normal6"/>
              <w:rPr>
                <w:color w:val="auto"/>
              </w:rPr>
            </w:pPr>
            <w:r w:rsidRPr="009D2EDD">
              <w:rPr>
                <w:color w:val="auto"/>
              </w:rPr>
              <w:t>Forslag til</w:t>
            </w:r>
          </w:p>
          <w:p w:rsidR="00944CB0" w:rsidRPr="009D2EDD" w:rsidRDefault="001E7D6E">
            <w:pPr>
              <w:pStyle w:val="Normal6"/>
              <w:rPr>
                <w:color w:val="auto"/>
              </w:rPr>
            </w:pPr>
            <w:r w:rsidRPr="009D2EDD">
              <w:t xml:space="preserve">EUROPA-PARLAMENTETS </w:t>
            </w:r>
            <w:r w:rsidR="00AA4696" w:rsidRPr="009D2EDD">
              <w:t>OG RÅDETS</w:t>
            </w:r>
            <w:r w:rsidRPr="009D2EDD">
              <w:t xml:space="preserve"> DIREKTIV</w:t>
            </w:r>
          </w:p>
          <w:p w:rsidR="00944CB0" w:rsidRPr="009D2EDD" w:rsidRDefault="001E7D6E">
            <w:pPr>
              <w:pStyle w:val="Normal6"/>
              <w:rPr>
                <w:color w:val="auto"/>
              </w:rPr>
            </w:pPr>
            <w:r w:rsidRPr="009D2EDD">
              <w:rPr>
                <w:color w:val="auto"/>
              </w:rPr>
              <w:t>om fastsættelse af standarder for anerkendelse af tredjelandsstatsborgere eller statsløse som personer med international beskyttelse, for en ensartet status for flygtninge eller for personer, der er berettiget til subsidiær beskyttelse, og for indholdet af en sådan beskyttelse og om ændring af Rådets direktiv 2003/109/EF af 25. november 2003 om tredjelandsstatsborgeres status som fastboende udlænding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Italic"/>
              <w:rPr>
                <w:color w:val="auto"/>
              </w:rPr>
            </w:pPr>
            <w:r w:rsidRPr="009D2EDD">
              <w:rPr>
                <w:color w:val="auto"/>
              </w:rPr>
              <w:t>(Dette ændringsforslag gælder for hele teksten. Hvis det vedtages, skal ændringerne foretages alle relevante steder).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102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(1)</w:t>
            </w:r>
            <w:r w:rsidRPr="009D2EDD">
              <w:tab/>
              <w:t>Der skal foretages en række betydelige ændringer af Rådets direktiv 2011/95/EU af 13. december 2011 om fastsættelse af standarder for anerkendelse af tredjelandsstatsborgere eller statsløse som personer med international beskyttelse, for en ensartet status for flygtninge eller for personer, der er berettiget til subsidiær beskyttelse, og for indholdet af en sådan beskyttelse</w:t>
            </w:r>
            <w:r w:rsidRPr="009D2EDD">
              <w:rPr>
                <w:rStyle w:val="SupBoldItalic"/>
                <w:color w:val="auto"/>
              </w:rPr>
              <w:t>31</w:t>
            </w:r>
            <w:r w:rsidRPr="009D2EDD">
              <w:t xml:space="preserve"> (omarbejdning).</w:t>
            </w:r>
            <w:r w:rsidRPr="009D2EDD">
              <w:rPr>
                <w:b/>
                <w:i/>
                <w:color w:val="auto"/>
              </w:rPr>
              <w:t xml:space="preserve"> For at sikre harmonisering og større konvergens i asylafgørelser og hvad angår indholdet af international beskyttelse, således at incitamenterne til at bevæge sig videre inden for Den Europæiske Union mindskes, og der sikres ligebehandling af personer med international beskyttelse, bør nævnte direktiv ophæves og erstattes af en forordning.</w:t>
            </w:r>
          </w:p>
        </w:tc>
        <w:tc>
          <w:tcPr>
            <w:tcW w:w="4876" w:type="dxa"/>
          </w:tcPr>
          <w:p w:rsidR="00944CB0" w:rsidRPr="009D2EDD" w:rsidRDefault="001E7D6E">
            <w:pPr>
              <w:pStyle w:val="Normal6"/>
              <w:rPr>
                <w:color w:val="auto"/>
              </w:rPr>
            </w:pPr>
            <w:r w:rsidRPr="009D2EDD">
              <w:rPr>
                <w:b/>
                <w:i/>
                <w:color w:val="auto"/>
              </w:rPr>
              <w:t>udgår</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31</w:t>
            </w:r>
            <w:r w:rsidRPr="009D2EDD">
              <w:t xml:space="preserve"> EUT L 337 af 20.12.2011, s. 9.</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Rådets direktiv 2011/95/EU af 13. december 2011 om fastsættelse af standarder for anerkendelse af tredjelandsstatsborgere eller statsløse som personer med international beskyttelse, for en ensartet status for flygtninge eller for personer, der er berettiget til subsidiær beskyttelse, og for indholdet af en sådan beskyttelse forstærker snarere end afhjælper de nuværende problemer med Genève-konventionen af 1951. For at tackle spørgsmål vedrørende kvalifikationer, Genève-konventionen af 1951, bør ændres, og Rådets direktiv 2011/95/EU af 13. december 2011 ophæves.</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103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 Malin Björk</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Der skal foretages en række betydelige ændringer af Rådets direktiv 2011/95/EU af 13. december 2011 om fastsættelse af standarder for anerkendelse af tredjelandsstatsborgere eller statsløse som personer med international beskyttelse, for en ensartet status for flygtninge eller for personer, der er berettiget til subsidiær beskyttelse, og for indholdet af en sådan beskyttelse</w:t>
            </w:r>
            <w:r w:rsidRPr="009D2EDD">
              <w:rPr>
                <w:rStyle w:val="SupBoldItalic"/>
                <w:color w:val="auto"/>
              </w:rPr>
              <w:t>31</w:t>
            </w:r>
            <w:r w:rsidRPr="009D2EDD">
              <w:rPr>
                <w:color w:val="auto"/>
              </w:rPr>
              <w:t xml:space="preserve"> (omarbejdning). For at sikre harmonisering og større konvergens i asylafgørelser og hvad angår indholdet af international beskyttelse, således at incitamenterne til at bevæge sig videre inden for Den Europæiske Union mindskes, og der sikres ligebehandling af personer med international beskyttelse, bør nævnte direktiv ophæves og erstattes af en forordning.</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Der skal foretages en række betydelige ændringer af Rådets direktiv 2011/95/EU af 13. december 2011 om fastsættelse af standarder for anerkendelse af tredjelandsstatsborgere eller statsløse som personer med international beskyttelse, for en ensartet status for flygtninge eller for personer, der er berettiget til subsidiær beskyttelse, og for indholdet af en sådan beskyttelse31 (omarbejdning). For at sikre harmonisering og større konvergens i asylafgørelser og hvad angår indholdet af international beskyttelse, således at incitamenterne til at bevæge sig videre inden for Den Europæiske Union mindskes, og der sikres ligebehandling af personer med international beskyttelse, bør nævnte direktiv ophæves og erstattes af en forordning.</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31</w:t>
            </w:r>
            <w:r w:rsidRPr="009D2EDD">
              <w:t xml:space="preserve"> EUT L 337 af 20.12.2011, s. 9.</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104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Der skal foretages en række betydelige ændringer af Rådets direktiv 2011/95/EU af 13. december 2011 om fastsættelse af standarder for anerkendelse af tredjelandsstatsborgere eller statsløse som personer med international beskyttelse, for en ensartet status for flygtninge eller for personer, der er berettiget til subsidiær beskyttelse, og for indholdet af en sådan beskyttelse</w:t>
            </w:r>
            <w:r w:rsidRPr="009D2EDD">
              <w:rPr>
                <w:rStyle w:val="Sup"/>
                <w:color w:val="auto"/>
              </w:rPr>
              <w:t>31</w:t>
            </w:r>
            <w:r w:rsidRPr="009D2EDD">
              <w:rPr>
                <w:color w:val="auto"/>
              </w:rPr>
              <w:t xml:space="preserve"> (omarbejdning). For at sikre harmonisering og større konvergens i asylafgørelser og hvad angår indholdet af international beskyttelse, således at incitamenterne til at bevæge sig videre inden for Den Europæiske Union mindskes, og der sikres ligebehandling af personer med international beskyttelse, bør nævnte direktiv ophæves og erstattes af en forordning.</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Der skal foretages en række betydelige ændringer af Rådets direktiv 2011/95/EU af 13. december 2011 om fastsættelse af standarder for anerkendelse af tredjelandsstatsborgere eller statsløse som personer med international beskyttelse, for en ensartet status for flygtninge eller for personer, der er berettiget til subsidiær beskyttelse, og for indholdet af en sådan beskyttelse</w:t>
            </w:r>
            <w:r w:rsidRPr="009D2EDD">
              <w:rPr>
                <w:rStyle w:val="Sup"/>
                <w:color w:val="auto"/>
              </w:rPr>
              <w:t>31</w:t>
            </w:r>
            <w:r w:rsidRPr="009D2EDD">
              <w:rPr>
                <w:color w:val="auto"/>
              </w:rPr>
              <w:t xml:space="preserve"> (omarbejdning). For at sikre harmonisering og større konvergens i asylafgørelser for at opnå høje fælles standarder i de forskellige medlemsstater, og hvad angår indholdet af international beskyttelse for at sikre høje standarder for behandling af personer med international beskyttelse, bør nævnte direktiv omarbejdes.</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31</w:t>
            </w:r>
            <w:r w:rsidRPr="009D2EDD">
              <w:t xml:space="preserve"> EUT L 337 af 20.12.2011, s. 9.</w:t>
            </w:r>
          </w:p>
        </w:tc>
        <w:tc>
          <w:tcPr>
            <w:tcW w:w="4876" w:type="dxa"/>
          </w:tcPr>
          <w:p w:rsidR="00944CB0" w:rsidRPr="009D2EDD" w:rsidRDefault="001E7D6E">
            <w:pPr>
              <w:pStyle w:val="Normal6"/>
              <w:rPr>
                <w:color w:val="auto"/>
              </w:rPr>
            </w:pPr>
            <w:r w:rsidRPr="009D2EDD">
              <w:rPr>
                <w:rStyle w:val="Sup"/>
                <w:color w:val="auto"/>
              </w:rPr>
              <w:t>31</w:t>
            </w:r>
            <w:r w:rsidRPr="009D2EDD">
              <w:t xml:space="preserve"> EUT L 337 af 20.12.2011, s. 9.</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105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Lorenzo Fontana</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Der skal foretages en række betydelige ændringer af Rådets direktiv 2011/95/EU af 13. december 2011 om fastsættelse af standarder for anerkendelse af tredjelandsstatsborgere eller statsløse som personer med international beskyttelse, for en ensartet status for flygtninge eller for personer, der er berettiget til subsidiær beskyttelse, og for indholdet af en sådan beskyttelse</w:t>
            </w:r>
            <w:r w:rsidRPr="009D2EDD">
              <w:rPr>
                <w:rStyle w:val="Sup"/>
                <w:color w:val="auto"/>
              </w:rPr>
              <w:t>31</w:t>
            </w:r>
            <w:r w:rsidRPr="009D2EDD">
              <w:rPr>
                <w:color w:val="auto"/>
              </w:rPr>
              <w:t xml:space="preserve"> (omarbejdning). For at sikre harmonisering og større konvergens i asylafgørelser og hvad angår indholdet af international beskyttelse, således at incitamenterne til at bevæge sig videre inden for Den Europæiske Union mindskes, og der sikres ligebehandling af personer med international beskyttelse, bør nævnte direktiv ophæves og erstattes af en forordning.</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Der skal foretages en række betydelige ændringer af Rådets direktiv 2011/95/EU af 13. december 2011 om fastsættelse af standarder for anerkendelse af tredjelandsstatsborgere eller statsløse som personer med international beskyttelse, for en ensartet status for flygtninge eller for personer, der er berettiget til subsidiær beskyttelse, og for indholdet af en sådan beskyttelse (omarbejdning). For at sikre harmonisering og større konvergens i asylafgørelser og hvad angår indholdet af international beskyttelse, således at incitamenterne til at bevæge sig videre inden for Den Europæiske Union mindskes, og der sikres ligebehandling af personer med international beskyttelse, bør nævnte direktiv ophæves og erstattes af en forordning.</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31</w:t>
            </w:r>
            <w:r w:rsidRPr="009D2EDD">
              <w:t xml:space="preserve"> EUT L 337 af 20.12.2011, s. 9.</w:t>
            </w:r>
          </w:p>
        </w:tc>
        <w:tc>
          <w:tcPr>
            <w:tcW w:w="4876" w:type="dxa"/>
          </w:tcPr>
          <w:p w:rsidR="00944CB0" w:rsidRPr="009D2EDD" w:rsidRDefault="001E7D6E">
            <w:pPr>
              <w:pStyle w:val="Normal6"/>
              <w:rPr>
                <w:color w:val="auto"/>
              </w:rPr>
            </w:pPr>
            <w:r w:rsidRPr="009D2EDD">
              <w:rPr>
                <w:rStyle w:val="Sup"/>
                <w:color w:val="auto"/>
              </w:rPr>
              <w:t>31</w:t>
            </w:r>
            <w:r w:rsidRPr="009D2EDD">
              <w:t xml:space="preserve"> EUT L 337 af 20.12.2011, s. 9.</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106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Kinga Gál, Pál Csáky,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Der skal foretages en række betydelige ændringer af Rådets direktiv 2011/95/EU af 13. december 2011 om fastsættelse af standarder for anerkendelse af tredjelandsstatsborgere eller statsløse som personer med international beskyttelse, for en ensartet status for flygtninge eller for personer, der er berettiget til subsidiær beskyttelse, og for indholdet af en sådan beskyttelse</w:t>
            </w:r>
            <w:r w:rsidRPr="009D2EDD">
              <w:rPr>
                <w:rStyle w:val="Sup"/>
                <w:color w:val="auto"/>
              </w:rPr>
              <w:t>31</w:t>
            </w:r>
            <w:r w:rsidRPr="009D2EDD">
              <w:rPr>
                <w:color w:val="auto"/>
              </w:rPr>
              <w:t xml:space="preserve"> (omarbejdning). For at sikre harmonisering og større konvergens i asylafgørelser og hvad angår indholdet af international beskyttelse, således at incitamenterne til at bevæge sig videre inden for Den Europæiske Union mindskes, og der sikres ligebehandling af personer med international beskyttelse, bør nævnte direktiv ophæves og erstattes af en forordning.</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Der skal foretages en række betydelige ændringer af Rådets direktiv 2011/95/EU af 13. december 2011 om fastsættelse af standarder for anerkendelse af tredjelandsstatsborgere eller statsløse som personer med international beskyttelse, for en ensartet status for flygtninge eller for personer, der er berettiget til subsidiær beskyttelse, og for indholdet af en sådan beskyttelse</w:t>
            </w:r>
            <w:r w:rsidRPr="009D2EDD">
              <w:rPr>
                <w:rStyle w:val="Sup"/>
                <w:color w:val="auto"/>
              </w:rPr>
              <w:t>31</w:t>
            </w:r>
            <w:r w:rsidRPr="009D2EDD">
              <w:rPr>
                <w:color w:val="auto"/>
              </w:rPr>
              <w:t xml:space="preserve"> (omarbejdning). For at sikre større konvergens i asylafgørelser og hvad angår indholdet af international beskyttelse, således at incitamenterne til at bevæge sig videre inden for Den Europæiske Union mindskes, og der sikres ligebehandling af personer med international beskyttelse, bør nævnte direktiv ophæves og erstattes af en forordning.</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31</w:t>
            </w:r>
            <w:r w:rsidRPr="009D2EDD">
              <w:t xml:space="preserve"> EUT L 337 af 20.12.2011, s. 9.</w:t>
            </w:r>
          </w:p>
        </w:tc>
        <w:tc>
          <w:tcPr>
            <w:tcW w:w="4876" w:type="dxa"/>
          </w:tcPr>
          <w:p w:rsidR="00944CB0" w:rsidRPr="009D2EDD" w:rsidRDefault="001E7D6E">
            <w:pPr>
              <w:pStyle w:val="Normal6"/>
              <w:rPr>
                <w:color w:val="auto"/>
              </w:rPr>
            </w:pPr>
            <w:r w:rsidRPr="009D2EDD">
              <w:rPr>
                <w:rStyle w:val="Sup"/>
                <w:color w:val="auto"/>
              </w:rPr>
              <w:t>31</w:t>
            </w:r>
            <w:r w:rsidRPr="009D2EDD">
              <w:t xml:space="preserve"> EUT L 337 af 20.12.2011, s. 9.</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107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(2)</w:t>
            </w:r>
            <w:r w:rsidRPr="009D2EDD">
              <w:tab/>
            </w:r>
            <w:r w:rsidRPr="009D2EDD">
              <w:rPr>
                <w:b/>
                <w:i/>
                <w:color w:val="auto"/>
              </w:rPr>
              <w:t>En fælles politik på asylområdet, herunder et fælles europæisk asylsystem, som bygger på en fuldstændig og inklusiv anvendelse af Genèvekonventionen om flygtninges retsstilling af 28. juli 1951, ændret ved New York-protokollen af 31. januar 1967 (Genèvekonventionen), indgår som et grundlæggende element i Den Europæiske Unions målsætning om gradvis at indføre et område med frihed, sikkerhed og retfærdighed, der er åbent for personer, som, tvunget af omstændighederne, legitimt søger beskyttelse i Unionen. En sådan politik bør bygge på princippet om solidaritet og en retfærdig ansvarsfordeling, også af de finansielle følger, mellem medlemsstaterne.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Genèvekonventionen om flygtninges retsstilling af 28. juli 1951, ændret ved New York-protokollen af 31. januar 1967 (Genèvekonventionen) er ikke blevet tilstrækkeligt ajourført og ændret for i en moderne kontekst og bør derfor ændres, inden det betragtes som et grundlag for lovgivning på dette område.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108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Lorenzo Fontana</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t>En fælles politik på asylområdet, herunder et fælles europæisk asylsystem, som bygger på en fuldstændig og inklusiv anvendelse af Genèvekonventionen om flygtninges retsstilling af 28. juli 1951, ændret ved New York-protokollen af 31. januar 1967 (Genèvekonventionen), indgår som et grundlæggende element i Den Europæiske Unions målsætning om gradvis at indføre et område med frihed, sikkerhed og retfærdighed, der er åbent for personer, som, tvunget af omstændighederne, legitimt søger beskyttelse i Unionen.</w:t>
            </w:r>
            <w:r w:rsidRPr="009D2EDD">
              <w:rPr>
                <w:b/>
                <w:i/>
                <w:color w:val="auto"/>
              </w:rPr>
              <w:t xml:space="preserve"> </w:t>
            </w:r>
            <w:r w:rsidRPr="009D2EDD">
              <w:rPr>
                <w:color w:val="auto"/>
              </w:rPr>
              <w:t>En sådan politik bør bygge på princippet om solidaritet og en retfærdig ansvarsfordeling, også af de finansielle følger, mellem medlemsstaterne.</w:t>
            </w:r>
          </w:p>
        </w:tc>
        <w:tc>
          <w:tcPr>
            <w:tcW w:w="4876" w:type="dxa"/>
          </w:tcPr>
          <w:p w:rsidR="00944CB0" w:rsidRPr="009D2EDD" w:rsidRDefault="001E7D6E">
            <w:pPr>
              <w:pStyle w:val="Normal6"/>
              <w:rPr>
                <w:color w:val="auto"/>
              </w:rPr>
            </w:pPr>
            <w:r w:rsidRPr="009D2EDD">
              <w:rPr>
                <w:color w:val="auto"/>
              </w:rPr>
              <w:t>(2)</w:t>
            </w:r>
            <w:r w:rsidRPr="009D2EDD">
              <w:tab/>
            </w:r>
            <w:r w:rsidRPr="009D2EDD">
              <w:rPr>
                <w:b/>
                <w:i/>
                <w:color w:val="auto"/>
              </w:rPr>
              <w:t xml:space="preserve">Asylpolitik skal være underlagt princippet om solidaritet og rimelig ansvarsfordeling, herunder de finansielle indvirkninger, mellem medlemsstaterne, men EU's erfaringer på dette område indtil nu, har været en fiasko. </w:t>
            </w:r>
            <w:r w:rsidRPr="009D2EDD">
              <w:t>Udflytninger er bortfaldet af titusinder af børn, det stigende antal dødsfald i Middelhavet og voksende sociale spændinger er resultatet af EU's politikker.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109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En fælles politik på asylområdet, herunder et fælles europæisk asylsystem, som bygger på en fuldstændig og inklusiv anvendelse af Genèvekonventionen om flygtninges retsstilling af 28. juli 1951, ændret ved New York-protokollen af 31. januar 1967 (Genèvekonventionen), indgår som et grundlæggende element i Den Europæiske Unions målsætning om gradvis at indføre et område med frihed, sikkerhed og retfærdighed, der er åbent for personer, som, tvunget af omstændighederne, legitimt søger beskyttelse i Unionen. En sådan politik bør bygge på princippet om solidaritet og en retfærdig ansvarsfordeling, også af de finansielle følger, mellem medlemsstaterne.</w:t>
            </w:r>
          </w:p>
        </w:tc>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En fælles politik på asylområdet, herunder et fælles europæisk asylsystem, som bygger på en fuldstændig og inklusiv anvendelse af Genèvekonventionen om flygtninges retsstilling af 28. juli 1951, ændret ved New York-protokollen af 31. januar 1967 (Genèvekonventionen), indgår som et grundlæggende element i Den Europæiske Unions målsætning om gradvis at indføre et område med frihed, sikkerhed og retfærdighed, der er åbent for personer, som, tvunget af omstændighederne, legitimt søger beskyttelse i Unionen. En sådan politik bør være underlagt princippet om overkommelige priser, under hensyntagen til absorptionskapaciteten i det modtagende samfund samt maksimal uafhængighed af personer, der nyder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110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Kinga Gál, Pál Csáky,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En fælles politik på asylområdet, herunder et fælles europæisk asylsystem, som bygger på en fuldstændig og inklusiv anvendelse af Genèvekonventionen om flygtninges retsstilling af 28. juli 1951, ændret ved New York-protokollen af 31. januar 1967 (Genèvekonventionen), indgår som et grundlæggende element i Den Europæiske Unions målsætning om gradvis at indføre et område med frihed, sikkerhed og retfærdighed, der er åbent for personer, som, tvunget af omstændighederne, legitimt søger beskyttelse i Unionen. En sådan politik bør bygge på princippet om solidaritet og en retfærdig ansvarsfordeling, også af de finansielle følger, mellem medlemsstaterne.</w:t>
            </w:r>
          </w:p>
        </w:tc>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En fælles politik på asylområdet, herunder et fælles europæisk asylsystem, som bygger på en fuldstændig og inklusiv anvendelse af Genèvekonventionen om flygtninges retsstilling af 28. juli 1951, ændret ved New York-protokollen af 31. januar 1967 (Genèvekonventionen), indgår som et grundlæggende element i Den Europæiske Unions målsætning om gradvis at indføre et område med frihed, sikkerhed og retfærdighed, der er åbent for personer, som, tvunget af omstændighederne, legitimt søger beskyttelse i Unionen. En sådan politik bør bygge på princippet om solidaritet og en retfærdig ansvarsfordeling mellem medlemsstaterne.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111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(3)</w:t>
            </w:r>
            <w:r w:rsidRPr="009D2EDD">
              <w:tab/>
            </w:r>
            <w:r w:rsidRPr="009D2EDD">
              <w:rPr>
                <w:b/>
                <w:i/>
                <w:color w:val="auto"/>
              </w:rPr>
              <w:t>Det fælles europæiske asylsystem er baseret på fælles standarder for asylprocedurer, anerkendelse og beskyttelse på EU-plan, modtagelsesforhold og et system til fastlæggelse af medlemsstaternes ansvar for asylansøgere. Trods de hidtidige fremskridt i den gradvise udvikling af det fælles europæiske asylsystem er der fortsat betydelige forskelle mellem medlemsstaterne med hensyn til procedurer, anerkendelsesprocenter, arten af beskyttelse, de materielle modtagelsesforhold og de ydelser, der gives til personer, som ansøger om eller nyder international beskyttelse. Disse forskelle giver i høj grad anledning til sekundære bevægelser og undergraver målet om at sikre, at alle ansøgere behandles ens, uanset hvor de ansøger i Unionen.</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I betragtning af de forskellige interesser, værdier, velstand og kapacitet til at absorbere migranter blandt medlemsstaterne, er det urealistisk at tro, at modtagelsesforhold kan være lig med slet ikke harmoniseret.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112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Lorenzo Fontana</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Det fælles europæiske asylsystem er baseret på fælles standarder for asylprocedurer, anerkendelse og beskyttelse på EU-plan, modtagelsesforhold og et system til fastlæggelse af medlemsstaternes ansvar for asylansøgere. Trods de hidtidige fremskridt i den gradvise udvikling af det fælles europæiske asylsystem er der fortsat betydelige forskelle mellem medlemsstaterne med hensyn til procedurer, anerkendelsesprocenter, arten af beskyttelse, de materielle modtagelsesforhold og de ydelser, der gives til personer, som ansøger om eller nyder international beskyttelse.</w:t>
            </w:r>
            <w:r w:rsidRPr="009D2EDD">
              <w:rPr>
                <w:b/>
                <w:i/>
                <w:color w:val="auto"/>
              </w:rPr>
              <w:t xml:space="preserve"> </w:t>
            </w:r>
            <w:r w:rsidRPr="009D2EDD">
              <w:rPr>
                <w:color w:val="auto"/>
              </w:rPr>
              <w:t>Disse forskelle giver i høj grad anledning til sekundære bevægelser og undergraver målet om at sikre, at alle ansøgere behandles ens, uanset hvor de ansøger i Unionen.</w:t>
            </w:r>
          </w:p>
        </w:tc>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Det fælles europæiske asylsystem bør være baseret på fælles standarder for asylprocedurer, anerkendelse og beskyttelse på EU-plan, modtagelsesforhold og et system til fastlæggelse af medlemsstaternes ansvar for asylansøgere. På trods af sine mangler indtil videre er EU fortsat med politikker, der konstant straffe de lande, hvor migranterne først ankommer.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113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Det fælles europæiske asylsystem er baseret på fælles standarder for asylprocedurer, anerkendelse og beskyttelse på EU-plan, modtagelsesforhold og et system til fastlæggelse af medlemsstaternes ansvar for asylansøgere. Trods de hidtidige fremskridt i den gradvise udvikling af det fælles europæiske asylsystem er der fortsat betydelige forskelle mellem medlemsstaterne med hensyn til procedurer, anerkendelsesprocenter, arten af beskyttelse, de materielle modtagelsesforhold og de ydelser, der gives til personer, som ansøger om eller nyder international beskyttelse. Disse forskelle giver i høj grad anledning til sekundære bevægelser og undergraver målet om at sikre, at alle ansøgere behandles ens, uanset hvor de ansøger i Unionen.</w:t>
            </w:r>
          </w:p>
        </w:tc>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Det fælles europæiske asylsystem er baseret på fælles standarder for asylprocedurer, anerkendelse og beskyttelse på EU-plan, modtagelsesforhold og et system til fastlæggelse af medlemsstaternes ansvar for asylansøgere. Trods de hidtidige fremskridt i den gradvise udvikling af det fælles europæiske asylsystem er der fortsat betydelige forskelle mellem medlemsstaterne med hensyn til procedurer, anerkendelsesprocenter, arten af beskyttelse, de materielle modtagelsesforhold og de ydelser, der gives til personer, som ansøger om eller nyder international beskyttelse. Disse forskelle udgør vigtige drivkræfter for sekundære bevægelser og underminerer målet om at sikre, at alle ansøgere behandles ens, uanset hvor i Unionen de ansøger.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114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Det fælles europæiske asylsystem er baseret på fælles standarder for asylprocedurer, anerkendelse og beskyttelse på EU-plan, modtagelsesforhold og et system til fastlæggelse af medlemsstaternes ansvar for asylansøgere. Trods de hidtidige fremskridt i den gradvise udvikling af det fælles europæiske asylsystem er der fortsat betydelige forskelle mellem medlemsstaterne med hensyn til procedurer, anerkendelsesprocenter, arten af beskyttelse, de materielle modtagelsesforhold og de ydelser, der gives til personer, som ansøger om eller nyder international beskyttelse. Disse forskelle giver i høj grad anledning til sekundære bevægelser og undergraver målet om at sikre, at alle ansøgere behandles ens, uanset hvor de ansøger i Unionen.</w:t>
            </w:r>
          </w:p>
        </w:tc>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Det fælles europæiske asylsystem er baseret på fælles standarder for asylprocedurer, anerkendelse og beskyttelse på EU-plan, modtagelsesforhold og et system til fastlæggelse af medlemsstaternes ansvar for asylansøgere. Trods de hidtidige fremskridt i den gradvise udvikling af det fælles europæiske asylsystem er der fortsat betydelige forskelle mellem medlemsstaterne med hensyn til procedurer, anerkendelsesprocenter, arten af beskyttelse, de materielle modtagelsesforhold og de ydelser, der gives til personer, som ansøger om eller nyder international beskyttelse. Disse forskelle udgør vigtige drivkræfter for sekundære bevægelser og underminerer målet om at sikre, at alle ansøgere behandles ens, uanset hvor i Unionen de ansøger.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115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 Jean Lambert</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 a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(3a)</w:t>
            </w:r>
            <w:r w:rsidRPr="009D2EDD">
              <w:tab/>
            </w:r>
            <w:r w:rsidRPr="009D2EDD">
              <w:rPr>
                <w:b/>
                <w:i/>
                <w:color w:val="auto"/>
              </w:rPr>
              <w:t>I øjeblikket anerkender medlemsstaterne kun asylafgørelser fra andre medlemsstater, når disse afgørelser indebærer et afslag på at yde international beskyttelse. For at sikre en korrekt gennemførelse af artikel 78, stk. 2, i traktaten om Den Europæiske Unions funktionsmåde (TEUF), som efterlyser en ensartet asylstatus for tredjelandsstatsborgere, der gælder i hele Unionen, bevæger medlemsstaterne sig i retning af gensidig anerkendelse af asylafgørelser fra andre medlemsstater, som giver international beskyttelse til personer med behov for det.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Skyggeordføreren er enig med ordføreren i, at fuld gensidig anerkendelse af internationale beslutninger om beskyttelse, og som medlemsstaterne er nødvendig for at etablere et reelt ensartet status for international beskyttelse i Unionen.</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116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(4)</w:t>
            </w:r>
            <w:r w:rsidRPr="009D2EDD">
              <w:tab/>
              <w:t>I sin meddelelse af 6. april 2016</w:t>
            </w:r>
            <w:r w:rsidRPr="009D2EDD">
              <w:rPr>
                <w:rStyle w:val="SupBoldItalic"/>
                <w:color w:val="auto"/>
              </w:rPr>
              <w:t>32</w:t>
            </w:r>
            <w:r w:rsidRPr="009D2EDD">
              <w:t xml:space="preserve"> gjorde Kommissionen rede for mulighederne for at forbedre det fælles europæiske asylsystem, især ved at etablere en bæredygtig og retfærdig ordning for udpegelse af den medlemsstat, der har ansvaret for bestemte asylansøgere, styrke Eurodac-systemet, opnå øget konvergens i EU-asylsystemet og forhindre sekundære bevægelser inden for Den Europæiske Union samt give Den Europæiske Unions Asylagentur et nyt mandat.</w:t>
            </w:r>
            <w:r w:rsidRPr="009D2EDD">
              <w:rPr>
                <w:b/>
                <w:i/>
                <w:color w:val="auto"/>
              </w:rPr>
              <w:t xml:space="preserve"> </w:t>
            </w:r>
            <w:r w:rsidRPr="009D2EDD">
              <w:t>Nævnte meddelelse er i overensstemmelse med opfordringerne fra Det Europæiske Råd den 18.-19. februar 2016</w:t>
            </w:r>
            <w:r w:rsidRPr="009D2EDD">
              <w:rPr>
                <w:rStyle w:val="SupBoldItalic"/>
                <w:color w:val="auto"/>
              </w:rPr>
              <w:t>33</w:t>
            </w:r>
            <w:r w:rsidRPr="009D2EDD">
              <w:t xml:space="preserve"> med henblik på at gøre fremskridt hen imod en reform af EU's nuværende rammer, således at der sikres en human og effektiv asylpolitik.</w:t>
            </w:r>
            <w:r w:rsidRPr="009D2EDD">
              <w:rPr>
                <w:b/>
                <w:i/>
                <w:color w:val="auto"/>
              </w:rPr>
              <w:t xml:space="preserve"> I meddelelsen foreslås desuden de videre skridt i tråd med den helhedsorienterede tilgang til migration, som Europa-Parlamentet har fastlagt i sin initiativbetænkning af 12. april 2016.</w:t>
            </w:r>
          </w:p>
        </w:tc>
        <w:tc>
          <w:tcPr>
            <w:tcW w:w="4876" w:type="dxa"/>
          </w:tcPr>
          <w:p w:rsidR="00944CB0" w:rsidRPr="009D2EDD" w:rsidRDefault="001E7D6E">
            <w:pPr>
              <w:pStyle w:val="Normal6"/>
              <w:rPr>
                <w:color w:val="auto"/>
              </w:rPr>
            </w:pPr>
            <w:r w:rsidRPr="009D2EDD">
              <w:rPr>
                <w:b/>
                <w:i/>
                <w:color w:val="auto"/>
              </w:rPr>
              <w:t>udgår</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32</w:t>
            </w:r>
            <w:r w:rsidRPr="009D2EDD">
              <w:t xml:space="preserve"> COM (2016) 197 final.</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33</w:t>
            </w:r>
            <w:r w:rsidRPr="009D2EDD">
              <w:t xml:space="preserve"> EUCO 19.02.2016, SN 1/16.</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I betragtning af de forskellige interesser, værdier, velstand og kapacitet til at absorbere migranter blandt medlemsstaterne, er det urealistisk at tro, at lovgivningen vil føre til en effektiv og harmoniseret fælles asylpolitik.</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117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w:t>
            </w:r>
            <w:r w:rsidRPr="009D2EDD">
              <w:tab/>
            </w:r>
            <w:r w:rsidRPr="009D2EDD">
              <w:rPr>
                <w:color w:val="auto"/>
              </w:rPr>
              <w:t>I sin meddelelse af 6. april 2016</w:t>
            </w:r>
            <w:r w:rsidRPr="009D2EDD">
              <w:rPr>
                <w:rStyle w:val="Sup"/>
                <w:color w:val="auto"/>
              </w:rPr>
              <w:t>32</w:t>
            </w:r>
            <w:r w:rsidRPr="009D2EDD">
              <w:rPr>
                <w:color w:val="auto"/>
              </w:rPr>
              <w:t xml:space="preserve"> gjorde Kommissionen rede for mulighederne for at forbedre det fælles europæiske asylsystem, især ved at etablere en bæredygtig og retfærdig ordning for udpegelse af den medlemsstat, der har ansvaret for bestemte asylansøgere, styrke Eurodac-systemet, opnå øget konvergens i EU-asylsystemet og forhindre sekundære bevægelser inden for Den Europæiske Union samt give Den Europæiske Unions Asylagentur et nyt mandat. Nævnte meddelelse er i overensstemmelse med opfordringerne fra Det Europæiske Råd den 18.-19. februar 2016</w:t>
            </w:r>
            <w:r w:rsidRPr="009D2EDD">
              <w:rPr>
                <w:rStyle w:val="Sup"/>
                <w:color w:val="auto"/>
              </w:rPr>
              <w:t>33</w:t>
            </w:r>
            <w:r w:rsidRPr="009D2EDD">
              <w:rPr>
                <w:color w:val="auto"/>
              </w:rPr>
              <w:t xml:space="preserve"> med henblik på at gøre fremskridt hen imod en reform af EU's nuværende rammer, således at der sikres en human og effektiv asylpolitik. I meddelelsen foreslås desuden de videre skridt i tråd med den helhedsorienterede tilgang til migration, som Europa-Parlamentet har fastlagt i sin initiativbetænkning af 12. april 2016.</w:t>
            </w:r>
          </w:p>
        </w:tc>
        <w:tc>
          <w:tcPr>
            <w:tcW w:w="4876" w:type="dxa"/>
          </w:tcPr>
          <w:p w:rsidR="00944CB0" w:rsidRPr="009D2EDD" w:rsidRDefault="001E7D6E">
            <w:pPr>
              <w:pStyle w:val="Normal6"/>
              <w:rPr>
                <w:color w:val="auto"/>
              </w:rPr>
            </w:pPr>
            <w:r w:rsidRPr="009D2EDD">
              <w:rPr>
                <w:color w:val="auto"/>
              </w:rPr>
              <w:t>(4)</w:t>
            </w:r>
            <w:r w:rsidRPr="009D2EDD">
              <w:tab/>
            </w:r>
            <w:r w:rsidRPr="009D2EDD">
              <w:rPr>
                <w:color w:val="auto"/>
              </w:rPr>
              <w:t>I sin meddelelse af 6. april 2016</w:t>
            </w:r>
            <w:r w:rsidRPr="009D2EDD">
              <w:rPr>
                <w:rStyle w:val="Sup"/>
                <w:color w:val="auto"/>
              </w:rPr>
              <w:t>32</w:t>
            </w:r>
            <w:r w:rsidRPr="009D2EDD">
              <w:rPr>
                <w:color w:val="auto"/>
              </w:rPr>
              <w:t xml:space="preserve"> gjorde Kommissionen rede for mulighederne for at forbedre det fælles europæiske asylsystem, især ved at etablere en bæredygtig og retfærdig ordning for udpegelse af den medlemsstat, der har ansvaret for bestemte asylansøgere, styrke Eurodac-systemet, opnå øget konvergens i EU-asylsystemet og forhindre sekundære bevægelser inden for Den Europæiske Union samt give Den Europæiske Unions Asylagentur (agenturet) et nyt mandat. Nævnte meddelelse er i overensstemmelse med opfordringerne fra Det Europæiske Råd den 18.-19. februar 2016</w:t>
            </w:r>
            <w:r w:rsidRPr="009D2EDD">
              <w:rPr>
                <w:rStyle w:val="Sup"/>
                <w:color w:val="auto"/>
              </w:rPr>
              <w:t>33</w:t>
            </w:r>
            <w:r w:rsidRPr="009D2EDD">
              <w:rPr>
                <w:color w:val="auto"/>
              </w:rPr>
              <w:t xml:space="preserve"> med henblik på at gøre fremskridt hen imod en reform af EU's nuværende rammer, således at der sikres en human og effektiv asylpolitik. Men det helt ser bort fra de henstillinger, der fremsættes i den helhedsorienterede tilgang til migration, som Europa-Parlamentet har fastlagt i sin initiativbetænkning af 12. april 2016.</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32</w:t>
            </w:r>
            <w:r w:rsidRPr="009D2EDD">
              <w:t xml:space="preserve"> COM (2016) 197 final.</w:t>
            </w:r>
          </w:p>
        </w:tc>
        <w:tc>
          <w:tcPr>
            <w:tcW w:w="4876" w:type="dxa"/>
          </w:tcPr>
          <w:p w:rsidR="00944CB0" w:rsidRPr="009D2EDD" w:rsidRDefault="001E7D6E">
            <w:pPr>
              <w:pStyle w:val="Normal6"/>
              <w:rPr>
                <w:color w:val="auto"/>
              </w:rPr>
            </w:pPr>
            <w:r w:rsidRPr="009D2EDD">
              <w:rPr>
                <w:rStyle w:val="Sup"/>
                <w:color w:val="auto"/>
              </w:rPr>
              <w:t>32</w:t>
            </w:r>
            <w:r w:rsidRPr="009D2EDD">
              <w:t xml:space="preserve"> COM (2016) 197 final.</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33</w:t>
            </w:r>
            <w:r w:rsidRPr="009D2EDD">
              <w:t xml:space="preserve"> EUCO 19.2.2016, SN 1/16.</w:t>
            </w:r>
          </w:p>
        </w:tc>
        <w:tc>
          <w:tcPr>
            <w:tcW w:w="4876" w:type="dxa"/>
          </w:tcPr>
          <w:p w:rsidR="00944CB0" w:rsidRPr="009D2EDD" w:rsidRDefault="001E7D6E">
            <w:pPr>
              <w:pStyle w:val="Normal6"/>
              <w:rPr>
                <w:color w:val="auto"/>
              </w:rPr>
            </w:pPr>
            <w:r w:rsidRPr="009D2EDD">
              <w:rPr>
                <w:rStyle w:val="Sup"/>
                <w:color w:val="auto"/>
              </w:rPr>
              <w:t>33</w:t>
            </w:r>
            <w:r w:rsidRPr="009D2EDD">
              <w:t xml:space="preserve"> EUCO 19.2.2016, SN 1/16.</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118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w:t>
            </w:r>
            <w:r w:rsidRPr="009D2EDD">
              <w:tab/>
            </w:r>
            <w:r w:rsidRPr="009D2EDD">
              <w:rPr>
                <w:color w:val="auto"/>
              </w:rPr>
              <w:t>I sin meddelelse af 6. april 2016</w:t>
            </w:r>
            <w:r w:rsidRPr="009D2EDD">
              <w:rPr>
                <w:rStyle w:val="Sup"/>
                <w:color w:val="auto"/>
              </w:rPr>
              <w:t>32</w:t>
            </w:r>
            <w:r w:rsidRPr="009D2EDD">
              <w:rPr>
                <w:color w:val="auto"/>
              </w:rPr>
              <w:t xml:space="preserve"> gjorde Kommissionen rede for mulighederne for at forbedre det fælles europæiske asylsystem, især ved at etablere en bæredygtig og retfærdig ordning for udpegelse af den medlemsstat, der har ansvaret for bestemte asylansøgere, styrke Eurodac-systemet, opnå øget konvergens i EU-asylsystemet og forhindre sekundære bevægelser inden for Den Europæiske Union samt give Den Europæiske Unions Asylagentur et nyt mandat. Nævnte meddelelse er i overensstemmelse med opfordringerne fra Det Europæiske Råd den 18.-19. februar 2016</w:t>
            </w:r>
            <w:r w:rsidRPr="009D2EDD">
              <w:rPr>
                <w:rStyle w:val="Sup"/>
                <w:color w:val="auto"/>
              </w:rPr>
              <w:t>33</w:t>
            </w:r>
            <w:r w:rsidRPr="009D2EDD">
              <w:rPr>
                <w:color w:val="auto"/>
              </w:rPr>
              <w:t xml:space="preserve"> med henblik på at gøre fremskridt hen imod en reform af EU's nuværende rammer, således at der sikres en human og effektiv asylpolitik. I meddelelsen foreslås desuden de videre skridt i tråd med den helhedsorienterede tilgang til migration, som Europa-Parlamentet har fastlagt i sin initiativbetænkning af 12. april 2016.</w:t>
            </w:r>
          </w:p>
        </w:tc>
        <w:tc>
          <w:tcPr>
            <w:tcW w:w="4876" w:type="dxa"/>
          </w:tcPr>
          <w:p w:rsidR="00944CB0" w:rsidRPr="009D2EDD" w:rsidRDefault="001E7D6E">
            <w:pPr>
              <w:pStyle w:val="Normal6"/>
              <w:rPr>
                <w:color w:val="auto"/>
              </w:rPr>
            </w:pPr>
            <w:r w:rsidRPr="009D2EDD">
              <w:rPr>
                <w:color w:val="auto"/>
              </w:rPr>
              <w:t>(4)</w:t>
            </w:r>
            <w:r w:rsidRPr="009D2EDD">
              <w:tab/>
            </w:r>
            <w:r w:rsidRPr="009D2EDD">
              <w:rPr>
                <w:color w:val="auto"/>
              </w:rPr>
              <w:t>I sin meddelelse af 6. april 2016</w:t>
            </w:r>
            <w:r w:rsidRPr="009D2EDD">
              <w:rPr>
                <w:rStyle w:val="Sup"/>
                <w:color w:val="auto"/>
              </w:rPr>
              <w:t>32</w:t>
            </w:r>
            <w:r w:rsidRPr="009D2EDD">
              <w:rPr>
                <w:color w:val="auto"/>
              </w:rPr>
              <w:t xml:space="preserve"> gjorde Kommissionen rede for mulighederne for at forbedre det fælles europæiske asylsystem, især ved at etablere en bæredygtig og retfærdig ordning for udpegelse af den medlemsstat, der har ansvaret for bestemte asylansøgere, styrke Eurodac-systemet, opnå øget konvergens i EU-asylsystemet samt give Den Europæiske Unions Asylagentur et nyt mandat. Nævnte meddelelse er i overensstemmelse med opfordringerne fra Det Europæiske Råd den 18.-19. februar 2016</w:t>
            </w:r>
            <w:r w:rsidRPr="009D2EDD">
              <w:rPr>
                <w:rStyle w:val="Sup"/>
                <w:color w:val="auto"/>
              </w:rPr>
              <w:t>33</w:t>
            </w:r>
            <w:r w:rsidRPr="009D2EDD">
              <w:rPr>
                <w:color w:val="auto"/>
              </w:rPr>
              <w:t xml:space="preserve"> for at gøre fremskridt i retning af at reformere EU's nuværende rammer for at sikre en human og effektiv asylpolitik, der sikrer høje standarder i hele EU. Den foreslår desuden en vej fremad i delvis overensstemmelse med den samlede tilgang til migration, som Europa-Parlamentet fastsatte i sin initiativbetænkning af 12. april 2016.</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32</w:t>
            </w:r>
            <w:r w:rsidRPr="009D2EDD">
              <w:t xml:space="preserve"> COM (2016) 197 final.</w:t>
            </w:r>
          </w:p>
        </w:tc>
        <w:tc>
          <w:tcPr>
            <w:tcW w:w="4876" w:type="dxa"/>
          </w:tcPr>
          <w:p w:rsidR="00944CB0" w:rsidRPr="009D2EDD" w:rsidRDefault="001E7D6E">
            <w:pPr>
              <w:pStyle w:val="Normal6"/>
              <w:rPr>
                <w:color w:val="auto"/>
              </w:rPr>
            </w:pPr>
            <w:r w:rsidRPr="009D2EDD">
              <w:rPr>
                <w:rStyle w:val="Sup"/>
                <w:color w:val="auto"/>
              </w:rPr>
              <w:t>32</w:t>
            </w:r>
            <w:r w:rsidRPr="009D2EDD">
              <w:t xml:space="preserve"> COM (2016) 197 final.</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33</w:t>
            </w:r>
            <w:r w:rsidRPr="009D2EDD">
              <w:t xml:space="preserve"> EUCO 19.02.2016, SN 1/16.</w:t>
            </w:r>
          </w:p>
        </w:tc>
        <w:tc>
          <w:tcPr>
            <w:tcW w:w="4876" w:type="dxa"/>
          </w:tcPr>
          <w:p w:rsidR="00944CB0" w:rsidRPr="009D2EDD" w:rsidRDefault="001E7D6E">
            <w:pPr>
              <w:pStyle w:val="Normal6"/>
              <w:rPr>
                <w:color w:val="auto"/>
              </w:rPr>
            </w:pPr>
            <w:r w:rsidRPr="009D2EDD">
              <w:rPr>
                <w:rStyle w:val="Sup"/>
                <w:color w:val="auto"/>
              </w:rPr>
              <w:t>33</w:t>
            </w:r>
            <w:r w:rsidRPr="009D2EDD">
              <w:t xml:space="preserve"> EUCO 19.02.2016, SN 1/16.</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119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w:t>
            </w:r>
            <w:r w:rsidRPr="009D2EDD">
              <w:tab/>
            </w:r>
            <w:r w:rsidRPr="009D2EDD">
              <w:rPr>
                <w:color w:val="auto"/>
              </w:rPr>
              <w:t>I sin meddelelse af 6. april 2016</w:t>
            </w:r>
            <w:r w:rsidRPr="009D2EDD">
              <w:rPr>
                <w:rStyle w:val="Sup"/>
                <w:color w:val="auto"/>
              </w:rPr>
              <w:t>32</w:t>
            </w:r>
            <w:r w:rsidRPr="009D2EDD">
              <w:rPr>
                <w:color w:val="auto"/>
              </w:rPr>
              <w:t xml:space="preserve"> gjorde Kommissionen rede for mulighederne for at forbedre det fælles europæiske asylsystem, især ved at etablere en bæredygtig og retfærdig ordning for udpegelse af den medlemsstat, der har ansvaret for bestemte asylansøgere, styrke Eurodac-systemet, opnå øget konvergens i EU-asylsystemet og forhindre sekundære bevægelser inden for Den Europæiske Union samt give Den Europæiske Unions Asylagentur et nyt mandat. Nævnte meddelelse er i overensstemmelse med opfordringerne fra Det Europæiske Råd den 18.-19. februar 2016</w:t>
            </w:r>
            <w:r w:rsidRPr="009D2EDD">
              <w:rPr>
                <w:rStyle w:val="Sup"/>
                <w:color w:val="auto"/>
              </w:rPr>
              <w:t>33</w:t>
            </w:r>
            <w:r w:rsidRPr="009D2EDD">
              <w:rPr>
                <w:color w:val="auto"/>
              </w:rPr>
              <w:t xml:space="preserve"> med henblik på at gøre fremskridt hen imod en reform af EU's nuværende rammer, således at der sikres en human og effektiv asylpolitik. I meddelelsen foreslås desuden de videre skridt i tråd med den helhedsorienterede tilgang til migration, som Europa-Parlamentet har fastlagt i sin initiativbetænkning af 12. april 2016.</w:t>
            </w:r>
          </w:p>
        </w:tc>
        <w:tc>
          <w:tcPr>
            <w:tcW w:w="4876" w:type="dxa"/>
          </w:tcPr>
          <w:p w:rsidR="00944CB0" w:rsidRPr="009D2EDD" w:rsidRDefault="001E7D6E">
            <w:pPr>
              <w:pStyle w:val="Normal6"/>
              <w:rPr>
                <w:color w:val="auto"/>
              </w:rPr>
            </w:pPr>
            <w:r w:rsidRPr="009D2EDD">
              <w:rPr>
                <w:color w:val="auto"/>
              </w:rPr>
              <w:t>(4)</w:t>
            </w:r>
            <w:r w:rsidRPr="009D2EDD">
              <w:tab/>
            </w:r>
            <w:r w:rsidRPr="009D2EDD">
              <w:rPr>
                <w:color w:val="auto"/>
              </w:rPr>
              <w:t>I sin meddelelse af 6. april 2016</w:t>
            </w:r>
            <w:r w:rsidRPr="009D2EDD">
              <w:rPr>
                <w:rStyle w:val="Sup"/>
                <w:color w:val="auto"/>
              </w:rPr>
              <w:t>32</w:t>
            </w:r>
            <w:r w:rsidRPr="009D2EDD">
              <w:rPr>
                <w:color w:val="auto"/>
              </w:rPr>
              <w:t xml:space="preserve"> gjorde Kommissionen rede for mulighederne for at forbedre det fælles europæiske asylsystem, især ved at etablere en ordning for udpegelse af den medlemsstat, der har ansvaret for bestemte asylansøgere, styrke Eurodac-systemet, opnå øget konvergens i EU-asylsystemet og forhindre sekundære bevægelser inden for Den Europæiske Union samt give Den Europæiske Unions Asylagentur et nyt mandat. Nævnte meddelelse er i overensstemmelse med opfordringerne fra Det Europæiske Råd den 18.-19. februar 2016</w:t>
            </w:r>
            <w:r w:rsidRPr="009D2EDD">
              <w:rPr>
                <w:rStyle w:val="Sup"/>
                <w:color w:val="auto"/>
              </w:rPr>
              <w:t>33</w:t>
            </w:r>
            <w:r w:rsidRPr="009D2EDD">
              <w:rPr>
                <w:color w:val="auto"/>
              </w:rPr>
              <w:t xml:space="preserve"> med henblik på at gøre fremskridt hen imod en reform af EU's nuværende rammer, således at der sikres en human og effektiv asylpolitik. I meddelelsen foreslås desuden de videre skridt i tråd med den helhedsorienterede tilgang til migration, som Europa-Parlamentet har fastlagt i sin initiativbetænkning af 12. april 2016.</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32</w:t>
            </w:r>
            <w:r w:rsidRPr="009D2EDD">
              <w:t xml:space="preserve"> COM (2016) 197 final.</w:t>
            </w:r>
          </w:p>
        </w:tc>
        <w:tc>
          <w:tcPr>
            <w:tcW w:w="4876" w:type="dxa"/>
          </w:tcPr>
          <w:p w:rsidR="00944CB0" w:rsidRPr="009D2EDD" w:rsidRDefault="001E7D6E">
            <w:pPr>
              <w:pStyle w:val="Normal6"/>
              <w:rPr>
                <w:color w:val="auto"/>
              </w:rPr>
            </w:pPr>
            <w:r w:rsidRPr="009D2EDD">
              <w:rPr>
                <w:rStyle w:val="Sup"/>
                <w:color w:val="auto"/>
              </w:rPr>
              <w:t>32</w:t>
            </w:r>
            <w:r w:rsidRPr="009D2EDD">
              <w:t xml:space="preserve"> COM (2016) 197 final.</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33</w:t>
            </w:r>
            <w:r w:rsidRPr="009D2EDD">
              <w:t xml:space="preserve"> EUCO 19.02.2016, SN 1/16.</w:t>
            </w:r>
          </w:p>
        </w:tc>
        <w:tc>
          <w:tcPr>
            <w:tcW w:w="4876" w:type="dxa"/>
          </w:tcPr>
          <w:p w:rsidR="00944CB0" w:rsidRPr="009D2EDD" w:rsidRDefault="001E7D6E">
            <w:pPr>
              <w:pStyle w:val="Normal6"/>
              <w:rPr>
                <w:color w:val="auto"/>
              </w:rPr>
            </w:pPr>
            <w:r w:rsidRPr="009D2EDD">
              <w:rPr>
                <w:rStyle w:val="Sup"/>
                <w:color w:val="auto"/>
              </w:rPr>
              <w:t>33</w:t>
            </w:r>
            <w:r w:rsidRPr="009D2EDD">
              <w:t xml:space="preserve"> EUCO 19.02.2016, SN 1/16.</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120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 a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(4a)</w:t>
            </w:r>
            <w:r w:rsidRPr="009D2EDD">
              <w:tab/>
            </w:r>
            <w:r w:rsidRPr="009D2EDD">
              <w:rPr>
                <w:b/>
                <w:i/>
                <w:color w:val="auto"/>
              </w:rPr>
              <w:t>De Genèvekonventionen er hovedhjørnestenen i det internationale retssystem til beskyttelse af flygtninge.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Dette ændringsforslag genindfører stk. 4 i præamblen til direktivet af 2011.</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121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w:t>
            </w:r>
            <w:r w:rsidRPr="009D2EDD">
              <w:tab/>
              <w:t>For at opnå et velfungerende fælles europæisk asylsystem, herunder Dublin-systemet, bør der gøres væsentlige fremskridt med hensyn til konvergensen mellem de nationale asylsystemer, specielt hvad angår de forskellige anerkendelsesprocenter og typen af beskyttelsesstatus i medlemsstaterne.</w:t>
            </w:r>
            <w:r w:rsidRPr="009D2EDD">
              <w:rPr>
                <w:color w:val="auto"/>
              </w:rPr>
              <w:t xml:space="preserve"> Desuden bør reglerne om revurdering af status styrkes, således at det sikres, at der kun tildeles beskyttelse til de personer, der har behov for det, og så længe det er nødvendigt.</w:t>
            </w:r>
            <w:r w:rsidRPr="009D2EDD">
              <w:rPr>
                <w:b/>
                <w:i/>
                <w:color w:val="auto"/>
              </w:rPr>
              <w:t xml:space="preserve"> </w:t>
            </w:r>
            <w:r w:rsidRPr="009D2EDD">
              <w:rPr>
                <w:color w:val="auto"/>
              </w:rPr>
              <w:t>Derudover bør man undgå forskellig praksis med hensyn til opholdstilladelsernes varighed, og de rettigheder, der gives til personer med international beskyttelse, bør præciseres og harmoniseres.</w:t>
            </w:r>
          </w:p>
        </w:tc>
        <w:tc>
          <w:tcPr>
            <w:tcW w:w="4876" w:type="dxa"/>
          </w:tcPr>
          <w:p w:rsidR="00944CB0" w:rsidRPr="009D2EDD" w:rsidRDefault="001E7D6E">
            <w:pPr>
              <w:pStyle w:val="Normal6"/>
              <w:rPr>
                <w:color w:val="auto"/>
              </w:rPr>
            </w:pPr>
            <w:r w:rsidRPr="009D2EDD">
              <w:rPr>
                <w:color w:val="auto"/>
              </w:rPr>
              <w:t>(5)</w:t>
            </w:r>
            <w:r w:rsidRPr="009D2EDD">
              <w:tab/>
            </w:r>
            <w:r w:rsidRPr="009D2EDD">
              <w:rPr>
                <w:b/>
                <w:i/>
                <w:color w:val="auto"/>
              </w:rPr>
              <w:t xml:space="preserve">En fælles EU-politik for international beskyttelse bør være baseret på en ensartet status. </w:t>
            </w:r>
            <w:r w:rsidRPr="009D2EDD">
              <w:t>At bevæge sig i retning af et velfungerende fælles europæisk asylsystem, der er baseret på høje beskyttelsesstandarder, bør der gøres væsentlige fremskridt med hensyn til udveksling af bedste praksis og konvergensen mellem de nationale asylsystemer, specielt med hensyn til de forskellige anerkendelsesprocenter og typen af beskyttelsesstatus i medlemsstaterne.</w:t>
            </w:r>
            <w:r w:rsidRPr="009D2EDD">
              <w:rPr>
                <w:color w:val="auto"/>
              </w:rPr>
              <w:t xml:space="preserve"> </w:t>
            </w:r>
            <w:r w:rsidRPr="009D2EDD">
              <w:rPr>
                <w:b/>
                <w:i/>
                <w:color w:val="auto"/>
              </w:rPr>
              <w:t xml:space="preserve">Samtidig er det væsentligt ikke at overbebyrde myndighederne i medlemsstaterne i administrativ henseende. </w:t>
            </w:r>
            <w:r w:rsidRPr="009D2EDD">
              <w:rPr>
                <w:color w:val="auto"/>
              </w:rPr>
              <w:t>Derfor bør reglerne styrkes, således at det sikres, at der tildeles beskyttelse til de personer, der har behov for det.</w:t>
            </w:r>
            <w:r w:rsidRPr="009D2EDD">
              <w:rPr>
                <w:b/>
                <w:i/>
                <w:color w:val="auto"/>
              </w:rPr>
              <w:t xml:space="preserve"> </w:t>
            </w:r>
            <w:r w:rsidRPr="009D2EDD">
              <w:rPr>
                <w:color w:val="auto"/>
              </w:rPr>
              <w:t>Desuden er en harmoniseret varigheden af opholdstilladelser, som fuldt ud bør tage hensyn til den nuværende bedste praksis i medlemsstaterne og i samråd med relevante interessenter, og de rettigheder, der gives til personer med international beskyttelse, bør præciseres og harmoniseres.</w:t>
            </w:r>
            <w:r w:rsidRPr="009D2EDD">
              <w:rPr>
                <w:color w:val="auto"/>
              </w:rPr>
              <w:br/>
            </w:r>
            <w:r w:rsidRPr="009D2EDD">
              <w:rPr>
                <w:b/>
                <w:i/>
                <w:color w:val="auto"/>
              </w:rPr>
              <w:t>Ikke desto mindre bør medlemsstaterne have mulighed for at anvende gunstigere standarder med hensyn til varigheden af opholdstilladelser.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Skyggeordføreren er enig med ordføreren i, at den harmoniserede varigheden af opholdstilladelser til personer med behov for international beskyttelse bør tage fuldt hensyn til den nuværende bedste praksis på tværs af medlemsstaterne og bør ikke være baseret på et "kapløb mod bunden" -princippet.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122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Lorenzo Fontana</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For at opnå et velfungerende fælles europæisk asylsystem, herunder Dublin-systemet, bør der gøres væsentlige fremskridt med hensyn til konvergensen mellem de nationale asylsystemer, specielt hvad angår de forskellige anerkendelsesprocenter og typen af beskyttelsesstatus i medlemsstaterne.</w:t>
            </w:r>
            <w:r w:rsidRPr="009D2EDD">
              <w:rPr>
                <w:b/>
                <w:i/>
                <w:color w:val="auto"/>
              </w:rPr>
              <w:t xml:space="preserve"> </w:t>
            </w:r>
            <w:r w:rsidRPr="009D2EDD">
              <w:rPr>
                <w:color w:val="auto"/>
              </w:rPr>
              <w:t>Desuden bør reglerne om revurdering af status styrkes, således at det sikres, at der kun tildeles beskyttelse til de personer, der har behov for det, og så længe det er nødvendigt.</w:t>
            </w:r>
            <w:r w:rsidRPr="009D2EDD">
              <w:rPr>
                <w:b/>
                <w:i/>
                <w:color w:val="auto"/>
              </w:rPr>
              <w:t xml:space="preserve"> </w:t>
            </w:r>
            <w:r w:rsidRPr="009D2EDD">
              <w:rPr>
                <w:color w:val="auto"/>
              </w:rPr>
              <w:t>Derudover bør man undgå forskellig praksis med hensyn til opholdstilladelsernes varighed, og de rettigheder, der gives til personer med international beskyttelse, bør præciseres og harmoniseres.</w:t>
            </w:r>
          </w:p>
        </w:tc>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For at opnå et velfungerende fælles europæisk asylsystem, herunder Dublin-systemet, bør der gøres væsentlige fremskridt hen imod en gennemgribende ændring af hele indvandringspolitik;</w:t>
            </w:r>
            <w:r w:rsidRPr="009D2EDD">
              <w:rPr>
                <w:b/>
                <w:i/>
                <w:color w:val="auto"/>
              </w:rPr>
              <w:t xml:space="preserve"> </w:t>
            </w:r>
            <w:r w:rsidRPr="009D2EDD">
              <w:rPr>
                <w:color w:val="auto"/>
              </w:rPr>
              <w:t>med henblik herpå tilbagesendelsespolitikker bør styrkes, så det sikres, at der kun tildeles beskyttelse til dem, der er berettiget til det.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123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Alessandra Mussolini, Elissavet Vozemberg-Vrionidi, Frank Engel, Barbara Matera, Salvatore Domenico Pogliese, József Nagy, Carlos Coelho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For at opnå et velfungerende fælles europæisk asylsystem, herunder Dublin-systemet, bør der gøres væsentlige fremskridt med hensyn til konvergensen mellem de nationale asylsystemer, specielt hvad angår de forskellige anerkendelsesprocenter og typen af beskyttelsesstatus i medlemsstaterne. Desuden bør reglerne om revurdering af status styrkes, således at det sikres, at der kun tildeles beskyttelse til de personer, der har behov for det, og så længe det er nødvendigt. Derudover bør man undgå forskellig praksis med hensyn til opholdstilladelsernes varighed, og de rettigheder, der gives til personer med international beskyttelse, bør præciseres og harmoniseres.</w:t>
            </w:r>
          </w:p>
        </w:tc>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For at opnå et velfungerende fælles europæisk asylsystem, herunder Dublin-systemet, bør der gøres væsentlige fremskridt med hensyn til konvergensen mellem de nationale asylsystemer, specielt hvad angår de forskellige anerkendelsesprocenter og typen af beskyttelsesstatus i medlemsstaterne. Desuden bør reglerne om revurdering af status styrkes, så det sikres, at der kun tildeles beskyttelse til dem, der har behov for det, og så længe det er nødvendigt Desuden forskellig praksis med hensyn til opholdstilladelsernes varighed bør undgås, og de rettigheder, der gives til personer med international beskyttelse, bør præciseres og harmoniseres, idet der tages hensyn til de forskelle, som findes mellem flygtningestatus og subsidiær beskyttelsesstatus.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Selv om det antages, at varigheden af de opholdstilladelser, der vedrører de to status af international beskyttelse er harmoniseret, forekommer det hensigtsmæssigt at understrege, at juridisk forskel mellem de to bør fastholdes, som de er resultatet af to forskellige retlige baggrund. Den flygtningestatus, der er omfattet af Genèvekonventionen, mens begrebet subsidiær beskyttelse blev først indført ved EU-retten i direktiv 2004/83/CE.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124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 xml:space="preserve">For at opnå et velfungerende fælles europæisk asylsystem, herunder Dublin-systemet, bør der gøres væsentlige fremskridt med hensyn til konvergensen mellem de nationale asylsystemer, specielt hvad angår de forskellige anerkendelsesprocenter og typen af beskyttelsesstatus i medlemsstaterne. </w:t>
            </w:r>
            <w:r w:rsidRPr="009D2EDD">
              <w:rPr>
                <w:b/>
                <w:i/>
                <w:color w:val="auto"/>
              </w:rPr>
              <w:t xml:space="preserve">Desuden bør reglerne om revurdering af status styrkes, således at det sikres, at der kun tildeles beskyttelse til de personer, der har behov for det, og så længe det er nødvendigt. </w:t>
            </w:r>
            <w:r w:rsidRPr="009D2EDD">
              <w:rPr>
                <w:color w:val="auto"/>
              </w:rPr>
              <w:t>Derudover bør man undgå forskellig praksis med hensyn til opholdstilladelsernes varighed, og de rettigheder, der gives til personer med international beskyttelse, bør præciseres og harmoniseres.</w:t>
            </w:r>
          </w:p>
        </w:tc>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For at opnå et velfungerende fælles europæisk asylsystem, herunder Dublin-systemet, bør der gøres væsentlige fremskridt med hensyn til konvergensen mellem de nationale asylsystemer, specielt hvad angår de forskellige anerkendelsesprocenter og typen af beskyttelsesstatus i medlemsstaterne. Derudover bør man undgå forskellig praksis med hensyn til opholdstilladelsernes varighed, og de rettigheder, der gives til personer med international beskyttelse, bør præciseres og harmoniseres for at sikre, at lige så høje standarder for beskyttelse, er gennemført i alle medlemsstater.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125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For at opnå et velfungerende fælles europæisk asylsystem, herunder Dublin-systemet, bør der gøres væsentlige fremskridt med hensyn til konvergensen mellem de nationale asylsystemer, specielt hvad angår de forskellige anerkendelsesprocenter og typen af beskyttelsesstatus i medlemsstaterne. Desuden bør reglerne om revurdering af status styrkes, således at det sikres, at der kun tildeles beskyttelse til de personer, der har behov for det, og så længe det er nødvendigt. Derudover bør man undgå forskellig praksis med hensyn til opholdstilladelsernes varighed, og de rettigheder, der gives til personer med international beskyttelse, bør præciseres og harmoniseres.</w:t>
            </w:r>
          </w:p>
        </w:tc>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For at opnå et velfungerende fælles europæisk asylsystem, herunder Dublin-systemet, bør der gøres væsentlige fremskridt med hensyn til konvergensen mellem de nationale asylsystemer, specielt hvad angår de forskellige anerkendelsesprocenter og typen af beskyttelsesstatus i medlemsstaterne. Desuden bør reglerne om revurdering af status styrkes, således at det sikres, at der kun tildeles beskyttelse til de personer, der har behov for det, og så længe det er nødvendigt. Derudover bør man undgå forskellig praksis med hensyn til opholdstilladelsernes varighed, og de rettigheder, der gives til personer med international beskyttelse, bør præciseres, begrænses og harmoniseres.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126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For at opnå et velfungerende fælles europæisk asylsystem, herunder Dublin-systemet, bør der gøres væsentlige fremskridt med hensyn til konvergensen mellem de nationale asylsystemer, specielt hvad angår de forskellige anerkendelsesprocenter og typen af beskyttelsesstatus i medlemsstaterne. Desuden bør reglerne om revurdering af status styrkes, således at det sikres, at der kun tildeles beskyttelse til de personer, der har behov for det, og så længe det er nødvendigt. Derudover bør man undgå forskellig praksis med hensyn til opholdstilladelsernes varighed, og de rettigheder, der gives til personer med international beskyttelse, bør præciseres og harmoniseres.</w:t>
            </w:r>
          </w:p>
        </w:tc>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For at opnå et velfungerende fælles europæisk asylsystem, herunder Dublin-systemet, bør der gøres væsentlige fremskridt med hensyn til konvergensen mellem de nationale asylsystemer, specielt hvad angår de forskellige anerkendelsesprocenter og typen af beskyttelsesstatus i medlemsstaterne. Desuden er offentlige tjenester bør ikke pålægges byrder, og derfor bør reglerne om revurdering af status styrkes, så det sikres, at der ydes beskyttelse til dem, der har behov for det. Derudover bør man undgå forskellig praksis med hensyn til opholdstilladelsernes varighed, og de rettigheder, der gives til personer med international beskyttelse, bør præciseres og harmoniseres.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127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Kinga Gál, Pál Csáky,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For at opnå et velfungerende fælles europæisk asylsystem, herunder Dublin-systemet, bør der gøres væsentlige fremskridt med hensyn til konvergensen mellem de nationale asylsystemer, specielt hvad angår de forskellige anerkendelsesprocenter og typen af beskyttelsesstatus i medlemsstaterne. Desuden bør reglerne om revurdering af status styrkes, således at det sikres, at der kun tildeles beskyttelse til de personer, der har behov for det, og så længe det er nødvendigt. Derudover bør man undgå forskellig praksis med hensyn til opholdstilladelsernes varighed, og de rettigheder, der gives til personer med international beskyttelse, bør præciseres og harmoniseres.</w:t>
            </w:r>
          </w:p>
        </w:tc>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For at opnå et velfungerende fælles europæisk asylsystem, herunder Dublin-systemet, bør der gøres væsentlige fremskridt med hensyn til konvergensen mellem de nationale asylsystemer, specielt hvad angår de forskellige anerkendelsesprocenter og typen af beskyttelsesstatus i medlemsstaterne. Desuden bør reglerne om revurdering af status styrkes, således at det sikres, at der kun tildeles beskyttelse til de personer, der har behov for det, og så længe det er nødvendigt. Derudover bør man undgå forskellig praksis med hensyn til opholdstilladelsernes varighed, og de rettigheder, der gives til personer med international beskyttelse, bør præciseres.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128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Gérard Deprez, Louis Michel</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 a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(5a)</w:t>
            </w:r>
            <w:r w:rsidRPr="009D2EDD">
              <w:tab/>
            </w:r>
            <w:r w:rsidRPr="009D2EDD">
              <w:rPr>
                <w:b/>
                <w:i/>
                <w:color w:val="auto"/>
              </w:rPr>
              <w:t>De gyldighedsperioden for opholdstilladelser, der udstedes til flygtninge og personer, der er berettiget til subsidiær beskyttelse, bør harmoniseres for at sikre udvikling af det fælles europæiske asylsystem og fremme af personer under international beskyttelse i den medlemsstat, der har tildelt beskyttelse. Det er grunden til, at gyldighedsperioden for opholdstilladelser bør være 5 år 1 år for flygtninge og for personer, der bevilges subsidiær beskyttelse. Medlemsstaterne har dog allerede giver en længere gyldighedsperiode for opholdstilladelser bør have mulighed for at vælge en periode på 10 år til 5 år for flygtninge og for personer, der bevilges subsidiær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{FR}</w:t>
      </w:r>
      <w:r w:rsidRPr="009D2EDD">
        <w:rPr>
          <w:color w:val="auto"/>
        </w:rPr>
        <w:t>fr</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Betragtning tilføjes med henblik på anvendelsen af artikel 26.</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129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Kinga Gál, Pál Csáky,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(6)</w:t>
            </w:r>
            <w:r w:rsidRPr="009D2EDD">
              <w:tab/>
            </w:r>
            <w:r w:rsidRPr="009D2EDD">
              <w:rPr>
                <w:b/>
                <w:i/>
                <w:color w:val="auto"/>
              </w:rPr>
              <w:t>Det er derfor nødvendigt med en forordning for at sikre en mere konsekvent harmonisering i hele Unionen og opnå en højere grad af retssikkerhed og gennemsigtighed.</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130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(6)</w:t>
            </w:r>
            <w:r w:rsidRPr="009D2EDD">
              <w:tab/>
            </w:r>
            <w:r w:rsidRPr="009D2EDD">
              <w:rPr>
                <w:b/>
                <w:i/>
                <w:color w:val="auto"/>
              </w:rPr>
              <w:t>Det er derfor nødvendigt med en forordning for at sikre en mere konsekvent harmonisering i hele Unionen og opnå en højere grad af retssikkerhed og gennemsigtighed.</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131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(6)</w:t>
            </w:r>
            <w:r w:rsidRPr="009D2EDD">
              <w:tab/>
            </w:r>
            <w:r w:rsidRPr="009D2EDD">
              <w:rPr>
                <w:color w:val="auto"/>
              </w:rPr>
              <w:t>Det er derfor nødvendigt med en forordning for at sikre en mere konsekvent harmonisering i hele Unionen og opnå en højere grad af retssikkerhed og gennemsigtighed.</w:t>
            </w:r>
          </w:p>
        </w:tc>
        <w:tc>
          <w:tcPr>
            <w:tcW w:w="4876" w:type="dxa"/>
          </w:tcPr>
          <w:p w:rsidR="00944CB0" w:rsidRPr="009D2EDD" w:rsidRDefault="001E7D6E">
            <w:pPr>
              <w:pStyle w:val="Normal6"/>
              <w:rPr>
                <w:color w:val="auto"/>
              </w:rPr>
            </w:pPr>
            <w:r w:rsidRPr="009D2EDD">
              <w:rPr>
                <w:color w:val="auto"/>
              </w:rPr>
              <w:t>(6)</w:t>
            </w:r>
            <w:r w:rsidRPr="009D2EDD">
              <w:tab/>
            </w:r>
            <w:r w:rsidRPr="009D2EDD">
              <w:rPr>
                <w:color w:val="auto"/>
              </w:rPr>
              <w:t>Et direktiv er derfor nødvendig for at sikre gennemførelsen af lige så høje beskyttelsesstandarder og en mere konsekvent harmonisering i hele Unionen og opnå en højere grad af retssikkerhed og gennemsigtighed.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132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Nadine Morano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Hovedformålet med denne forordning er dels at sikre, at medlemsstaterne anvender fælles kriterier til identifikation af personer, som reelt har behov for international beskyttelse, og dels at sikre, at der findes et fælles sæt rettigheder for disse personer i alle medlemsstater.</w:t>
            </w:r>
          </w:p>
        </w:tc>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 xml:space="preserve">Hovedformålet med denne forordning er dels at sikre, at medlemsstaterne anvender fælles kriterier til identifikation af personer, som reelt har behov for international beskyttelse, og dels at sikre, at der findes et fælles sæt rettigheder for disse personer i alle medlemsstater. </w:t>
            </w:r>
            <w:r w:rsidRPr="009D2EDD">
              <w:rPr>
                <w:b/>
                <w:i/>
                <w:color w:val="auto"/>
              </w:rPr>
              <w:t>Kriterierne for identifikation af personer, som reelt har behov for international beskyttelse bør også gøre det muligt for personer, der ikke er berettiget til en sådan beskyttelse skal udvises mere effektivt og systematisk.</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{FR}</w:t>
      </w:r>
      <w:r w:rsidRPr="009D2EDD">
        <w:rPr>
          <w:color w:val="auto"/>
        </w:rPr>
        <w:t>fr</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133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 Helga Stevens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Hovedformålet med denne forordning er dels at sikre, at medlemsstaterne anvender fælles kriterier til identifikation af personer, som reelt har behov for international beskyttelse, og dels at sikre, at der findes et fælles sæt rettigheder for disse personer i alle medlemsstater.</w:t>
            </w:r>
          </w:p>
        </w:tc>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 xml:space="preserve">Hovedformålet med denne forordning er dels at sikre, at medlemsstaterne anvender fælles kriterier til identifikation af personer, som reelt har behov for international beskyttelse, og dels at sikre, at der findes et fælles sæt rettigheder for disse personer i alle medlemsstater. </w:t>
            </w:r>
            <w:r w:rsidRPr="009D2EDD">
              <w:rPr>
                <w:b/>
                <w:i/>
                <w:color w:val="auto"/>
              </w:rPr>
              <w:t>Desuden modvirke misbrug af medlemsstaternes asylsystemer bør fungere som et vejledende princip i denne forordning.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134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Alessandra Mussolini, Elissavet Vozemberg-Vrionidi, Frank Engel, Barbara Matera, Salvatore Domenico Pogliese, József Nagy, Carlos Coelho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Hovedformålet med denne forordning er dels at sikre, at medlemsstaterne anvender fælles kriterier til identifikation af personer, som reelt har behov for international beskyttelse, og dels at sikre, at der findes et fælles sæt rettigheder for disse personer i alle medlemsstater.</w:t>
            </w:r>
          </w:p>
        </w:tc>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Hovedformålet med denne forordning er dels at sikre, at medlemsstaterne anvender fælles kriterier til identifikation af personer, som reelt har behov for international beskyttelse, og dels at sikre, at der findes et fælles sæt rettigheder for flygtninge og personer, der nyder subsidiær beskyttelse i alle medlemsstater.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Der henvises til denne sondring, der er fastsat i art. 34 (2).</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135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Hovedformålet med denne forordning er dels at sikre, at medlemsstaterne anvender fælles kriterier til identifikation af personer, som reelt har behov for international beskyttelse, og dels at sikre, at der findes et fælles sæt rettigheder for disse personer i alle medlemsstater.</w:t>
            </w:r>
          </w:p>
        </w:tc>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Hovedformålet med dette direktiv er dels at sikre, at medlemsstaterne anvender fælles kriterier til identifikation af personer, som har behov for international beskyttelse, og dels at sikre, at der findes et fælles sæt rettigheder for alle personer, der har behov for international beskyttelse, i alle medlemsstater.</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Italic"/>
              <w:rPr>
                <w:color w:val="auto"/>
              </w:rPr>
            </w:pPr>
            <w:r w:rsidRPr="009D2EDD">
              <w:rPr>
                <w:color w:val="auto"/>
              </w:rPr>
              <w:t>(Dette ændringsforslag gælder for hele teksten. Hvis det vedtages, skal ændringerne foretages alle relevante steder).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136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Hovedformålet med denne forordning er dels at sikre, at medlemsstaterne anvender fælles kriterier til identifikation af personer, som reelt har behov for international beskyttelse, og dels at sikre, at der findes et fælles sæt rettigheder for disse personer i alle medlemsstater.</w:t>
            </w:r>
          </w:p>
        </w:tc>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Hovedformålet med denne forordning er dels at sikre, at medlemsstaterne anvender et sæt kriterier til identifikation af personer, som reelt har behov for international beskyttelse, og dels at sikre, at der findes grundlæggende rettigheder for disse personer i alle medlemsstater.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137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Hovedformålet med denne forordning er dels at sikre, at medlemsstaterne anvender fælles kriterier til identifikation af personer, som reelt har behov for international beskyttelse, og dels at sikre, at der findes et fælles sæt rettigheder for disse personer i alle medlemsstater.</w:t>
            </w:r>
          </w:p>
        </w:tc>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Hovedformålet med dette direktiv er dels at sikre, at medlemsstaterne anvender fælles kriterier til identifikation af personer, som har behov for international beskyttelse, og dels at sikre, at der findes et fælles sæt rettigheder for disse personer i alle medlemsstater.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138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Lorenzo Fontana</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Hovedformålet med denne forordning er dels at sikre, at medlemsstaterne anvender fælles kriterier til identifikation af personer, som reelt har behov for international beskyttelse, og dels at sikre, at der findes et fælles sæt rettigheder for disse personer i alle medlemsstater.</w:t>
            </w:r>
          </w:p>
        </w:tc>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Hovedformålet med denne forordning er dels at sikre, at medlemsstaterne anvender fælles kriterier til identifikation af personer, der er berettiget til international beskyttelse, og dels at sikre, at der findes et fælles sæt rettigheder for disse personer i alle medlemsstater.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139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Lorenzo Fontana</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(8)</w:t>
            </w:r>
            <w:r w:rsidRPr="009D2EDD">
              <w:tab/>
            </w:r>
            <w:r w:rsidRPr="009D2EDD">
              <w:rPr>
                <w:b/>
                <w:i/>
                <w:color w:val="auto"/>
              </w:rPr>
              <w:t>Den yderligere indbyrdes tilnærmelse af reglerne for anerkendelsen og indholdet af flygtningestatus og subsidiær beskyttelsesstatus bør desuden medvirke til at begrænse sekundære bevægelser blandt personer, som ansøger om eller nyder international beskyttelse, mellem medlemsstaterne, hvis sådanne bevægelser kan være forårsaget af forskelle i de nationale retlige foranstaltninger, der er truffet til gennemførelse af kvalifikationsdirektivet, som erstattes af nærværende forordning.</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140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(8)</w:t>
            </w:r>
            <w:r w:rsidRPr="009D2EDD">
              <w:tab/>
            </w:r>
            <w:r w:rsidRPr="009D2EDD">
              <w:rPr>
                <w:b/>
                <w:i/>
                <w:color w:val="auto"/>
              </w:rPr>
              <w:t>Den yderligere indbyrdes tilnærmelse af reglerne for anerkendelsen og indholdet af flygtningestatus og subsidiær beskyttelsesstatus bør desuden medvirke til at begrænse sekundære bevægelser blandt personer, som ansøger om eller nyder international beskyttelse, mellem medlemsstaterne, hvis sådanne bevægelser kan være forårsaget af forskelle i de nationale retlige foranstaltninger, der er truffet til gennemførelse af kvalifikationsdirektivet, som erstattes af nærværende forordning.</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141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(8)</w:t>
            </w:r>
            <w:r w:rsidRPr="009D2EDD">
              <w:tab/>
            </w:r>
            <w:r w:rsidRPr="009D2EDD">
              <w:rPr>
                <w:color w:val="auto"/>
              </w:rPr>
              <w:t>Den yderligere indbyrdes tilnærmelse af reglerne for anerkendelsen og indholdet af flygtningestatus og subsidiær beskyttelsesstatus bør desuden medvirke til at begrænse sekundære bevægelser blandt personer, som ansøger om eller nyder international beskyttelse, mellem medlemsstaterne, hvis sådanne bevægelser kan være forårsaget af forskelle i de nationale retlige foranstaltninger, der er truffet til gennemførelse af kvalifikationsdirektivet, som erstattes af nærværende forordning.</w:t>
            </w:r>
          </w:p>
        </w:tc>
        <w:tc>
          <w:tcPr>
            <w:tcW w:w="4876" w:type="dxa"/>
          </w:tcPr>
          <w:p w:rsidR="00944CB0" w:rsidRPr="009D2EDD" w:rsidRDefault="001E7D6E">
            <w:pPr>
              <w:pStyle w:val="Normal6"/>
              <w:rPr>
                <w:color w:val="auto"/>
              </w:rPr>
            </w:pPr>
            <w:r w:rsidRPr="009D2EDD">
              <w:rPr>
                <w:color w:val="auto"/>
              </w:rPr>
              <w:t>(8)</w:t>
            </w:r>
            <w:r w:rsidRPr="009D2EDD">
              <w:tab/>
            </w:r>
            <w:r w:rsidRPr="009D2EDD">
              <w:rPr>
                <w:color w:val="auto"/>
              </w:rPr>
              <w:t>Den yderligere indbyrdes tilnærmelse af reglerne for anerkendelse og indhold af flygtningestatus og subsidiær beskyttelsesstatus bør desuden medvirke til at opnå et højt beskyttelsesniveau i hele Unionen.</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142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(8)</w:t>
            </w:r>
            <w:r w:rsidRPr="009D2EDD">
              <w:tab/>
            </w:r>
            <w:r w:rsidRPr="009D2EDD">
              <w:rPr>
                <w:color w:val="auto"/>
              </w:rPr>
              <w:t>Den yderligere indbyrdes tilnærmelse af reglerne for anerkendelsen og indholdet af flygtningestatus og subsidiær beskyttelsesstatus bør desuden medvirke til at begrænse sekundære bevægelser blandt personer, som ansøger om eller nyder international beskyttelse, mellem medlemsstaterne, hvis sådanne bevægelser kan være forårsaget af forskelle i de nationale retlige foranstaltninger, der er truffet til gennemførelse af kvalifikationsdirektivet, som erstattes af nærværende forordning.</w:t>
            </w:r>
          </w:p>
        </w:tc>
        <w:tc>
          <w:tcPr>
            <w:tcW w:w="4876" w:type="dxa"/>
          </w:tcPr>
          <w:p w:rsidR="00944CB0" w:rsidRPr="009D2EDD" w:rsidRDefault="001E7D6E">
            <w:pPr>
              <w:pStyle w:val="Normal6"/>
              <w:rPr>
                <w:color w:val="auto"/>
              </w:rPr>
            </w:pPr>
            <w:r w:rsidRPr="009D2EDD">
              <w:rPr>
                <w:color w:val="auto"/>
              </w:rPr>
              <w:t>(8)</w:t>
            </w:r>
            <w:r w:rsidRPr="009D2EDD">
              <w:tab/>
            </w:r>
            <w:r w:rsidRPr="009D2EDD">
              <w:rPr>
                <w:color w:val="auto"/>
              </w:rPr>
              <w:t>Den yderligere indbyrdes tilnærmelse af reglerne for anerkendelsen og indholdet af flygtningestatus og subsidiær beskyttelsesstatus kan desuden medvirke til at begrænse sekundære bevægelser blandt personer, som ansøger om eller nyder international beskyttelse, mellem medlemsstaterne, hvis sådanne bevægelser kan være forårsaget af forskelle i de nationale retlige foranstaltninger, der er truffet til gennemførelse af kvalifikationsdirektivet, som erstattes af nærværende forordning.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143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(9)</w:t>
            </w:r>
            <w:r w:rsidRPr="009D2EDD">
              <w:tab/>
            </w:r>
            <w:r w:rsidRPr="009D2EDD">
              <w:rPr>
                <w:color w:val="auto"/>
              </w:rPr>
              <w:t>Denne forordning finder ikke anvendelse på andre nationale humanitære statusser, der tildeles af medlemsstaterne i henhold til deres nationale ret til de personer, der ikke kan tildeles flygtningestatus eller subsidiær beskyttelsesstatus.</w:t>
            </w:r>
            <w:r w:rsidRPr="009D2EDD">
              <w:rPr>
                <w:b/>
                <w:i/>
                <w:color w:val="auto"/>
              </w:rPr>
              <w:t xml:space="preserve"> Hvis der udstedes sådanne statusser, skal de udstedes således, at de ikke medfører risiko for forveksling med international beskyttelse.</w:t>
            </w:r>
          </w:p>
        </w:tc>
        <w:tc>
          <w:tcPr>
            <w:tcW w:w="4876" w:type="dxa"/>
          </w:tcPr>
          <w:p w:rsidR="00944CB0" w:rsidRPr="009D2EDD" w:rsidRDefault="001E7D6E">
            <w:pPr>
              <w:pStyle w:val="Normal6"/>
              <w:rPr>
                <w:color w:val="auto"/>
              </w:rPr>
            </w:pPr>
            <w:r w:rsidRPr="009D2EDD">
              <w:rPr>
                <w:color w:val="auto"/>
              </w:rPr>
              <w:t>(9)</w:t>
            </w:r>
            <w:r w:rsidRPr="009D2EDD">
              <w:tab/>
            </w:r>
            <w:r w:rsidRPr="009D2EDD">
              <w:rPr>
                <w:color w:val="auto"/>
              </w:rPr>
              <w:t>Dette direktiv finder ikke anvendelse på andre nationale humanitære statusser, der tildeles af medlemsstaterne i henhold til deres nationale ret til de personer, der ikke kan tildeles flygtningestatus eller subsidiær beskyttelsesstatus.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144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(9)</w:t>
            </w:r>
            <w:r w:rsidRPr="009D2EDD">
              <w:tab/>
            </w:r>
            <w:r w:rsidRPr="009D2EDD">
              <w:rPr>
                <w:color w:val="auto"/>
              </w:rPr>
              <w:t>Denne forordning finder ikke anvendelse på andre nationale humanitære statusser, der tildeles af medlemsstaterne i henhold til deres nationale ret til de personer, der ikke kan tildeles flygtningestatus eller subsidiær beskyttelsesstatus.</w:t>
            </w:r>
            <w:r w:rsidRPr="009D2EDD">
              <w:rPr>
                <w:b/>
                <w:i/>
                <w:color w:val="auto"/>
              </w:rPr>
              <w:t xml:space="preserve"> Hvis der udstedes sådanne statusser, skal de udstedes således, at de ikke medfører risiko for forveksling med international beskyttelse.</w:t>
            </w:r>
          </w:p>
        </w:tc>
        <w:tc>
          <w:tcPr>
            <w:tcW w:w="4876" w:type="dxa"/>
          </w:tcPr>
          <w:p w:rsidR="00944CB0" w:rsidRPr="009D2EDD" w:rsidRDefault="001E7D6E">
            <w:pPr>
              <w:pStyle w:val="Normal6"/>
              <w:rPr>
                <w:color w:val="auto"/>
              </w:rPr>
            </w:pPr>
            <w:r w:rsidRPr="009D2EDD">
              <w:rPr>
                <w:color w:val="auto"/>
              </w:rPr>
              <w:t>(9)</w:t>
            </w:r>
            <w:r w:rsidRPr="009D2EDD">
              <w:tab/>
            </w:r>
            <w:r w:rsidRPr="009D2EDD">
              <w:rPr>
                <w:color w:val="auto"/>
              </w:rPr>
              <w:t>Denne forordning finder ikke anvendelse på andre nationale humanitære statusser, der tildeles af medlemsstaterne i henhold til deres nationale ret til de personer, der ikke kan tildeles flygtningestatus eller subsidiær beskyttelsesstatus.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Skyggeordføreren er enig med ordføreren i, at så længe der fortsat findes nationale statusser for humanitær beskyttelse, er det meget vanskeligt at se, hvordan man kan undgå risikoen for forveksling med flygtningestatus og subsidiær beskyttelsesstatus.</w:t>
      </w:r>
    </w:p>
    <w:p w:rsidR="00944CB0" w:rsidRPr="009D2EDD" w:rsidRDefault="001E7D6E">
      <w:pPr>
        <w:pStyle w:val="Normal12Italic"/>
      </w:pPr>
      <w:r w:rsidRPr="009D2EDD">
        <w:t>Ændringsforslag i overensstemmelse med følgende ændringsforslag vedrørende forordningens artikel 3</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145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10</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(10)</w:t>
            </w:r>
            <w:r w:rsidRPr="009D2EDD">
              <w:tab/>
            </w:r>
            <w:r w:rsidRPr="009D2EDD">
              <w:rPr>
                <w:b/>
                <w:i/>
                <w:color w:val="auto"/>
              </w:rPr>
              <w:t>Personer, der opnår ret til genbosætning, bør tildeles international beskyttelse. Derfor bør denne forordnings bestemmelser om indholdet af international beskyttelse finde anvendelse, herunder de regler, som modvirker sekundære bevægelser.</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146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10</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(10)</w:t>
            </w:r>
            <w:r w:rsidRPr="009D2EDD">
              <w:tab/>
              <w:t>Personer, der opnår ret til genbosætning, bør tildeles international beskyttelse.</w:t>
            </w:r>
            <w:r w:rsidRPr="009D2EDD">
              <w:rPr>
                <w:color w:val="auto"/>
              </w:rPr>
              <w:t xml:space="preserve"> Derfor bør denne forordnings bestemmelser om indholdet af international beskyttelse finde anvendelse, herunder de regler, som modvirker sekundære bevægelser.</w:t>
            </w:r>
          </w:p>
        </w:tc>
        <w:tc>
          <w:tcPr>
            <w:tcW w:w="4876" w:type="dxa"/>
          </w:tcPr>
          <w:p w:rsidR="00944CB0" w:rsidRPr="009D2EDD" w:rsidRDefault="001E7D6E">
            <w:pPr>
              <w:pStyle w:val="Normal6"/>
              <w:rPr>
                <w:color w:val="auto"/>
              </w:rPr>
            </w:pPr>
            <w:r w:rsidRPr="009D2EDD">
              <w:rPr>
                <w:color w:val="auto"/>
              </w:rPr>
              <w:t>(10)</w:t>
            </w:r>
            <w:r w:rsidRPr="009D2EDD">
              <w:tab/>
              <w:t>Genbosatte personer bør indrømmes international beskyttelse med henblik på at sikre dem en varig løsning.</w:t>
            </w:r>
            <w:r w:rsidRPr="009D2EDD">
              <w:rPr>
                <w:color w:val="auto"/>
              </w:rPr>
              <w:t xml:space="preserve"> Bestemmelserne om indholdet af international beskyttelse, der er indeholdt i asylreglerne, bør derfor finde anvendelse fra det øjeblik, hvor de genbosatte personer ankommer til medlemsstaternes område.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147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10</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(10)</w:t>
            </w:r>
            <w:r w:rsidRPr="009D2EDD">
              <w:tab/>
            </w:r>
            <w:r w:rsidRPr="009D2EDD">
              <w:rPr>
                <w:color w:val="auto"/>
              </w:rPr>
              <w:t>Personer, der opnår ret til genbosætning, bør tildeles international beskyttelse. Derfor bør denne forordnings bestemmelser om indholdet af international beskyttelse finde anvendelse, herunder de regler, som modvirker sekundære bevægelser.</w:t>
            </w:r>
          </w:p>
        </w:tc>
        <w:tc>
          <w:tcPr>
            <w:tcW w:w="4876" w:type="dxa"/>
          </w:tcPr>
          <w:p w:rsidR="00944CB0" w:rsidRPr="009D2EDD" w:rsidRDefault="001E7D6E">
            <w:pPr>
              <w:pStyle w:val="Normal6"/>
              <w:rPr>
                <w:color w:val="auto"/>
              </w:rPr>
            </w:pPr>
            <w:r w:rsidRPr="009D2EDD">
              <w:rPr>
                <w:color w:val="auto"/>
              </w:rPr>
              <w:t>(10)</w:t>
            </w:r>
            <w:r w:rsidRPr="009D2EDD">
              <w:tab/>
            </w:r>
            <w:r w:rsidRPr="009D2EDD">
              <w:rPr>
                <w:color w:val="auto"/>
              </w:rPr>
              <w:t>Personer, der opnår ret til genbosætning, bør tildeles international beskyttelse. Derfor bør denne forordnings bestemmelser om indholdet af international beskyttelse finde anvendelse.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148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10</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(10)</w:t>
            </w:r>
            <w:r w:rsidRPr="009D2EDD">
              <w:tab/>
            </w:r>
            <w:r w:rsidRPr="009D2EDD">
              <w:rPr>
                <w:color w:val="auto"/>
              </w:rPr>
              <w:t>Personer, der opnår ret til genbosætning, bør tildeles international beskyttelse. Derfor bør denne forordnings bestemmelser om indholdet af international beskyttelse finde anvendelse, herunder de regler, som modvirker sekundære bevægelser.</w:t>
            </w:r>
          </w:p>
        </w:tc>
        <w:tc>
          <w:tcPr>
            <w:tcW w:w="4876" w:type="dxa"/>
          </w:tcPr>
          <w:p w:rsidR="00944CB0" w:rsidRPr="009D2EDD" w:rsidRDefault="001E7D6E">
            <w:pPr>
              <w:pStyle w:val="Normal6"/>
              <w:rPr>
                <w:color w:val="auto"/>
              </w:rPr>
            </w:pPr>
            <w:r w:rsidRPr="009D2EDD">
              <w:rPr>
                <w:color w:val="auto"/>
              </w:rPr>
              <w:t>(10)</w:t>
            </w:r>
            <w:r w:rsidRPr="009D2EDD">
              <w:tab/>
            </w:r>
            <w:r w:rsidRPr="009D2EDD">
              <w:rPr>
                <w:color w:val="auto"/>
              </w:rPr>
              <w:t>Personer, der opnår ret til genbosætning, bør tildeles international beskyttelse. Derfor bør dette direktivs bestemmelser om indholdet af international beskyttelse finde anvendelse.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149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Lorenzo Fontana</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(11)</w:t>
            </w:r>
            <w:r w:rsidRPr="009D2EDD">
              <w:tab/>
            </w:r>
            <w:r w:rsidRPr="009D2EDD">
              <w:rPr>
                <w:color w:val="auto"/>
              </w:rPr>
              <w:t>Denne forordning respekterer de grundlæggende rettigheder og overholder de principper, der navnlig er anerkendt i Den Europæiske Unions charter om grundlæggende rettigheder (chartret).</w:t>
            </w:r>
            <w:r w:rsidRPr="009D2EDD">
              <w:rPr>
                <w:b/>
                <w:i/>
                <w:color w:val="auto"/>
              </w:rPr>
              <w:t xml:space="preserve"> </w:t>
            </w:r>
            <w:r w:rsidRPr="009D2EDD">
              <w:rPr>
                <w:color w:val="auto"/>
              </w:rPr>
              <w:t>Formålet med denne forordning er især at sikre fuld respekt for den menneskelige værdighed og retten til asyl for asylansøgere og deres ledsagende familiemedlemmer og at fremme anvendelsen af chartrets artikler vedrørende menneskelig værdighed, respekt for privatliv og familieliv, ytrings- og informationsfrihed, ret til uddannelse, erhvervsfrihed og ret til at arbejde, frihed til at oprette og drive egen virksomhed, ret til asyl, beskyttelse mod forskelsbehandling, barnets rettigheder, social sikring og social bistand samt sundhedspleje og bør derfor gennemføres i overensstemmelse hermed.</w:t>
            </w:r>
          </w:p>
        </w:tc>
        <w:tc>
          <w:tcPr>
            <w:tcW w:w="4876" w:type="dxa"/>
          </w:tcPr>
          <w:p w:rsidR="00944CB0" w:rsidRPr="009D2EDD" w:rsidRDefault="001E7D6E">
            <w:pPr>
              <w:pStyle w:val="Normal6"/>
              <w:rPr>
                <w:color w:val="auto"/>
              </w:rPr>
            </w:pPr>
            <w:r w:rsidRPr="009D2EDD">
              <w:rPr>
                <w:color w:val="auto"/>
              </w:rPr>
              <w:t>(11)</w:t>
            </w:r>
            <w:r w:rsidRPr="009D2EDD">
              <w:tab/>
            </w:r>
            <w:r w:rsidRPr="009D2EDD">
              <w:rPr>
                <w:color w:val="auto"/>
              </w:rPr>
              <w:t>Denne forordning respekterer de grundlæggende rettigheder.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150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(11)</w:t>
            </w:r>
            <w:r w:rsidRPr="009D2EDD">
              <w:tab/>
            </w:r>
            <w:r w:rsidRPr="009D2EDD">
              <w:rPr>
                <w:color w:val="auto"/>
              </w:rPr>
              <w:t>Denne forordning respekterer de grundlæggende rettigheder og overholder de principper, der navnlig er anerkendt i Den Europæiske Unions charter om grundlæggende rettigheder (chartret). Formålet med denne forordning er især at sikre fuld respekt for den menneskelige værdighed og retten til asyl for asylansøgere og deres ledsagende familiemedlemmer og at fremme anvendelsen af chartrets artikler vedrørende menneskelig værdighed, respekt for privatliv og familieliv, ytrings- og informationsfrihed, ret til uddannelse, erhvervsfrihed og ret til at arbejde, frihed til at oprette og drive egen virksomhed, ret til asyl, beskyttelse mod forskelsbehandling, barnets rettigheder, social sikring og social bistand samt sundhedspleje og bør derfor gennemføres i overensstemmelse hermed.</w:t>
            </w:r>
          </w:p>
        </w:tc>
        <w:tc>
          <w:tcPr>
            <w:tcW w:w="4876" w:type="dxa"/>
          </w:tcPr>
          <w:p w:rsidR="00944CB0" w:rsidRPr="009D2EDD" w:rsidRDefault="001E7D6E">
            <w:pPr>
              <w:pStyle w:val="Normal6"/>
              <w:rPr>
                <w:color w:val="auto"/>
              </w:rPr>
            </w:pPr>
            <w:r w:rsidRPr="009D2EDD">
              <w:rPr>
                <w:color w:val="auto"/>
              </w:rPr>
              <w:t>(11)</w:t>
            </w:r>
            <w:r w:rsidRPr="009D2EDD">
              <w:tab/>
            </w:r>
            <w:r w:rsidRPr="009D2EDD">
              <w:rPr>
                <w:color w:val="auto"/>
              </w:rPr>
              <w:t>Denne forordning respekterer de grundlæggende rettigheder og overholder de principper, der navnlig er anerkendt i Den Europæiske Unions charter om grundlæggende rettigheder (chartret). Forordningen tilsigter navnlig, at asylansøgeres og deres ledsagende familiemedlemmers menneskelige værdighed og ret til asyl respekteres fuldt ud.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151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(11)</w:t>
            </w:r>
            <w:r w:rsidRPr="009D2EDD">
              <w:tab/>
            </w:r>
            <w:r w:rsidRPr="009D2EDD">
              <w:rPr>
                <w:color w:val="auto"/>
              </w:rPr>
              <w:t>Denne forordning respekterer de grundlæggende rettigheder og overholder de principper, der navnlig er anerkendt i Den Europæiske Unions charter om grundlæggende rettigheder (chartret). Formålet med denne forordning er især at sikre fuld respekt for den menneskelige værdighed og retten til asyl for asylansøgere og deres ledsagende familiemedlemmer og at fremme anvendelsen af chartrets artikler vedrørende menneskelig værdighed, respekt for privatliv og familieliv, ytrings- og informationsfrihed, ret til uddannelse, erhvervsfrihed og ret til at arbejde, frihed til at oprette og drive egen virksomhed, ret til asyl, beskyttelse mod forskelsbehandling, barnets rettigheder, social sikring og social bistand samt sundhedspleje og bør derfor gennemføres i overensstemmelse hermed.</w:t>
            </w:r>
          </w:p>
        </w:tc>
        <w:tc>
          <w:tcPr>
            <w:tcW w:w="4876" w:type="dxa"/>
          </w:tcPr>
          <w:p w:rsidR="00944CB0" w:rsidRPr="009D2EDD" w:rsidRDefault="001E7D6E">
            <w:pPr>
              <w:pStyle w:val="Normal6"/>
              <w:rPr>
                <w:color w:val="auto"/>
              </w:rPr>
            </w:pPr>
            <w:r w:rsidRPr="009D2EDD">
              <w:rPr>
                <w:color w:val="auto"/>
              </w:rPr>
              <w:t>(11)</w:t>
            </w:r>
            <w:r w:rsidRPr="009D2EDD">
              <w:tab/>
            </w:r>
            <w:r w:rsidRPr="009D2EDD">
              <w:rPr>
                <w:color w:val="auto"/>
              </w:rPr>
              <w:t>Denne forordning respekterer de grundlæggende rettigheder og overholder de principper, som navnlig anerkendes i Den Europæiske Unions charter om grundlæggende rettigheder ("chartret"), den europæiske menneskerettighedskonvention (EMRK) og den europæiske socialpagt. Denne forordning tilstræber navnlig at sikre fuld respekt for den menneskelige værdighed og retten til asyl for asylansøgere og deres ledsagende familiemedlemmer og at fremme anvendelsen af chartret, den europæiske menneskerettighedskonvention og Den Europæiske Socialpagt's artikler vedrørende menneskelig værdighed, respekt for privatliv og familieliv, beskyttelse i tilfælde af udsendelse, udvisning eller udlevering, ytrings- og informationsfrihed, ret til uddannelse, erhvervsfrihed og ret til at arbejde, frihed til at oprette og drive egen virksomhed, ret til asyl, beskyttelse mod forskelsbehandling, ligestilling mellem kønnene, børns rettigheder, respekt for sociale rettigheder, herunder social sikring og social bistand, sundhedspleje og bør derfor gennemføres i overensstemmelse hermed.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152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(11)</w:t>
            </w:r>
            <w:r w:rsidRPr="009D2EDD">
              <w:tab/>
            </w:r>
            <w:r w:rsidRPr="009D2EDD">
              <w:rPr>
                <w:color w:val="auto"/>
              </w:rPr>
              <w:t>Denne forordning respekterer de grundlæggende rettigheder og overholder de principper, der navnlig er anerkendt i Den Europæiske Unions charter om grundlæggende rettigheder (chartret). Formålet med denne forordning er især at sikre fuld respekt for den menneskelige værdighed og retten til asyl for asylansøgere og deres ledsagende familiemedlemmer og at fremme anvendelsen af chartrets artikler vedrørende menneskelig værdighed, respekt for privatliv og familieliv, ytrings- og informationsfrihed, ret til uddannelse, erhvervsfrihed og ret til at arbejde, frihed til at oprette og drive egen virksomhed, ret til asyl, beskyttelse mod forskelsbehandling, barnets rettigheder, social sikring og social bistand samt sundhedspleje og bør derfor gennemføres i overensstemmelse hermed.</w:t>
            </w:r>
          </w:p>
        </w:tc>
        <w:tc>
          <w:tcPr>
            <w:tcW w:w="4876" w:type="dxa"/>
          </w:tcPr>
          <w:p w:rsidR="00944CB0" w:rsidRPr="009D2EDD" w:rsidRDefault="001E7D6E">
            <w:pPr>
              <w:pStyle w:val="Normal6"/>
              <w:rPr>
                <w:color w:val="auto"/>
              </w:rPr>
            </w:pPr>
            <w:r w:rsidRPr="009D2EDD">
              <w:rPr>
                <w:color w:val="auto"/>
              </w:rPr>
              <w:t>(11)</w:t>
            </w:r>
            <w:r w:rsidRPr="009D2EDD">
              <w:tab/>
            </w:r>
            <w:r w:rsidRPr="009D2EDD">
              <w:rPr>
                <w:color w:val="auto"/>
              </w:rPr>
              <w:t xml:space="preserve">Dette direktiv overholder de grundlæggende rettigheder og de principper, som bl.a. Den Europæiske Unions charter om grundlæggende rettigheder (chartret) </w:t>
            </w:r>
            <w:r w:rsidR="00AA4696" w:rsidRPr="009D2EDD">
              <w:rPr>
                <w:color w:val="auto"/>
              </w:rPr>
              <w:t>anerkender.</w:t>
            </w:r>
            <w:r w:rsidRPr="009D2EDD">
              <w:rPr>
                <w:color w:val="auto"/>
              </w:rPr>
              <w:t xml:space="preserve"> Formålet med dette direktiv er især at sikre fuld respekt for den menneskelige værdighed og retten til asyl for asylansøgere og deres ledsagende familiemedlemmer og at fremme anvendelsen af chartrets artikler vedrørende menneskelig værdighed, respekt for privatliv og familieliv, ytrings- og informationsfrihed, ret til uddannelse, erhvervsfrihed og ret til at arbejde, frihed til at oprette og drive egen virksomhed, ret til asyl, beskyttelse mod forskelsbehandling, barnets rettigheder, social sikring og social bistand samt sundhedspleje og bør derfor gennemføres i overensstemmelse hermed.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153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(12)</w:t>
            </w:r>
            <w:r w:rsidRPr="009D2EDD">
              <w:tab/>
            </w:r>
            <w:r w:rsidRPr="009D2EDD">
              <w:rPr>
                <w:color w:val="auto"/>
              </w:rPr>
              <w:t>Med hensyn til behandlingen af de personer, der er omfattet af denne forordnings anvendelsesområde, er medlemsstaterne bundet af forpligtelser i henhold til folkeretlige instrumenter, som de er part i, herunder navnlig sådanne, som forbyder forskelsbehandling.</w:t>
            </w:r>
          </w:p>
        </w:tc>
        <w:tc>
          <w:tcPr>
            <w:tcW w:w="4876" w:type="dxa"/>
          </w:tcPr>
          <w:p w:rsidR="00944CB0" w:rsidRPr="009D2EDD" w:rsidRDefault="001E7D6E">
            <w:pPr>
              <w:pStyle w:val="Normal6"/>
              <w:rPr>
                <w:color w:val="auto"/>
              </w:rPr>
            </w:pPr>
            <w:r w:rsidRPr="009D2EDD">
              <w:rPr>
                <w:color w:val="auto"/>
              </w:rPr>
              <w:t>(12)</w:t>
            </w:r>
            <w:r w:rsidRPr="009D2EDD">
              <w:tab/>
            </w:r>
            <w:r w:rsidRPr="009D2EDD">
              <w:rPr>
                <w:color w:val="auto"/>
              </w:rPr>
              <w:t>Med hensyn til behandlingen af de personer, der er omfattet af dette direktivs anvendelsesområde, er medlemsstaterne bundet af forpligtelser i henhold til folkeretlige instrumenter, som de er part i, herunder navnlig sådanne, som forbyder forskelsbehandling.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154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(13)</w:t>
            </w:r>
            <w:r w:rsidRPr="009D2EDD">
              <w:tab/>
            </w:r>
            <w:r w:rsidRPr="009D2EDD">
              <w:rPr>
                <w:color w:val="auto"/>
              </w:rPr>
              <w:t>Ressourcerne fra Asyl-, Migrations- og Integrationsfonden bør anvendes til at yde passende støtte til medlemsstaternes indsats med gennemførelsen af de standarder, der fastsættes i forordningen, særligt til de medlemsstater, der er udsat for et særligt og uforholdsmæssigt stort pres på deres asylsystem, navnlig på grund af deres geografiske beliggenhed eller demografiske situation.</w:t>
            </w:r>
          </w:p>
        </w:tc>
        <w:tc>
          <w:tcPr>
            <w:tcW w:w="4876" w:type="dxa"/>
          </w:tcPr>
          <w:p w:rsidR="00944CB0" w:rsidRPr="009D2EDD" w:rsidRDefault="001E7D6E">
            <w:pPr>
              <w:pStyle w:val="Normal6"/>
              <w:rPr>
                <w:color w:val="auto"/>
              </w:rPr>
            </w:pPr>
            <w:r w:rsidRPr="009D2EDD">
              <w:rPr>
                <w:color w:val="auto"/>
              </w:rPr>
              <w:t>(13)</w:t>
            </w:r>
            <w:r w:rsidRPr="009D2EDD">
              <w:tab/>
            </w:r>
            <w:r w:rsidRPr="009D2EDD">
              <w:rPr>
                <w:color w:val="auto"/>
              </w:rPr>
              <w:t xml:space="preserve">(Vedrører ikke den danske tekst) </w:t>
            </w:r>
            <w:r w:rsidRPr="009D2EDD">
              <w:rPr>
                <w:b/>
                <w:i/>
                <w:color w:val="auto"/>
              </w:rPr>
              <w:t>Tillige bør medlemsstaterne på alle forvaltningsniveauer fuldt ud udnytte de muligheder, der findes i fonde, som ikke direkte har relation til asyl- og migrationspolitik, men som kan anvendes til at finansiere foranstaltninger på det område, som f.eks. integrationsforanstaltninger, heriblandt de midler, der er tilgængelige inden for rammerne af Den Europæiske Socialfond, fonden for europæisk bistand til de dårligst stillede, Horisont 2020, Den Europæiske Fond for Regionaludvikling og programmet for rettigheder, lighed og medborgerskab. Disse midler bør gøres direkte tilgængelige for lokale og regionale myndigheder til foranstaltninger, som direkte henhører under deres respektive ansvarsområder.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155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(13)</w:t>
            </w:r>
            <w:r w:rsidRPr="009D2EDD">
              <w:tab/>
            </w:r>
            <w:r w:rsidRPr="009D2EDD">
              <w:rPr>
                <w:color w:val="auto"/>
              </w:rPr>
              <w:t>Ressourcerne fra Asyl-, Migrations- og Integrationsfonden bør anvendes til at yde passende støtte til medlemsstaternes indsats med gennemførelsen af de standarder, der fastsættes i forordningen, særligt til de medlemsstater, der er udsat for et særligt og uforholdsmæssigt stort pres på deres asylsystem, navnlig på grund af deres geografiske beliggenhed eller demografiske situation.</w:t>
            </w:r>
          </w:p>
        </w:tc>
        <w:tc>
          <w:tcPr>
            <w:tcW w:w="4876" w:type="dxa"/>
          </w:tcPr>
          <w:p w:rsidR="00944CB0" w:rsidRPr="009D2EDD" w:rsidRDefault="001E7D6E">
            <w:pPr>
              <w:pStyle w:val="Normal6"/>
              <w:rPr>
                <w:color w:val="auto"/>
              </w:rPr>
            </w:pPr>
            <w:r w:rsidRPr="009D2EDD">
              <w:rPr>
                <w:color w:val="auto"/>
              </w:rPr>
              <w:t>(13)</w:t>
            </w:r>
            <w:r w:rsidRPr="009D2EDD">
              <w:tab/>
            </w:r>
            <w:r w:rsidRPr="009D2EDD">
              <w:rPr>
                <w:color w:val="auto"/>
              </w:rPr>
              <w:t xml:space="preserve">Ressourcerne fra Asyl-, Migrations- og Integrationsfonden bør anvendes til at yde passende støtte til medlemsstaternes indsats med gennemførelsen af de standarder, der fastsættes i direktivet, navnlig med hensyn til at fremme langsigtet integration af personer, der nyder international beskyttelse, og til at yde støtte til de medlemsstater, der står over for store udfordringer med at sikre høje standarder som en del af deres asylsystemer, navnlig på grund af deres geografiske eller demografiske situation. </w:t>
            </w:r>
            <w:r w:rsidRPr="009D2EDD">
              <w:rPr>
                <w:b/>
                <w:i/>
                <w:color w:val="auto"/>
              </w:rPr>
              <w:t>Med henblik herpå bør passende finansiering gøres tilgængelig for lokale og regionale myndigheder og internationale organisationer og civilsamfundsorganisationer, herunder gennem lokale og regionale myndigheders mulighed for direkte adgang til Asyl-, Migrations- og Integrationsfonden.</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156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Alessandra Mussolini, Elissavet Vozemberg-Vrionidi, Barbara Matera, Salvatore Domenico Pogliese</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(13)</w:t>
            </w:r>
            <w:r w:rsidRPr="009D2EDD">
              <w:tab/>
            </w:r>
            <w:r w:rsidRPr="009D2EDD">
              <w:rPr>
                <w:color w:val="auto"/>
              </w:rPr>
              <w:t>Ressourcerne fra Asyl-, Migrations- og Integrationsfonden bør anvendes til at yde passende støtte til medlemsstaternes indsats med gennemførelsen af de standarder, der fastsættes i forordningen, særligt til de medlemsstater, der er udsat for et særligt og uforholdsmæssigt stort pres på deres asylsystem, navnlig på grund af deres geografiske beliggenhed eller demografiske situation.</w:t>
            </w:r>
          </w:p>
        </w:tc>
        <w:tc>
          <w:tcPr>
            <w:tcW w:w="4876" w:type="dxa"/>
          </w:tcPr>
          <w:p w:rsidR="00944CB0" w:rsidRPr="009D2EDD" w:rsidRDefault="001E7D6E">
            <w:pPr>
              <w:pStyle w:val="Normal6"/>
              <w:rPr>
                <w:color w:val="auto"/>
              </w:rPr>
            </w:pPr>
            <w:r w:rsidRPr="009D2EDD">
              <w:rPr>
                <w:color w:val="auto"/>
              </w:rPr>
              <w:t>(13)</w:t>
            </w:r>
            <w:r w:rsidRPr="009D2EDD">
              <w:tab/>
            </w:r>
            <w:r w:rsidRPr="009D2EDD">
              <w:rPr>
                <w:color w:val="auto"/>
              </w:rPr>
              <w:t xml:space="preserve">Den ressourcerne fra Asyl-, Migrations- og Integrationsfonden bør anvendes til at yde passende støtte til medlemsstaternes indsats med gennemførelsen af de standarder, der er fastsat i forordningen, med prioritet til de medlemsstater, der er udsat for et særligt og uforholdsmæssigt stort pres på deres asylsystem, navnlig på grund af deres geografiske eller demografiske situation. </w:t>
            </w:r>
            <w:r w:rsidRPr="009D2EDD">
              <w:rPr>
                <w:b/>
                <w:i/>
                <w:color w:val="auto"/>
              </w:rPr>
              <w:t>Sådan støtte bør begrænses til Asyl-, Migrations- og Integrationsfonden i overensstemmelse med princippet om ingen dobbeltfinansiering.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Forbud mod dobbeltfinansiering er et generelt princip i de europæiske struktur- og investeringsfonde. Det er derfor vigtigt at sikre, at hver enkelt europæisk fond anvendes til de formål, den er blevet fastsat for.</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157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Kinga Gál, Pál Csáky,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(13)</w:t>
            </w:r>
            <w:r w:rsidRPr="009D2EDD">
              <w:tab/>
            </w:r>
            <w:r w:rsidRPr="009D2EDD">
              <w:rPr>
                <w:color w:val="auto"/>
              </w:rPr>
              <w:t>Ressourcerne fra Asyl-, Migrations- og Integrationsfonden bør anvendes til at yde passende støtte til medlemsstaternes indsats med gennemførelsen af de standarder, der fastsættes i forordningen, særligt til de medlemsstater, der er udsat for et særligt og uforholdsmæssigt stort pres på deres asylsystem, navnlig på grund af deres geografiske beliggenhed eller demografiske situation.</w:t>
            </w:r>
          </w:p>
        </w:tc>
        <w:tc>
          <w:tcPr>
            <w:tcW w:w="4876" w:type="dxa"/>
          </w:tcPr>
          <w:p w:rsidR="00944CB0" w:rsidRPr="009D2EDD" w:rsidRDefault="001E7D6E">
            <w:pPr>
              <w:pStyle w:val="Normal6"/>
              <w:rPr>
                <w:color w:val="auto"/>
              </w:rPr>
            </w:pPr>
            <w:r w:rsidRPr="009D2EDD">
              <w:rPr>
                <w:color w:val="auto"/>
              </w:rPr>
              <w:t>(13)</w:t>
            </w:r>
            <w:r w:rsidRPr="009D2EDD">
              <w:tab/>
            </w:r>
            <w:r w:rsidRPr="009D2EDD">
              <w:rPr>
                <w:color w:val="auto"/>
              </w:rPr>
              <w:t>Ressourcerne fra Asyl-, Migrations- og Integrationsfonden bør anvendes til at yde passende støtte til medlemsstaternes indsats med gennemførelsen af de standarder, der fastsættes i forordningen, særligt til de medlemsstater, der er udsat for et særligt og uforholdsmæssigt stort pres på deres asylsystem, navnlig på grund af deres geografiske situation.</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158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(14)</w:t>
            </w:r>
            <w:r w:rsidRPr="009D2EDD">
              <w:tab/>
            </w:r>
            <w:r w:rsidRPr="009D2EDD">
              <w:rPr>
                <w:color w:val="auto"/>
              </w:rPr>
              <w:t>Den Europæiske Unions Asylagentur bør yde passende støtte i forbindelse med anvendelsen af denne forordning, navnlig ved at stille eksperter til rådighed til at bistå medlemsstaternes myndigheder med at modtage, registrere og undersøge ansøgninger om international beskyttelse og til at give opdaterede oplysninger om tredjelande, herunder oplysninger om oprindelseslande og andre relevante retningslinjer og redskaber. Ved anvendelsen af denne forordning bør medlemsstaterne tage hensyn til de operationelle standarder, vejledende retningslinjer og bedste praksis, der er udviklet af Den Europæiske Unions Asylagentur (agenturet). Ved behandlingen af ansøgninger om international beskyttelse bør medlemsstaternes myndigheder tage særligt hensyn til de oplysninger, rapporter, fælles analyser af og vejledning om situationen i oprindelseslandene, der er udviklet på EU-plan af agenturet og de europæiske netværk til udveksling af oplysninger om oprindelseslande i overensstemmelse med artikel 8 og 10 i forordning</w:t>
            </w:r>
            <w:r w:rsidRPr="009D2EDD">
              <w:rPr>
                <w:rStyle w:val="Sup"/>
                <w:color w:val="auto"/>
              </w:rPr>
              <w:t>34</w:t>
            </w:r>
          </w:p>
        </w:tc>
        <w:tc>
          <w:tcPr>
            <w:tcW w:w="4876" w:type="dxa"/>
          </w:tcPr>
          <w:p w:rsidR="00944CB0" w:rsidRPr="009D2EDD" w:rsidRDefault="001E7D6E">
            <w:pPr>
              <w:pStyle w:val="Normal6"/>
              <w:rPr>
                <w:color w:val="auto"/>
              </w:rPr>
            </w:pPr>
            <w:r w:rsidRPr="009D2EDD">
              <w:rPr>
                <w:color w:val="auto"/>
              </w:rPr>
              <w:t>(14)</w:t>
            </w:r>
            <w:r w:rsidRPr="009D2EDD">
              <w:tab/>
            </w:r>
            <w:r w:rsidRPr="009D2EDD">
              <w:rPr>
                <w:color w:val="auto"/>
              </w:rPr>
              <w:t>Den Europæiske Unions Asylagentur bør yde passende støtte i forbindelse med anvendelsen af denne forordning, navnlig ved at stille eksperter til rådighed til at bistå medlemsstaternes myndigheder med at modtage, registrere og undersøge ansøgninger om international beskyttelse og til at give opdaterede oplysninger om tredjelande, herunder oplysninger om oprindelseslande og andre relevante retningslinjer og redskaber. Ved anvendelsen af denne forordning bør medlemsstaterne tage hensyn til de operationelle standarder, vejledende retningslinjer og bedste praksis, der er udviklet af Den Europæiske Unions Asylagentur (agenturet). Ved behandlingen af ansøgninger om international beskyttelse bør medlemsstaternes myndigheder tage særligt hensyn til de oplysninger, rapporter, fælles analyser af og vejledning om situationen i oprindelseslandene, der er udviklet på EU-plan af agenturet og de europæiske netværk til udveksling af oplysninger om oprindelseslande i overensstemmelse med artikel 8 og 10 i forordning</w:t>
            </w:r>
            <w:r w:rsidRPr="009D2EDD">
              <w:rPr>
                <w:rStyle w:val="Sup"/>
                <w:color w:val="auto"/>
              </w:rPr>
              <w:t>34</w:t>
            </w:r>
            <w:r w:rsidRPr="009D2EDD">
              <w:rPr>
                <w:b/>
                <w:i/>
                <w:color w:val="auto"/>
              </w:rPr>
              <w:t xml:space="preserve"> Ved anvendelsen af denne forordning betragtes Den Europæiske Unions Agentur, og medlemsstaterne bør tage hensyn til oplysninger fra FN's Højkommissariat for Flygtninge og ikke-statslige organisationer (ngo'er), som er aktive på stedet.</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34</w:t>
            </w:r>
            <w:r w:rsidRPr="009D2EDD">
              <w:t xml:space="preserve"> COM (2016) 271 final.</w:t>
            </w:r>
          </w:p>
        </w:tc>
        <w:tc>
          <w:tcPr>
            <w:tcW w:w="4876" w:type="dxa"/>
          </w:tcPr>
          <w:p w:rsidR="00944CB0" w:rsidRPr="009D2EDD" w:rsidRDefault="001E7D6E">
            <w:pPr>
              <w:pStyle w:val="Normal6"/>
              <w:rPr>
                <w:color w:val="auto"/>
              </w:rPr>
            </w:pPr>
            <w:r w:rsidRPr="009D2EDD">
              <w:rPr>
                <w:rStyle w:val="Sup"/>
                <w:color w:val="auto"/>
              </w:rPr>
              <w:t>34</w:t>
            </w:r>
            <w:r w:rsidRPr="009D2EDD">
              <w:t xml:space="preserve"> COM (2016) 271 final.</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159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(14)</w:t>
            </w:r>
            <w:r w:rsidRPr="009D2EDD">
              <w:tab/>
            </w:r>
            <w:r w:rsidRPr="009D2EDD">
              <w:rPr>
                <w:color w:val="auto"/>
              </w:rPr>
              <w:t>Den Europæiske Unions Asylagentur bør yde passende støtte i forbindelse med anvendelsen af denne forordning, navnlig ved at stille eksperter til rådighed til at bistå medlemsstaternes myndigheder med at modtage, registrere og undersøge ansøgninger om international beskyttelse og til at give opdaterede oplysninger om tredjelande, herunder oplysninger om oprindelseslande og andre relevante retningslinjer og redskaber.</w:t>
            </w:r>
            <w:r w:rsidRPr="009D2EDD">
              <w:rPr>
                <w:b/>
                <w:i/>
                <w:color w:val="auto"/>
              </w:rPr>
              <w:t xml:space="preserve"> </w:t>
            </w:r>
            <w:r w:rsidRPr="009D2EDD">
              <w:rPr>
                <w:color w:val="auto"/>
              </w:rPr>
              <w:t>Ved anvendelsen af denne forordning bør medlemsstaterne tage hensyn til de operationelle standarder, vejledende retningslinjer og bedste praksis, der er udviklet af Den Europæiske Unions Asylagentur (agenturet). Ved behandlingen af ansøgninger om international beskyttelse bør medlemsstaternes myndigheder tage særligt hensyn til de oplysninger, rapporter, fælles analyser af og vejledning om situationen i oprindelseslandene, der er udviklet på EU-plan af agenturet og de europæiske netværk til udveksling af oplysninger om oprindelseslande i overensstemmelse med artikel 8 og 10 i forordning</w:t>
            </w:r>
            <w:r w:rsidRPr="009D2EDD">
              <w:rPr>
                <w:rStyle w:val="Sup"/>
                <w:color w:val="auto"/>
              </w:rPr>
              <w:t>34</w:t>
            </w:r>
          </w:p>
        </w:tc>
        <w:tc>
          <w:tcPr>
            <w:tcW w:w="4876" w:type="dxa"/>
          </w:tcPr>
          <w:p w:rsidR="00944CB0" w:rsidRPr="009D2EDD" w:rsidRDefault="001E7D6E">
            <w:pPr>
              <w:pStyle w:val="Normal6"/>
              <w:rPr>
                <w:color w:val="auto"/>
              </w:rPr>
            </w:pPr>
            <w:r w:rsidRPr="009D2EDD">
              <w:rPr>
                <w:color w:val="auto"/>
              </w:rPr>
              <w:t>(14)</w:t>
            </w:r>
            <w:r w:rsidRPr="009D2EDD">
              <w:tab/>
            </w:r>
            <w:r w:rsidRPr="009D2EDD">
              <w:rPr>
                <w:color w:val="auto"/>
              </w:rPr>
              <w:t>Den Europæiske Unions Asylagentur bør yde passende støtte i forbindelse med anvendelsen af denne forordning.</w:t>
            </w:r>
            <w:r w:rsidRPr="009D2EDD">
              <w:rPr>
                <w:b/>
                <w:i/>
                <w:color w:val="auto"/>
              </w:rPr>
              <w:t xml:space="preserve"> </w:t>
            </w:r>
            <w:r w:rsidRPr="009D2EDD">
              <w:rPr>
                <w:color w:val="auto"/>
              </w:rPr>
              <w:t xml:space="preserve">Ved anvendelsen af denne forordning bør medlemsstaterne tage hensyn til de operationelle standarder, vejledende retningslinjer og bedste praksis, der er udviklet af agenturet. Ved behandlingen af ansøgninger om international beskyttelse tager medlemsstaternes myndigheder hensyn til de oplysninger, rapporter, fælles analyser af og vejledning om situationen i oprindelseslandene, der er udviklet på EU-plan af agenturet og de europæiske netværk til udveksling af oplysninger om oprindelseslande i overensstemmelse med artikel 8 og 10 i </w:t>
            </w:r>
            <w:r w:rsidRPr="009D2EDD">
              <w:rPr>
                <w:rStyle w:val="Sup"/>
                <w:color w:val="auto"/>
              </w:rPr>
              <w:t>forordning34</w:t>
            </w:r>
            <w:r w:rsidRPr="009D2EDD">
              <w:rPr>
                <w:b/>
                <w:i/>
                <w:color w:val="auto"/>
              </w:rPr>
              <w:t xml:space="preserve"> Desuden tager medlemsstaterne ved behandlingen af ansøgninger om international beskyttelse hensyn til alle relevante oplysninger fra UNHCR og fra civilsamfundsorganisationer, som er aktive på dette område.</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34</w:t>
            </w:r>
            <w:r w:rsidRPr="009D2EDD">
              <w:t xml:space="preserve"> COM (2016) 271 final.</w:t>
            </w:r>
          </w:p>
        </w:tc>
        <w:tc>
          <w:tcPr>
            <w:tcW w:w="4876" w:type="dxa"/>
          </w:tcPr>
          <w:p w:rsidR="00944CB0" w:rsidRPr="009D2EDD" w:rsidRDefault="001E7D6E">
            <w:pPr>
              <w:pStyle w:val="Normal6"/>
              <w:rPr>
                <w:color w:val="auto"/>
              </w:rPr>
            </w:pPr>
            <w:r w:rsidRPr="009D2EDD">
              <w:rPr>
                <w:rStyle w:val="Sup"/>
                <w:color w:val="auto"/>
              </w:rPr>
              <w:t>34</w:t>
            </w:r>
            <w:r w:rsidRPr="009D2EDD">
              <w:t xml:space="preserve"> COM (2016) 271 final.</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160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(14)</w:t>
            </w:r>
            <w:r w:rsidRPr="009D2EDD">
              <w:tab/>
            </w:r>
            <w:r w:rsidRPr="009D2EDD">
              <w:rPr>
                <w:color w:val="auto"/>
              </w:rPr>
              <w:t>Den Europæiske Unions Asylagentur bør yde passende støtte i forbindelse med anvendelsen af denne forordning, navnlig ved at stille eksperter til rådighed til at bistå medlemsstaternes myndigheder med at modtage, registrere og undersøge ansøgninger om international beskyttelse og til at give opdaterede oplysninger om tredjelande, herunder oplysninger om oprindelseslande og andre relevante retningslinjer og redskaber. Ved anvendelsen af denne forordning bør medlemsstaterne tage hensyn til de operationelle standarder, vejledende retningslinjer og bedste praksis, der er udviklet af Den Europæiske Unions Asylagentur (agenturet). Ved behandlingen af ansøgninger om international beskyttelse bør medlemsstaternes myndigheder tage særligt hensyn til de oplysninger, rapporter, fælles analyser af og vejledning om situationen i oprindelseslandene, der er udviklet på EU-plan af agenturet og de europæiske netværk til udveksling af oplysninger om oprindelseslande i overensstemmelse med artikel 8 og 10 i forordning</w:t>
            </w:r>
            <w:r w:rsidRPr="009D2EDD">
              <w:rPr>
                <w:rStyle w:val="Sup"/>
                <w:color w:val="auto"/>
              </w:rPr>
              <w:t>34</w:t>
            </w:r>
          </w:p>
        </w:tc>
        <w:tc>
          <w:tcPr>
            <w:tcW w:w="4876" w:type="dxa"/>
          </w:tcPr>
          <w:p w:rsidR="00944CB0" w:rsidRPr="009D2EDD" w:rsidRDefault="001E7D6E">
            <w:pPr>
              <w:pStyle w:val="Normal6"/>
              <w:rPr>
                <w:color w:val="auto"/>
              </w:rPr>
            </w:pPr>
            <w:r w:rsidRPr="009D2EDD">
              <w:rPr>
                <w:color w:val="auto"/>
              </w:rPr>
              <w:t>(14)</w:t>
            </w:r>
            <w:r w:rsidRPr="009D2EDD">
              <w:tab/>
            </w:r>
            <w:r w:rsidRPr="009D2EDD">
              <w:rPr>
                <w:color w:val="auto"/>
              </w:rPr>
              <w:t>Den Europæiske Unions Asylagentur bør yde passende støtte i forbindelse med anvendelsen af dette direktiv, navnlig ved at stille eksperter til rådighed til at bistå medlemsstaternes myndigheder med at modtage, registrere og undersøge ansøgninger om international beskyttelse og til at give opdaterede oplysninger om tredjelande, herunder oplysninger om oprindelseslande og andre relevante retningslinjer og redskaber. I forbindelse med gennemførelsen og anvendelsen af dette direktiv bør medlemsstaterne tage hensyn til de operationelle standarder, vejledende retningslinjer og bedste praksis, der er udviklet af Den Europæiske Unions Asylagentur (agenturet). Ved behandlingen af ansøgninger om international beskyttelse bør medlemsstaternes myndigheder tage særligt hensyn til de oplysninger, rapporter, fælles analyser af og vejledning om situationen i oprindelseslandene, der er udviklet på EU-plan af agenturet og de europæiske netværk til udveksling af oplysninger om oprindelseslande i overensstemmelse med artikel 8 og 10 i forordning</w:t>
            </w:r>
            <w:r w:rsidRPr="009D2EDD">
              <w:rPr>
                <w:rStyle w:val="Sup"/>
                <w:color w:val="auto"/>
              </w:rPr>
              <w:t>34</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34</w:t>
            </w:r>
            <w:r w:rsidRPr="009D2EDD">
              <w:t xml:space="preserve"> COM (2016) 271 final.</w:t>
            </w:r>
          </w:p>
        </w:tc>
        <w:tc>
          <w:tcPr>
            <w:tcW w:w="4876" w:type="dxa"/>
          </w:tcPr>
          <w:p w:rsidR="00944CB0" w:rsidRPr="009D2EDD" w:rsidRDefault="001E7D6E">
            <w:pPr>
              <w:pStyle w:val="Normal6"/>
              <w:rPr>
                <w:color w:val="auto"/>
              </w:rPr>
            </w:pPr>
            <w:r w:rsidRPr="009D2EDD">
              <w:rPr>
                <w:rStyle w:val="Sup"/>
                <w:color w:val="auto"/>
              </w:rPr>
              <w:t>34</w:t>
            </w:r>
            <w:r w:rsidRPr="009D2EDD">
              <w:t xml:space="preserve"> COM (2016) 271 final.</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161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Pál Csáky,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(14)</w:t>
            </w:r>
            <w:r w:rsidRPr="009D2EDD">
              <w:tab/>
            </w:r>
            <w:r w:rsidRPr="009D2EDD">
              <w:rPr>
                <w:color w:val="auto"/>
              </w:rPr>
              <w:t>Den Europæiske Unions Asylagentur bør yde passende støtte i forbindelse med anvendelsen af denne forordning, navnlig ved at stille eksperter til rådighed til at bistå medlemsstaternes myndigheder med at modtage, registrere og undersøge ansøgninger om international beskyttelse og til at give opdaterede oplysninger om tredjelande, herunder oplysninger om oprindelseslande og andre relevante retningslinjer og redskaber. Ved anvendelsen af denne forordning bør medlemsstaterne tage hensyn til de operationelle standarder, vejledende retningslinjer og bedste praksis, der er udviklet af Den Europæiske Unions Asylagentur (agenturet). Ved behandlingen af ansøgninger om international beskyttelse bør medlemsstaternes myndigheder tage særligt hensyn til de oplysninger, rapporter, fælles analyser af og vejledning om situationen i oprindelseslandene, der er udviklet på EU-plan af agenturet og de europæiske netværk til udveksling af oplysninger om oprindelseslande i overensstemmelse med artikel 8 og 10 i forordning</w:t>
            </w:r>
            <w:r w:rsidRPr="009D2EDD">
              <w:rPr>
                <w:rStyle w:val="Sup"/>
                <w:color w:val="auto"/>
              </w:rPr>
              <w:t>34</w:t>
            </w:r>
          </w:p>
        </w:tc>
        <w:tc>
          <w:tcPr>
            <w:tcW w:w="4876" w:type="dxa"/>
          </w:tcPr>
          <w:p w:rsidR="00944CB0" w:rsidRPr="009D2EDD" w:rsidRDefault="001E7D6E">
            <w:pPr>
              <w:pStyle w:val="Normal6"/>
              <w:rPr>
                <w:color w:val="auto"/>
              </w:rPr>
            </w:pPr>
            <w:r w:rsidRPr="009D2EDD">
              <w:rPr>
                <w:color w:val="auto"/>
              </w:rPr>
              <w:t>(14)</w:t>
            </w:r>
            <w:r w:rsidRPr="009D2EDD">
              <w:tab/>
            </w:r>
            <w:r w:rsidRPr="009D2EDD">
              <w:rPr>
                <w:color w:val="auto"/>
              </w:rPr>
              <w:t>Den Europæiske Unions Asylagentur bør yde passende støtte i forbindelse med anvendelsen af denne forordning, navnlig ved at stille eksperter til rådighed til at bistå medlemsstaternes myndigheder med at modtage, registrere og undersøge ansøgninger om international beskyttelse og til at give opdaterede oplysninger om tredjelande, herunder oplysninger om oprindelseslande og andre relevante retningslinjer og redskaber. Ved anvendelsen af denne forordning bør medlemsstaterne tage hensyn til de operationelle standarder, vejledende retningslinjer og bedste praksis, der er udviklet af Den Europæiske Unions Asylagentur (agenturet). Ved behandlingen af ansøgninger om international beskyttelse bør medlemsstaternes myndigheder tage hensyn til de oplysninger, rapporter, fælles analyser af og vejledning om situationen i oprindelseslandene, der er udviklet på EU-plan af agenturet og de europæiske netværk til udveksling af oplysninger om oprindelseslande i overensstemmelse med artikel 8 og 10 i forordning</w:t>
            </w:r>
            <w:r w:rsidRPr="009D2EDD">
              <w:rPr>
                <w:rStyle w:val="Sup"/>
                <w:color w:val="auto"/>
              </w:rPr>
              <w:t>34</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34</w:t>
            </w:r>
            <w:r w:rsidRPr="009D2EDD">
              <w:t xml:space="preserve"> COM (2016) 271 final.</w:t>
            </w:r>
          </w:p>
        </w:tc>
        <w:tc>
          <w:tcPr>
            <w:tcW w:w="4876" w:type="dxa"/>
          </w:tcPr>
          <w:p w:rsidR="00944CB0" w:rsidRPr="009D2EDD" w:rsidRDefault="001E7D6E">
            <w:pPr>
              <w:pStyle w:val="Normal6"/>
              <w:rPr>
                <w:color w:val="auto"/>
              </w:rPr>
            </w:pPr>
            <w:r w:rsidRPr="009D2EDD">
              <w:rPr>
                <w:rStyle w:val="Sup"/>
                <w:color w:val="auto"/>
              </w:rPr>
              <w:t>34</w:t>
            </w:r>
            <w:r w:rsidRPr="009D2EDD">
              <w:t xml:space="preserve"> COM (2016) 271 final.</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162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(14)</w:t>
            </w:r>
            <w:r w:rsidRPr="009D2EDD">
              <w:tab/>
            </w:r>
            <w:r w:rsidRPr="009D2EDD">
              <w:rPr>
                <w:color w:val="auto"/>
              </w:rPr>
              <w:t>Den Europæiske Unions Asylagentur bør yde passende støtte i forbindelse med anvendelsen af denne forordning, navnlig ved at stille eksperter til rådighed til at bistå medlemsstaternes myndigheder med at modtage, registrere og undersøge ansøgninger om international beskyttelse og til at give opdaterede oplysninger om tredjelande, herunder oplysninger om oprindelseslande og andre relevante retningslinjer og redskaber. Ved anvendelsen af denne forordning bør medlemsstaterne tage hensyn til de operationelle standarder, vejledende retningslinjer og bedste praksis, der er udviklet af Den Europæiske Unions Asylagentur (agenturet). Ved behandlingen af ansøgninger om international beskyttelse bør medlemsstaternes myndigheder tage særligt hensyn til de oplysninger, rapporter, fælles analyser af og vejledning om situationen i oprindelseslandene, der er udviklet på EU-plan af agenturet og de europæiske netværk til udveksling af oplysninger om oprindelseslande i overensstemmelse med artikel 8 og 10 i forordning</w:t>
            </w:r>
            <w:r w:rsidRPr="009D2EDD">
              <w:rPr>
                <w:rStyle w:val="Sup"/>
                <w:color w:val="auto"/>
              </w:rPr>
              <w:t>34</w:t>
            </w:r>
          </w:p>
        </w:tc>
        <w:tc>
          <w:tcPr>
            <w:tcW w:w="4876" w:type="dxa"/>
          </w:tcPr>
          <w:p w:rsidR="00944CB0" w:rsidRPr="009D2EDD" w:rsidRDefault="001E7D6E">
            <w:pPr>
              <w:pStyle w:val="Normal6"/>
              <w:rPr>
                <w:color w:val="auto"/>
              </w:rPr>
            </w:pPr>
            <w:r w:rsidRPr="009D2EDD">
              <w:rPr>
                <w:color w:val="auto"/>
              </w:rPr>
              <w:t>(14)</w:t>
            </w:r>
            <w:r w:rsidRPr="009D2EDD">
              <w:tab/>
            </w:r>
            <w:r w:rsidRPr="009D2EDD">
              <w:rPr>
                <w:color w:val="auto"/>
              </w:rPr>
              <w:t>Den Europæiske Unions Asylagentur bør yde passende støtte i forbindelse med anvendelsen af denne forordning, navnlig ved at stille eksperter til rådighed til at bistå medlemsstaternes myndigheder med at modtage og registrere ansøgninger om international beskyttelse og til at give opdaterede oplysninger om tredjelande, herunder oplysninger om oprindelseslande og andre relevante retningslinjer og redskaber. Ved anvendelsen af denne forordning kan medlemsstaterne tage hensyn til de operationelle standarder, vejledende retningslinjer og bedste praksis, der er udviklet af Den Europæiske Unions Asylagentur (agenturet). Ved behandlingen af ansøgninger om international beskyttelse kan medlemsstaternes myndigheder tage særligt hensyn til de oplysninger, rapporter, fælles analyser af og vejledning om situationen i oprindelseslandene, der er udviklet på EU-plan af agenturet og de europæiske netværk til udveksling af oplysninger om oprindelseslande i overensstemmelse med artikel 8 og 10 i forordning</w:t>
            </w:r>
            <w:r w:rsidRPr="009D2EDD">
              <w:rPr>
                <w:rStyle w:val="Sup"/>
                <w:color w:val="auto"/>
              </w:rPr>
              <w:t>34</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34</w:t>
            </w:r>
            <w:r w:rsidRPr="009D2EDD">
              <w:t xml:space="preserve"> COM (2016) 271 final.</w:t>
            </w:r>
          </w:p>
        </w:tc>
        <w:tc>
          <w:tcPr>
            <w:tcW w:w="4876" w:type="dxa"/>
          </w:tcPr>
          <w:p w:rsidR="00944CB0" w:rsidRPr="009D2EDD" w:rsidRDefault="001E7D6E">
            <w:pPr>
              <w:pStyle w:val="Normal6"/>
              <w:rPr>
                <w:color w:val="auto"/>
              </w:rPr>
            </w:pPr>
            <w:r w:rsidRPr="009D2EDD">
              <w:rPr>
                <w:rStyle w:val="Sup"/>
                <w:color w:val="auto"/>
              </w:rPr>
              <w:t>34</w:t>
            </w:r>
            <w:r w:rsidRPr="009D2EDD">
              <w:t xml:space="preserve"> COM (2016) 271 final.</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163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(15)</w:t>
            </w:r>
            <w:r w:rsidRPr="009D2EDD">
              <w:tab/>
            </w:r>
            <w:r w:rsidRPr="009D2EDD">
              <w:rPr>
                <w:color w:val="auto"/>
              </w:rPr>
              <w:t>Ved anvendelsen af denne forordning bør der først og fremmest tages hensyn til "barnets tarv" i overensstemmelse med De Forenede Nationers konvention af 1989 om barnets rettigheder. Ved vurderingen af barnets tarv bør medlemsstaternes myndigheder især tage behørigt hensyn til princippet om familiens enhed, den mindreåriges trivsel og sociale udvikling, sikkerhedsovervejelser og den mindreåriges egen mening under hensyntagen til vedkommendes alder og modenhed.</w:t>
            </w:r>
          </w:p>
        </w:tc>
        <w:tc>
          <w:tcPr>
            <w:tcW w:w="4876" w:type="dxa"/>
          </w:tcPr>
          <w:p w:rsidR="00944CB0" w:rsidRPr="009D2EDD" w:rsidRDefault="001E7D6E">
            <w:pPr>
              <w:pStyle w:val="Normal6"/>
              <w:rPr>
                <w:color w:val="auto"/>
              </w:rPr>
            </w:pPr>
            <w:r w:rsidRPr="009D2EDD">
              <w:rPr>
                <w:color w:val="auto"/>
              </w:rPr>
              <w:t>(15)</w:t>
            </w:r>
            <w:r w:rsidRPr="009D2EDD">
              <w:tab/>
            </w:r>
            <w:r w:rsidRPr="009D2EDD">
              <w:rPr>
                <w:color w:val="auto"/>
              </w:rPr>
              <w:t xml:space="preserve">Ved anvendelsen af denne forordning bør der først og fremmest tages hensyn til "barnets tarv" i overensstemmelse med De Forenede Nationers konvention af 1989 om barnets rettigheder. Ved vurderingen af barnets tarv bør medlemsstaternes myndigheder især tage behørigt hensyn til princippet om familiens enhed, den mindreåriges trivsel og sociale udvikling, sikkerhedsovervejelser og den mindreåriges egen mening under hensyntagen til vedkommendes alder og modenhed. </w:t>
            </w:r>
            <w:r w:rsidRPr="009D2EDD">
              <w:rPr>
                <w:b/>
                <w:i/>
                <w:color w:val="auto"/>
              </w:rPr>
              <w:t>Sagsøgerne har derefter børn bliver 18 år, inden der træffes afgørelse om ansøgningen træffes vil således stadig nyde godt af familiens enhed.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164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(15)</w:t>
            </w:r>
            <w:r w:rsidRPr="009D2EDD">
              <w:tab/>
            </w:r>
            <w:r w:rsidRPr="009D2EDD">
              <w:rPr>
                <w:color w:val="auto"/>
              </w:rPr>
              <w:t>Ved anvendelsen af denne forordning bør der først og fremmest tages hensyn til "barnets tarv" i overensstemmelse med De Forenede Nationers konvention af 1989 om barnets rettigheder. Ved vurderingen af barnets tarv bør medlemsstaternes myndigheder især tage behørigt hensyn til princippet om familiens enhed, den mindreåriges trivsel og sociale udvikling, sikkerhedsovervejelser og den mindreåriges egen mening under hensyntagen til vedkommendes alder og modenhed.</w:t>
            </w:r>
          </w:p>
        </w:tc>
        <w:tc>
          <w:tcPr>
            <w:tcW w:w="4876" w:type="dxa"/>
          </w:tcPr>
          <w:p w:rsidR="00944CB0" w:rsidRPr="009D2EDD" w:rsidRDefault="001E7D6E">
            <w:pPr>
              <w:pStyle w:val="Normal6"/>
              <w:rPr>
                <w:color w:val="auto"/>
              </w:rPr>
            </w:pPr>
            <w:r w:rsidRPr="009D2EDD">
              <w:rPr>
                <w:color w:val="auto"/>
              </w:rPr>
              <w:t>(15)</w:t>
            </w:r>
            <w:r w:rsidRPr="009D2EDD">
              <w:tab/>
            </w:r>
            <w:r w:rsidRPr="009D2EDD">
              <w:rPr>
                <w:color w:val="auto"/>
              </w:rPr>
              <w:t>Ved anvendelsen af dette direktiv bør der først og fremmest tages hensyn til "barnets tarv" i overensstemmelse med De Forenede Nationers konvention af 1989 om barnets rettigheder. Ved vurderingen af barnets tarv bør medlemsstaternes myndigheder især tage behørigt hensyn til princippet om familiens enhed, den mindreåriges trivsel og sociale udvikling, sikkerhedsovervejelser og den mindreåriges egen mening under hensyntagen til vedkommendes alder og modenhed.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165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Lorenzo Fontana</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(16)</w:t>
            </w:r>
            <w:r w:rsidRPr="009D2EDD">
              <w:tab/>
            </w:r>
            <w:r w:rsidRPr="009D2EDD">
              <w:rPr>
                <w:color w:val="auto"/>
              </w:rPr>
              <w:t>Ved begrebet familiemedlemmer bør der tages hensyn til de forskellige særlige omstændigheder ved afhængighed og til det særlige hensyn, der skal tages til barnets tarv.</w:t>
            </w:r>
            <w:r w:rsidRPr="009D2EDD">
              <w:rPr>
                <w:b/>
                <w:i/>
                <w:color w:val="auto"/>
              </w:rPr>
              <w:t xml:space="preserve"> </w:t>
            </w:r>
            <w:r w:rsidRPr="009D2EDD">
              <w:rPr>
                <w:color w:val="auto"/>
              </w:rPr>
              <w:t>Det bør også afspejle de faktiske nuværende migrationstendenser, hvor ansøgere ofte ankommer til medlemsstaternes område efter en længere periode i transit.</w:t>
            </w:r>
            <w:r w:rsidRPr="009D2EDD">
              <w:rPr>
                <w:b/>
                <w:i/>
                <w:color w:val="auto"/>
              </w:rPr>
              <w:t xml:space="preserve"> </w:t>
            </w:r>
            <w:r w:rsidRPr="009D2EDD">
              <w:rPr>
                <w:color w:val="auto"/>
              </w:rPr>
              <w:t>Begrebet bør derfor også omfatte familier, der er blevet dannet uden for oprindelseslandet, men før deres ankomst til medlemsstatens område</w:t>
            </w:r>
          </w:p>
        </w:tc>
        <w:tc>
          <w:tcPr>
            <w:tcW w:w="4876" w:type="dxa"/>
          </w:tcPr>
          <w:p w:rsidR="00944CB0" w:rsidRPr="009D2EDD" w:rsidRDefault="001E7D6E">
            <w:pPr>
              <w:pStyle w:val="Normal6"/>
              <w:rPr>
                <w:color w:val="auto"/>
              </w:rPr>
            </w:pPr>
            <w:r w:rsidRPr="009D2EDD">
              <w:rPr>
                <w:color w:val="auto"/>
              </w:rPr>
              <w:t>(16)</w:t>
            </w:r>
            <w:r w:rsidRPr="009D2EDD">
              <w:tab/>
            </w:r>
            <w:r w:rsidRPr="009D2EDD">
              <w:rPr>
                <w:color w:val="auto"/>
              </w:rPr>
              <w:t>Begrebet familiemedlem (16) skal henvise til det juridiske system i værtslandet.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166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 Cornelia Ernst</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(16)</w:t>
            </w:r>
            <w:r w:rsidRPr="009D2EDD">
              <w:tab/>
            </w:r>
            <w:r w:rsidRPr="009D2EDD">
              <w:rPr>
                <w:color w:val="auto"/>
              </w:rPr>
              <w:t>Ved begrebet familiemedlemmer bør der tages hensyn til de forskellige særlige omstændigheder ved afhængighed og til det særlige hensyn, der skal tages til barnets tarv. Det bør også afspejle de faktiske nuværende migrationstendenser, hvor ansøgere ofte ankommer til medlemsstaternes område efter en længere periode i transit. Begrebet bør derfor også omfatte familier, der er blevet dannet uden for oprindelseslandet, men før deres ankomst til medlemsstatens område</w:t>
            </w:r>
          </w:p>
        </w:tc>
        <w:tc>
          <w:tcPr>
            <w:tcW w:w="4876" w:type="dxa"/>
          </w:tcPr>
          <w:p w:rsidR="00944CB0" w:rsidRPr="009D2EDD" w:rsidRDefault="001E7D6E">
            <w:pPr>
              <w:pStyle w:val="Normal6"/>
              <w:rPr>
                <w:color w:val="auto"/>
              </w:rPr>
            </w:pPr>
            <w:r w:rsidRPr="009D2EDD">
              <w:rPr>
                <w:color w:val="auto"/>
              </w:rPr>
              <w:t>(16)</w:t>
            </w:r>
            <w:r w:rsidRPr="009D2EDD">
              <w:tab/>
            </w:r>
            <w:r w:rsidRPr="009D2EDD">
              <w:rPr>
                <w:color w:val="auto"/>
              </w:rPr>
              <w:t>Ved begrebet familiemedlemmer bør der tages hensyn til forskellige familiekonstellationer og nye familiemønstre, til de forskellige særlige omstændigheder ved afhængighed og til det særlige hensyn, der skal tages til barnets tarv. Det bør også afspejle de faktiske nuværende migrationstendenser, hvor ansøgere ofte ankommer til medlemsstaternes område efter en længere periode i transit. Begrebet bør derfor også omfatte familier, der er blevet dannet både uden for oprindelseslandet og efter ankomsten til medlemsstatens område, under alle omstændigheder med undtagelse af tvangsægteskaber.</w:t>
            </w:r>
            <w:r w:rsidRPr="009D2EDD">
              <w:rPr>
                <w:b/>
                <w:i/>
                <w:color w:val="auto"/>
              </w:rPr>
              <w:t xml:space="preserve"> </w:t>
            </w:r>
            <w:r w:rsidRPr="009D2EDD">
              <w:rPr>
                <w:color w:val="auto"/>
              </w:rPr>
              <w:t>Hvad angår begrebet ægtefælle og ugift samlever, bør der ikke gøre forskel på ægtefæller eller sådanne samlevere på grundlag af køn.</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Skyggeordføreren er enig med ordføreren i, at familier, der er blevet dannet efter ankomsten til medlemsstatens område, bør være omfattet af definitionen på familiemedlemmer. Skyggeordføreren er også enig med ordføreren om, at tvangsægteskaber, uanset hvor de finder sted — bør udelukkes.</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167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 Helga Stevens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(16)</w:t>
            </w:r>
            <w:r w:rsidRPr="009D2EDD">
              <w:tab/>
            </w:r>
            <w:r w:rsidRPr="009D2EDD">
              <w:rPr>
                <w:color w:val="auto"/>
              </w:rPr>
              <w:t>Ved begrebet familiemedlemmer bør der tages hensyn til de forskellige særlige omstændigheder ved afhængighed og til det særlige hensyn, der skal tages til barnets tarv.</w:t>
            </w:r>
            <w:r w:rsidRPr="009D2EDD">
              <w:rPr>
                <w:b/>
                <w:i/>
                <w:color w:val="auto"/>
              </w:rPr>
              <w:t xml:space="preserve"> </w:t>
            </w:r>
            <w:r w:rsidRPr="009D2EDD">
              <w:rPr>
                <w:color w:val="auto"/>
              </w:rPr>
              <w:t>Det bør også afspejle de faktiske nuværende migrationstendenser, hvor ansøgere ofte ankommer til medlemsstaternes område efter en længere periode i transit.</w:t>
            </w:r>
            <w:r w:rsidRPr="009D2EDD">
              <w:rPr>
                <w:b/>
                <w:i/>
                <w:color w:val="auto"/>
              </w:rPr>
              <w:t xml:space="preserve"> </w:t>
            </w:r>
            <w:r w:rsidRPr="009D2EDD">
              <w:rPr>
                <w:color w:val="auto"/>
              </w:rPr>
              <w:t>Begrebet bør derfor også omfatte familier, der er blevet dannet uden for oprindelseslandet, men før deres ankomst til medlemsstatens område</w:t>
            </w:r>
          </w:p>
        </w:tc>
        <w:tc>
          <w:tcPr>
            <w:tcW w:w="4876" w:type="dxa"/>
          </w:tcPr>
          <w:p w:rsidR="00944CB0" w:rsidRPr="009D2EDD" w:rsidRDefault="001E7D6E">
            <w:pPr>
              <w:pStyle w:val="Normal6"/>
              <w:rPr>
                <w:color w:val="auto"/>
              </w:rPr>
            </w:pPr>
            <w:r w:rsidRPr="009D2EDD">
              <w:rPr>
                <w:color w:val="auto"/>
              </w:rPr>
              <w:t>(16)</w:t>
            </w:r>
            <w:r w:rsidRPr="009D2EDD">
              <w:tab/>
            </w:r>
            <w:r w:rsidRPr="009D2EDD">
              <w:rPr>
                <w:color w:val="auto"/>
              </w:rPr>
              <w:t>Begrebet familiemedlemmer bør der tages hensyn til de principper, der er fastsat i Rådets direktiv 2003/86/EC</w:t>
            </w:r>
            <w:r w:rsidRPr="009D2EDD">
              <w:rPr>
                <w:rStyle w:val="SupBoldItalic"/>
                <w:color w:val="auto"/>
              </w:rPr>
              <w:t>1a</w:t>
            </w:r>
            <w:r w:rsidRPr="009D2EDD">
              <w:rPr>
                <w:color w:val="auto"/>
              </w:rPr>
              <w:t>, som fremhæver de centrale familieenheden, de forskellige særlige omstændigheder ved afhængighed, og til det særlige hensyn, der skal tages til barnets tarv.</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rStyle w:val="SupBoldItalic"/>
                <w:color w:val="auto"/>
              </w:rPr>
              <w:t>1a</w:t>
            </w:r>
            <w:r w:rsidRPr="009D2EDD">
              <w:t xml:space="preserve"> Rådets direktiv 2003/86/EF af 22. september 2003 om ret til familiesammenføring (EUT L 251 af 3.10.2003, s. 12-18).</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168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(16)</w:t>
            </w:r>
            <w:r w:rsidRPr="009D2EDD">
              <w:tab/>
            </w:r>
            <w:r w:rsidRPr="009D2EDD">
              <w:rPr>
                <w:color w:val="auto"/>
              </w:rPr>
              <w:t>Ved begrebet familiemedlemmer bør der tages hensyn til de forskellige særlige omstændigheder ved afhængighed og til det særlige hensyn, der skal tages til barnets tarv. Det bør også afspejle de faktiske nuværende migrationstendenser, hvor ansøgere ofte ankommer til medlemsstaternes område efter en længere periode i transit. Begrebet bør derfor også omfatte familier, der er blevet dannet uden for oprindelseslandet, men før deres ankomst til medlemsstatens område</w:t>
            </w:r>
          </w:p>
        </w:tc>
        <w:tc>
          <w:tcPr>
            <w:tcW w:w="4876" w:type="dxa"/>
          </w:tcPr>
          <w:p w:rsidR="00944CB0" w:rsidRPr="009D2EDD" w:rsidRDefault="001E7D6E">
            <w:pPr>
              <w:pStyle w:val="Normal6"/>
              <w:rPr>
                <w:color w:val="auto"/>
              </w:rPr>
            </w:pPr>
            <w:r w:rsidRPr="009D2EDD">
              <w:rPr>
                <w:color w:val="auto"/>
              </w:rPr>
              <w:t>(16)</w:t>
            </w:r>
            <w:r w:rsidRPr="009D2EDD">
              <w:tab/>
            </w:r>
            <w:r w:rsidRPr="009D2EDD">
              <w:rPr>
                <w:color w:val="auto"/>
              </w:rPr>
              <w:t xml:space="preserve">Ved begrebet familiemedlemmer bør der tages hensyn tilde forskellige familietyper, som eksisterer, til de forskellige særlige omstændigheder ved afhængighed og til det særlige hensyn, der skal tages til barnets tarv. Det bør også afspejle de faktiske nuværende migrationstendenser, hvor ansøgere ofte ankommer til medlemsstaternes område efter en længere periode i transit. Begrebet bør derfor både omfatte familier, der er blevet dannet uden for oprindelseslandet, og dem der blev dannet efter deres ankomst til medlemsstatens område </w:t>
            </w:r>
            <w:r w:rsidRPr="009D2EDD">
              <w:rPr>
                <w:b/>
                <w:i/>
                <w:color w:val="auto"/>
              </w:rPr>
              <w:t>Begrebet skal udelukkes derimod — under alle omstændigheder — tvangsægteskaber.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169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(16)</w:t>
            </w:r>
            <w:r w:rsidRPr="009D2EDD">
              <w:tab/>
            </w:r>
            <w:r w:rsidRPr="009D2EDD">
              <w:rPr>
                <w:color w:val="auto"/>
              </w:rPr>
              <w:t>Ved begrebet familiemedlemmer bør der tages hensyn til de forskellige særlige omstændigheder ved afhængighed og til det særlige hensyn, der skal tages til barnets tarv. Det bør også afspejle de faktiske nuværende migrationstendenser, hvor ansøgere ofte ankommer til medlemsstaternes område efter en længere periode i transit. Begrebet bør derfor også omfatte familier, der er blevet dannet uden for oprindelseslandet, men før deres ankomst til medlemsstatens område</w:t>
            </w:r>
          </w:p>
        </w:tc>
        <w:tc>
          <w:tcPr>
            <w:tcW w:w="4876" w:type="dxa"/>
          </w:tcPr>
          <w:p w:rsidR="00944CB0" w:rsidRPr="009D2EDD" w:rsidRDefault="001E7D6E">
            <w:pPr>
              <w:pStyle w:val="Normal6"/>
              <w:rPr>
                <w:color w:val="auto"/>
              </w:rPr>
            </w:pPr>
            <w:r w:rsidRPr="009D2EDD">
              <w:rPr>
                <w:color w:val="auto"/>
              </w:rPr>
              <w:t>(16)</w:t>
            </w:r>
            <w:r w:rsidRPr="009D2EDD">
              <w:tab/>
            </w:r>
            <w:r w:rsidRPr="009D2EDD">
              <w:rPr>
                <w:color w:val="auto"/>
              </w:rPr>
              <w:t>Ved begrebet familiemedlemmer bør der tages hensyn til de forskellige særlige omstændigheder ved afhængighed og til det særlige hensyn, der skal tages til barnets tarv. Det bør også afspejle de faktiske nuværende migrationstendenser, hvor ansøgere ofte ankommer til medlemsstaternes område efter en længere periode i transit. Begrebet bør derfor også omfatte familier, der er blevet dannet uden for oprindelseslandet, enten før eller efter deres ankomst til medlemsstatens område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170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(17)</w:t>
            </w:r>
            <w:r w:rsidRPr="009D2EDD">
              <w:tab/>
            </w:r>
            <w:r w:rsidRPr="009D2EDD">
              <w:rPr>
                <w:color w:val="auto"/>
              </w:rPr>
              <w:t>Denne forordning berører ikke protokollen om asyl for statsborgere i Den Europæiske Unions medlemsstater, der er knyttet som bilag til traktaten om Den Europæiske Union (TEU) og TEUF.</w:t>
            </w:r>
          </w:p>
        </w:tc>
        <w:tc>
          <w:tcPr>
            <w:tcW w:w="4876" w:type="dxa"/>
          </w:tcPr>
          <w:p w:rsidR="00944CB0" w:rsidRPr="009D2EDD" w:rsidRDefault="001E7D6E">
            <w:pPr>
              <w:pStyle w:val="Normal6"/>
              <w:rPr>
                <w:color w:val="auto"/>
              </w:rPr>
            </w:pPr>
            <w:r w:rsidRPr="009D2EDD">
              <w:rPr>
                <w:color w:val="auto"/>
              </w:rPr>
              <w:t>(17)</w:t>
            </w:r>
            <w:r w:rsidRPr="009D2EDD">
              <w:tab/>
            </w:r>
            <w:r w:rsidRPr="009D2EDD">
              <w:rPr>
                <w:color w:val="auto"/>
              </w:rPr>
              <w:t>Dette direktiv berører ikke protokollen om asyl for statsborgere i Den Europæiske Unions medlemsstater, der er knyttet som bilag til traktaten om Den Europæiske Union (TEU) og TEUF.</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171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19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(19)</w:t>
            </w:r>
            <w:r w:rsidRPr="009D2EDD">
              <w:tab/>
            </w:r>
            <w:r w:rsidRPr="009D2EDD">
              <w:rPr>
                <w:b/>
                <w:i/>
                <w:color w:val="auto"/>
              </w:rPr>
              <w:t>De Forenede Nationers Højkommissariat for Flygtninge kan give medlemsstaternes myndigheder en værdifuld vejledning i forbindelse med anerkendelse af flygtningestatus i henhold til Genèvekonventionens artikel 1.</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172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Lorenzo Fontana</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20</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(20)</w:t>
            </w:r>
            <w:r w:rsidRPr="009D2EDD">
              <w:tab/>
              <w:t>Der bør fastsættes standarder for definitionen og indholdet af flygtningestatus som en vejledning til medlemsstaternes kompetente nationale myndigheder i forbindelse med anvendelse af Genèvekonventionen.</w:t>
            </w:r>
          </w:p>
        </w:tc>
        <w:tc>
          <w:tcPr>
            <w:tcW w:w="4876" w:type="dxa"/>
          </w:tcPr>
          <w:p w:rsidR="00944CB0" w:rsidRPr="009D2EDD" w:rsidRDefault="001E7D6E">
            <w:pPr>
              <w:pStyle w:val="Normal6"/>
              <w:rPr>
                <w:color w:val="auto"/>
              </w:rPr>
            </w:pPr>
            <w:r w:rsidRPr="009D2EDD">
              <w:rPr>
                <w:color w:val="auto"/>
              </w:rPr>
              <w:t>(20)</w:t>
            </w:r>
            <w:r w:rsidRPr="009D2EDD">
              <w:tab/>
              <w:t>Til dato i virkeligheden i EU, og mange medlemsstater har undladt at overholde de standarder, som definerer flygtningestatus, idet Europa som empirisk dokumentation for Italiens vedkommende, og at det store flertal af de personer, som ikke er flygtninge, men økonomiske migranter, som derefter opholder sig på EU's område, og giver anledning til sociale spændinger.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173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Lorenzo Fontana</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(21)</w:t>
            </w:r>
            <w:r w:rsidRPr="009D2EDD">
              <w:tab/>
            </w:r>
            <w:r w:rsidRPr="009D2EDD">
              <w:rPr>
                <w:b/>
                <w:i/>
                <w:color w:val="auto"/>
              </w:rPr>
              <w:t>Det er nødvendigt at indføre fælles kriterier for anerkendelse af asylansøgere som flygtninge i overensstemmelse med Genèvekonventionens artikel 1.</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En asylansøger ikke er flygtning. En flygtning er en person, der har fået tildelt flygtningestatus, efter at hans eller hendes ansøgning om asyl er blevet undersøgt.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174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(21)</w:t>
            </w:r>
            <w:r w:rsidRPr="009D2EDD">
              <w:tab/>
            </w:r>
            <w:r w:rsidRPr="009D2EDD">
              <w:rPr>
                <w:color w:val="auto"/>
              </w:rPr>
              <w:t>Det er nødvendigt at indføre fælles kriterier for anerkendelse af asylansøgere som flygtninge i overensstemmelse med Genèvekonventionens artikel 1.</w:t>
            </w:r>
          </w:p>
        </w:tc>
        <w:tc>
          <w:tcPr>
            <w:tcW w:w="4876" w:type="dxa"/>
          </w:tcPr>
          <w:p w:rsidR="00944CB0" w:rsidRPr="009D2EDD" w:rsidRDefault="001E7D6E">
            <w:pPr>
              <w:pStyle w:val="Normal6"/>
              <w:rPr>
                <w:color w:val="auto"/>
              </w:rPr>
            </w:pPr>
            <w:r w:rsidRPr="009D2EDD">
              <w:rPr>
                <w:color w:val="auto"/>
              </w:rPr>
              <w:t>(21)</w:t>
            </w:r>
            <w:r w:rsidRPr="009D2EDD">
              <w:tab/>
            </w:r>
            <w:r w:rsidRPr="009D2EDD">
              <w:rPr>
                <w:color w:val="auto"/>
              </w:rPr>
              <w:t>Det er nødvendigt at indføre grundlæggende kriterier for anerkendelse af asylansøgere som flygtninge i overensstemmelse med Genèvekonventionens artikel 1.</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175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21 a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(21 a)</w:t>
            </w:r>
            <w:r w:rsidRPr="009D2EDD">
              <w:tab/>
            </w:r>
            <w:r w:rsidRPr="009D2EDD">
              <w:rPr>
                <w:b/>
                <w:i/>
                <w:color w:val="auto"/>
              </w:rPr>
              <w:t>Selv om bevisbyrden i princippet påhviler sagsøgeren for at underbygge vedkommendes ansøgning, pligten til at verificere og vurdere alle relevante kendsgerninger er delt mellem ansøgeren og den besluttende myndighed. Hvis der er aspekter af ansøgerens erklæringer, der ikke er underbygget af dokumentation eller andre beviser, skal han eller hun tvivlen komme, hvis han eller hun har oprigtigt bestræbt sig på at underbygge sin ansøgning og har forelagt alle relevante oplysninger, som vedkommende har til sin rådighed, og hans eller hendes forklaringer anses for sammenhængende og troværdige.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Se begrundelsen til artikel 4, stk. 5</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176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(22)</w:t>
            </w:r>
            <w:r w:rsidRPr="009D2EDD">
              <w:tab/>
            </w:r>
            <w:r w:rsidRPr="009D2EDD">
              <w:rPr>
                <w:color w:val="auto"/>
              </w:rPr>
              <w:t>Det er navnlig nødvendigt at indføre en fælles begreber for beskyttelsesbehov, der opstår på stedet (sur place), årsager til overlast og beskyttelse, national beskyttelse og forfølgelse, herunder grundene til forfølgelse.</w:t>
            </w:r>
          </w:p>
        </w:tc>
        <w:tc>
          <w:tcPr>
            <w:tcW w:w="4876" w:type="dxa"/>
          </w:tcPr>
          <w:p w:rsidR="00944CB0" w:rsidRPr="009D2EDD" w:rsidRDefault="001E7D6E">
            <w:pPr>
              <w:pStyle w:val="Normal6"/>
              <w:rPr>
                <w:color w:val="auto"/>
              </w:rPr>
            </w:pPr>
            <w:r w:rsidRPr="009D2EDD">
              <w:rPr>
                <w:color w:val="auto"/>
              </w:rPr>
              <w:t>(22)</w:t>
            </w:r>
            <w:r w:rsidRPr="009D2EDD">
              <w:tab/>
            </w:r>
            <w:r w:rsidRPr="009D2EDD">
              <w:rPr>
                <w:color w:val="auto"/>
              </w:rPr>
              <w:t>Det er navnlig nødvendigt at indføre en fælles begreber for beskyttelsesbehov, der opstår på stedet (sur place), årsager til overlast og beskyttelse, og forfølgelse, herunder grundene til forfølgelse.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177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(22)</w:t>
            </w:r>
            <w:r w:rsidRPr="009D2EDD">
              <w:tab/>
            </w:r>
            <w:r w:rsidRPr="009D2EDD">
              <w:rPr>
                <w:color w:val="auto"/>
              </w:rPr>
              <w:t>Det er navnlig nødvendigt at indføre en fælles begreber for beskyttelsesbehov, der opstår på stedet (sur place), årsager til overlast og beskyttelse, national beskyttelse og forfølgelse, herunder grundene til forfølgelse.</w:t>
            </w:r>
          </w:p>
        </w:tc>
        <w:tc>
          <w:tcPr>
            <w:tcW w:w="4876" w:type="dxa"/>
          </w:tcPr>
          <w:p w:rsidR="00944CB0" w:rsidRPr="009D2EDD" w:rsidRDefault="001E7D6E">
            <w:pPr>
              <w:pStyle w:val="Normal6"/>
              <w:rPr>
                <w:color w:val="auto"/>
              </w:rPr>
            </w:pPr>
            <w:r w:rsidRPr="009D2EDD">
              <w:rPr>
                <w:color w:val="auto"/>
              </w:rPr>
              <w:t>(22)</w:t>
            </w:r>
            <w:r w:rsidRPr="009D2EDD">
              <w:tab/>
            </w:r>
            <w:r w:rsidRPr="009D2EDD">
              <w:rPr>
                <w:color w:val="auto"/>
              </w:rPr>
              <w:t>Det er navnlig nødvendigt at indføre en fælles begreber for beskyttelsesbehov, der opstår på stedet (sur place), årsager til overlast og beskyttelse, og forfølgelse, herunder grundene til forfølgelse.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Skyggeordføreren mener ligesom ordføreren ikke, at begrebet national beskyttelse er tilstrækkelig veludviklet, klart defineret eller sikkert til, at det kan anvendes på en fuldstændig harmoniseret måde.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178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(23)</w:t>
            </w:r>
            <w:r w:rsidRPr="009D2EDD">
              <w:tab/>
            </w:r>
            <w:r w:rsidRPr="009D2EDD">
              <w:rPr>
                <w:color w:val="auto"/>
              </w:rPr>
              <w:t>Enten staten eller parter eller organisationer, herunder internationale organisationer, som opfylder betingelserne i denne forordning, og som kontrollerer en region eller et større område inden for statens område, kan yde beskyttelse, hvis de er villige og i stand hertil. Denne beskyttelse bør være effektiv og ikke blot af midlertidig karakter.</w:t>
            </w:r>
          </w:p>
        </w:tc>
        <w:tc>
          <w:tcPr>
            <w:tcW w:w="4876" w:type="dxa"/>
          </w:tcPr>
          <w:p w:rsidR="00944CB0" w:rsidRPr="009D2EDD" w:rsidRDefault="001E7D6E">
            <w:pPr>
              <w:pStyle w:val="Normal6"/>
              <w:rPr>
                <w:color w:val="auto"/>
              </w:rPr>
            </w:pPr>
            <w:r w:rsidRPr="009D2EDD">
              <w:rPr>
                <w:color w:val="auto"/>
              </w:rPr>
              <w:t>(23)</w:t>
            </w:r>
            <w:r w:rsidRPr="009D2EDD">
              <w:tab/>
            </w:r>
            <w:r w:rsidRPr="009D2EDD">
              <w:rPr>
                <w:color w:val="auto"/>
              </w:rPr>
              <w:t>beskyttelse kan ydes af staten, hvor den er parat og i stand til at sikre beskyttelse af resultaterne. Denne beskyttelse bør være effektiv og ikke blot af midlertidig karakter.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179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(23)</w:t>
            </w:r>
            <w:r w:rsidRPr="009D2EDD">
              <w:tab/>
            </w:r>
            <w:r w:rsidRPr="009D2EDD">
              <w:rPr>
                <w:color w:val="auto"/>
              </w:rPr>
              <w:t>Enten staten eller parter eller organisationer, herunder internationale organisationer, som opfylder betingelserne i denne forordning, og som kontrollerer en region eller et større område inden for statens område, kan yde beskyttelse, hvis de er villige og i stand hertil. Denne beskyttelse bør være effektiv og ikke blot af midlertidig karakter.</w:t>
            </w:r>
          </w:p>
        </w:tc>
        <w:tc>
          <w:tcPr>
            <w:tcW w:w="4876" w:type="dxa"/>
          </w:tcPr>
          <w:p w:rsidR="00944CB0" w:rsidRPr="009D2EDD" w:rsidRDefault="001E7D6E">
            <w:pPr>
              <w:pStyle w:val="Normal6"/>
              <w:rPr>
                <w:color w:val="auto"/>
              </w:rPr>
            </w:pPr>
            <w:r w:rsidRPr="009D2EDD">
              <w:rPr>
                <w:color w:val="auto"/>
              </w:rPr>
              <w:t>(23)</w:t>
            </w:r>
            <w:r w:rsidRPr="009D2EDD">
              <w:tab/>
            </w:r>
            <w:r w:rsidRPr="009D2EDD">
              <w:rPr>
                <w:color w:val="auto"/>
              </w:rPr>
              <w:t>beskyttelse kun kan ydes af en medlemsstat, hvis myndigheder er villige til og i stand til at yde beskyttelse. Denne beskyttelse bør være effektiv og ikke blot af midlertidig karakter.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180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(23)</w:t>
            </w:r>
            <w:r w:rsidRPr="009D2EDD">
              <w:tab/>
            </w:r>
            <w:r w:rsidRPr="009D2EDD">
              <w:rPr>
                <w:color w:val="auto"/>
              </w:rPr>
              <w:t>Enten staten eller parter eller organisationer, herunder internationale organisationer, som opfylder betingelserne i denne forordning, og som kontrollerer en region eller et større område inden for statens område, kan yde beskyttelse, hvis de er villige og i stand hertil. Denne beskyttelse bør være effektiv og ikke blot af midlertidig karakter.</w:t>
            </w:r>
          </w:p>
        </w:tc>
        <w:tc>
          <w:tcPr>
            <w:tcW w:w="4876" w:type="dxa"/>
          </w:tcPr>
          <w:p w:rsidR="00944CB0" w:rsidRPr="009D2EDD" w:rsidRDefault="001E7D6E">
            <w:pPr>
              <w:pStyle w:val="Normal6"/>
              <w:rPr>
                <w:color w:val="auto"/>
              </w:rPr>
            </w:pPr>
            <w:r w:rsidRPr="009D2EDD">
              <w:rPr>
                <w:color w:val="auto"/>
              </w:rPr>
              <w:t>(23)</w:t>
            </w:r>
            <w:r w:rsidRPr="009D2EDD">
              <w:tab/>
            </w:r>
            <w:r w:rsidRPr="009D2EDD">
              <w:rPr>
                <w:color w:val="auto"/>
              </w:rPr>
              <w:t>beskyttelse kan, såfremt de er villige til og i stand til at yde beskyttelse, som opfylder de betingelser, der er fastsat i denne forordning. Denne beskyttelse bør være effektiv og ikke blot af midlertidig karakter.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According to the 1951 refugee convention, as amended in 1967, the only protection actor is the State [Art. 1A(2)]:</w:t>
      </w:r>
    </w:p>
    <w:p w:rsidR="00944CB0" w:rsidRPr="009D2EDD" w:rsidRDefault="001E7D6E">
      <w:pPr>
        <w:pStyle w:val="Normal12Italic"/>
      </w:pPr>
      <w:r w:rsidRPr="009D2EDD">
        <w:t>“For the purposes of the present Convention, the term “refugee” shall apply to any person who:</w:t>
      </w:r>
    </w:p>
    <w:p w:rsidR="00944CB0" w:rsidRPr="009D2EDD" w:rsidRDefault="001E7D6E">
      <w:pPr>
        <w:pStyle w:val="Normal12Italic"/>
      </w:pPr>
      <w:r w:rsidRPr="009D2EDD">
        <w:t>…</w:t>
      </w:r>
    </w:p>
    <w:p w:rsidR="00944CB0" w:rsidRPr="009D2EDD" w:rsidRDefault="001E7D6E">
      <w:pPr>
        <w:pStyle w:val="Normal12Italic"/>
      </w:pPr>
      <w:r w:rsidRPr="009D2EDD">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181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 Helga Stevens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(23)</w:t>
            </w:r>
            <w:r w:rsidRPr="009D2EDD">
              <w:tab/>
            </w:r>
            <w:r w:rsidRPr="009D2EDD">
              <w:rPr>
                <w:color w:val="auto"/>
              </w:rPr>
              <w:t>Enten staten eller parter eller organisationer, herunder internationale organisationer, som opfylder betingelserne i denne forordning, og som kontrollerer en region eller et større område inden for statens område, kan yde beskyttelse, hvis de er villige og i stand hertil. Denne beskyttelse bør være effektiv og ikke blot af midlertidig karakter.</w:t>
            </w:r>
          </w:p>
        </w:tc>
        <w:tc>
          <w:tcPr>
            <w:tcW w:w="4876" w:type="dxa"/>
          </w:tcPr>
          <w:p w:rsidR="00944CB0" w:rsidRPr="009D2EDD" w:rsidRDefault="001E7D6E">
            <w:pPr>
              <w:pStyle w:val="Normal6"/>
              <w:rPr>
                <w:color w:val="auto"/>
              </w:rPr>
            </w:pPr>
            <w:r w:rsidRPr="009D2EDD">
              <w:rPr>
                <w:color w:val="auto"/>
              </w:rPr>
              <w:t>(23)</w:t>
            </w:r>
            <w:r w:rsidRPr="009D2EDD">
              <w:tab/>
            </w:r>
            <w:r w:rsidRPr="009D2EDD">
              <w:rPr>
                <w:color w:val="auto"/>
              </w:rPr>
              <w:t>Enten staten eller parter eller organisationer, herunder internationale organisationer, som opfylder betingelserne i denne forordning, og som kontrollerer en region eller et større område inden for statens område, kan yde beskyttelse, hvis de er villige og i stand hertil. Denne beskyttelse bør være effektiv.</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182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Lorenzo Fontana</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(23)</w:t>
            </w:r>
            <w:r w:rsidRPr="009D2EDD">
              <w:tab/>
            </w:r>
            <w:r w:rsidRPr="009D2EDD">
              <w:rPr>
                <w:color w:val="auto"/>
              </w:rPr>
              <w:t>Enten staten eller parter eller organisationer, herunder internationale organisationer, som opfylder betingelserne i denne forordning, og som kontrollerer en region eller et større område inden for statens område, kan yde beskyttelse, hvis de er villige og i stand hertil. Denne beskyttelse bør være effektiv og ikke blot af midlertidig karakter.</w:t>
            </w:r>
          </w:p>
        </w:tc>
        <w:tc>
          <w:tcPr>
            <w:tcW w:w="4876" w:type="dxa"/>
          </w:tcPr>
          <w:p w:rsidR="00944CB0" w:rsidRPr="009D2EDD" w:rsidRDefault="001E7D6E">
            <w:pPr>
              <w:pStyle w:val="Normal6"/>
              <w:rPr>
                <w:color w:val="auto"/>
              </w:rPr>
            </w:pPr>
            <w:r w:rsidRPr="009D2EDD">
              <w:rPr>
                <w:color w:val="auto"/>
              </w:rPr>
              <w:t>(23)</w:t>
            </w:r>
            <w:r w:rsidRPr="009D2EDD">
              <w:tab/>
            </w:r>
            <w:r w:rsidRPr="009D2EDD">
              <w:rPr>
                <w:color w:val="auto"/>
              </w:rPr>
              <w:t>Enten staten eller organisationer, herunder internationale organisationer, som opfylder betingelserne i denne forordning, og som kontrollerer en region eller et større område inden for statens område, kan yde beskyttelse, hvis de er villige og i stand hertil. Denne beskyttelse bør være effektiv og ikke blot af midlertidig karakter.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183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(24)</w:t>
            </w:r>
            <w:r w:rsidRPr="009D2EDD">
              <w:tab/>
            </w:r>
            <w:r w:rsidRPr="009D2EDD">
              <w:rPr>
                <w:b/>
                <w:i/>
                <w:color w:val="auto"/>
              </w:rPr>
              <w:t>Der bør være reel mulighed for national beskyttelse mod forfølgelse og alvorlig overlast i en del af oprindelseslandet, som den pågældende sikkert og lovligt kan rejse til og sikkert og lovligt kan indrejse i og med rimelighed kan forventes at bosætte sig i. Vurderingen af, om der er mulighed for en sådan national beskyttelse, bør indgå som et naturligt element i vurderingen af ansøgningen om international beskyttelse og bør foretages, når den besluttende myndighed har fastslået, at kvalifikationskriterierne ellers ville finde anvendelse. Det bør påhvile den besluttende myndighed at påvise, at der er mulighed for national beskyttelse.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184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(24)</w:t>
            </w:r>
            <w:r w:rsidRPr="009D2EDD">
              <w:tab/>
            </w:r>
            <w:r w:rsidRPr="009D2EDD">
              <w:rPr>
                <w:b/>
                <w:i/>
                <w:color w:val="auto"/>
              </w:rPr>
              <w:t>Der bør være reel mulighed for national beskyttelse mod forfølgelse og alvorlig overlast i en del af oprindelseslandet, som den pågældende sikkert og lovligt kan rejse til og sikkert og lovligt kan indrejse i og med rimelighed kan forventes at bosætte sig i. Vurderingen af, om der er mulighed for en sådan national beskyttelse, bør indgå som et naturligt element i vurderingen af ansøgningen om international beskyttelse og bør foretages, når den besluttende myndighed har fastslået, at kvalifikationskriterierne ellers ville finde anvendelse. Det bør påhvile den besluttende myndighed at påvise, at der er mulighed for national beskyttelse.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185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(24)</w:t>
            </w:r>
            <w:r w:rsidRPr="009D2EDD">
              <w:tab/>
            </w:r>
            <w:r w:rsidRPr="009D2EDD">
              <w:rPr>
                <w:b/>
                <w:i/>
                <w:color w:val="auto"/>
              </w:rPr>
              <w:t>Der bør være reel mulighed for national beskyttelse mod forfølgelse og alvorlig overlast i en del af oprindelseslandet, som den pågældende sikkert og lovligt kan rejse til og sikkert og lovligt kan indrejse i og med rimelighed kan forventes at bosætte sig i. Vurderingen af, om der er mulighed for en sådan national beskyttelse, bør indgå som et naturligt element i vurderingen af ansøgningen om international beskyttelse og bør foretages, når den besluttende myndighed har fastslået, at kvalifikationskriterierne ellers ville finde anvendelse. Det bør påhvile den besluttende myndighed at påvise, at der er mulighed for national beskyttelse.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Begrebet national beskyttelse ikke følger af flygtningekonventionen fra 1951 og tilføjer et yderligere kriterium for berettigelse til flygtningestatus efter de kriterier, der er fastsat i artikel 1a flygtningekonventionen, og derved risikoen for ansøgere, som har ret til beskyttelse i henhold til konventionen, med mindre man beskyttelse i henhold til EU-retten.</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186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Alessandra Mussolini, Elissavet Vozemberg-Vrionidi, Frank Engel, Barbara Matera, Salvatore Domenico Pogliese, Carlos Coelho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(24)</w:t>
            </w:r>
            <w:r w:rsidRPr="009D2EDD">
              <w:tab/>
            </w:r>
            <w:r w:rsidRPr="009D2EDD">
              <w:rPr>
                <w:color w:val="auto"/>
              </w:rPr>
              <w:t>Der bør være reel mulighed for national beskyttelse mod forfølgelse og alvorlig overlast i en del af oprindelseslandet, som den pågældende sikkert og lovligt kan rejse til og sikkert og lovligt kan indrejse i og med rimelighed kan forventes at bosætte sig i. Vurderingen af, om der er mulighed for en sådan national beskyttelse, bør indgå som et naturligt element i vurderingen af ansøgningen om international beskyttelse og bør foretages, når den besluttende myndighed har fastslået, at kvalifikationskriterierne ellers ville finde anvendelse. Det bør påhvile den besluttende myndighed at påvise, at der er mulighed for national beskyttelse.</w:t>
            </w:r>
          </w:p>
        </w:tc>
        <w:tc>
          <w:tcPr>
            <w:tcW w:w="4876" w:type="dxa"/>
          </w:tcPr>
          <w:p w:rsidR="00944CB0" w:rsidRPr="009D2EDD" w:rsidRDefault="001E7D6E">
            <w:pPr>
              <w:pStyle w:val="Normal6"/>
              <w:rPr>
                <w:color w:val="auto"/>
              </w:rPr>
            </w:pPr>
            <w:r w:rsidRPr="009D2EDD">
              <w:rPr>
                <w:color w:val="auto"/>
              </w:rPr>
              <w:t>(24)</w:t>
            </w:r>
            <w:r w:rsidRPr="009D2EDD">
              <w:tab/>
            </w:r>
            <w:r w:rsidRPr="009D2EDD">
              <w:rPr>
                <w:color w:val="auto"/>
              </w:rPr>
              <w:t xml:space="preserve">Der bør være reel mulighed for national beskyttelse mod forfølgelse og alvorlig overlast i en del af oprindelseslandet, som den pågældende sikkert og lovligt kan rejse til og sikkert og lovligt kan indrejse i og med rimelighed kan forventes at bosætte sig i. Vurderingen af, om der er mulighed for en sådan national beskyttelse, kan indgå i vurderingen af ansøgningen om international beskyttelse og bør foretages, når den besluttende myndighed har fastslået, at kvalifikationskriterierne ellers ville finde anvendelse. Det bør påhvile den besluttende myndighed at påvise, at der er mulighed for national beskyttelse. </w:t>
            </w:r>
            <w:r w:rsidRPr="009D2EDD">
              <w:rPr>
                <w:b/>
                <w:i/>
                <w:color w:val="auto"/>
              </w:rPr>
              <w:t>Sagsøgeren har imidlertid bør samarbejde med den besluttende myndighed for at efterprøve, om betingelserne for beskyttelse er opfyldt i en del af sit oprindelsesland.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Til trods for at påvise, at national beskyttelse bør ligge hos den besluttende myndighed, det er også nødvendigt, at sagsøgeren med den besluttende myndighed at afgøre, om betingelserne for beskyttelse er opfyldt, ved at yde omfattende oplysninger og besvare alle de forelagte spørgsmål.</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187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Kinga Gál, Pál Csáky,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(24)</w:t>
            </w:r>
            <w:r w:rsidRPr="009D2EDD">
              <w:tab/>
            </w:r>
            <w:r w:rsidRPr="009D2EDD">
              <w:rPr>
                <w:color w:val="auto"/>
              </w:rPr>
              <w:t>Der bør være reel mulighed for national beskyttelse mod forfølgelse og alvorlig overlast i en del af oprindelseslandet, som den pågældende sikkert og lovligt kan rejse til og sikkert og lovligt kan indrejse i og med rimelighed kan forventes at bosætte sig i. Vurderingen af, om der er mulighed for en sådan national beskyttelse, bør indgå som et naturligt element i vurderingen af ansøgningen om international beskyttelse og bør foretages, når den besluttende myndighed har fastslået, at kvalifikationskriterierne ellers ville finde anvendelse.</w:t>
            </w:r>
            <w:r w:rsidRPr="009D2EDD">
              <w:rPr>
                <w:b/>
                <w:i/>
                <w:color w:val="auto"/>
              </w:rPr>
              <w:t xml:space="preserve"> Det bør påhvile den besluttende myndighed at påvise, at der er mulighed for national beskyttelse.</w:t>
            </w:r>
          </w:p>
        </w:tc>
        <w:tc>
          <w:tcPr>
            <w:tcW w:w="4876" w:type="dxa"/>
          </w:tcPr>
          <w:p w:rsidR="00944CB0" w:rsidRPr="009D2EDD" w:rsidRDefault="001E7D6E">
            <w:pPr>
              <w:pStyle w:val="Normal6"/>
              <w:rPr>
                <w:color w:val="auto"/>
              </w:rPr>
            </w:pPr>
            <w:r w:rsidRPr="009D2EDD">
              <w:rPr>
                <w:color w:val="auto"/>
              </w:rPr>
              <w:t>(24)</w:t>
            </w:r>
            <w:r w:rsidRPr="009D2EDD">
              <w:tab/>
            </w:r>
            <w:r w:rsidRPr="009D2EDD">
              <w:rPr>
                <w:color w:val="auto"/>
              </w:rPr>
              <w:t>Der bør være reel mulighed for national beskyttelse mod forfølgelse og alvorlig overlast i en del af oprindelseslandet, som den pågældende sikkert og lovligt kan rejse til og sikkert og lovligt kan indrejse i og med rimelighed kan forventes at bosætte sig i. Vurderingen af, om der er mulighed for en sådan national beskyttelse, bør indgå som et naturligt element i vurderingen af ansøgningen om international beskyttelse og bør foretages, når den besluttende myndighed har fastslået, at kvalifikationskriterierne ellers ville finde anvendelse.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188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(24)</w:t>
            </w:r>
            <w:r w:rsidRPr="009D2EDD">
              <w:tab/>
            </w:r>
            <w:r w:rsidRPr="009D2EDD">
              <w:rPr>
                <w:color w:val="auto"/>
              </w:rPr>
              <w:t>Der bør være reel mulighed for national beskyttelse mod forfølgelse og alvorlig overlast i en del af oprindelseslandet, som den pågældende sikkert og lovligt kan rejse til og sikkert og lovligt kan indrejse i og med rimelighed kan forventes at bosætte sig i. Vurderingen af, om der er mulighed for en sådan national beskyttelse, bør indgå som et naturligt element i vurderingen af ansøgningen om international beskyttelse og bør foretages, når den besluttende myndighed har fastslået, at kvalifikationskriterierne ellers ville finde anvendelse. Det bør påhvile den besluttende myndighed at påvise, at der er mulighed for national beskyttelse.</w:t>
            </w:r>
          </w:p>
        </w:tc>
        <w:tc>
          <w:tcPr>
            <w:tcW w:w="4876" w:type="dxa"/>
          </w:tcPr>
          <w:p w:rsidR="00944CB0" w:rsidRPr="009D2EDD" w:rsidRDefault="001E7D6E">
            <w:pPr>
              <w:pStyle w:val="Normal6"/>
              <w:rPr>
                <w:color w:val="auto"/>
              </w:rPr>
            </w:pPr>
            <w:r w:rsidRPr="009D2EDD">
              <w:rPr>
                <w:color w:val="auto"/>
              </w:rPr>
              <w:t>(24)</w:t>
            </w:r>
            <w:r w:rsidRPr="009D2EDD">
              <w:tab/>
            </w:r>
            <w:r w:rsidRPr="009D2EDD">
              <w:rPr>
                <w:color w:val="auto"/>
              </w:rPr>
              <w:t>Der bør være reel mulighed for national beskyttelse mod forfølgelse og alvorlig overlast i en del af oprindelseslandet, som den pågældende sikkert og lovligt kan rejse til og sikkert og lovligt kan indrejse i og med rimelighed kan forventes at bosætte sig i. Vurderingen af, om der er mulighed for en sådan national beskyttelse, bør indgå som et naturligt element i vurderingen af ansøgningen om international beskyttelse og bør foretages senest, når den besluttende myndighed har fastslået, at kvalifikationskriterierne ellers ville finde anvendelse. For at påvise, at national beskyttelse ikke bør påhvile sagsøgeren.</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189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Alessandra Mussolini, Elissavet Vozemberg-Vrionidi, Frank Engel, Barbara Matera, Salvatore Domenico Pogliese, József Nagy, Carlos Coelho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24 a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(24a)</w:t>
            </w:r>
            <w:r w:rsidRPr="009D2EDD">
              <w:tab/>
            </w:r>
            <w:r w:rsidRPr="009D2EDD">
              <w:rPr>
                <w:b/>
                <w:i/>
                <w:color w:val="auto"/>
              </w:rPr>
              <w:t>Ved vurderingen af barnets tarv skal være det primære hensyn af de kompetente myndigheder ved vurderingen af, om betingelserne for beskyttelse i tilfælde af mindreårige.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Denne betragtning er tilpasset til forslaget i artikel 8, stk. 4 a (nyt).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190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(25)</w:t>
            </w:r>
            <w:r w:rsidRPr="009D2EDD">
              <w:tab/>
            </w:r>
            <w:r w:rsidRPr="009D2EDD">
              <w:rPr>
                <w:b/>
                <w:i/>
                <w:color w:val="auto"/>
              </w:rPr>
              <w:t>Hvis de aktører, der står bag forfølgelsen eller den alvorlige overlast, er staten eller statens agenter, bør der være en formodning om, at ansøgeren ikke har mulighed for at opnå effektiv beskyttelse. Når ansøgeren er en uledsaget mindreårig, bør tilstedeværelsen af passende varetægts- og forældremyndighedsordninger, som varetager den uledsagede mindreåriges tarv, indgå i vurderingen af, hvorvidt der er effektiv mulighed for sådan beskyttelse.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Udgår efter ændringer i overensstemmelse med artikel 8</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191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(25)</w:t>
            </w:r>
            <w:r w:rsidRPr="009D2EDD">
              <w:tab/>
            </w:r>
            <w:r w:rsidRPr="009D2EDD">
              <w:rPr>
                <w:color w:val="auto"/>
              </w:rPr>
              <w:t>Hvis de aktører, der står bag forfølgelsen eller den alvorlige overlast, er staten eller statens agenter, bør der være en formodning om, at ansøgeren ikke har mulighed for at opnå effektiv beskyttelse.</w:t>
            </w:r>
            <w:r w:rsidRPr="009D2EDD">
              <w:rPr>
                <w:b/>
                <w:i/>
                <w:color w:val="auto"/>
              </w:rPr>
              <w:t xml:space="preserve"> Når ansøgeren er en uledsaget mindreårig, bør tilstedeværelsen af passende varetægts- og forældremyndighedsordninger, som varetager den uledsagede mindreåriges tarv, indgå i vurderingen af, hvorvidt der er effektiv mulighed for sådan beskyttelse.</w:t>
            </w:r>
          </w:p>
        </w:tc>
        <w:tc>
          <w:tcPr>
            <w:tcW w:w="4876" w:type="dxa"/>
          </w:tcPr>
          <w:p w:rsidR="00944CB0" w:rsidRPr="009D2EDD" w:rsidRDefault="001E7D6E">
            <w:pPr>
              <w:pStyle w:val="Normal6"/>
              <w:rPr>
                <w:color w:val="auto"/>
              </w:rPr>
            </w:pPr>
            <w:r w:rsidRPr="009D2EDD">
              <w:rPr>
                <w:color w:val="auto"/>
              </w:rPr>
              <w:t>(25)</w:t>
            </w:r>
            <w:r w:rsidRPr="009D2EDD">
              <w:tab/>
            </w:r>
            <w:r w:rsidRPr="009D2EDD">
              <w:rPr>
                <w:color w:val="auto"/>
              </w:rPr>
              <w:t>Hvis de aktører, der er etableret som aktører, som står bag forfølgelsen eller den alvorlige overlast, er staten eller statens agenter, bør der være en formodning om, at ansøgeren ikke har mulighed for at opnå effektiv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192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(26)</w:t>
            </w:r>
            <w:r w:rsidRPr="009D2EDD">
              <w:tab/>
            </w:r>
            <w:r w:rsidRPr="009D2EDD">
              <w:rPr>
                <w:color w:val="auto"/>
              </w:rPr>
              <w:t>Det er nødvendigt, at de besluttende myndigheder ved vurderingen af mindreåriges ansøgninger om international beskyttelse tager højde for børnespecifikke former for forfølgelse.</w:t>
            </w:r>
          </w:p>
        </w:tc>
        <w:tc>
          <w:tcPr>
            <w:tcW w:w="4876" w:type="dxa"/>
          </w:tcPr>
          <w:p w:rsidR="00944CB0" w:rsidRPr="009D2EDD" w:rsidRDefault="001E7D6E">
            <w:pPr>
              <w:pStyle w:val="Normal6"/>
              <w:rPr>
                <w:color w:val="auto"/>
              </w:rPr>
            </w:pPr>
            <w:r w:rsidRPr="009D2EDD">
              <w:rPr>
                <w:color w:val="auto"/>
              </w:rPr>
              <w:t>(26)</w:t>
            </w:r>
            <w:r w:rsidRPr="009D2EDD">
              <w:tab/>
            </w:r>
            <w:r w:rsidRPr="009D2EDD">
              <w:rPr>
                <w:color w:val="auto"/>
              </w:rPr>
              <w:t>Det er nødvendigt, at de besluttende myndigheder ved vurderingen af mindreåriges ansøgninger om international beskyttelse tager højde for børnespecifikke former for forfølgelse, menneskehandel og udnyttelse eller det forhold, at der ikke ydes beskyttelse mod sådan forfølgelse.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193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(26)</w:t>
            </w:r>
            <w:r w:rsidRPr="009D2EDD">
              <w:tab/>
            </w:r>
            <w:r w:rsidRPr="009D2EDD">
              <w:rPr>
                <w:color w:val="auto"/>
              </w:rPr>
              <w:t>Det er nødvendigt, at de besluttende myndigheder ved vurderingen af mindreåriges ansøgninger om international beskyttelse tager højde for børnespecifikke former for forfølgelse.</w:t>
            </w:r>
          </w:p>
        </w:tc>
        <w:tc>
          <w:tcPr>
            <w:tcW w:w="4876" w:type="dxa"/>
          </w:tcPr>
          <w:p w:rsidR="00944CB0" w:rsidRPr="009D2EDD" w:rsidRDefault="001E7D6E">
            <w:pPr>
              <w:pStyle w:val="Normal6"/>
              <w:rPr>
                <w:color w:val="auto"/>
              </w:rPr>
            </w:pPr>
            <w:r w:rsidRPr="009D2EDD">
              <w:rPr>
                <w:color w:val="auto"/>
              </w:rPr>
              <w:t>(26)</w:t>
            </w:r>
            <w:r w:rsidRPr="009D2EDD">
              <w:tab/>
            </w:r>
            <w:r w:rsidRPr="009D2EDD">
              <w:rPr>
                <w:color w:val="auto"/>
              </w:rPr>
              <w:t>Det er nødvendigt, ved vurderingen af mindreåriges ansøgninger om international beskyttelse, at de besluttende myndigheder tager højde for børnespecifikke former for forfølgelse og udnyttelse af enhver art eller den manglende beskyttelse heraf.</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194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(27)</w:t>
            </w:r>
            <w:r w:rsidRPr="009D2EDD">
              <w:tab/>
            </w:r>
            <w:r w:rsidRPr="009D2EDD">
              <w:rPr>
                <w:color w:val="auto"/>
              </w:rPr>
              <w:t>En af betingelserne for at kunne opnå flygtningestatus, jf. artikel 1, afsnit A, i Genèvekonventionen, er, at der er en årsagsforbindelse mellem grundene til forfølgelsen, dvs. race, religion, nationalitet, politisk anskuelse eller tilhørsforhold til en bestemt social gruppe, og forfølgelsen eller det forhold, at der ikke ydes beskyttelse mod sådan forfølgelse.</w:t>
            </w:r>
          </w:p>
        </w:tc>
        <w:tc>
          <w:tcPr>
            <w:tcW w:w="4876" w:type="dxa"/>
          </w:tcPr>
          <w:p w:rsidR="00944CB0" w:rsidRPr="009D2EDD" w:rsidRDefault="001E7D6E">
            <w:pPr>
              <w:pStyle w:val="Normal6"/>
              <w:rPr>
                <w:color w:val="auto"/>
              </w:rPr>
            </w:pPr>
            <w:r w:rsidRPr="009D2EDD">
              <w:rPr>
                <w:color w:val="auto"/>
              </w:rPr>
              <w:t>(27)</w:t>
            </w:r>
            <w:r w:rsidRPr="009D2EDD">
              <w:tab/>
            </w:r>
            <w:r w:rsidRPr="009D2EDD">
              <w:rPr>
                <w:color w:val="auto"/>
              </w:rPr>
              <w:t>En af betingelserne for at kunne opnå flygtningestatus, jf. artikel 1, litra a), i Genèvekonventionen, er, at der er en sammenhæng mellem årsagerne til forfølgelse, nemlig race, religion, nationalitet, politisk anskuelse eller tilhørsforhold til en bestemt social gruppe eller politiske anskuelser, og forfølgelsen eller den manglende beskyttelse mod en sådan forfølgelse.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195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(28)</w:t>
            </w:r>
            <w:r w:rsidRPr="009D2EDD">
              <w:tab/>
            </w:r>
            <w:r w:rsidRPr="009D2EDD">
              <w:rPr>
                <w:b/>
                <w:i/>
                <w:color w:val="auto"/>
              </w:rPr>
              <w:t>Det er ligeledes nødvendigt at indføre et fælles begreb for forfølgelsesgrunden "tilhørsforhold til en bestemt social gruppe". Med henblik på afgrænsningen af en bestemt social gruppe bør der tages hensyn til faktorer i forbindelse med ansøgerens køn, herunder kønsidentitet og seksuel orientering, som kan være forbundet med visse retstraditioner og skikke, der f.eks. fører til genital lemlæstelse, tvangssterilisation eller tvungen abort, for så vidt som disse faktorer er forbundet med ansøgerens velbegrundede frygt for forfølgelse.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196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Traian Ungureanu, Artis Pabriks, Tomáš Zdechovský,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(28)</w:t>
            </w:r>
            <w:r w:rsidRPr="009D2EDD">
              <w:tab/>
            </w:r>
            <w:r w:rsidRPr="009D2EDD">
              <w:rPr>
                <w:b/>
                <w:i/>
                <w:color w:val="auto"/>
              </w:rPr>
              <w:t>Det er ligeledes nødvendigt at indføre et fælles begreb for forfølgelsesgrunden "tilhørsforhold til en bestemt social gruppe". Med henblik på afgrænsningen af en bestemt social gruppe bør der tages hensyn til faktorer i forbindelse med ansøgerens køn, herunder kønsidentitet og seksuel orientering, som kan være forbundet med visse retstraditioner og skikke, der f.eks. fører til genital lemlæstelse, tvangssterilisation eller tvungen abort, for så vidt som disse faktorer er forbundet med ansøgerens velbegrundede frygt for forfølgelse.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197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(28)</w:t>
            </w:r>
            <w:r w:rsidRPr="009D2EDD">
              <w:tab/>
            </w:r>
            <w:r w:rsidRPr="009D2EDD">
              <w:rPr>
                <w:color w:val="auto"/>
              </w:rPr>
              <w:t>Det er ligeledes nødvendigt at indføre et fælles begreb for forfølgelsesgrunden "tilhørsforhold til en bestemt social gruppe".</w:t>
            </w:r>
            <w:r w:rsidRPr="009D2EDD">
              <w:rPr>
                <w:b/>
                <w:i/>
                <w:color w:val="auto"/>
              </w:rPr>
              <w:t xml:space="preserve"> Med henblik på afgrænsningen af en bestemt social gruppe bør der tages hensyn til faktorer i forbindelse med ansøgerens køn, herunder kønsidentitet og seksuel orientering, som kan være forbundet med visse retstraditioner og skikke, der f.eks. fører til genital lemlæstelse, tvangssterilisation eller tvungen abort, for så vidt som disse faktorer er forbundet med ansøgerens velbegrundede frygt for forfølgelse.</w:t>
            </w:r>
          </w:p>
        </w:tc>
        <w:tc>
          <w:tcPr>
            <w:tcW w:w="4876" w:type="dxa"/>
          </w:tcPr>
          <w:p w:rsidR="00944CB0" w:rsidRPr="009D2EDD" w:rsidRDefault="001E7D6E">
            <w:pPr>
              <w:pStyle w:val="Normal6"/>
              <w:rPr>
                <w:color w:val="auto"/>
              </w:rPr>
            </w:pPr>
            <w:r w:rsidRPr="009D2EDD">
              <w:rPr>
                <w:color w:val="auto"/>
              </w:rPr>
              <w:t>(28)</w:t>
            </w:r>
            <w:r w:rsidRPr="009D2EDD">
              <w:tab/>
            </w:r>
            <w:r w:rsidRPr="009D2EDD">
              <w:rPr>
                <w:color w:val="auto"/>
              </w:rPr>
              <w:t>Det er ligeledes nødvendigt at indføre et fælles begreb for forfølgelsesgrunden "tilhørsforhold til en bestemt social gruppe".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198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(28)</w:t>
            </w:r>
            <w:r w:rsidRPr="009D2EDD">
              <w:tab/>
            </w:r>
            <w:r w:rsidRPr="009D2EDD">
              <w:rPr>
                <w:color w:val="auto"/>
              </w:rPr>
              <w:t>Det er ligeledes nødvendigt at indføre et fælles begreb for forfølgelsesgrunden "tilhørsforhold til en bestemt social gruppe". Med henblik på afgrænsningen af en bestemt social gruppe bør der tages hensyn til faktorer i forbindelse med ansøgerens køn, herunder kønsidentitet og seksuel orientering, som kan være forbundet med visse retstraditioner og skikke, der f.eks. fører til genital lemlæstelse, tvangssterilisation eller tvungen abort, for så vidt som disse faktorer er forbundet med ansøgerens velbegrundede frygt for forfølgelse.</w:t>
            </w:r>
          </w:p>
        </w:tc>
        <w:tc>
          <w:tcPr>
            <w:tcW w:w="4876" w:type="dxa"/>
          </w:tcPr>
          <w:p w:rsidR="00944CB0" w:rsidRPr="009D2EDD" w:rsidRDefault="001E7D6E">
            <w:pPr>
              <w:pStyle w:val="Normal6"/>
              <w:rPr>
                <w:color w:val="auto"/>
              </w:rPr>
            </w:pPr>
            <w:r w:rsidRPr="009D2EDD">
              <w:rPr>
                <w:color w:val="auto"/>
              </w:rPr>
              <w:t>(28)</w:t>
            </w:r>
            <w:r w:rsidRPr="009D2EDD">
              <w:tab/>
            </w:r>
            <w:r w:rsidRPr="009D2EDD">
              <w:rPr>
                <w:color w:val="auto"/>
              </w:rPr>
              <w:t xml:space="preserve">Det er ligeledes nødvendigt at indføre et fælles begreb for forfølgelsesgrunden "tilhørsforhold til en bestemt social gruppe". Med henblik på afgrænsningen af en bestemt social gruppe bør der tages hensyn til faktorer i forbindelse med ansøgerens køn, herunder kønsidentitet og seksuel orientering, som kan være forbundet med visse retstraditioner og skikke, der f.eks. fører til genital lemlæstelse, tvangssterilisation eller tvungen abort, for så vidt som disse faktorer er forbundet med ansøgerens velbegrundede frygt for forfølgelse. </w:t>
            </w:r>
            <w:r w:rsidRPr="009D2EDD">
              <w:rPr>
                <w:b/>
                <w:i/>
                <w:color w:val="auto"/>
              </w:rPr>
              <w:t>Ansøgerens velbegrundede frygt for forfølgelse, kan opstå den opfattelse af dem, der tilhører en bestemt social gruppe, uanset om det er realiteterne.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199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 Cornelia Ernst</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(28)</w:t>
            </w:r>
            <w:r w:rsidRPr="009D2EDD">
              <w:tab/>
            </w:r>
            <w:r w:rsidRPr="009D2EDD">
              <w:rPr>
                <w:color w:val="auto"/>
              </w:rPr>
              <w:t>Det er ligeledes nødvendigt at indføre et fælles begreb for forfølgelsesgrunden "tilhørsforhold til en bestemt social gruppe". Med henblik på afgrænsningen af en bestemt social gruppe bør der tages hensyn til faktorer i forbindelse med ansøgerens køn, herunder kønsidentitet og seksuel orientering, som kan være forbundet med visse retstraditioner og skikke, der f.eks. fører til genital lemlæstelse, tvangssterilisation eller tvungen abort, for så vidt som disse faktorer er forbundet med ansøgerens velbegrundede frygt for forfølgelse.</w:t>
            </w:r>
          </w:p>
        </w:tc>
        <w:tc>
          <w:tcPr>
            <w:tcW w:w="4876" w:type="dxa"/>
          </w:tcPr>
          <w:p w:rsidR="00944CB0" w:rsidRPr="009D2EDD" w:rsidRDefault="001E7D6E">
            <w:pPr>
              <w:pStyle w:val="Normal6"/>
              <w:rPr>
                <w:color w:val="auto"/>
              </w:rPr>
            </w:pPr>
            <w:r w:rsidRPr="009D2EDD">
              <w:rPr>
                <w:color w:val="auto"/>
              </w:rPr>
              <w:t>(28)</w:t>
            </w:r>
            <w:r w:rsidRPr="009D2EDD">
              <w:tab/>
            </w:r>
            <w:r w:rsidRPr="009D2EDD">
              <w:rPr>
                <w:color w:val="auto"/>
              </w:rPr>
              <w:t>Det er ligeledes nødvendigt at indføre et fælles begreb for forfølgelsesgrunden "tilhørsforhold til en bestemt social gruppe". Med henblik på afgrænsningen af en bestemt social gruppe, spørgsmål i forbindelse med ansøgerens køn, herunder kønsidentitet, kønsudtryk og kønskarakteristika og seksuel orientering, som kan være forbundet med menneskehandel med henblik på seksuel udnyttelse, visse juridiske traditioner og skikke, der f.eks. fører til genital lemlæstelse, tvangssterilisation eller tvungen abort, bør tages behørigt i betragtning, for så vidt som de er forbundet med ansøgerens velbegrundede frygt for forfølgelse.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The shadow rapporteur agrees with the rapporteur that the sex characteristics of an applicant might also be a factor in determining whether that applicant belongs to a particular social group. Furthermore, she would like to add “gender expression” to the definition of “particular social group” following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200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 Cornelia Ernst</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(29)</w:t>
            </w:r>
            <w:r w:rsidRPr="009D2EDD">
              <w:tab/>
            </w:r>
            <w:r w:rsidRPr="009D2EDD">
              <w:rPr>
                <w:color w:val="auto"/>
              </w:rPr>
              <w:t>I overensstemmelse med relevant retspraksis fra Domstolen for Den Europæiske Union bør medlemsstaternes kompetente myndigheder, når de vurderer ansøgninger om international beskyttelse, anvende metoder til vurdering af ansøgerens troværdighed på en måde, der respekterer de individuelle rettigheder, som er sikret ved chartret, navnlig retten til menneskelig værdighed og retten til respekt for privatliv og familieliv. Specifikt hvad angår homoseksualitet bør den individuelle bedømmelse af ansøgerens troværdighed ikke være baseret på stereotype forestillinger om homoseksuelle, og ansøgeren bør ikke underkastes nærmere afhøring eller prøver for så vidt angår vedkommendes seksuelle praksis.</w:t>
            </w:r>
          </w:p>
        </w:tc>
        <w:tc>
          <w:tcPr>
            <w:tcW w:w="4876" w:type="dxa"/>
          </w:tcPr>
          <w:p w:rsidR="00944CB0" w:rsidRPr="009D2EDD" w:rsidRDefault="001E7D6E">
            <w:pPr>
              <w:pStyle w:val="Normal6"/>
              <w:rPr>
                <w:color w:val="auto"/>
              </w:rPr>
            </w:pPr>
            <w:r w:rsidRPr="009D2EDD">
              <w:rPr>
                <w:color w:val="auto"/>
              </w:rPr>
              <w:t>(29)</w:t>
            </w:r>
            <w:r w:rsidRPr="009D2EDD">
              <w:tab/>
            </w:r>
            <w:r w:rsidRPr="009D2EDD">
              <w:rPr>
                <w:color w:val="auto"/>
              </w:rPr>
              <w:t xml:space="preserve">I overensstemmelse med relevant retspraksis fra Den Europæiske Unions Domstol og Den Europæiske Menneskerettighedsdomstol, ved behandlingen af ansøgninger om international beskyttelse, som medlemsstaternes kompetente myndigheder bør anvende metoder til vurdering af ansøgerens troværdighed på en måde, der respekterer de individuelle rettigheder, som er sikret ved chartret og EMRK, navnlig retten til menneskelig værdighed og retten til respekt for privatliv og familieliv. Specifikt hvad angår seksuel orientering og kønsidentitet bør den individuelle bedømmelse af ansøgerens troværdighed ikke være baseret på stereotype forestillinger om seksuel orientering og kønsidentitet, og ansøgeren bør ikke underkastes nærmere afhøring eller prøver for så vidt angår vedkommendes seksuelle praksis. </w:t>
            </w:r>
            <w:r w:rsidRPr="009D2EDD">
              <w:rPr>
                <w:b/>
                <w:i/>
                <w:color w:val="auto"/>
              </w:rPr>
              <w:t>Desuden bør de kompetente nationale myndigheder ikke fastslå, at ansøgerens erklæringer er utroværdige, fordi ansøgeren ikke påberåbte sig sin seksuelle orientering, sin kønsidentitet, sit kønsudtryk eller sine kønskarakteristika ved den første lejlighed, vedkommende fik til at redegøre for grundene til forfølgelse.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Skyggeordføreren er enig med ordføreren i, at forsinket tilkendegivelse er et af de fire parametre, som der henvises til i EU-Domstolens nylige dom af 2. december 2014 i forenede sager C-148/13 til C-150/13, A, B og C mod Staatssecretaris van Veiligheid en Justitie, men dette parameter er ikke nævnt i Kommissionens tekst og bør tilføjes. For LGBTI-asylansøgere kan angst og stigmatisering ofte føre til, at de først på et sent tidspunkt tilkendegiver deres seksuelle orientering, kønsidentitet, kønsudtryk eller kønskarakteristika. Deres ansøgninger må ikke lide skade som følge af en sådan forsinket tilkendegivelse.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201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(29)</w:t>
            </w:r>
            <w:r w:rsidRPr="009D2EDD">
              <w:tab/>
            </w:r>
            <w:r w:rsidRPr="009D2EDD">
              <w:rPr>
                <w:color w:val="auto"/>
              </w:rPr>
              <w:t>I overensstemmelse med relevant retspraksis fra Domstolen for Den Europæiske Union bør medlemsstaternes kompetente myndigheder, når de vurderer ansøgninger om international beskyttelse, anvende metoder til vurdering af ansøgerens troværdighed på en måde, der respekterer de individuelle rettigheder, som er sikret ved chartret, navnlig retten til menneskelig værdighed og retten til respekt for privatliv og familieliv. Specifikt hvad angår homoseksualitet bør den individuelle bedømmelse af ansøgerens troværdighed ikke være baseret på stereotype forestillinger om homoseksuelle, og ansøgeren bør ikke underkastes nærmere afhøring eller prøver for så vidt angår vedkommendes seksuelle praksis.</w:t>
            </w:r>
          </w:p>
        </w:tc>
        <w:tc>
          <w:tcPr>
            <w:tcW w:w="4876" w:type="dxa"/>
          </w:tcPr>
          <w:p w:rsidR="00944CB0" w:rsidRPr="009D2EDD" w:rsidRDefault="001E7D6E">
            <w:pPr>
              <w:pStyle w:val="Normal6"/>
              <w:rPr>
                <w:color w:val="auto"/>
              </w:rPr>
            </w:pPr>
            <w:r w:rsidRPr="009D2EDD">
              <w:rPr>
                <w:color w:val="auto"/>
              </w:rPr>
              <w:t>(29)</w:t>
            </w:r>
            <w:r w:rsidRPr="009D2EDD">
              <w:tab/>
            </w:r>
            <w:r w:rsidRPr="009D2EDD">
              <w:rPr>
                <w:color w:val="auto"/>
              </w:rPr>
              <w:t>I overensstemmelse med relevant retspraksis fra Domstolen for Den Europæiske Union bør medlemsstaternes kompetente myndigheder, når de vurderer ansøgninger om international beskyttelse, anvende metoder til vurdering af ansøgerens troværdighed på en måde, der respekterer de individuelle rettigheder, som er sikret ved chartret, navnlig retten til menneskelig værdighed og retten til respekt for privatliv og familieliv. Specifikt hvad angår seksuel orientering og kønsidentitet bør den individuelle bedømmelse af ansøgerens troværdighed ikke være baseret på stereotype forestillinger om seksuel orientering og kønsidentitet, og ansøgeren bør ikke underkastes nærmere afhøring eller prøver for så vidt angår vedkommendes seksuelle praksis.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202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29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(29)</w:t>
            </w:r>
            <w:r w:rsidRPr="009D2EDD">
              <w:tab/>
            </w:r>
            <w:r w:rsidRPr="009D2EDD">
              <w:rPr>
                <w:color w:val="auto"/>
              </w:rPr>
              <w:t>I overensstemmelse med relevant retspraksis fra Domstolen for Den Europæiske Union bør medlemsstaternes kompetente myndigheder, når de vurderer ansøgninger om international beskyttelse, anvende metoder til vurdering af ansøgerens troværdighed på en måde, der respekterer de individuelle rettigheder, som er sikret ved chartret, navnlig retten til menneskelig værdighed og retten til respekt for privatliv og familieliv. Specifikt hvad angår homoseksualitet bør den individuelle bedømmelse af ansøgerens troværdighed ikke være baseret på stereotype forestillinger om homoseksuelle, og ansøgeren bør ikke underkastes nærmere afhøring eller prøver for så vidt angår vedkommendes seksuelle praksis.</w:t>
            </w:r>
          </w:p>
        </w:tc>
        <w:tc>
          <w:tcPr>
            <w:tcW w:w="4876" w:type="dxa"/>
          </w:tcPr>
          <w:p w:rsidR="00944CB0" w:rsidRPr="009D2EDD" w:rsidRDefault="001E7D6E">
            <w:pPr>
              <w:pStyle w:val="Normal6"/>
              <w:rPr>
                <w:color w:val="auto"/>
              </w:rPr>
            </w:pPr>
            <w:r w:rsidRPr="009D2EDD">
              <w:rPr>
                <w:color w:val="auto"/>
              </w:rPr>
              <w:t>(29)</w:t>
            </w:r>
            <w:r w:rsidRPr="009D2EDD">
              <w:tab/>
            </w:r>
            <w:r w:rsidRPr="009D2EDD">
              <w:rPr>
                <w:color w:val="auto"/>
              </w:rPr>
              <w:t>I overensstemmelse med relevant retspraksis fra Domstolen for Den Europæiske Union bør medlemsstaternes kompetente myndigheder, når de vurderer ansøgninger om international beskyttelse, anvende metoder til vurdering af ansøgerens troværdighed på en måde, der respekterer de individuelle rettigheder, som er sikret ved chartret, navnlig retten til menneskelig værdighed og retten til respekt for privatliv og familieliv. Specifikt hvad angår homoseksualitet bør den individuelle bedømmelse af ansøgerens troværdighed ikke være baseret på stereotype forestillinger men de kompetente myndigheder bør konsekvent kræve faktuelle bevis for den pågældendes homoseksualitet.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203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 Helga Stevens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30</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(30)</w:t>
            </w:r>
            <w:r w:rsidRPr="009D2EDD">
              <w:tab/>
            </w:r>
            <w:r w:rsidRPr="009D2EDD">
              <w:rPr>
                <w:color w:val="auto"/>
              </w:rPr>
              <w:t>Handlinger, der er i modstrid med De Forenede Nationers formål og principper, opregnes i præamblen til og artikel 1 og 2 i De Forenede Nationers pagt og konkretiseres bl.a. i De Forenede Nationers resolutioner om foranstaltninger til bekæmpelse af terrorisme, hvori det erklæres, at "terrorhandlinger, -metoder og -fremgangsmåder er i modstrid med De Forenede Nationers mål og principper", og at "bevidst finansiering og planlægning af samt ansporing til terrorhandlinger ligeledes er i modstrid med De Forenede Nationers mål og principper".</w:t>
            </w:r>
          </w:p>
        </w:tc>
        <w:tc>
          <w:tcPr>
            <w:tcW w:w="4876" w:type="dxa"/>
          </w:tcPr>
          <w:p w:rsidR="00944CB0" w:rsidRPr="009D2EDD" w:rsidRDefault="001E7D6E">
            <w:pPr>
              <w:pStyle w:val="Normal6"/>
              <w:rPr>
                <w:color w:val="auto"/>
              </w:rPr>
            </w:pPr>
            <w:r w:rsidRPr="009D2EDD">
              <w:rPr>
                <w:color w:val="auto"/>
              </w:rPr>
              <w:t>(30)</w:t>
            </w:r>
            <w:r w:rsidRPr="009D2EDD">
              <w:tab/>
            </w:r>
            <w:r w:rsidRPr="009D2EDD">
              <w:rPr>
                <w:color w:val="auto"/>
              </w:rPr>
              <w:t xml:space="preserve">Handlinger, der er i modstrid med De Forenede Nationers formål og principper, opregnes i præamblen til og artikel 1 og 2 i De Forenede Nationers pagt og konkretiseres bl.a. i De Forenede Nationers resolutioner om foranstaltninger til bekæmpelse af terrorisme, hvori det erklæres, at "terrorhandlinger, -metoder og -fremgangsmåder er i modstrid med De Forenede Nationers mål og principper", og at "bevidst finansiering og planlægning af samt ansporing til terrorhandlinger ligeledes er i modstrid med De Forenede Nationers mål og principper". </w:t>
            </w:r>
            <w:r w:rsidRPr="009D2EDD">
              <w:rPr>
                <w:b/>
                <w:i/>
                <w:color w:val="auto"/>
              </w:rPr>
              <w:t>Disse samme retsakter, metoder og praksis bør også udgøre en grund til at afvise og tilbagekalde flygtningestatus eller subsidiær beskyttelsesstatus.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204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(31)</w:t>
            </w:r>
            <w:r w:rsidRPr="009D2EDD">
              <w:tab/>
            </w:r>
            <w:r w:rsidRPr="009D2EDD">
              <w:rPr>
                <w:b/>
                <w:i/>
                <w:color w:val="auto"/>
              </w:rPr>
              <w:t>En politisk forbrydelse er i princippet ikke en grund, der kan berettige udelukkelse fra flygtningestatus. I overensstemmelse med relevant retspraksis fra Domstolen for Den Europæiske Union bør særligt grusomme handlinger, hvis de ikke står i rimeligt forhold til de påståede politiske mål, og terrorhandlinger, der er karakteriseret ved deres voldelighed i forhold til civilbefolkninger, også selv om de begås under foregivelse af, at de har et politisk mål, dog betragtes som ikke-politiske forbrydelser og kan derfor føre til udelukkelse fra flygtningestatus.</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205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(31)</w:t>
            </w:r>
            <w:r w:rsidRPr="009D2EDD">
              <w:tab/>
            </w:r>
            <w:r w:rsidRPr="009D2EDD">
              <w:rPr>
                <w:color w:val="auto"/>
              </w:rPr>
              <w:t>En politisk forbrydelse er i princippet ikke en grund, der kan berettige udelukkelse fra flygtningestatus.</w:t>
            </w:r>
            <w:r w:rsidRPr="009D2EDD">
              <w:rPr>
                <w:b/>
                <w:i/>
                <w:color w:val="auto"/>
              </w:rPr>
              <w:t xml:space="preserve"> I overensstemmelse med relevant retspraksis fra Domstolen for Den Europæiske Union bør særligt grusomme handlinger, hvis de ikke står i rimeligt forhold til de påståede politiske mål, og terrorhandlinger, der er karakteriseret ved deres voldelighed i forhold til civilbefolkninger, også selv om de begås under foregivelse af, at de har et politisk mål, dog betragtes som ikke-politiske forbrydelser og kan derfor føre til udelukkelse fra flygtningestatus.</w:t>
            </w:r>
          </w:p>
        </w:tc>
        <w:tc>
          <w:tcPr>
            <w:tcW w:w="4876" w:type="dxa"/>
          </w:tcPr>
          <w:p w:rsidR="00944CB0" w:rsidRPr="009D2EDD" w:rsidRDefault="001E7D6E">
            <w:pPr>
              <w:pStyle w:val="Normal6"/>
              <w:rPr>
                <w:color w:val="auto"/>
              </w:rPr>
            </w:pPr>
            <w:r w:rsidRPr="009D2EDD">
              <w:rPr>
                <w:color w:val="auto"/>
              </w:rPr>
              <w:t>(31)</w:t>
            </w:r>
            <w:r w:rsidRPr="009D2EDD">
              <w:tab/>
            </w:r>
            <w:r w:rsidRPr="009D2EDD">
              <w:rPr>
                <w:color w:val="auto"/>
              </w:rPr>
              <w:t>En politisk forbrydelse kan berettige udelukkelse fra flygtningestatus.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206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Jeroen Lenaers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(31)</w:t>
            </w:r>
            <w:r w:rsidRPr="009D2EDD">
              <w:tab/>
            </w:r>
            <w:r w:rsidRPr="009D2EDD">
              <w:rPr>
                <w:color w:val="auto"/>
              </w:rPr>
              <w:t>En politisk forbrydelse er i princippet ikke en grund, der kan berettige udelukkelse fra flygtningestatus. I overensstemmelse med relevant retspraksis fra Domstolen for Den Europæiske Union bør særligt grusomme handlinger, hvis de ikke står i rimeligt forhold til de påståede politiske mål, og terrorhandlinger, der er karakteriseret ved deres voldelighed i forhold til civilbefolkninger, også selv om de begås under foregivelse af, at de har et politisk mål, dog betragtes som ikke-politiske forbrydelser og kan derfor føre til udelukkelse fra flygtningestatus.</w:t>
            </w:r>
          </w:p>
        </w:tc>
        <w:tc>
          <w:tcPr>
            <w:tcW w:w="4876" w:type="dxa"/>
          </w:tcPr>
          <w:p w:rsidR="00944CB0" w:rsidRPr="009D2EDD" w:rsidRDefault="001E7D6E">
            <w:pPr>
              <w:pStyle w:val="Normal6"/>
              <w:rPr>
                <w:color w:val="auto"/>
              </w:rPr>
            </w:pPr>
            <w:r w:rsidRPr="009D2EDD">
              <w:rPr>
                <w:color w:val="auto"/>
              </w:rPr>
              <w:t>(31)</w:t>
            </w:r>
            <w:r w:rsidRPr="009D2EDD">
              <w:tab/>
            </w:r>
            <w:r w:rsidRPr="009D2EDD">
              <w:rPr>
                <w:color w:val="auto"/>
              </w:rPr>
              <w:t>En politisk forbrydelse er i princippet ikke en grund, der kan berettige udelukkelse fra flygtningestatus. I overensstemmelse med relevant retspraksis fra Domstolen for Den Europæiske Union bør særligt grusomme handlinger, hvis de ikke står i rimeligt forhold til de påståede politiske mål, og terrorhandlinger, der er karakteriseret ved deres voldelighed i forhold til civilbefolkninger, også selv om de begås under foregivelse af, at de har et politisk mål, dog betragtes som ikke-politiske forbrydelser og bør derfor føre til udelukkelse fra flygtningestatus.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207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Monika Hohlmeier</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31 a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(31a)</w:t>
            </w:r>
            <w:r w:rsidRPr="009D2EDD">
              <w:tab/>
            </w:r>
            <w:r w:rsidRPr="009D2EDD">
              <w:rPr>
                <w:b/>
                <w:i/>
                <w:color w:val="auto"/>
              </w:rPr>
              <w:t>Den Europæiske Unions Domstol klart fastslog i sin dom</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t>Commissaire général aux réfugiés et aux apatrides/Mostafa Lounani</w:t>
            </w:r>
            <w:r w:rsidRPr="009D2EDD">
              <w:rPr>
                <w:rStyle w:val="SupBoldItalic"/>
                <w:color w:val="auto"/>
              </w:rPr>
              <w:t>1a</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at støtte til en terroristgruppe eller gennemførelsen af en retsakt er tilstrækkelig grund til at udelukke en ansøger om international beskyttelse, fra at opnå flygtningestatus eller subsidiær beskyttelsesstatus.</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rStyle w:val="SupBoldItalic"/>
                <w:color w:val="auto"/>
              </w:rPr>
              <w:t>1a</w:t>
            </w:r>
            <w:r w:rsidRPr="009D2EDD">
              <w:rPr>
                <w:color w:val="auto"/>
              </w:rPr>
              <w:t xml:space="preserve"> </w:t>
            </w:r>
            <w:r w:rsidRPr="009D2EDD">
              <w:rPr>
                <w:b/>
                <w:i/>
                <w:color w:val="auto"/>
              </w:rPr>
              <w:t>C-573/14;</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svarer til ændringen af artikel 12.</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208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31 a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(31a)</w:t>
            </w:r>
            <w:r w:rsidRPr="009D2EDD">
              <w:tab/>
            </w:r>
            <w:r w:rsidRPr="009D2EDD">
              <w:rPr>
                <w:b/>
                <w:i/>
                <w:color w:val="auto"/>
              </w:rPr>
              <w:t>Anerkendelsen af subsidiær beskyttelsesstatus er deklaratorisk.</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209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(32)</w:t>
            </w:r>
            <w:r w:rsidRPr="009D2EDD">
              <w:tab/>
            </w:r>
            <w:r w:rsidRPr="009D2EDD">
              <w:rPr>
                <w:b/>
                <w:i/>
                <w:color w:val="auto"/>
              </w:rPr>
              <w:t>Der bør også fastsættes standarder for definition og indhold af subsidiær beskyttelsesstatus. Subsidiær beskyttelse bør være et supplement og en tilføjelse til beskyttelsen af flygtninge i henhold til Genèvekonventionen.</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210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(32)</w:t>
            </w:r>
            <w:r w:rsidRPr="009D2EDD">
              <w:tab/>
            </w:r>
            <w:r w:rsidRPr="009D2EDD">
              <w:rPr>
                <w:color w:val="auto"/>
              </w:rPr>
              <w:t>Der bør også fastsættes standarder for definition og indhold af subsidiær beskyttelsesstatus. Subsidiær beskyttelse bør være et supplement og en tilføjelse til beskyttelsen af flygtninge i henhold til Genèvekonventionen.</w:t>
            </w:r>
          </w:p>
        </w:tc>
        <w:tc>
          <w:tcPr>
            <w:tcW w:w="4876" w:type="dxa"/>
          </w:tcPr>
          <w:p w:rsidR="00944CB0" w:rsidRPr="009D2EDD" w:rsidRDefault="001E7D6E">
            <w:pPr>
              <w:pStyle w:val="Normal6"/>
              <w:rPr>
                <w:color w:val="auto"/>
              </w:rPr>
            </w:pPr>
            <w:r w:rsidRPr="009D2EDD">
              <w:rPr>
                <w:color w:val="auto"/>
              </w:rPr>
              <w:t>(32)</w:t>
            </w:r>
            <w:r w:rsidRPr="009D2EDD">
              <w:tab/>
            </w:r>
            <w:r w:rsidRPr="009D2EDD">
              <w:rPr>
                <w:color w:val="auto"/>
              </w:rPr>
              <w:t xml:space="preserve">Der bør også fastsættes standarder for definition og indhold af subsidiær beskyttelsesstatus. Subsidiær beskyttelse bør være et supplement og en tilføjelse til beskyttelsen af flygtninge i henhold til Genèvekonventionen. </w:t>
            </w:r>
            <w:r w:rsidRPr="009D2EDD">
              <w:rPr>
                <w:b/>
                <w:i/>
                <w:color w:val="auto"/>
              </w:rPr>
              <w:t>Mens beskyttelse varierer mellem flygtningestatus og subsidiær beskyttelse, det konstante behov for beskyttelse kan være af samme varighed.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211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(33)</w:t>
            </w:r>
            <w:r w:rsidRPr="009D2EDD">
              <w:tab/>
            </w:r>
            <w:r w:rsidRPr="009D2EDD">
              <w:rPr>
                <w:b/>
                <w:i/>
                <w:color w:val="auto"/>
              </w:rPr>
              <w:t>Det er nødvendigt at indføre fælles kriterier for anerkendelse af personer, der søger om international beskyttelse, som berettigede til subsidiær beskyttelse. Kriterierne bør hentes fra de internationale forpligtelser i henhold til menneskerettighedsinstrumenter og eksisterende praksis i medlemsstaterne.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212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(34)</w:t>
            </w:r>
            <w:r w:rsidRPr="009D2EDD">
              <w:tab/>
            </w:r>
            <w:r w:rsidRPr="009D2EDD">
              <w:rPr>
                <w:b/>
                <w:i/>
                <w:color w:val="auto"/>
              </w:rPr>
              <w:t>Ved vurderingen af alvorlig overlast, som kan give ansøgere berettigelse til subsidiær beskyttelse, bør begrebet vilkårlig vold i overensstemmelse med relevant retspraksis fra EU-Domstolen omfatte vold, der kan ramme personer uden hensyn til deres personlige situation.</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213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(34)</w:t>
            </w:r>
            <w:r w:rsidRPr="009D2EDD">
              <w:tab/>
            </w:r>
            <w:r w:rsidRPr="009D2EDD">
              <w:rPr>
                <w:color w:val="auto"/>
              </w:rPr>
              <w:t>Ved vurderingen af alvorlig overlast, som kan give ansøgere berettigelse til subsidiær beskyttelse, bør begrebet vilkårlig vold i overensstemmelse med relevant retspraksis fra EU-Domstolen omfatte vold, der kan ramme personer uden hensyn til deres personlige situation.</w:t>
            </w:r>
          </w:p>
        </w:tc>
        <w:tc>
          <w:tcPr>
            <w:tcW w:w="4876" w:type="dxa"/>
          </w:tcPr>
          <w:p w:rsidR="00944CB0" w:rsidRPr="009D2EDD" w:rsidRDefault="001E7D6E">
            <w:pPr>
              <w:pStyle w:val="Normal6"/>
              <w:rPr>
                <w:color w:val="auto"/>
              </w:rPr>
            </w:pPr>
            <w:r w:rsidRPr="009D2EDD">
              <w:rPr>
                <w:color w:val="auto"/>
              </w:rPr>
              <w:t>(34)</w:t>
            </w:r>
            <w:r w:rsidRPr="009D2EDD">
              <w:tab/>
            </w:r>
            <w:r w:rsidRPr="009D2EDD">
              <w:rPr>
                <w:color w:val="auto"/>
              </w:rPr>
              <w:t xml:space="preserve">Ved vurderingen af alvorlig overlast, som kan give ansøgere berettigelse til subsidiær beskyttelse, bør begrebet vilkårlig vold i overensstemmelse med relevant retspraksis fra EU-Domstolen og Den Europæiske Menneskerettighedsdomstol omfatte vold, der kan ramme personer uden hensyn til deres personlige situation. </w:t>
            </w:r>
            <w:r w:rsidRPr="009D2EDD">
              <w:rPr>
                <w:b/>
                <w:i/>
                <w:color w:val="auto"/>
              </w:rPr>
              <w:t>Der kan tages hensyn til en række faktorer ved vurderingen af, om der foreligger vilkårlig vold, heriblandt ekstern aggression, besættelse, udenlandsk dominans, interne konflikter, alvorlige menneskerettighedskrænkelser eller begivenheder, der i væsentlig grad forstyrrer den offentlige orden i oprindelseslandet eller en del heraf.</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214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(36)</w:t>
            </w:r>
            <w:r w:rsidRPr="009D2EDD">
              <w:tab/>
            </w:r>
            <w:r w:rsidRPr="009D2EDD">
              <w:rPr>
                <w:color w:val="auto"/>
              </w:rPr>
              <w:t>For så vidt angår det krævede bevis for, at der foreligger en alvorlig og individuel trussel mod en ansøgers liv eller fysiske integritet i overensstemmelse med relevant retspraksis fra Domstolen for Den Europæiske Union</w:t>
            </w:r>
            <w:r w:rsidRPr="009D2EDD">
              <w:rPr>
                <w:rStyle w:val="Sup"/>
                <w:color w:val="auto"/>
              </w:rPr>
              <w:t>36</w:t>
            </w:r>
            <w:r w:rsidRPr="009D2EDD">
              <w:rPr>
                <w:color w:val="auto"/>
              </w:rPr>
              <w:t>, bør de besluttende myndigheder ikke kræve, at ansøgeren fører bevis for, at truslen er specifikt rettet mod ham på grund af specielle omstændigheder vedrørende hans personlige situation. Dog er den grad af vilkårlig vold, der kræves for at underbygge ansøgningen, mindre, hvis ansøgeren er i stand til at godtgøre, at han er specifikt berørt på grund af specielle omstændigheder vedrørende hans personlige situation. Desuden bør de besluttende myndigheder kun undtagelsesvis fastlægge, at der foreligger en alvorlig og individuel trussel alene på grund af ansøgerens tilstedeværelse på en medlemsstats område eller den relevante del af oprindelseslandets område, forudsat at graden af vilkårlig vold, som karakteriserer den igangværende væbnede konflikt, når et niveau, der er så højt, at der er alvorlig grund til at antage, at en civilperson, der sendes tilbage til det pågældende land, eller i givet fald den pågældende region, alene som følge af sin tilstedeværelse på dette lands eller denne regions område vil løbe en reel risiko for at være udsat for en alvorlig trussel.</w:t>
            </w:r>
          </w:p>
        </w:tc>
        <w:tc>
          <w:tcPr>
            <w:tcW w:w="4876" w:type="dxa"/>
          </w:tcPr>
          <w:p w:rsidR="00944CB0" w:rsidRPr="009D2EDD" w:rsidRDefault="001E7D6E">
            <w:pPr>
              <w:pStyle w:val="Normal6"/>
              <w:rPr>
                <w:color w:val="auto"/>
              </w:rPr>
            </w:pPr>
            <w:r w:rsidRPr="009D2EDD">
              <w:rPr>
                <w:color w:val="auto"/>
              </w:rPr>
              <w:t>(36)</w:t>
            </w:r>
            <w:r w:rsidRPr="009D2EDD">
              <w:tab/>
            </w:r>
            <w:r w:rsidRPr="009D2EDD">
              <w:rPr>
                <w:color w:val="auto"/>
              </w:rPr>
              <w:t>For så vidt angår det krævede bevis for eksistensen af en alvorlig trussel mod en ansøgers liv eller fysiske integritet i overensstemmelse med relevant retspraksis fra Den Europæiske Unions Domstol og Den Europæiske Menneskerettighedsdomstol</w:t>
            </w:r>
            <w:r w:rsidRPr="009D2EDD">
              <w:rPr>
                <w:rStyle w:val="Sup"/>
                <w:color w:val="auto"/>
              </w:rPr>
              <w:t>36</w:t>
            </w:r>
            <w:r w:rsidRPr="009D2EDD">
              <w:rPr>
                <w:color w:val="auto"/>
              </w:rPr>
              <w:t>, det krævede niveau for skade, kan ikke sidestilles med tortur eller umenneskelig eller nedværdigende behandling eller straf. Dog er den grad af vilkårlig vold, der kræves for at underbygge ansøgningen, mindre, hvis ansøgeren er i stand til at godtgøre, at han er specifikt berørt på grund af specielle omstændigheder vedrørende hans personlige situation. Desuden bør de besluttende myndigheder kun undtagelsesvis fastlægge, at der foreligger en alvorlig</w:t>
            </w:r>
            <w:r w:rsidR="00AA4696" w:rsidRPr="009D2EDD">
              <w:rPr>
                <w:color w:val="auto"/>
              </w:rPr>
              <w:t xml:space="preserve"> </w:t>
            </w:r>
            <w:r w:rsidRPr="009D2EDD">
              <w:rPr>
                <w:color w:val="auto"/>
              </w:rPr>
              <w:t xml:space="preserve">trussel alene på grund af ansøgerens tilstedeværelse på en medlemsstats område eller den relevante del af oprindelseslandets område, forudsat at graden af vilkårlig vold, som karakteriserer den igangværende væbnede konflikt, når et niveau hvor der er alvorlig grund til at antage, at en civilperson, der sendes tilbage til det pågældende land, eller i givet fald den pågældende region, alene som følge af sin tilstedeværelse på dette lands eller denne regions område vil løbe en reel risiko for at være udsat for en alvorlig trussel. </w:t>
            </w:r>
            <w:r w:rsidRPr="009D2EDD">
              <w:rPr>
                <w:b/>
                <w:i/>
                <w:color w:val="auto"/>
              </w:rPr>
              <w:t>Samtidig har EU i øjeblikket ingen fælles juridisk definition på en miljømæssigt fordrevne personer, er dette ikke til hinder for, at medlemsstater, der yder beskyttelse til disse personer i henhold til national ret.</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36</w:t>
            </w:r>
            <w:r w:rsidRPr="009D2EDD">
              <w:rPr>
                <w:color w:val="auto"/>
              </w:rPr>
              <w:t xml:space="preserve"> C-465/07.</w:t>
            </w:r>
          </w:p>
        </w:tc>
        <w:tc>
          <w:tcPr>
            <w:tcW w:w="4876" w:type="dxa"/>
          </w:tcPr>
          <w:p w:rsidR="00944CB0" w:rsidRPr="009D2EDD" w:rsidRDefault="001E7D6E">
            <w:pPr>
              <w:pStyle w:val="Normal6"/>
              <w:rPr>
                <w:color w:val="auto"/>
              </w:rPr>
            </w:pPr>
            <w:r w:rsidRPr="009D2EDD">
              <w:rPr>
                <w:rStyle w:val="Sup"/>
                <w:color w:val="auto"/>
              </w:rPr>
              <w:t>36</w:t>
            </w:r>
            <w:r w:rsidRPr="009D2EDD">
              <w:rPr>
                <w:color w:val="auto"/>
              </w:rPr>
              <w:t xml:space="preserve"> C-465/07.</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215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(36)</w:t>
            </w:r>
            <w:r w:rsidRPr="009D2EDD">
              <w:tab/>
            </w:r>
            <w:r w:rsidRPr="009D2EDD">
              <w:rPr>
                <w:color w:val="auto"/>
              </w:rPr>
              <w:t>For så vidt angår det krævede bevis for, at der foreligger en alvorlig og individuel trussel mod en ansøgers liv eller fysiske integritet i overensstemmelse med relevant retspraksis fra Domstolen for Den Europæiske Union</w:t>
            </w:r>
            <w:r w:rsidRPr="009D2EDD">
              <w:rPr>
                <w:rStyle w:val="Sup"/>
                <w:color w:val="auto"/>
              </w:rPr>
              <w:t>36</w:t>
            </w:r>
            <w:r w:rsidRPr="009D2EDD">
              <w:rPr>
                <w:color w:val="auto"/>
              </w:rPr>
              <w:t>, bør de besluttende myndigheder ikke kræve, at ansøgeren fører bevis for, at truslen er specifikt rettet mod ham på grund af specielle omstændigheder vedrørende hans personlige situation. Dog er den grad af vilkårlig vold, der kræves for at underbygge ansøgningen, mindre, hvis ansøgeren er i stand til at godtgøre, at han er specifikt berørt på grund af specielle omstændigheder vedrørende hans personlige situation. Desuden bør de besluttende myndigheder kun undtagelsesvis fastlægge, at der foreligger en alvorlig og individuel trussel alene på grund af ansøgerens tilstedeværelse på en medlemsstats område eller den relevante del af oprindelseslandets område, forudsat at graden af vilkårlig vold, som karakteriserer den igangværende væbnede konflikt, når et niveau, der er så højt, at der er alvorlig grund til at antage, at en civilperson, der sendes tilbage til det pågældende land, eller i givet fald den pågældende region, alene som følge af sin tilstedeværelse på dette lands eller denne regions område vil løbe en reel risiko for at være udsat for en alvorlig trussel.</w:t>
            </w:r>
          </w:p>
        </w:tc>
        <w:tc>
          <w:tcPr>
            <w:tcW w:w="4876" w:type="dxa"/>
          </w:tcPr>
          <w:p w:rsidR="00944CB0" w:rsidRPr="009D2EDD" w:rsidRDefault="001E7D6E">
            <w:pPr>
              <w:pStyle w:val="Normal6"/>
              <w:rPr>
                <w:color w:val="auto"/>
              </w:rPr>
            </w:pPr>
            <w:r w:rsidRPr="009D2EDD">
              <w:rPr>
                <w:color w:val="auto"/>
              </w:rPr>
              <w:t>(36)</w:t>
            </w:r>
            <w:r w:rsidRPr="009D2EDD">
              <w:tab/>
            </w:r>
            <w:r w:rsidRPr="009D2EDD">
              <w:rPr>
                <w:color w:val="auto"/>
              </w:rPr>
              <w:t>For så vidt angår det krævede bevis for, at der foreligger en alvorlig og individuel trussel mod en ansøgers liv eller fysiske integritet i overensstemmelse med relevant retspraksis fra Domstolen for Den Europæiske Union</w:t>
            </w:r>
            <w:r w:rsidRPr="009D2EDD">
              <w:rPr>
                <w:rStyle w:val="Sup"/>
                <w:color w:val="auto"/>
              </w:rPr>
              <w:t>36</w:t>
            </w:r>
            <w:r w:rsidRPr="009D2EDD">
              <w:rPr>
                <w:color w:val="auto"/>
              </w:rPr>
              <w:t xml:space="preserve">, bør de besluttende myndigheder ikke kræve, at ansøgeren fører bevis for, at truslen er specifikt rettet mod ham på grund af specielle omstændigheder vedrørende hans personlige situation. Dog er den grad af vilkårlig vold, der kræves for at underbygge ansøgningen, mindre, hvis ansøgeren er i stand til at godtgøre, at han er specifikt berørt på grund af specielle omstændigheder vedrørende hans personlige situation. Desuden kan eksistensen af en alvorlig og individuel trussel undtagelsesvis bør fastlægges af de besluttende myndigheder, alene på grund af ansøgerens tilstedeværelse på en medlemsstats område, forudsat at graden af vilkårlig vold, der karakteriserer den væbnede konflikt, der finder sted, når et så højt niveau, at der er vægtige grunde til at antage, at en civilperson, der sendes tilbage til oprindelseslandet, alene som følge af sin tilstedeværelse på dette lands område eller en region står over for en reel risiko for at blive underlagt den alvorlige trussel. </w:t>
            </w:r>
            <w:r w:rsidRPr="009D2EDD">
              <w:rPr>
                <w:b/>
                <w:i/>
                <w:color w:val="auto"/>
              </w:rPr>
              <w:t>International beskyttelse, der ydes i henhold til denne forordning, til personer, som er ramt af en alvorlig trussel som følge af naturkatastrofer eller menneskeskabte katastrofer.</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36</w:t>
            </w:r>
            <w:r w:rsidRPr="009D2EDD">
              <w:rPr>
                <w:color w:val="auto"/>
              </w:rPr>
              <w:t xml:space="preserve"> C-465/07.</w:t>
            </w:r>
          </w:p>
        </w:tc>
        <w:tc>
          <w:tcPr>
            <w:tcW w:w="4876" w:type="dxa"/>
          </w:tcPr>
          <w:p w:rsidR="00944CB0" w:rsidRPr="009D2EDD" w:rsidRDefault="001E7D6E">
            <w:pPr>
              <w:pStyle w:val="Normal6"/>
              <w:rPr>
                <w:color w:val="auto"/>
              </w:rPr>
            </w:pPr>
            <w:r w:rsidRPr="009D2EDD">
              <w:rPr>
                <w:rStyle w:val="Sup"/>
                <w:color w:val="auto"/>
              </w:rPr>
              <w:t>36</w:t>
            </w:r>
            <w:r w:rsidRPr="009D2EDD">
              <w:rPr>
                <w:color w:val="auto"/>
              </w:rPr>
              <w:t xml:space="preserve"> C-465/07.</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216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(36)</w:t>
            </w:r>
            <w:r w:rsidRPr="009D2EDD">
              <w:tab/>
            </w:r>
            <w:r w:rsidRPr="009D2EDD">
              <w:rPr>
                <w:color w:val="auto"/>
              </w:rPr>
              <w:t>For så vidt angår det krævede bevis for, at der foreligger en alvorlig og individuel trussel mod en ansøgers liv eller fysiske integritet i overensstemmelse med relevant retspraksis fra Domstolen for Den Europæiske Union</w:t>
            </w:r>
            <w:r w:rsidRPr="009D2EDD">
              <w:rPr>
                <w:rStyle w:val="SupBoldItalic"/>
                <w:color w:val="auto"/>
              </w:rPr>
              <w:t>36</w:t>
            </w:r>
            <w:r w:rsidRPr="009D2EDD">
              <w:rPr>
                <w:color w:val="auto"/>
              </w:rPr>
              <w:t>, bør de besluttende myndigheder ikke kræve, at ansøgeren fører bevis for, at truslen er specifikt rettet mod ham på grund af specielle omstændigheder vedrørende hans personlige situation.</w:t>
            </w:r>
            <w:r w:rsidRPr="009D2EDD">
              <w:rPr>
                <w:b/>
                <w:i/>
                <w:color w:val="auto"/>
              </w:rPr>
              <w:t xml:space="preserve"> </w:t>
            </w:r>
            <w:r w:rsidRPr="009D2EDD">
              <w:rPr>
                <w:color w:val="auto"/>
              </w:rPr>
              <w:t>Dog er den grad af vilkårlig vold, der kræves for at underbygge ansøgningen, mindre, hvis ansøgeren er i stand til at godtgøre, at han er specifikt berørt på grund af specielle omstændigheder vedrørende hans personlige situation. Desuden bør de besluttende myndigheder kun undtagelsesvis fastlægge, at der foreligger en alvorlig og individuel trussel alene på grund af ansøgerens tilstedeværelse på en medlemsstats område eller den relevante del af oprindelseslandets område, forudsat at graden af vilkårlig vold, som karakteriserer den igangværende væbnede konflikt, når et niveau, der er så højt, at der er alvorlig grund til at antage, at en civilperson, der sendes tilbage til det pågældende land, eller i givet fald den pågældende region, alene som følge af sin tilstedeværelse på dette lands eller denne regions område vil løbe en reel risiko for at være udsat for en alvorlig trussel.</w:t>
            </w:r>
          </w:p>
        </w:tc>
        <w:tc>
          <w:tcPr>
            <w:tcW w:w="4876" w:type="dxa"/>
          </w:tcPr>
          <w:p w:rsidR="00944CB0" w:rsidRPr="009D2EDD" w:rsidRDefault="001E7D6E">
            <w:pPr>
              <w:pStyle w:val="Normal6"/>
              <w:rPr>
                <w:color w:val="auto"/>
              </w:rPr>
            </w:pPr>
            <w:r w:rsidRPr="009D2EDD">
              <w:rPr>
                <w:color w:val="auto"/>
              </w:rPr>
              <w:t>(36)</w:t>
            </w:r>
            <w:r w:rsidRPr="009D2EDD">
              <w:tab/>
            </w:r>
            <w:r w:rsidRPr="009D2EDD">
              <w:rPr>
                <w:color w:val="auto"/>
              </w:rPr>
              <w:t>For så vidt angår det krævede bevis for eksistensen af en alvorlig trussel mod en ansøgers liv eller fysiske integritet i overensstemmelse med relevant retspraksis fra Den Europæiske Unions Domstol og Den Europæiske Menneskerettighedsdomstol, det krævede niveau for skade, kan ikke sidestilles med tortur eller umenneskelig eller nedværdigende behandling eller straf. Den grad af vilkårlig vold, der kræves for at underbygge ansøgningen, mindre, hvis ansøgeren er i stand til at godtgøre, at han er specifikt berørt på grund af specielle omstændigheder vedrørende hans personlige situation. Desuden kan eksistensen af en alvorlig risiko fastlægges af de besluttende myndigheder, alene på grund af ansøgerens tilstedeværelse på en medlemsstats område eller den relevante del af oprindelseslandets område, forudsat at graden af vilkårlig vold, der karakteriserer den væbnede konflikt, der når op på et sådant niveau, at der er vægtige grunde til at antage, at en civilperson, der sendes tilbage til oprindelseslandet eller til den relevante del af oprindelseslandet, alene som følge af sin tilstedeværelse på dette lands område eller en region står over for en reel risiko for at blive underlagt den alvorlige trussel.</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36</w:t>
            </w:r>
            <w:r w:rsidRPr="009D2EDD">
              <w:rPr>
                <w:color w:val="auto"/>
              </w:rPr>
              <w:t xml:space="preserve"> </w:t>
            </w:r>
            <w:r w:rsidRPr="009D2EDD">
              <w:rPr>
                <w:b/>
                <w:i/>
                <w:color w:val="auto"/>
              </w:rPr>
              <w:t>C-465/07.</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217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(36)</w:t>
            </w:r>
            <w:r w:rsidRPr="009D2EDD">
              <w:tab/>
            </w:r>
            <w:r w:rsidRPr="009D2EDD">
              <w:rPr>
                <w:color w:val="auto"/>
              </w:rPr>
              <w:t>For så vidt angår det krævede bevis for, at der foreligger en alvorlig og individuel trussel mod en ansøgers liv eller fysiske integritet i overensstemmelse med relevant retspraksis fra Domstolen for Den Europæiske Union</w:t>
            </w:r>
            <w:r w:rsidRPr="009D2EDD">
              <w:rPr>
                <w:rStyle w:val="Sup"/>
                <w:color w:val="auto"/>
              </w:rPr>
              <w:t>36</w:t>
            </w:r>
            <w:r w:rsidRPr="009D2EDD">
              <w:rPr>
                <w:color w:val="auto"/>
              </w:rPr>
              <w:t>, bør de besluttende myndigheder ikke kræve, at ansøgeren fører bevis for, at truslen er specifikt rettet mod ham på grund af specielle omstændigheder vedrørende hans personlige situation. Dog er den grad af vilkårlig vold, der kræves for at underbygge ansøgningen, mindre, hvis ansøgeren er i stand til at godtgøre, at han er specifikt berørt på grund af specielle omstændigheder vedrørende hans personlige situation. Desuden bør de besluttende myndigheder kun undtagelsesvis fastlægge, at der foreligger en alvorlig og individuel trussel alene på grund af ansøgerens tilstedeværelse på en medlemsstats område eller den relevante del af oprindelseslandets område, forudsat at graden af vilkårlig vold, som karakteriserer den igangværende væbnede konflikt, når et niveau, der er så højt, at der er alvorlig grund til at antage, at en civilperson, der sendes tilbage til det pågældende land, eller i givet fald den pågældende region, alene som følge af sin tilstedeværelse på dette lands eller denne regions område vil løbe en reel risiko for at være udsat for en alvorlig trussel.</w:t>
            </w:r>
          </w:p>
        </w:tc>
        <w:tc>
          <w:tcPr>
            <w:tcW w:w="4876" w:type="dxa"/>
          </w:tcPr>
          <w:p w:rsidR="00944CB0" w:rsidRPr="009D2EDD" w:rsidRDefault="001E7D6E">
            <w:pPr>
              <w:pStyle w:val="Normal6"/>
              <w:rPr>
                <w:color w:val="auto"/>
              </w:rPr>
            </w:pPr>
            <w:r w:rsidRPr="009D2EDD">
              <w:rPr>
                <w:color w:val="auto"/>
              </w:rPr>
              <w:t>(36)</w:t>
            </w:r>
            <w:r w:rsidRPr="009D2EDD">
              <w:tab/>
            </w:r>
            <w:r w:rsidRPr="009D2EDD">
              <w:rPr>
                <w:color w:val="auto"/>
              </w:rPr>
              <w:t>For så vidt angår det krævede bevis for, at der foreligger en alvorlig og individuel trussel mod en ansøgers liv eller fysiske integritet i overensstemmelse med relevant retspraksis fra Domstolen for Den Europæiske Union</w:t>
            </w:r>
            <w:r w:rsidRPr="009D2EDD">
              <w:rPr>
                <w:rStyle w:val="Sup"/>
                <w:color w:val="auto"/>
              </w:rPr>
              <w:t>36</w:t>
            </w:r>
            <w:r w:rsidRPr="009D2EDD">
              <w:rPr>
                <w:color w:val="auto"/>
              </w:rPr>
              <w:t>, bør de besluttende myndigheder ikke kræve, at ansøgeren fører bevis for, at truslen er specifikt rettet mod ham på grund af specielle omstændigheder vedrørende hans personlige situation. Dog er den grad af vilkårlig vold, der kræves for at underbygge ansøgningen, mindre, hvis ansøgeren er i stand til at godtgøre, at han er specifikt berørt på grund af specielle omstændigheder vedrørende hans personlige situation. Desuden kan eksistensen af en alvorlig og individuel trussel undtagelsesvis bør fastlægges af de besluttende myndigheder, alene på grund af ansøgerens tilstedeværelse på oprindelseslandets område, forudsat at graden af vilkårlig vold, der karakteriserer den væbnede konflikt, der finder sted, når et så højt niveau, at der er vægtige grunde til at antage, at en civilperson, der sendes tilbage til en del af oprindelseslandet, alene som følge af sin tilstedeværelse på dette lands område står over for en reel risiko for at blive underlagt den alvorlige trussel.</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36</w:t>
            </w:r>
            <w:r w:rsidRPr="009D2EDD">
              <w:rPr>
                <w:color w:val="auto"/>
              </w:rPr>
              <w:t xml:space="preserve"> C-465/07.</w:t>
            </w:r>
          </w:p>
        </w:tc>
        <w:tc>
          <w:tcPr>
            <w:tcW w:w="4876" w:type="dxa"/>
          </w:tcPr>
          <w:p w:rsidR="00944CB0" w:rsidRPr="009D2EDD" w:rsidRDefault="001E7D6E">
            <w:pPr>
              <w:pStyle w:val="Normal6"/>
              <w:rPr>
                <w:color w:val="auto"/>
              </w:rPr>
            </w:pPr>
            <w:r w:rsidRPr="009D2EDD">
              <w:rPr>
                <w:rStyle w:val="Sup"/>
                <w:color w:val="auto"/>
              </w:rPr>
              <w:t>36</w:t>
            </w:r>
            <w:r w:rsidRPr="009D2EDD">
              <w:rPr>
                <w:color w:val="auto"/>
              </w:rPr>
              <w:t xml:space="preserve"> C-465/07.</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Denne betragtning ændres under hensyntagen til den foreslåede vurdering af muligheden for national beskyttelse.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218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36 a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(36a)</w:t>
            </w:r>
            <w:r w:rsidRPr="009D2EDD">
              <w:tab/>
            </w:r>
            <w:r w:rsidRPr="009D2EDD">
              <w:rPr>
                <w:b/>
                <w:i/>
                <w:color w:val="auto"/>
              </w:rPr>
              <w:t>En person, der har behov for beskyttelse, fordi vedkommende er ude af stand til at vende tilbage til sit oprindelsesland på grund af en naturkatastrofe eller en menneskeskabt katastrofe, bør også være berettiget til beskyttelse i henhold til denne forordning.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219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36 b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(36b)</w:t>
            </w:r>
            <w:r w:rsidRPr="009D2EDD">
              <w:tab/>
            </w:r>
            <w:r w:rsidRPr="009D2EDD">
              <w:rPr>
                <w:b/>
                <w:i/>
                <w:color w:val="auto"/>
              </w:rPr>
              <w:t>natur- eller menneskeskabte katastrofer skal omfatte: virkningerne af klimaændringerne, landgrabbing (jordovertagelse), ørkendannelse, vand, levesteder og landsbyer, miljøkatastrofer og forurening forårsaget af krigen.</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Miljøflygtninge er i øjeblikket ikke beskyttet af international ret. I modsætning til flygtninge, der er omfattet af FN's konvention fra 1951 om flygtninges retsstilling, miljøflygtninge, hvis de sendes tilbage til deres hjemland, de vender tilbage til et hærget land eller tvinges ind i en flygtningelejre. Klimaændringerne handler ikke kun om miljøet, men dens virkninger berøre alle en del af den enkeltes liv: fra stabile regeringer og økonomier til sundhed.</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220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(37)</w:t>
            </w:r>
            <w:r w:rsidRPr="009D2EDD">
              <w:tab/>
            </w:r>
            <w:r w:rsidRPr="009D2EDD">
              <w:rPr>
                <w:color w:val="auto"/>
              </w:rPr>
              <w:t>Opholdstilladelser og rejsedokumenter, der for første gang udstedes til personer med international beskyttelse eller forlænges efter ikrafttrædelsen af nærværende forordning, skal være i overensstemmelse med bestemmelserne i henholdsvis forordning (EF) nr. 1030/2002 og Rådets forordning (EF) nr. 2252/2004.</w:t>
            </w:r>
          </w:p>
        </w:tc>
        <w:tc>
          <w:tcPr>
            <w:tcW w:w="4876" w:type="dxa"/>
          </w:tcPr>
          <w:p w:rsidR="00944CB0" w:rsidRPr="009D2EDD" w:rsidRDefault="001E7D6E">
            <w:pPr>
              <w:pStyle w:val="Normal6"/>
              <w:rPr>
                <w:color w:val="auto"/>
              </w:rPr>
            </w:pPr>
            <w:r w:rsidRPr="009D2EDD">
              <w:rPr>
                <w:color w:val="auto"/>
              </w:rPr>
              <w:t>(37)</w:t>
            </w:r>
            <w:r w:rsidRPr="009D2EDD">
              <w:tab/>
            </w:r>
            <w:r w:rsidRPr="009D2EDD">
              <w:rPr>
                <w:color w:val="auto"/>
              </w:rPr>
              <w:t>Opholdstilladelser og rejsedokumenter, der for første gang udstedes til personer med international beskyttelse eller forlænges efter ikrafttrædelsen af nærværende direktiv, skal være i overensstemmelse med bestemmelserne i henholdsvis forordning (EF) nr. 1030/2002 og Rådets forordning (EF) nr. 2252/2004.</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221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(37)</w:t>
            </w:r>
            <w:r w:rsidRPr="009D2EDD">
              <w:tab/>
            </w:r>
            <w:r w:rsidRPr="009D2EDD">
              <w:rPr>
                <w:color w:val="auto"/>
              </w:rPr>
              <w:t>Opholdstilladelser og rejsedokumenter, der for første gang udstedes til personer med international beskyttelse eller forlænges efter ikrafttrædelsen af nærværende forordning, skal være i overensstemmelse med bestemmelserne i henholdsvis forordning (EF) nr. 1030/2002 og Rådets forordning (EF) nr. 2252/2004.</w:t>
            </w:r>
          </w:p>
        </w:tc>
        <w:tc>
          <w:tcPr>
            <w:tcW w:w="4876" w:type="dxa"/>
          </w:tcPr>
          <w:p w:rsidR="00944CB0" w:rsidRPr="009D2EDD" w:rsidRDefault="001E7D6E">
            <w:pPr>
              <w:pStyle w:val="Normal6"/>
              <w:rPr>
                <w:color w:val="auto"/>
              </w:rPr>
            </w:pPr>
            <w:r w:rsidRPr="009D2EDD">
              <w:rPr>
                <w:color w:val="auto"/>
              </w:rPr>
              <w:t>(37)</w:t>
            </w:r>
            <w:r w:rsidRPr="009D2EDD">
              <w:tab/>
            </w:r>
            <w:r w:rsidRPr="009D2EDD">
              <w:rPr>
                <w:color w:val="auto"/>
              </w:rPr>
              <w:t>Opholdstilladelser og rejsedokumenter, der udstedes til personer med international beskyttelse efter ikrafttrædelsen af nærværende forordning, skal være i overensstemmelse med bestemmelserne i henholdsvis forordning (EF) nr. 1030/2002 og Rådets forordning (EF) nr. 2252/2004.</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222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(38)</w:t>
            </w:r>
            <w:r w:rsidRPr="009D2EDD">
              <w:tab/>
            </w:r>
            <w:r w:rsidRPr="009D2EDD">
              <w:rPr>
                <w:color w:val="auto"/>
              </w:rPr>
              <w:t>Familiemedlemmer vil som følge af deres tætte forhold til flygtningen normalt være sårbare over for forfølgelse på en måde, som kan danne grundlag for international beskyttelse.</w:t>
            </w:r>
            <w:r w:rsidRPr="009D2EDD">
              <w:rPr>
                <w:b/>
                <w:i/>
                <w:color w:val="auto"/>
              </w:rPr>
              <w:t xml:space="preserve"> </w:t>
            </w:r>
            <w:r w:rsidRPr="009D2EDD">
              <w:rPr>
                <w:color w:val="auto"/>
              </w:rPr>
              <w:t>Hvis de ikke er berettiget til international beskyttelse med henblik på at sikre familiens enhed, har de ret til at ansøge om en opholdstilladelse og de samme rettigheder som personer med international beskyttelse. Hvis der er tale om situationer, der falder ind under anvendelsesområdet for direktiv 2003/86/EF om ret til familiesammenføring, og de betingelser for familiesammenføring, der er fastsat deri, er opfyldt, bør de familiemedlemmer til en person med international beskyttelse, som ikke individuelt er berettiget til en sådan beskyttelse, gives opholdstilladelse og rettigheder i overensstemmelse med nævnte direktiv, jf. dog denne forordnings bestemmelser om sikring af familiens enhed. Denne forordning finder anvendelse med forbehold af direktiv 2004/38/EF.</w:t>
            </w:r>
          </w:p>
        </w:tc>
        <w:tc>
          <w:tcPr>
            <w:tcW w:w="4876" w:type="dxa"/>
          </w:tcPr>
          <w:p w:rsidR="00944CB0" w:rsidRPr="009D2EDD" w:rsidRDefault="001E7D6E">
            <w:pPr>
              <w:pStyle w:val="Normal6"/>
              <w:rPr>
                <w:color w:val="auto"/>
              </w:rPr>
            </w:pPr>
            <w:r w:rsidRPr="009D2EDD">
              <w:rPr>
                <w:color w:val="auto"/>
              </w:rPr>
              <w:t>(38)</w:t>
            </w:r>
            <w:r w:rsidRPr="009D2EDD">
              <w:tab/>
            </w:r>
            <w:r w:rsidRPr="009D2EDD">
              <w:rPr>
                <w:color w:val="auto"/>
              </w:rPr>
              <w:t>Familiemedlemmer med henblik på at sikre familiens enhed, har ret til at ansøge om en opholdstilladelse, som ikke overskrider gyldighedsperioden for, at modtageren af den internationale beskyttelse. Hvis der er tale om situationer, der falder ind under anvendelsesområdet for direktiv 2003/86/EF om ret til familiesammenføring, og de betingelser for familiesammenføring, der er fastsat deri, er opfyldt, bør de familiemedlemmer til en person med international beskyttelse, som ikke individuelt er berettiget til en sådan beskyttelse, gives opholdstilladelse og rettigheder i overensstemmelse med nævnte direktiv, jf. dog denne forordnings bestemmelser om sikring af familiens enhed. Denne forordning finder anvendelse med forbehold af direktiv 2004/38/EF.</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223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(38)</w:t>
            </w:r>
            <w:r w:rsidRPr="009D2EDD">
              <w:tab/>
            </w:r>
            <w:r w:rsidRPr="009D2EDD">
              <w:rPr>
                <w:color w:val="auto"/>
              </w:rPr>
              <w:t>Familiemedlemmer vil som følge af deres tætte forhold til flygtningen normalt være sårbare over for forfølgelse på en måde, som kan danne grundlag for international beskyttelse. Hvis de ikke er berettiget til international beskyttelse med henblik på at sikre familiens enhed, har de ret til at ansøge om en opholdstilladelse og de samme rettigheder som personer med international beskyttelse. Hvis der er tale om situationer, der falder ind under anvendelsesområdet for direktiv 2003/86/EF om ret til familiesammenføring, og de betingelser for familiesammenføring, der er fastsat deri, er opfyldt, bør de familiemedlemmer til en person med international beskyttelse, som ikke individuelt er berettiget til en sådan beskyttelse, gives opholdstilladelse og rettigheder i overensstemmelse med nævnte direktiv, jf. dog denne forordnings bestemmelser om sikring af familiens enhed. Denne forordning finder anvendelse med forbehold af direktiv 2004/38/EF.</w:t>
            </w:r>
          </w:p>
        </w:tc>
        <w:tc>
          <w:tcPr>
            <w:tcW w:w="4876" w:type="dxa"/>
          </w:tcPr>
          <w:p w:rsidR="00944CB0" w:rsidRPr="009D2EDD" w:rsidRDefault="001E7D6E">
            <w:pPr>
              <w:pStyle w:val="Normal6"/>
              <w:rPr>
                <w:color w:val="auto"/>
              </w:rPr>
            </w:pPr>
            <w:r w:rsidRPr="009D2EDD">
              <w:rPr>
                <w:color w:val="auto"/>
              </w:rPr>
              <w:t>(38)</w:t>
            </w:r>
            <w:r w:rsidRPr="009D2EDD">
              <w:tab/>
            </w:r>
            <w:r w:rsidRPr="009D2EDD">
              <w:rPr>
                <w:color w:val="auto"/>
              </w:rPr>
              <w:t>Familiemedlemmer, som følge af deres tætte forhold til personen med international beskyttelse, vil normalt være sårbare over for forfølgelse på en måde, som kan danne grundlag for international beskyttelse. Hvis de ikke er berettiget til international beskyttelse med henblik på at sikre familiens enhed, har de ret til at ansøge om en opholdstilladelse og de samme rettigheder som personer med international beskyttelse. Hvis der er tale om situationer, der falder ind under anvendelsesområdet for direktiv 2003/86/EF om ret til familiesammenføring, og de betingelser for familiesammenføring, der er fastsat deri, er opfyldt, bør de familiemedlemmer til en person med international beskyttelse, som ikke individuelt er berettiget til en sådan beskyttelse, gives opholdstilladelse og rettigheder i overensstemmelse med nævnte direktiv, jf. dog denne forordnings bestemmelser om sikring af familiens enhed. Dette direktiv finder anvendelse med forbehold af direktiv 2004/38/EF.</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224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Alessandra Mussolini, Elissavet Vozemberg-Vrionidi, Frank Engel, Barbara Matera, Salvatore Domenico Pogliese</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38 a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(38a)</w:t>
            </w:r>
            <w:r w:rsidRPr="009D2EDD">
              <w:tab/>
            </w:r>
            <w:r w:rsidRPr="009D2EDD">
              <w:rPr>
                <w:b/>
                <w:i/>
                <w:color w:val="auto"/>
              </w:rPr>
              <w:t>For at undgå misbrug bør medlemsstaterne vurdere, om et ægteskab mellem en person under international beskyttelse og dennes ægtefælle er resultatet af en ægte forbindelse.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Denne betragtning er tilpasset til det forslag, der blev fremsat i artikel 25 stk. 3 a (nyt)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225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(39)</w:t>
            </w:r>
            <w:r w:rsidRPr="009D2EDD">
              <w:tab/>
              <w:t>Med henblik på at afgøre, om personer med international beskyttelse stadig har brug for denne beskyttelse, skal medlemsstaterne revurdere den tildelte status, når opholdstilladelsen skal forlænges, første gang for flygtninge og første og anden gang for personer med subsidiær beskyttelsesstatus, samt når der indtræffer en betydelig relevant ændring i de pågældende personers oprindelsesland i henhold til de fælles analyser af og vejledninger om situationen i oprindelseslandet, der på EU-plan stilles til rådighed af agenturet og de europæiske netværk for udveksling af oplysninger om oprindelseslande i overensstemmelse med artikel 8 og 10 i forordning</w:t>
            </w:r>
            <w:r w:rsidRPr="009D2EDD">
              <w:rPr>
                <w:rStyle w:val="SupBoldItalic"/>
                <w:color w:val="auto"/>
              </w:rPr>
              <w:t>37</w:t>
            </w:r>
            <w:r w:rsidRPr="009D2EDD">
              <w:t>.</w:t>
            </w:r>
          </w:p>
        </w:tc>
        <w:tc>
          <w:tcPr>
            <w:tcW w:w="4876" w:type="dxa"/>
          </w:tcPr>
          <w:p w:rsidR="00944CB0" w:rsidRPr="009D2EDD" w:rsidRDefault="001E7D6E">
            <w:pPr>
              <w:pStyle w:val="Normal6"/>
              <w:rPr>
                <w:color w:val="auto"/>
              </w:rPr>
            </w:pPr>
            <w:r w:rsidRPr="009D2EDD">
              <w:rPr>
                <w:b/>
                <w:i/>
                <w:color w:val="auto"/>
              </w:rPr>
              <w:t>udgår</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37</w:t>
            </w:r>
            <w:r w:rsidRPr="009D2EDD">
              <w:rPr>
                <w:color w:val="auto"/>
              </w:rPr>
              <w:t xml:space="preserve"> </w:t>
            </w:r>
            <w:r w:rsidRPr="009D2EDD">
              <w:rPr>
                <w:b/>
                <w:i/>
                <w:color w:val="auto"/>
              </w:rPr>
              <w:t>COM(2016)271 final.</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226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(39)</w:t>
            </w:r>
            <w:r w:rsidRPr="009D2EDD">
              <w:tab/>
            </w:r>
            <w:r w:rsidRPr="009D2EDD">
              <w:rPr>
                <w:color w:val="auto"/>
              </w:rPr>
              <w:t>Med henblik på at afgøre, om personer med international beskyttelse stadig har brug for denne beskyttelse, skal medlemsstaterne revurdere den tildelte status, når opholdstilladelsen skal forlænges, første gang for flygtninge og første og anden gang for personer med subsidiær beskyttelsesstatus, samt når der indtræffer en betydelig relevant ændring i de pågældende personers oprindelsesland i henhold til de fælles analyser af og vejledninger om situationen i oprindelseslandet, der på EU-plan stilles til rådighed af agenturet og de europæiske netværk for udveksling af oplysninger om oprindelseslande i overensstemmelse med artikel 8 og 10 i forordning</w:t>
            </w:r>
            <w:r w:rsidRPr="009D2EDD">
              <w:rPr>
                <w:rStyle w:val="Sup"/>
                <w:color w:val="auto"/>
              </w:rPr>
              <w:t>37</w:t>
            </w:r>
            <w:r w:rsidRPr="009D2EDD">
              <w:rPr>
                <w:color w:val="auto"/>
              </w:rPr>
              <w:t>.</w:t>
            </w:r>
          </w:p>
        </w:tc>
        <w:tc>
          <w:tcPr>
            <w:tcW w:w="4876" w:type="dxa"/>
          </w:tcPr>
          <w:p w:rsidR="00944CB0" w:rsidRPr="009D2EDD" w:rsidRDefault="001E7D6E">
            <w:pPr>
              <w:pStyle w:val="Normal6"/>
              <w:rPr>
                <w:color w:val="auto"/>
              </w:rPr>
            </w:pPr>
            <w:r w:rsidRPr="009D2EDD">
              <w:rPr>
                <w:color w:val="auto"/>
              </w:rPr>
              <w:t>(39)</w:t>
            </w:r>
            <w:r w:rsidRPr="009D2EDD">
              <w:tab/>
            </w:r>
            <w:r w:rsidRPr="009D2EDD">
              <w:rPr>
                <w:color w:val="auto"/>
              </w:rPr>
              <w:t xml:space="preserve">Med henblik på at afgøre, om personer med international beskyttelse stadig har brug for denne beskyttelse, kan medlemsstaterne revurdere den tildelte status, når der indtræffer en betydelig relevant ændring i de pågældende personers oprindelsesland i henhold til de fælles analyser af og vejledninger om situationen i oprindelseslandet, der på EU-plan stilles til rådighed af agenturet og de europæiske netværk for udveksling af oplysninger om oprindelseslande i overensstemmelse med artikel 8 og 10 i forordning </w:t>
            </w:r>
            <w:r w:rsidRPr="009D2EDD">
              <w:rPr>
                <w:rStyle w:val="Sup"/>
                <w:color w:val="auto"/>
              </w:rPr>
              <w:t>37</w:t>
            </w:r>
            <w:r w:rsidRPr="009D2EDD">
              <w:rPr>
                <w:color w:val="auto"/>
              </w:rPr>
              <w:t>.</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37</w:t>
            </w:r>
            <w:r w:rsidRPr="009D2EDD">
              <w:rPr>
                <w:color w:val="auto"/>
              </w:rPr>
              <w:t xml:space="preserve"> COM(2016)271 final.</w:t>
            </w:r>
          </w:p>
        </w:tc>
        <w:tc>
          <w:tcPr>
            <w:tcW w:w="4876" w:type="dxa"/>
          </w:tcPr>
          <w:p w:rsidR="00944CB0" w:rsidRPr="009D2EDD" w:rsidRDefault="001E7D6E">
            <w:pPr>
              <w:pStyle w:val="Normal6"/>
              <w:rPr>
                <w:color w:val="auto"/>
              </w:rPr>
            </w:pPr>
            <w:r w:rsidRPr="009D2EDD">
              <w:rPr>
                <w:rStyle w:val="Sup"/>
                <w:color w:val="auto"/>
              </w:rPr>
              <w:t>37</w:t>
            </w:r>
            <w:r w:rsidRPr="009D2EDD">
              <w:rPr>
                <w:color w:val="auto"/>
              </w:rPr>
              <w:t xml:space="preserve"> COM(2016)271 final.</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227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Alessandra Mussolini, Elissavet Vozemberg-Vrionidi, Frank Engel, Barbara Matera, Salvatore Domenico Pogliese, Carlos Coelho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(39)</w:t>
            </w:r>
            <w:r w:rsidRPr="009D2EDD">
              <w:tab/>
            </w:r>
            <w:r w:rsidRPr="009D2EDD">
              <w:rPr>
                <w:color w:val="auto"/>
              </w:rPr>
              <w:t>Med henblik på at afgøre, om personer med international beskyttelse stadig har brug for denne beskyttelse, skal medlemsstaterne revurdere den tildelte status, når opholdstilladelsen skal forlænges, første gang for flygtninge og første og anden gang for personer med subsidiær beskyttelsesstatus, samt når der indtræffer en betydelig relevant ændring i de pågældende personers oprindelsesland i henhold til de fælles analyser af og vejledninger om situationen i oprindelseslandet, der på EU-plan stilles til rådighed af agenturet og de europæiske netværk for udveksling af oplysninger om oprindelseslande i overensstemmelse med artikel 8 og 10 i forordning</w:t>
            </w:r>
            <w:r w:rsidRPr="009D2EDD">
              <w:rPr>
                <w:rStyle w:val="Sup"/>
                <w:color w:val="auto"/>
              </w:rPr>
              <w:t>37</w:t>
            </w:r>
            <w:r w:rsidRPr="009D2EDD">
              <w:rPr>
                <w:color w:val="auto"/>
              </w:rPr>
              <w:t>.</w:t>
            </w:r>
          </w:p>
        </w:tc>
        <w:tc>
          <w:tcPr>
            <w:tcW w:w="4876" w:type="dxa"/>
          </w:tcPr>
          <w:p w:rsidR="00944CB0" w:rsidRPr="009D2EDD" w:rsidRDefault="001E7D6E">
            <w:pPr>
              <w:pStyle w:val="Normal6"/>
              <w:rPr>
                <w:color w:val="auto"/>
              </w:rPr>
            </w:pPr>
            <w:r w:rsidRPr="009D2EDD">
              <w:rPr>
                <w:color w:val="auto"/>
              </w:rPr>
              <w:t>(39)</w:t>
            </w:r>
            <w:r w:rsidRPr="009D2EDD">
              <w:tab/>
            </w:r>
            <w:r w:rsidRPr="009D2EDD">
              <w:rPr>
                <w:color w:val="auto"/>
              </w:rPr>
              <w:t>Med henblik på at afgøre, om personer med international beskyttelse stadig har brug for denne beskyttelse, skal medlemsstaterne revurdere den tildelte status, når der indtræffer en betydelig relevant ændring i de pågældende personers oprindelsesland i henhold til de fælles analyser af og vejledninger om situationen i oprindelseslandet, der på EU-plan stilles til rådighed af agenturet og de europæiske netværk for udveksling af oplysninger om oprindelseslande i overensstemmelse med artikel 8 og 10 i forordning</w:t>
            </w:r>
            <w:r w:rsidRPr="009D2EDD">
              <w:rPr>
                <w:rStyle w:val="Sup"/>
                <w:color w:val="auto"/>
              </w:rPr>
              <w:t>37</w:t>
            </w:r>
            <w:r w:rsidRPr="009D2EDD">
              <w:rPr>
                <w:color w:val="auto"/>
              </w:rPr>
              <w:t>.</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37</w:t>
            </w:r>
            <w:r w:rsidRPr="009D2EDD">
              <w:rPr>
                <w:color w:val="auto"/>
              </w:rPr>
              <w:t xml:space="preserve"> COM(2016)271 final.</w:t>
            </w:r>
          </w:p>
        </w:tc>
        <w:tc>
          <w:tcPr>
            <w:tcW w:w="4876" w:type="dxa"/>
          </w:tcPr>
          <w:p w:rsidR="00944CB0" w:rsidRPr="009D2EDD" w:rsidRDefault="001E7D6E">
            <w:pPr>
              <w:pStyle w:val="Normal6"/>
              <w:rPr>
                <w:color w:val="auto"/>
              </w:rPr>
            </w:pPr>
            <w:r w:rsidRPr="009D2EDD">
              <w:rPr>
                <w:rStyle w:val="Sup"/>
                <w:color w:val="auto"/>
              </w:rPr>
              <w:t>37</w:t>
            </w:r>
            <w:r w:rsidRPr="009D2EDD">
              <w:rPr>
                <w:color w:val="auto"/>
              </w:rPr>
              <w:t xml:space="preserve"> COM(2016)271 final.</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En revurdering af subsidiær beskyttelsesbehov på tidspunktet for gennemgangen af opholdstilladelse vil vise sig at være meget ressourcekrævende for de besluttende myndigheder i medlemsstaterne. Ikke desto mindre de besluttende myndigheder i medlemsstaterne bør være forpligtet til at gennemgå den internationale beskyttelsesstatus, når Den Europæiske Unions Asylagentur har bemærket en betydelig relevant ændring i den pågældendes hjemland.</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228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(39)</w:t>
            </w:r>
            <w:r w:rsidRPr="009D2EDD">
              <w:tab/>
            </w:r>
            <w:r w:rsidRPr="009D2EDD">
              <w:rPr>
                <w:color w:val="auto"/>
              </w:rPr>
              <w:t>Med henblik på at afgøre, om personer med international beskyttelse stadig har brug for denne beskyttelse, skal medlemsstaterne revurdere den tildelte status, når opholdstilladelsen skal forlænges, første gang for flygtninge og første og anden gang for personer med subsidiær beskyttelsesstatus, samt når der indtræffer en betydelig relevant ændring i de pågældende personers oprindelsesland i henhold til de fælles analyser af og vejledninger om situationen i oprindelseslandet, der på EU-plan stilles til rådighed af agenturet og de europæiske netværk for udveksling af oplysninger om oprindelseslande i overensstemmelse med artikel 8 og 10 i forordning</w:t>
            </w:r>
            <w:r w:rsidRPr="009D2EDD">
              <w:rPr>
                <w:rStyle w:val="Sup"/>
                <w:color w:val="auto"/>
              </w:rPr>
              <w:t>37</w:t>
            </w:r>
            <w:r w:rsidRPr="009D2EDD">
              <w:rPr>
                <w:color w:val="auto"/>
              </w:rPr>
              <w:t>.</w:t>
            </w:r>
          </w:p>
        </w:tc>
        <w:tc>
          <w:tcPr>
            <w:tcW w:w="4876" w:type="dxa"/>
          </w:tcPr>
          <w:p w:rsidR="00944CB0" w:rsidRPr="009D2EDD" w:rsidRDefault="001E7D6E">
            <w:pPr>
              <w:pStyle w:val="Normal6"/>
              <w:rPr>
                <w:color w:val="auto"/>
              </w:rPr>
            </w:pPr>
            <w:r w:rsidRPr="009D2EDD">
              <w:rPr>
                <w:color w:val="auto"/>
              </w:rPr>
              <w:t>(39)</w:t>
            </w:r>
            <w:r w:rsidRPr="009D2EDD">
              <w:tab/>
            </w:r>
            <w:r w:rsidRPr="009D2EDD">
              <w:rPr>
                <w:color w:val="auto"/>
              </w:rPr>
              <w:t>Med henblik på at afgøre, om personer med international beskyttelse stadig har brug for denne beskyttelse, kan medlemsstaterne revurdere den tildelte status, når der indtræffer en betydelig relevant ændring i de pågældende personers oprindelsesland i henhold til de fælles analyser af og vejledninger om situationen i oprindelseslandet, der på EU-plan stilles til rådighed af agenturet og de europæiske netværk for udveksling af oplysninger om oprindelseslande i overensstemmelse med artikel 8 og 10 i forordning</w:t>
            </w:r>
            <w:r w:rsidRPr="009D2EDD">
              <w:rPr>
                <w:rStyle w:val="Sup"/>
                <w:color w:val="auto"/>
              </w:rPr>
              <w:t>37</w:t>
            </w:r>
            <w:r w:rsidRPr="009D2EDD">
              <w:rPr>
                <w:color w:val="auto"/>
              </w:rPr>
              <w:t>.</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37</w:t>
            </w:r>
            <w:r w:rsidRPr="009D2EDD">
              <w:rPr>
                <w:color w:val="auto"/>
              </w:rPr>
              <w:t xml:space="preserve"> </w:t>
            </w:r>
            <w:r w:rsidRPr="009D2EDD">
              <w:rPr>
                <w:b/>
                <w:i/>
                <w:color w:val="auto"/>
              </w:rPr>
              <w:t>COM(2016)271</w:t>
            </w:r>
            <w:r w:rsidRPr="009D2EDD">
              <w:rPr>
                <w:color w:val="auto"/>
              </w:rPr>
              <w:t xml:space="preserve"> final.</w:t>
            </w:r>
          </w:p>
        </w:tc>
        <w:tc>
          <w:tcPr>
            <w:tcW w:w="4876" w:type="dxa"/>
          </w:tcPr>
          <w:p w:rsidR="00944CB0" w:rsidRPr="009D2EDD" w:rsidRDefault="001E7D6E">
            <w:pPr>
              <w:pStyle w:val="Normal6"/>
              <w:rPr>
                <w:color w:val="auto"/>
              </w:rPr>
            </w:pPr>
            <w:r w:rsidRPr="009D2EDD">
              <w:rPr>
                <w:rStyle w:val="Sup"/>
                <w:color w:val="auto"/>
              </w:rPr>
              <w:t>37</w:t>
            </w:r>
            <w:r w:rsidRPr="009D2EDD">
              <w:rPr>
                <w:color w:val="auto"/>
              </w:rPr>
              <w:t xml:space="preserve"> </w:t>
            </w:r>
            <w:r w:rsidRPr="009D2EDD">
              <w:rPr>
                <w:b/>
                <w:i/>
                <w:color w:val="auto"/>
              </w:rPr>
              <w:t>COM (2016) 271</w:t>
            </w:r>
            <w:r w:rsidRPr="009D2EDD">
              <w:rPr>
                <w:color w:val="auto"/>
              </w:rPr>
              <w:t xml:space="preserve"> final.</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229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Jeroen Lenaers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(39)</w:t>
            </w:r>
            <w:r w:rsidRPr="009D2EDD">
              <w:tab/>
            </w:r>
            <w:r w:rsidRPr="009D2EDD">
              <w:rPr>
                <w:color w:val="auto"/>
              </w:rPr>
              <w:t>Med henblik på at afgøre, om personer med international beskyttelse stadig har brug for denne beskyttelse, skal medlemsstaterne revurdere den tildelte status, når opholdstilladelsen skal forlænges, første gang for flygtninge og første og anden gang for personer med subsidiær beskyttelsesstatus, samt når der indtræffer en betydelig relevant ændring i de pågældende personers oprindelsesland i henhold til de fælles analyser af og vejledninger om situationen i oprindelseslandet, der på EU-plan stilles til rådighed af agenturet og de europæiske netværk for udveksling af oplysninger om oprindelseslande i overensstemmelse med artikel 8 og 10 i forordning</w:t>
            </w:r>
            <w:r w:rsidRPr="009D2EDD">
              <w:rPr>
                <w:rStyle w:val="Sup"/>
                <w:color w:val="auto"/>
              </w:rPr>
              <w:t>37</w:t>
            </w:r>
            <w:r w:rsidRPr="009D2EDD">
              <w:rPr>
                <w:color w:val="auto"/>
              </w:rPr>
              <w:t>.</w:t>
            </w:r>
          </w:p>
        </w:tc>
        <w:tc>
          <w:tcPr>
            <w:tcW w:w="4876" w:type="dxa"/>
          </w:tcPr>
          <w:p w:rsidR="00944CB0" w:rsidRPr="009D2EDD" w:rsidRDefault="001E7D6E">
            <w:pPr>
              <w:pStyle w:val="Normal6"/>
              <w:rPr>
                <w:color w:val="auto"/>
              </w:rPr>
            </w:pPr>
            <w:r w:rsidRPr="009D2EDD">
              <w:rPr>
                <w:color w:val="auto"/>
              </w:rPr>
              <w:t>(39)</w:t>
            </w:r>
            <w:r w:rsidRPr="009D2EDD">
              <w:tab/>
            </w:r>
            <w:r w:rsidRPr="009D2EDD">
              <w:rPr>
                <w:color w:val="auto"/>
              </w:rPr>
              <w:t xml:space="preserve">Med henblik på at afgøre, om personer med international beskyttelse stadig har brug for denne beskyttelse, de besluttende myndigheder bør revurdere den tildelte status senest, når opholdstilladelsen skal fornyes, og hvor en betydelig relevant ændring i modtagernes oprindelsesland sker som angivet ved fælles analyse og vejledninger om situationen i oprindelseslandet, der på EU-plan af agenturet og de europæiske netværk til udveksling af oplysninger om oprindelseslande i overensstemmelse med artiklerne 8 og 10 i regel </w:t>
            </w:r>
            <w:r w:rsidRPr="009D2EDD">
              <w:rPr>
                <w:rStyle w:val="Sup"/>
                <w:color w:val="auto"/>
              </w:rPr>
              <w:t>37</w:t>
            </w:r>
            <w:r w:rsidRPr="009D2EDD">
              <w:rPr>
                <w:color w:val="auto"/>
              </w:rPr>
              <w:t>.</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37</w:t>
            </w:r>
            <w:r w:rsidRPr="009D2EDD">
              <w:rPr>
                <w:color w:val="auto"/>
              </w:rPr>
              <w:t xml:space="preserve"> COM(2016)271 final.</w:t>
            </w:r>
          </w:p>
        </w:tc>
        <w:tc>
          <w:tcPr>
            <w:tcW w:w="4876" w:type="dxa"/>
          </w:tcPr>
          <w:p w:rsidR="00944CB0" w:rsidRPr="009D2EDD" w:rsidRDefault="001E7D6E">
            <w:pPr>
              <w:pStyle w:val="Normal6"/>
              <w:rPr>
                <w:color w:val="auto"/>
              </w:rPr>
            </w:pPr>
            <w:r w:rsidRPr="009D2EDD">
              <w:rPr>
                <w:rStyle w:val="Sup"/>
                <w:color w:val="auto"/>
              </w:rPr>
              <w:t>37</w:t>
            </w:r>
            <w:r w:rsidRPr="009D2EDD">
              <w:rPr>
                <w:color w:val="auto"/>
              </w:rPr>
              <w:t xml:space="preserve"> COM(2016)271 final.</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230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(39)</w:t>
            </w:r>
            <w:r w:rsidRPr="009D2EDD">
              <w:tab/>
            </w:r>
            <w:r w:rsidRPr="009D2EDD">
              <w:rPr>
                <w:color w:val="auto"/>
              </w:rPr>
              <w:t>Med henblik på at afgøre, om personer med international beskyttelse stadig har brug for denne beskyttelse, skal medlemsstaterne revurdere den tildelte status, når opholdstilladelsen skal forlænges, første gang for flygtninge og første og anden gang for personer med subsidiær beskyttelsesstatus, samt når der indtræffer en betydelig relevant ændring i de pågældende personers oprindelsesland i henhold til de fælles analyser af og vejledninger om situationen i oprindelseslandet, der på EU-plan stilles til rådighed af agenturet og de europæiske netværk for udveksling af oplysninger om oprindelseslande i overensstemmelse med artikel 8 og 10 i forordning</w:t>
            </w:r>
            <w:r w:rsidRPr="009D2EDD">
              <w:rPr>
                <w:rStyle w:val="Sup"/>
                <w:color w:val="auto"/>
              </w:rPr>
              <w:t>37</w:t>
            </w:r>
            <w:r w:rsidRPr="009D2EDD">
              <w:rPr>
                <w:color w:val="auto"/>
              </w:rPr>
              <w:t>.</w:t>
            </w:r>
          </w:p>
        </w:tc>
        <w:tc>
          <w:tcPr>
            <w:tcW w:w="4876" w:type="dxa"/>
          </w:tcPr>
          <w:p w:rsidR="00944CB0" w:rsidRPr="009D2EDD" w:rsidRDefault="001E7D6E">
            <w:pPr>
              <w:pStyle w:val="Normal6"/>
              <w:rPr>
                <w:color w:val="auto"/>
              </w:rPr>
            </w:pPr>
            <w:r w:rsidRPr="009D2EDD">
              <w:rPr>
                <w:color w:val="auto"/>
              </w:rPr>
              <w:t>(39)</w:t>
            </w:r>
            <w:r w:rsidRPr="009D2EDD">
              <w:tab/>
            </w:r>
            <w:r w:rsidRPr="009D2EDD">
              <w:rPr>
                <w:color w:val="auto"/>
              </w:rPr>
              <w:t>Med henblik på at afgøre, om personer med international beskyttelse stadig har brug for denne beskyttelse, skal medlemsstaterne revurdere den tildelte status, når opholdstilladelsen skal forlænges, første gang for flygtninge, samt når der indtræffer en betydelig relevant ændring i de pågældende personers oprindelsesland i henhold til de fælles analyser af og vejledninger om situationen i oprindelseslandet, der på EU-plan stilles til rådighed af agenturet og de europæiske netværk for udveksling af oplysninger om oprindelseslande i overensstemmelse med artikel 8 og 10 i forordning</w:t>
            </w:r>
            <w:r w:rsidRPr="009D2EDD">
              <w:rPr>
                <w:rStyle w:val="Sup"/>
                <w:color w:val="auto"/>
              </w:rPr>
              <w:t>37</w:t>
            </w:r>
            <w:r w:rsidRPr="009D2EDD">
              <w:rPr>
                <w:color w:val="auto"/>
              </w:rPr>
              <w:t>.</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37</w:t>
            </w:r>
            <w:r w:rsidRPr="009D2EDD">
              <w:rPr>
                <w:color w:val="auto"/>
              </w:rPr>
              <w:t xml:space="preserve"> COM(2016)271 final.</w:t>
            </w:r>
          </w:p>
        </w:tc>
        <w:tc>
          <w:tcPr>
            <w:tcW w:w="4876" w:type="dxa"/>
          </w:tcPr>
          <w:p w:rsidR="00944CB0" w:rsidRPr="009D2EDD" w:rsidRDefault="001E7D6E">
            <w:pPr>
              <w:pStyle w:val="Normal6"/>
              <w:rPr>
                <w:color w:val="auto"/>
              </w:rPr>
            </w:pPr>
            <w:r w:rsidRPr="009D2EDD">
              <w:rPr>
                <w:rStyle w:val="Sup"/>
                <w:color w:val="auto"/>
              </w:rPr>
              <w:t>37</w:t>
            </w:r>
            <w:r w:rsidRPr="009D2EDD">
              <w:rPr>
                <w:color w:val="auto"/>
              </w:rPr>
              <w:t xml:space="preserve"> COM(2016)271 final.</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231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39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(39)</w:t>
            </w:r>
            <w:r w:rsidRPr="009D2EDD">
              <w:tab/>
            </w:r>
            <w:r w:rsidRPr="009D2EDD">
              <w:rPr>
                <w:color w:val="auto"/>
              </w:rPr>
              <w:t>Med henblik på at afgøre, om personer med international beskyttelse stadig har brug for denne beskyttelse, skal medlemsstaterne revurdere den tildelte status, når opholdstilladelsen skal forlænges, første gang for flygtninge og første og anden gang for personer med subsidiær beskyttelsesstatus, samt når der indtræffer en betydelig relevant ændring i de pågældende personers oprindelsesland i henhold til de fælles analyser af og vejledninger om situationen i oprindelseslandet, der på EU-plan stilles til rådighed af agenturet og de europæiske netværk for udveksling af oplysninger om oprindelseslande i overensstemmelse med artikel 8 og 10 i forordning</w:t>
            </w:r>
            <w:r w:rsidRPr="009D2EDD">
              <w:rPr>
                <w:rStyle w:val="Sup"/>
                <w:color w:val="auto"/>
              </w:rPr>
              <w:t>37</w:t>
            </w:r>
            <w:r w:rsidRPr="009D2EDD">
              <w:rPr>
                <w:color w:val="auto"/>
              </w:rPr>
              <w:t>.</w:t>
            </w:r>
          </w:p>
        </w:tc>
        <w:tc>
          <w:tcPr>
            <w:tcW w:w="4876" w:type="dxa"/>
          </w:tcPr>
          <w:p w:rsidR="00944CB0" w:rsidRPr="009D2EDD" w:rsidRDefault="001E7D6E">
            <w:pPr>
              <w:pStyle w:val="Normal6"/>
              <w:rPr>
                <w:color w:val="auto"/>
              </w:rPr>
            </w:pPr>
            <w:r w:rsidRPr="009D2EDD">
              <w:rPr>
                <w:color w:val="auto"/>
              </w:rPr>
              <w:t>(39)</w:t>
            </w:r>
            <w:r w:rsidRPr="009D2EDD">
              <w:tab/>
            </w:r>
            <w:r w:rsidRPr="009D2EDD">
              <w:rPr>
                <w:color w:val="auto"/>
              </w:rPr>
              <w:t xml:space="preserve">Med henblik på at afgøre, om personer med international beskyttelse stadig har brug for denne beskyttelse, de besluttende myndigheder bør revurdere den tildelte status, når opholdstilladelsen skal forlænges, første og anden gang for flygtninge og første, andet og tredje gang for personer med subsidiær beskyttelsesstatus, samt når en betydelig relevant ændring i modtagernes oprindelsesland sker som angivet ved fælles analyse og vejledninger om situationen i oprindelseslandet, der på EU-plan af agenturet og de europæiske netværk til udveksling af oplysninger om oprindelseslande i overensstemmelse med artiklerne 8 og 10 i regel </w:t>
            </w:r>
            <w:r w:rsidRPr="009D2EDD">
              <w:rPr>
                <w:rStyle w:val="Sup"/>
                <w:color w:val="auto"/>
              </w:rPr>
              <w:t>37</w:t>
            </w:r>
            <w:r w:rsidRPr="009D2EDD">
              <w:rPr>
                <w:color w:val="auto"/>
              </w:rPr>
              <w:t>.</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37</w:t>
            </w:r>
            <w:r w:rsidRPr="009D2EDD">
              <w:rPr>
                <w:color w:val="auto"/>
              </w:rPr>
              <w:t xml:space="preserve"> COM(2016)271 final.</w:t>
            </w:r>
          </w:p>
        </w:tc>
        <w:tc>
          <w:tcPr>
            <w:tcW w:w="4876" w:type="dxa"/>
          </w:tcPr>
          <w:p w:rsidR="00944CB0" w:rsidRPr="009D2EDD" w:rsidRDefault="001E7D6E">
            <w:pPr>
              <w:pStyle w:val="Normal6"/>
              <w:rPr>
                <w:color w:val="auto"/>
              </w:rPr>
            </w:pPr>
            <w:r w:rsidRPr="009D2EDD">
              <w:rPr>
                <w:rStyle w:val="Sup"/>
                <w:color w:val="auto"/>
              </w:rPr>
              <w:t>37</w:t>
            </w:r>
            <w:r w:rsidRPr="009D2EDD">
              <w:rPr>
                <w:color w:val="auto"/>
              </w:rPr>
              <w:t xml:space="preserve"> COM(2016)271 final.</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232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40</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(40)</w:t>
            </w:r>
            <w:r w:rsidRPr="009D2EDD">
              <w:tab/>
            </w:r>
            <w:r w:rsidRPr="009D2EDD">
              <w:rPr>
                <w:color w:val="auto"/>
              </w:rPr>
              <w:t>Ved vurderingen af en ændring af omstændighederne i det pågældende tredjeland skal medlemsstaternes kompetente myndigheder under hensyntagen til flygtningens individuelle situation kontrollere, at den eller de aktører, der yder beskyttelse i det pågældende land, har taget rimelige skridt til at forhindre forfølgelse, at de derfor bl.a. anvender et effektivt retssystem til afsløring, retsforfølgning og sanktionering af handlinger, der udgør forfølgelse, og at den pågældende statsborger har adgang til en sådan beskyttelse, hvis flygtningestatussen ophører.</w:t>
            </w:r>
          </w:p>
        </w:tc>
        <w:tc>
          <w:tcPr>
            <w:tcW w:w="4876" w:type="dxa"/>
          </w:tcPr>
          <w:p w:rsidR="00944CB0" w:rsidRPr="009D2EDD" w:rsidRDefault="001E7D6E">
            <w:pPr>
              <w:pStyle w:val="Normal6"/>
              <w:rPr>
                <w:color w:val="auto"/>
              </w:rPr>
            </w:pPr>
            <w:r w:rsidRPr="009D2EDD">
              <w:rPr>
                <w:color w:val="auto"/>
              </w:rPr>
              <w:t>(40)</w:t>
            </w:r>
            <w:r w:rsidRPr="009D2EDD">
              <w:tab/>
            </w:r>
            <w:r w:rsidRPr="009D2EDD">
              <w:rPr>
                <w:color w:val="auto"/>
              </w:rPr>
              <w:t>Ved vurderingen af en ændring af omstændighederne i det pågældende tredjeland skal medlemsstaternes kompetente myndigheder kontrollere, under henvisning til den individuelle situation for den person, der nyder international beskyttelse, at aktør eller aktører, der yder beskyttelse i det pågældende land har truffet de nødvendige skridt til at forhindre forfølgelse, at de derfor bl.a. anvender et effektivt retssystem til afsløring, retsforfølgning og sanktionering af handlinger, der udgør forfølgelse, og at den pågældende statsborger har adgang til en sådan beskyttelse, kan få adgang til landet og med rimelighed kan forventes at bosætte sig der, hvis flygtningestatus ophører med at eksistere.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233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Kinga Gál,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(41)</w:t>
            </w:r>
            <w:r w:rsidRPr="009D2EDD">
              <w:tab/>
            </w:r>
            <w:r w:rsidRPr="009D2EDD">
              <w:rPr>
                <w:b/>
                <w:i/>
                <w:color w:val="auto"/>
              </w:rPr>
              <w:t>Når en flygtningestatus eller subsidiær beskyttelsesstatus ophører, bør anvendelsen af en afgørelse, ved hvilken en medlemsstats besluttende myndighed inddrager, ophæver eller ikke forlænger den pågældende status, udsættes med en rimelig periode efter vedtagelsen for således at give den pågældende tredjelandsstatsborger eller statsløse person mulighed for at søge om opholdstilladelse på grundlag af andre grunde end dem, der berettigede tildeling af international beskyttelse, såsom familiemæssige årsager eller årsager, der vedrører beskæftigelse eller uddannelse i overensstemmelse med relevant EU-ret og national ret.</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234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(41)</w:t>
            </w:r>
            <w:r w:rsidRPr="009D2EDD">
              <w:tab/>
            </w:r>
            <w:r w:rsidRPr="009D2EDD">
              <w:rPr>
                <w:color w:val="auto"/>
              </w:rPr>
              <w:t>Når en flygtningestatus eller subsidiær beskyttelsesstatus ophører, bør anvendelsen af en afgørelse, ved hvilken en medlemsstats besluttende myndighed inddrager, ophæver eller ikke forlænger den pågældende status, udsættes med en rimelig periode efter vedtagelsen for således at give den pågældende tredjelandsstatsborger eller statsløse person mulighed for at søge om opholdstilladelse på grundlag af andre grunde end dem, der berettigede tildeling af international beskyttelse, såsom familiemæssige årsager eller årsager, der vedrører beskæftigelse eller uddannelse i overensstemmelse med relevant EU-ret og national ret.</w:t>
            </w:r>
          </w:p>
        </w:tc>
        <w:tc>
          <w:tcPr>
            <w:tcW w:w="4876" w:type="dxa"/>
          </w:tcPr>
          <w:p w:rsidR="00944CB0" w:rsidRPr="009D2EDD" w:rsidRDefault="001E7D6E">
            <w:pPr>
              <w:pStyle w:val="Normal6"/>
              <w:rPr>
                <w:color w:val="auto"/>
              </w:rPr>
            </w:pPr>
            <w:r w:rsidRPr="009D2EDD">
              <w:rPr>
                <w:color w:val="auto"/>
              </w:rPr>
              <w:t>(41)</w:t>
            </w:r>
            <w:r w:rsidRPr="009D2EDD">
              <w:tab/>
            </w:r>
            <w:r w:rsidRPr="009D2EDD">
              <w:rPr>
                <w:color w:val="auto"/>
              </w:rPr>
              <w:t>Når status som person med international beskyttelse ophører, bør anvendelsen af en afgørelse, ved hvilken en medlemsstats besluttende myndighed fratager en person den pågældende status, udsættes med en rimelig periode efter vedtagelsen for således at give den pågældende tredjelandsstatsborger eller statsløse person mulighed for at søge om opholdstilladelse i overensstemmelse med relevant EU-ret og national ret.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235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(41)</w:t>
            </w:r>
            <w:r w:rsidRPr="009D2EDD">
              <w:tab/>
            </w:r>
            <w:r w:rsidRPr="009D2EDD">
              <w:rPr>
                <w:color w:val="auto"/>
              </w:rPr>
              <w:t>Når en flygtningestatus eller subsidiær beskyttelsesstatus ophører, bør anvendelsen af en afgørelse, ved hvilken en medlemsstats besluttende myndighed inddrager, ophæver eller ikke forlænger den pågældende status, udsættes med en rimelig periode efter vedtagelsen for således at give den pågældende tredjelandsstatsborger eller statsløse person mulighed for at søge om opholdstilladelse på grundlag af andre grunde end dem, der berettigede tildeling af international beskyttelse, såsom familiemæssige årsager eller årsager, der vedrører beskæftigelse eller uddannelse i overensstemmelse med relevant EU-ret og national ret.</w:t>
            </w:r>
          </w:p>
        </w:tc>
        <w:tc>
          <w:tcPr>
            <w:tcW w:w="4876" w:type="dxa"/>
          </w:tcPr>
          <w:p w:rsidR="00944CB0" w:rsidRPr="009D2EDD" w:rsidRDefault="001E7D6E">
            <w:pPr>
              <w:pStyle w:val="Normal6"/>
              <w:rPr>
                <w:color w:val="auto"/>
              </w:rPr>
            </w:pPr>
            <w:r w:rsidRPr="009D2EDD">
              <w:rPr>
                <w:color w:val="auto"/>
              </w:rPr>
              <w:t>(41)</w:t>
            </w:r>
            <w:r w:rsidRPr="009D2EDD">
              <w:tab/>
            </w:r>
            <w:r w:rsidRPr="009D2EDD">
              <w:rPr>
                <w:color w:val="auto"/>
              </w:rPr>
              <w:t xml:space="preserve">Ved flygtningestatus eller subsidiær beskyttelsesstatus ophører med at eksistere, anvendelsen af den beslutning, ved hvilken en medlemsstats besluttende myndighed tilbagekalder, afslutter eller ikke forlænge den pågældende status, udsættes med en rimelig periode efter vedtagelsen for at give den pågældende tredjelandsstatsborger eller statsløse person mulighed for at søge om opholdstilladelse på grundlag af andre grunde end dem, der berettigede tildeling af international beskyttelse, navnlig om arbejdsrelaterede grunde i overensstemmelse med relevant EU-ret og national ret. </w:t>
            </w:r>
            <w:r w:rsidRPr="009D2EDD">
              <w:rPr>
                <w:b/>
                <w:i/>
                <w:color w:val="auto"/>
              </w:rPr>
              <w:t>Dette bør imidlertid ikke føre til omgåelse af nationale indvandringsregler.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236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(41)</w:t>
            </w:r>
            <w:r w:rsidRPr="009D2EDD">
              <w:tab/>
            </w:r>
            <w:r w:rsidRPr="009D2EDD">
              <w:rPr>
                <w:color w:val="auto"/>
              </w:rPr>
              <w:t>Når en flygtningestatus eller subsidiær beskyttelsesstatus ophører, bør anvendelsen af en afgørelse, ved hvilken en medlemsstats besluttende myndighed inddrager, ophæver eller ikke forlænger den pågældende status, udsættes med en rimelig periode efter vedtagelsen for således at give den pågældende tredjelandsstatsborger eller statsløse person mulighed for at søge om opholdstilladelse på grundlag af andre grunde end dem, der berettigede tildeling af international beskyttelse, såsom familiemæssige årsager eller årsager, der vedrører beskæftigelse eller uddannelse i overensstemmelse med relevant EU-ret og national ret.</w:t>
            </w:r>
          </w:p>
        </w:tc>
        <w:tc>
          <w:tcPr>
            <w:tcW w:w="4876" w:type="dxa"/>
          </w:tcPr>
          <w:p w:rsidR="00944CB0" w:rsidRPr="009D2EDD" w:rsidRDefault="001E7D6E">
            <w:pPr>
              <w:pStyle w:val="Normal6"/>
              <w:rPr>
                <w:color w:val="auto"/>
              </w:rPr>
            </w:pPr>
            <w:r w:rsidRPr="009D2EDD">
              <w:rPr>
                <w:color w:val="auto"/>
              </w:rPr>
              <w:t>(41)</w:t>
            </w:r>
            <w:r w:rsidRPr="009D2EDD">
              <w:tab/>
            </w:r>
            <w:r w:rsidRPr="009D2EDD">
              <w:rPr>
                <w:color w:val="auto"/>
              </w:rPr>
              <w:t>Når en flygtningestatus ophører, bør anvendelsen af en afgørelse, ved hvilken en medlemsstats besluttende myndighed inddrager, ophæver eller ikke forlænger den pågældende status, udsættes med en rimelig periode efter vedtagelsen for således at give den pågældende tredjelandsstatsborger eller statsløse person mulighed for at søge om opholdstilladelse på grundlag af andre grunde end dem, der berettigede tildeling af international beskyttelse, såsom familiemæssige årsager eller årsager, der vedrører beskæftigelse eller uddannelse i overensstemmelse med relevant EU-ret og national ret.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237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(41)</w:t>
            </w:r>
            <w:r w:rsidRPr="009D2EDD">
              <w:tab/>
            </w:r>
            <w:r w:rsidRPr="009D2EDD">
              <w:rPr>
                <w:color w:val="auto"/>
              </w:rPr>
              <w:t>Når en flygtningestatus eller subsidiær beskyttelsesstatus ophører, bør anvendelsen af en afgørelse, ved hvilken en medlemsstats besluttende myndighed inddrager, ophæver eller ikke forlænger den pågældende status, udsættes med en rimelig periode efter vedtagelsen for således at give den pågældende tredjelandsstatsborger eller statsløse person mulighed for at søge om opholdstilladelse på grundlag af andre grunde end dem, der berettigede tildeling af international beskyttelse, såsom familiemæssige årsager eller årsager, der vedrører beskæftigelse eller uddannelse i overensstemmelse med relevant EU-ret og national ret.</w:t>
            </w:r>
          </w:p>
        </w:tc>
        <w:tc>
          <w:tcPr>
            <w:tcW w:w="4876" w:type="dxa"/>
          </w:tcPr>
          <w:p w:rsidR="00944CB0" w:rsidRPr="009D2EDD" w:rsidRDefault="001E7D6E">
            <w:pPr>
              <w:pStyle w:val="Normal6"/>
              <w:rPr>
                <w:color w:val="auto"/>
              </w:rPr>
            </w:pPr>
            <w:r w:rsidRPr="009D2EDD">
              <w:rPr>
                <w:color w:val="auto"/>
              </w:rPr>
              <w:t>(41)</w:t>
            </w:r>
            <w:r w:rsidRPr="009D2EDD">
              <w:tab/>
            </w:r>
            <w:r w:rsidRPr="009D2EDD">
              <w:rPr>
                <w:color w:val="auto"/>
              </w:rPr>
              <w:t>Ved status som modtagere af international beskyttelse ophører med at eksistere, bør anvendelsen af en afgørelse, ved hvilken en medlemsstats besluttende myndighed inddrager, ophæver eller ikke forlænger den pågældende status, udsættes med en rimelig periode efter vedtagelsen for således at give den pågældende tredjelandsstatsborger eller statsløse person mulighed for at søge om opholdstilladelse på grundlag af andre grunde end dem, der berettigede tildeling af international beskyttelse, såsom familiemæssige årsager eller årsager, der vedrører beskæftigelse eller uddannelse i overensstemmelse med relevant EU-ret og national ret.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238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41 a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(41a)</w:t>
            </w:r>
            <w:r w:rsidRPr="009D2EDD">
              <w:tab/>
            </w:r>
            <w:r w:rsidRPr="009D2EDD">
              <w:rPr>
                <w:b/>
                <w:i/>
                <w:color w:val="auto"/>
              </w:rPr>
              <w:t>Princippet om afspejler anerkendelse af de betydelige problemer, som ansøgere oplever i at indhente og fremlægge beviser til støtte for deres påstand. Det generelle princip er, at bevisbyrden påhviler den ansøger om international beskyttelse, og at pligten til at verificere og vurdere alle relevante kendsgerninger er delt mellem ansøgeren og den besluttende myndighed. Sagsøgeren har imidlertid bør tvivlen komme, hvor aspekter af dennes erklæringer, der ikke er underbygget af dokumentation eller andre beviser, hvis han eller hun har oprigtigt bestræbt sig på at underbygge sin ansøgning og har forelagt alle relevante oplysninger, som vedkommende har til sin rådighed, og hvis vedkommendes erklæringer anses for at være sammenhængende og troværdige.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239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 Jean Lambert</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(42)</w:t>
            </w:r>
            <w:r w:rsidRPr="009D2EDD">
              <w:tab/>
            </w:r>
            <w:r w:rsidRPr="009D2EDD">
              <w:rPr>
                <w:b/>
                <w:i/>
                <w:color w:val="auto"/>
              </w:rPr>
              <w:t xml:space="preserve">Personer med international beskyttelse bør tage ophold i den medlemsstat, der har tildelt dem beskyttelse. </w:t>
            </w:r>
            <w:r w:rsidRPr="009D2EDD">
              <w:t>De beskyttede personer, der er i besiddelse af et gyldigt rejsedokument og en opholdstilladelse udstedt af en medlemsstat, der anvender Schengenreglerne fuldt ud, bør kunne rejse frit ind i og frit færdes på de medlemsstaters område, der anvender Schengenreglerne fuldt ud, i en periode på op til 90 dage inden for en periode på 180 dage i henhold til Schengengrænsekodeksen</w:t>
            </w:r>
            <w:r w:rsidRPr="009D2EDD">
              <w:rPr>
                <w:rStyle w:val="SupBoldItalic"/>
                <w:color w:val="auto"/>
              </w:rPr>
              <w:t>38</w:t>
            </w:r>
            <w:r w:rsidRPr="009D2EDD">
              <w:t xml:space="preserve"> og artikel 21 konventionen om gennemførelse af Schengenaftalen</w:t>
            </w:r>
            <w:r w:rsidRPr="009D2EDD">
              <w:rPr>
                <w:rStyle w:val="SupBoldItalic"/>
                <w:color w:val="auto"/>
              </w:rPr>
              <w:t>39</w:t>
            </w:r>
            <w:r w:rsidRPr="009D2EDD">
              <w:t>.</w:t>
            </w:r>
            <w:r w:rsidRPr="009D2EDD">
              <w:rPr>
                <w:b/>
                <w:i/>
                <w:color w:val="auto"/>
              </w:rPr>
              <w:t xml:space="preserve"> </w:t>
            </w:r>
            <w:r w:rsidRPr="009D2EDD">
              <w:t>Personer med international beskyttelse kan også ansøge om ophold i en anden medlemsstat end den medlemsstat, der har tildelt beskyttelse, i overensstemmelse med de relevante EU-regler, navnlig om indrejse- og opholdsbetingelser for tredjelandsstatsborgere med henblik på højt kvalificerede arbejdstagere</w:t>
            </w:r>
            <w:r w:rsidRPr="009D2EDD">
              <w:rPr>
                <w:rStyle w:val="SupBoldItalic"/>
                <w:color w:val="auto"/>
              </w:rPr>
              <w:t>40</w:t>
            </w:r>
            <w:r w:rsidRPr="009D2EDD">
              <w:t>, og de nationale regler;</w:t>
            </w:r>
            <w:r w:rsidRPr="009D2EDD">
              <w:rPr>
                <w:b/>
                <w:i/>
                <w:color w:val="auto"/>
              </w:rPr>
              <w:t xml:space="preserve"> dette medfører dog ikke nogen overførsel af international beskyttelse og dermed forbundne rettigheder.</w:t>
            </w:r>
          </w:p>
        </w:tc>
        <w:tc>
          <w:tcPr>
            <w:tcW w:w="4876" w:type="dxa"/>
          </w:tcPr>
          <w:p w:rsidR="00944CB0" w:rsidRPr="009D2EDD" w:rsidRDefault="001E7D6E">
            <w:pPr>
              <w:pStyle w:val="Normal6"/>
              <w:rPr>
                <w:color w:val="auto"/>
              </w:rPr>
            </w:pPr>
            <w:r w:rsidRPr="009D2EDD">
              <w:rPr>
                <w:b/>
                <w:i/>
                <w:color w:val="auto"/>
              </w:rPr>
              <w:t>udgår</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38</w:t>
            </w:r>
            <w:r w:rsidRPr="009D2EDD">
              <w:t>Europa-Parlamentets og Rådets forordning (EU) 2016/399 af 9. marts 2016 om en EU-kodeks for personers grænsepassage</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39</w:t>
            </w:r>
            <w:r w:rsidRPr="009D2EDD">
              <w:t>Schengenaftalen af 14. juni 1985 mellem regeringerne for staterne i Den Økonomiske Union Benelux, Forbundsrepublikken Tyskland og Den Franske Republik om gradvis ophævelse af kontrollen ved de fælles grænser.</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40</w:t>
            </w:r>
            <w:r w:rsidRPr="009D2EDD">
              <w:rPr>
                <w:color w:val="auto"/>
              </w:rPr>
              <w:t xml:space="preserve"> </w:t>
            </w:r>
            <w:r w:rsidRPr="009D2EDD">
              <w:rPr>
                <w:b/>
                <w:i/>
                <w:color w:val="auto"/>
              </w:rPr>
              <w:t>COM (2016) 378 final.</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Udgår af hensyn til sammenhængen med bilag om gensidig anerkendelse af asylafgørelser</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240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(42)</w:t>
            </w:r>
            <w:r w:rsidRPr="009D2EDD">
              <w:tab/>
            </w:r>
            <w:r w:rsidRPr="009D2EDD">
              <w:rPr>
                <w:color w:val="auto"/>
              </w:rPr>
              <w:t>Personer med international beskyttelse bør tage ophold i den medlemsstat, der har tildelt dem beskyttelse. De beskyttede personer, der er i besiddelse af et gyldigt rejsedokument og en opholdstilladelse udstedt af en medlemsstat, der anvender Schengenreglerne fuldt ud, bør kunne rejse frit ind i og frit færdes på de medlemsstaters område, der anvender Schengenreglerne fuldt ud, i en periode på op til 90 dage inden for en periode på 180 dage i henhold til Schengengrænsekodeksen</w:t>
            </w:r>
            <w:r w:rsidRPr="009D2EDD">
              <w:rPr>
                <w:rStyle w:val="Sup"/>
                <w:color w:val="auto"/>
              </w:rPr>
              <w:t>38</w:t>
            </w:r>
            <w:r w:rsidRPr="009D2EDD">
              <w:rPr>
                <w:color w:val="auto"/>
              </w:rPr>
              <w:t xml:space="preserve"> og artikel 21 konventionen om gennemførelse af Schengenaftalen</w:t>
            </w:r>
            <w:r w:rsidRPr="009D2EDD">
              <w:rPr>
                <w:rStyle w:val="Sup"/>
                <w:color w:val="auto"/>
              </w:rPr>
              <w:t>39</w:t>
            </w:r>
            <w:r w:rsidRPr="009D2EDD">
              <w:rPr>
                <w:color w:val="auto"/>
              </w:rPr>
              <w:t>.</w:t>
            </w:r>
            <w:r w:rsidRPr="009D2EDD">
              <w:rPr>
                <w:b/>
                <w:i/>
                <w:color w:val="auto"/>
              </w:rPr>
              <w:t xml:space="preserve"> </w:t>
            </w:r>
            <w:r w:rsidRPr="009D2EDD">
              <w:rPr>
                <w:color w:val="auto"/>
              </w:rPr>
              <w:t>Personer med international beskyttelse kan også ansøge om ophold i en anden medlemsstat end den medlemsstat, der har tildelt beskyttelse, i overensstemmelse med de relevante EU-regler, navnlig om indrejse- og opholdsbetingelser for tredjelandsstatsborgere med henblik på højt kvalificerede arbejdstagere</w:t>
            </w:r>
            <w:r w:rsidRPr="009D2EDD">
              <w:rPr>
                <w:rStyle w:val="SupBoldItalic"/>
                <w:color w:val="auto"/>
              </w:rPr>
              <w:t>40</w:t>
            </w:r>
            <w:r w:rsidRPr="009D2EDD">
              <w:rPr>
                <w:color w:val="auto"/>
              </w:rPr>
              <w:t>, og de nationale regler;</w:t>
            </w:r>
            <w:r w:rsidRPr="009D2EDD">
              <w:rPr>
                <w:b/>
                <w:i/>
                <w:color w:val="auto"/>
              </w:rPr>
              <w:t xml:space="preserve"> dette medfører dog ikke nogen overførsel af international beskyttelse og dermed forbundne rettigheder.</w:t>
            </w:r>
          </w:p>
        </w:tc>
        <w:tc>
          <w:tcPr>
            <w:tcW w:w="4876" w:type="dxa"/>
          </w:tcPr>
          <w:p w:rsidR="00944CB0" w:rsidRPr="009D2EDD" w:rsidRDefault="001E7D6E">
            <w:pPr>
              <w:pStyle w:val="Normal6"/>
              <w:rPr>
                <w:color w:val="auto"/>
              </w:rPr>
            </w:pPr>
            <w:r w:rsidRPr="009D2EDD">
              <w:rPr>
                <w:color w:val="auto"/>
              </w:rPr>
              <w:t>(42)</w:t>
            </w:r>
            <w:r w:rsidRPr="009D2EDD">
              <w:tab/>
            </w:r>
            <w:r w:rsidRPr="009D2EDD">
              <w:rPr>
                <w:color w:val="auto"/>
              </w:rPr>
              <w:t>Personer med international beskyttelse bør tage ophold i den medlemsstat, der har tildelt dem beskyttelse. De beskyttede personer, der er i besiddelse af et gyldigt rejsedokument og en opholdstilladelse udstedt af en medlemsstat, der anvender Schengenreglerne fuldt ud, bør kunne rejse frit ind i og frit færdes på de medlemsstaters område, der anvender Schengenreglerne fuldt ud, i en periode på op til 90 dage inden for en periode på 180 dage i henhold til Schengengrænsekodeksen</w:t>
            </w:r>
            <w:r w:rsidRPr="009D2EDD">
              <w:rPr>
                <w:rStyle w:val="Sup"/>
                <w:color w:val="auto"/>
              </w:rPr>
              <w:t>38</w:t>
            </w:r>
            <w:r w:rsidRPr="009D2EDD">
              <w:rPr>
                <w:color w:val="auto"/>
              </w:rPr>
              <w:t xml:space="preserve"> og artikel 21 konventionen om gennemførelse af Schengenaftalen</w:t>
            </w:r>
            <w:r w:rsidRPr="009D2EDD">
              <w:rPr>
                <w:rStyle w:val="Sup"/>
                <w:color w:val="auto"/>
              </w:rPr>
              <w:t>39</w:t>
            </w:r>
            <w:r w:rsidRPr="009D2EDD">
              <w:rPr>
                <w:color w:val="auto"/>
              </w:rPr>
              <w:t>.</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38</w:t>
            </w:r>
            <w:r w:rsidRPr="009D2EDD">
              <w:t>Europa-Parlamentets og Rådets forordning (EU) 2016/399 af 9. marts 2016 om en EU-kodeks for personers grænsepassage</w:t>
            </w:r>
          </w:p>
        </w:tc>
        <w:tc>
          <w:tcPr>
            <w:tcW w:w="4876" w:type="dxa"/>
          </w:tcPr>
          <w:p w:rsidR="00944CB0" w:rsidRPr="009D2EDD" w:rsidRDefault="001E7D6E">
            <w:pPr>
              <w:pStyle w:val="Normal6"/>
              <w:rPr>
                <w:color w:val="auto"/>
              </w:rPr>
            </w:pPr>
            <w:r w:rsidRPr="009D2EDD">
              <w:rPr>
                <w:rStyle w:val="Sup"/>
                <w:color w:val="auto"/>
              </w:rPr>
              <w:t>38</w:t>
            </w:r>
            <w:r w:rsidRPr="009D2EDD">
              <w:t xml:space="preserve"> Europa-Parlamentets og Rådets forordning (EU) 2016/399 af 9. marts 2016 om en EU-kodeks for personers grænsepassage</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39</w:t>
            </w:r>
            <w:r w:rsidRPr="009D2EDD">
              <w:t>Schengenaftalen af 14. juni 1985 mellem regeringerne for staterne i Den Økonomiske Union Benelux, Forbundsrepublikken Tyskland og Den Franske Republik om gradvis ophævelse af kontrollen ved de fælles grænser.</w:t>
            </w:r>
          </w:p>
        </w:tc>
        <w:tc>
          <w:tcPr>
            <w:tcW w:w="4876" w:type="dxa"/>
          </w:tcPr>
          <w:p w:rsidR="00944CB0" w:rsidRPr="009D2EDD" w:rsidRDefault="001E7D6E">
            <w:pPr>
              <w:pStyle w:val="Normal6"/>
              <w:rPr>
                <w:color w:val="auto"/>
              </w:rPr>
            </w:pPr>
            <w:r w:rsidRPr="009D2EDD">
              <w:rPr>
                <w:rStyle w:val="Sup"/>
                <w:color w:val="auto"/>
              </w:rPr>
              <w:t>39</w:t>
            </w:r>
            <w:r w:rsidRPr="009D2EDD">
              <w:t xml:space="preserve"> Schengenaftalen af 14. juni 1985 mellem regeringerne for staterne i Den Økonomiske Union Benelux, Forbundsrepublikken Tyskland og Den Franske Republik om gradvis ophævelse af kontrollen ved de fælles grænser.</w:t>
            </w: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40</w:t>
            </w:r>
            <w:r w:rsidRPr="009D2EDD">
              <w:rPr>
                <w:color w:val="auto"/>
              </w:rPr>
              <w:t xml:space="preserve"> </w:t>
            </w:r>
            <w:r w:rsidRPr="009D2EDD">
              <w:rPr>
                <w:b/>
                <w:i/>
                <w:color w:val="auto"/>
              </w:rPr>
              <w:t>COM (2016) 378 final.</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241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(42)</w:t>
            </w:r>
            <w:r w:rsidRPr="009D2EDD">
              <w:tab/>
            </w:r>
            <w:r w:rsidRPr="009D2EDD">
              <w:rPr>
                <w:color w:val="auto"/>
              </w:rPr>
              <w:t>Personer med international beskyttelse bør tage ophold i den medlemsstat, der har tildelt dem beskyttelse. De beskyttede personer, der er i besiddelse af et gyldigt rejsedokument og en opholdstilladelse udstedt af en medlemsstat, der anvender Schengenreglerne fuldt ud, bør kunne rejse frit ind i og frit færdes på de medlemsstaters område, der anvender Schengenreglerne fuldt ud, i en periode på op til 90 dage inden for en periode på 180 dage i henhold til Schengengrænsekodeksen</w:t>
            </w:r>
            <w:r w:rsidRPr="009D2EDD">
              <w:rPr>
                <w:b/>
                <w:i/>
                <w:color w:val="auto"/>
              </w:rPr>
              <w:t>38</w:t>
            </w:r>
            <w:r w:rsidRPr="009D2EDD">
              <w:rPr>
                <w:color w:val="auto"/>
              </w:rPr>
              <w:t xml:space="preserve"> og artikel 21 konventionen om gennemførelse af Schengenaftalen</w:t>
            </w:r>
            <w:r w:rsidRPr="009D2EDD">
              <w:rPr>
                <w:rStyle w:val="Sup"/>
                <w:color w:val="auto"/>
              </w:rPr>
              <w:t>39</w:t>
            </w:r>
            <w:r w:rsidRPr="009D2EDD">
              <w:rPr>
                <w:color w:val="auto"/>
              </w:rPr>
              <w:t>. Personer med international beskyttelse kan også ansøge om ophold i en anden medlemsstat end den medlemsstat, der har tildelt beskyttelse, i overensstemmelse med de relevante EU-regler, navnlig om indrejse- og opholdsbetingelser for tredjelandsstatsborgere med henblik på højt kvalificerede arbejdstagere</w:t>
            </w:r>
            <w:r w:rsidRPr="009D2EDD">
              <w:rPr>
                <w:rStyle w:val="Sup"/>
                <w:color w:val="auto"/>
              </w:rPr>
              <w:t>40</w:t>
            </w:r>
            <w:r w:rsidRPr="009D2EDD">
              <w:rPr>
                <w:color w:val="auto"/>
              </w:rPr>
              <w:t>, og de nationale regler; dette medfører dog ikke nogen overførsel af international beskyttelse og dermed forbundne rettigheder.</w:t>
            </w:r>
          </w:p>
        </w:tc>
        <w:tc>
          <w:tcPr>
            <w:tcW w:w="4876" w:type="dxa"/>
          </w:tcPr>
          <w:p w:rsidR="00944CB0" w:rsidRPr="009D2EDD" w:rsidRDefault="001E7D6E">
            <w:pPr>
              <w:pStyle w:val="Normal6"/>
              <w:rPr>
                <w:color w:val="auto"/>
              </w:rPr>
            </w:pPr>
            <w:r w:rsidRPr="009D2EDD">
              <w:rPr>
                <w:color w:val="auto"/>
              </w:rPr>
              <w:t>(42)</w:t>
            </w:r>
            <w:r w:rsidRPr="009D2EDD">
              <w:tab/>
            </w:r>
            <w:r w:rsidRPr="009D2EDD">
              <w:rPr>
                <w:color w:val="auto"/>
              </w:rPr>
              <w:t>Personer med international beskyttelse bør tage ophold i den medlemsstat, der har tildelt dem beskyttelse. De beskyttede personer, der er i besiddelse af et gyldigt rejsedokument og en opholdstilladelse udstedt af en medlemsstat, der anvender Schengenreglerne fuldt ud, bør kunne rejse frit ind i og frit færdes på de medlemsstaters område, der anvender Schengenreglerne fuldt ud i henhold til Schengengrænsekodeksen</w:t>
            </w:r>
            <w:r w:rsidR="00AA4696" w:rsidRPr="009D2EDD">
              <w:rPr>
                <w:rStyle w:val="Sup"/>
                <w:color w:val="auto"/>
              </w:rPr>
              <w:t>38</w:t>
            </w:r>
            <w:r w:rsidR="00AA4696" w:rsidRPr="009D2EDD">
              <w:rPr>
                <w:color w:val="auto"/>
              </w:rPr>
              <w:t xml:space="preserve"> og</w:t>
            </w:r>
            <w:r w:rsidRPr="009D2EDD">
              <w:rPr>
                <w:color w:val="auto"/>
              </w:rPr>
              <w:t xml:space="preserve"> artikel 21 konventionen om gennemførelse af Schengenaftalen</w:t>
            </w:r>
            <w:r w:rsidR="00AA4696" w:rsidRPr="009D2EDD">
              <w:rPr>
                <w:rStyle w:val="Sup"/>
                <w:color w:val="auto"/>
              </w:rPr>
              <w:t>39</w:t>
            </w:r>
            <w:r w:rsidR="00AA4696" w:rsidRPr="009D2EDD">
              <w:rPr>
                <w:color w:val="auto"/>
              </w:rPr>
              <w:t>.</w:t>
            </w:r>
            <w:r w:rsidRPr="009D2EDD">
              <w:rPr>
                <w:color w:val="auto"/>
              </w:rPr>
              <w:t xml:space="preserve"> Personer med international beskyttelse kan også ansøge om ophold i en anden medlemsstat end den medlemsstat, der har tildelt beskyttelse, i overensstemmelse med de relevante EU-regler, navnlig om indrejse- og opholdsbetingelser for tredjelandsstatsborgere med henblik på højt kvalificerede beskæftigelse40 samt i overensstemmelse med Europa-Parlamentets og Rådets direktiv (EU) 2016/801 1a, og de nationale regler dette medfører dog ikke nogen overførsel af international beskyttelse og dermed forbundne rettigheder.</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rStyle w:val="SupBoldItalic"/>
                <w:color w:val="auto"/>
              </w:rPr>
              <w:t>1b</w:t>
            </w:r>
            <w:r w:rsidRPr="009D2EDD">
              <w:t>Europa-Parlamentets og Rådets direktiv (EU) 2016/801 af 11. maj 2016 om betingelserne for tredjelandsstatsborgeres indrejse og ophold med henblik på forskning, studier, praktik, volontørtjeneste, elevudvekslingsprogrammer eller uddannelsesprojekter, og au pair-ansættelse (EUT L 132 af 21.5. 2016, s. 21-57).</w:t>
            </w:r>
            <w:r w:rsidRPr="009D2EDD">
              <w:rPr>
                <w:b/>
                <w:i/>
                <w:color w:val="auto"/>
              </w:rPr>
              <w:t xml:space="preserve"> </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38</w:t>
            </w:r>
            <w:r w:rsidRPr="009D2EDD">
              <w:t>Europa-Parlamentets og Rådets forordning (EU) 2016/399 af 9. marts 2016 om en EU-kodeks for personers grænsepassage</w:t>
            </w:r>
          </w:p>
        </w:tc>
        <w:tc>
          <w:tcPr>
            <w:tcW w:w="4876" w:type="dxa"/>
          </w:tcPr>
          <w:p w:rsidR="00944CB0" w:rsidRPr="009D2EDD" w:rsidRDefault="001E7D6E">
            <w:pPr>
              <w:pStyle w:val="Normal6"/>
              <w:rPr>
                <w:color w:val="auto"/>
              </w:rPr>
            </w:pPr>
            <w:r w:rsidRPr="009D2EDD">
              <w:rPr>
                <w:rStyle w:val="Sup"/>
                <w:color w:val="auto"/>
              </w:rPr>
              <w:t>38</w:t>
            </w:r>
            <w:r w:rsidRPr="009D2EDD">
              <w:t xml:space="preserve"> Europa-Parlamentets og Rådets forordning (EU) 2016/399 af 9. marts 2016 om en EU-kodeks for personers grænsepassage</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39</w:t>
            </w:r>
            <w:r w:rsidRPr="009D2EDD">
              <w:t>Schengenaftalen af 14. juni 1985 mellem regeringerne for staterne i Den Økonomiske Union Benelux, Forbundsrepublikken Tyskland og Den Franske Republik om gradvis ophævelse af kontrollen ved de fælles grænser.</w:t>
            </w:r>
          </w:p>
        </w:tc>
        <w:tc>
          <w:tcPr>
            <w:tcW w:w="4876" w:type="dxa"/>
          </w:tcPr>
          <w:p w:rsidR="00944CB0" w:rsidRPr="009D2EDD" w:rsidRDefault="001E7D6E">
            <w:pPr>
              <w:pStyle w:val="Normal6"/>
              <w:rPr>
                <w:color w:val="auto"/>
              </w:rPr>
            </w:pPr>
            <w:r w:rsidRPr="009D2EDD">
              <w:rPr>
                <w:rStyle w:val="Sup"/>
                <w:color w:val="auto"/>
              </w:rPr>
              <w:t>39</w:t>
            </w:r>
            <w:r w:rsidRPr="009D2EDD">
              <w:t xml:space="preserve"> Schengenaftalen af 14. juni 1985 mellem regeringerne for staterne i Den Økonomiske Union Benelux, Forbundsrepublikken Tyskland og Den Franske Republik om gradvis ophævelse af kontrollen ved de fælles grænser.</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40</w:t>
            </w:r>
            <w:r w:rsidRPr="009D2EDD">
              <w:rPr>
                <w:color w:val="auto"/>
              </w:rPr>
              <w:t xml:space="preserve"> COM (2016) 378 final.</w:t>
            </w:r>
          </w:p>
        </w:tc>
        <w:tc>
          <w:tcPr>
            <w:tcW w:w="4876" w:type="dxa"/>
          </w:tcPr>
          <w:p w:rsidR="00944CB0" w:rsidRPr="009D2EDD" w:rsidRDefault="001E7D6E">
            <w:pPr>
              <w:pStyle w:val="Normal6"/>
              <w:rPr>
                <w:color w:val="auto"/>
              </w:rPr>
            </w:pPr>
            <w:r w:rsidRPr="009D2EDD">
              <w:rPr>
                <w:rStyle w:val="Sup"/>
                <w:color w:val="auto"/>
              </w:rPr>
              <w:t>40</w:t>
            </w:r>
            <w:r w:rsidRPr="009D2EDD">
              <w:rPr>
                <w:color w:val="auto"/>
              </w:rPr>
              <w:t xml:space="preserve"> COM (2016) 378 final.</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242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Emil Radev</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(43)</w:t>
            </w:r>
            <w:r w:rsidRPr="009D2EDD">
              <w:tab/>
              <w:t>For at forhindre sekundære bevægelser inden for Den Europæiske Union bør personer, der er omfattet af international beskyttelse, hvis det konstateres, at de opholder sig i en anden medlemsstat end den medlemsstat, der har tildelt dem beskyttelse, uden at opfylde betingelserne for ophold eller bopæl, tilbagetages af den ansvarlige medlemsstat i overensstemmelse med den procedure, der er fastlagt ved den nye Dublinforordning</w:t>
            </w:r>
            <w:r w:rsidRPr="009D2EDD">
              <w:rPr>
                <w:rStyle w:val="SupBoldItalic"/>
                <w:color w:val="auto"/>
              </w:rPr>
              <w:t>41</w:t>
            </w:r>
            <w:r w:rsidRPr="009D2EDD">
              <w:t>.</w:t>
            </w:r>
          </w:p>
        </w:tc>
        <w:tc>
          <w:tcPr>
            <w:tcW w:w="4876" w:type="dxa"/>
          </w:tcPr>
          <w:p w:rsidR="00944CB0" w:rsidRPr="009D2EDD" w:rsidRDefault="001E7D6E">
            <w:pPr>
              <w:pStyle w:val="Normal6"/>
              <w:rPr>
                <w:color w:val="auto"/>
              </w:rPr>
            </w:pPr>
            <w:r w:rsidRPr="009D2EDD">
              <w:rPr>
                <w:b/>
                <w:i/>
                <w:color w:val="auto"/>
              </w:rPr>
              <w:t>udgår</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41</w:t>
            </w:r>
            <w:r w:rsidRPr="009D2EDD">
              <w:t>(EU) [XXX/XXXX ny Dublinforordning].</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{BG}</w:t>
      </w:r>
      <w:r w:rsidRPr="009D2EDD">
        <w:rPr>
          <w:color w:val="auto"/>
        </w:rPr>
        <w:t>bg</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Landene ved EU's ydre grænser kan ikke tvinges til at tage permanent ansvar for personer under international beskyttelse.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243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 Jean Lambert</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(43)</w:t>
            </w:r>
            <w:r w:rsidRPr="009D2EDD">
              <w:tab/>
              <w:t>For at forhindre sekundære bevægelser inden for Den Europæiske Union bør personer, der er omfattet af international beskyttelse, hvis det konstateres, at de opholder sig i en anden medlemsstat end den medlemsstat, der har tildelt dem beskyttelse, uden at opfylde betingelserne for ophold eller bopæl, tilbagetages af den ansvarlige medlemsstat i overensstemmelse med den procedure, der er fastlagt ved den nye Dublinforordning</w:t>
            </w:r>
            <w:r w:rsidRPr="009D2EDD">
              <w:rPr>
                <w:rStyle w:val="SupBoldItalic"/>
                <w:color w:val="auto"/>
              </w:rPr>
              <w:t>41</w:t>
            </w:r>
            <w:r w:rsidRPr="009D2EDD">
              <w:t>.</w:t>
            </w:r>
          </w:p>
        </w:tc>
        <w:tc>
          <w:tcPr>
            <w:tcW w:w="4876" w:type="dxa"/>
          </w:tcPr>
          <w:p w:rsidR="00944CB0" w:rsidRPr="009D2EDD" w:rsidRDefault="001E7D6E">
            <w:pPr>
              <w:pStyle w:val="Normal6"/>
              <w:rPr>
                <w:color w:val="auto"/>
              </w:rPr>
            </w:pPr>
            <w:r w:rsidRPr="009D2EDD">
              <w:rPr>
                <w:b/>
                <w:i/>
                <w:color w:val="auto"/>
              </w:rPr>
              <w:t>udgår</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41</w:t>
            </w:r>
            <w:r w:rsidRPr="009D2EDD">
              <w:t>(EU) [XXX/XXXX ny Dublinforordning].</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Udgår af hensyn til sammenhængen med bilag om gensidig anerkendelse af asylafgørelser</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244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(43)</w:t>
            </w:r>
            <w:r w:rsidRPr="009D2EDD">
              <w:tab/>
              <w:t>For at forhindre sekundære bevægelser inden for Den Europæiske Union bør personer, der er omfattet af international beskyttelse, hvis det konstateres, at de opholder sig i en anden medlemsstat end den medlemsstat, der har tildelt dem beskyttelse, uden at opfylde betingelserne for ophold eller bopæl, tilbagetages af den ansvarlige medlemsstat i overensstemmelse med den procedure, der er fastlagt ved den nye Dublinforordning</w:t>
            </w:r>
            <w:r w:rsidRPr="009D2EDD">
              <w:rPr>
                <w:rStyle w:val="Sup"/>
                <w:color w:val="auto"/>
              </w:rPr>
              <w:t>41</w:t>
            </w:r>
            <w:r w:rsidRPr="009D2EDD">
              <w:t>.</w:t>
            </w:r>
          </w:p>
        </w:tc>
        <w:tc>
          <w:tcPr>
            <w:tcW w:w="4876" w:type="dxa"/>
          </w:tcPr>
          <w:p w:rsidR="00944CB0" w:rsidRPr="009D2EDD" w:rsidRDefault="001E7D6E">
            <w:pPr>
              <w:pStyle w:val="Normal6"/>
              <w:rPr>
                <w:color w:val="auto"/>
              </w:rPr>
            </w:pPr>
            <w:r w:rsidRPr="009D2EDD">
              <w:rPr>
                <w:color w:val="auto"/>
              </w:rPr>
              <w:t>(43)</w:t>
            </w:r>
            <w:r w:rsidRPr="009D2EDD">
              <w:tab/>
            </w:r>
            <w:r w:rsidRPr="009D2EDD">
              <w:rPr>
                <w:color w:val="auto"/>
              </w:rPr>
              <w:t>personer, som er omfattet af international beskyttelse, hvis det konstateres i en anden medlemsstat end den medlemsstat, der har tildelt dem beskyttelse, uden at opfylde betingelserne for ophold eller bopæl, tilbagetages af den ansvarlige medlemsstat i overensstemmelse med den procedure, der er fastlagt ved forordning</w:t>
            </w:r>
            <w:r w:rsidRPr="009D2EDD">
              <w:rPr>
                <w:rStyle w:val="SupBoldItalic"/>
                <w:color w:val="auto"/>
              </w:rPr>
              <w:t xml:space="preserve"> 41</w:t>
            </w:r>
            <w:r w:rsidRPr="009D2EDD">
              <w:rPr>
                <w:color w:val="auto"/>
              </w:rPr>
              <w:t>.Unaccompanied mindreårige, som er omfattet af international beskyttelse må kun tages tilbage af den ansvarlige medlemsstat i overensstemmelse med den procedure, der er fastsat ved forordning [Dublinforordningen], forudsat at en tværfaglig vurdering af barnets tarv, er det påvist, at dette er i barnets tarv.</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41</w:t>
            </w:r>
            <w:r w:rsidRPr="009D2EDD">
              <w:t>(EU) [XXX/XXXX ny Dublinforordning].</w:t>
            </w:r>
          </w:p>
        </w:tc>
        <w:tc>
          <w:tcPr>
            <w:tcW w:w="4876" w:type="dxa"/>
          </w:tcPr>
          <w:p w:rsidR="00944CB0" w:rsidRPr="009D2EDD" w:rsidRDefault="001E7D6E">
            <w:pPr>
              <w:pStyle w:val="Normal6"/>
              <w:rPr>
                <w:color w:val="auto"/>
              </w:rPr>
            </w:pPr>
            <w:r w:rsidRPr="009D2EDD">
              <w:rPr>
                <w:rStyle w:val="SupBoldItalic"/>
                <w:color w:val="auto"/>
              </w:rPr>
              <w:t>41</w:t>
            </w:r>
            <w:r w:rsidRPr="009D2EDD">
              <w:t xml:space="preserve"> (EU) [XXX/XXXX ny Dublinforordning].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245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(43)</w:t>
            </w:r>
            <w:r w:rsidRPr="009D2EDD">
              <w:tab/>
            </w:r>
            <w:r w:rsidRPr="009D2EDD">
              <w:rPr>
                <w:color w:val="auto"/>
              </w:rPr>
              <w:t>For at forhindre sekundære bevægelser inden for Den Europæiske Union bør personer, der er omfattet af international beskyttelse, hvis det konstateres, at de opholder sig i en anden medlemsstat end den medlemsstat, der har tildelt dem beskyttelse, uden at opfylde betingelserne for ophold eller bopæl, tilbagetages af den ansvarlige medlemsstat i overensstemmelse med den procedure, der er fastlagt ved den nye Dublinforordning</w:t>
            </w:r>
            <w:r w:rsidRPr="009D2EDD">
              <w:rPr>
                <w:rStyle w:val="Sup"/>
                <w:color w:val="auto"/>
              </w:rPr>
              <w:t>41</w:t>
            </w:r>
            <w:r w:rsidRPr="009D2EDD">
              <w:rPr>
                <w:color w:val="auto"/>
              </w:rPr>
              <w:t>.</w:t>
            </w:r>
          </w:p>
        </w:tc>
        <w:tc>
          <w:tcPr>
            <w:tcW w:w="4876" w:type="dxa"/>
          </w:tcPr>
          <w:p w:rsidR="00944CB0" w:rsidRPr="009D2EDD" w:rsidRDefault="001E7D6E">
            <w:pPr>
              <w:pStyle w:val="Normal6"/>
              <w:rPr>
                <w:color w:val="auto"/>
              </w:rPr>
            </w:pPr>
            <w:r w:rsidRPr="009D2EDD">
              <w:rPr>
                <w:color w:val="auto"/>
              </w:rPr>
              <w:t>(43)</w:t>
            </w:r>
            <w:r w:rsidRPr="009D2EDD">
              <w:tab/>
            </w:r>
            <w:r w:rsidRPr="009D2EDD">
              <w:rPr>
                <w:color w:val="auto"/>
              </w:rPr>
              <w:t>For at forhindre sekundære bevægelser inden for Den Europæiske Union, personer, der er omfattet af international beskyttelse, hvis det konstateres i en anden medlemsstat end den medlemsstat, der har tildelt dem beskyttelse, uden at opfylde betingelserne for ophold eller bopæl, tilbagetages og sanktioneret af den ansvarlige medlemsstat i overensstemmelse med den procedure, der er fastsat i regel 41 og denne forordning.</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41</w:t>
            </w:r>
            <w:r w:rsidRPr="009D2EDD">
              <w:t>(EU) [XXX/XXXX ny Dublinforordning].</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246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(43)</w:t>
            </w:r>
            <w:r w:rsidRPr="009D2EDD">
              <w:tab/>
            </w:r>
            <w:r w:rsidRPr="009D2EDD">
              <w:rPr>
                <w:color w:val="auto"/>
              </w:rPr>
              <w:t>For at forhindre sekundære bevægelser inden for Den Europæiske Union bør personer, der er omfattet af international beskyttelse, hvis det konstateres, at de opholder sig i en anden medlemsstat end den medlemsstat, der har tildelt dem beskyttelse, uden at opfylde betingelserne for ophold eller bopæl, tilbagetages af den ansvarlige medlemsstat i overensstemmelse med den procedure, der er fastlagt ved den nye Dublinforordning</w:t>
            </w:r>
            <w:r w:rsidRPr="009D2EDD">
              <w:rPr>
                <w:rStyle w:val="Sup"/>
                <w:color w:val="auto"/>
              </w:rPr>
              <w:t>41</w:t>
            </w:r>
            <w:r w:rsidRPr="009D2EDD">
              <w:rPr>
                <w:color w:val="auto"/>
              </w:rPr>
              <w:t>.</w:t>
            </w:r>
          </w:p>
        </w:tc>
        <w:tc>
          <w:tcPr>
            <w:tcW w:w="4876" w:type="dxa"/>
          </w:tcPr>
          <w:p w:rsidR="00944CB0" w:rsidRPr="009D2EDD" w:rsidRDefault="001E7D6E">
            <w:pPr>
              <w:pStyle w:val="Normal6"/>
              <w:rPr>
                <w:color w:val="auto"/>
              </w:rPr>
            </w:pPr>
            <w:r w:rsidRPr="009D2EDD">
              <w:rPr>
                <w:color w:val="auto"/>
              </w:rPr>
              <w:t>(43)</w:t>
            </w:r>
            <w:r w:rsidRPr="009D2EDD">
              <w:tab/>
            </w:r>
            <w:r w:rsidRPr="009D2EDD">
              <w:rPr>
                <w:color w:val="auto"/>
              </w:rPr>
              <w:t>For at forhindre sekundære bevægelser inden for Den Europæiske Union bør personer, der er omfattet af international beskyttelse, hvis det konstateres, at de opholder sig i en anden medlemsstat end den medlemsstat, der har tildelt dem beskyttelse, uden at opfylde betingelserne for ophold eller bopæl, tilbagetages af den ansvarlige medlemsstat i overensstemmelse med den procedure, der er fastlagt ved den nye Dublinforordning</w:t>
            </w:r>
            <w:r w:rsidRPr="009D2EDD">
              <w:rPr>
                <w:rStyle w:val="Sup"/>
                <w:color w:val="auto"/>
              </w:rPr>
              <w:t>41</w:t>
            </w:r>
            <w:r w:rsidRPr="009D2EDD">
              <w:rPr>
                <w:color w:val="auto"/>
              </w:rPr>
              <w:t>.</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41</w:t>
            </w:r>
            <w:r w:rsidRPr="009D2EDD">
              <w:t>(EU) [XXX/XXXX ny Dublinforordning].</w:t>
            </w:r>
          </w:p>
        </w:tc>
        <w:tc>
          <w:tcPr>
            <w:tcW w:w="4876" w:type="dxa"/>
          </w:tcPr>
          <w:p w:rsidR="00944CB0" w:rsidRPr="009D2EDD" w:rsidRDefault="001E7D6E">
            <w:pPr>
              <w:pStyle w:val="Normal6"/>
              <w:rPr>
                <w:color w:val="auto"/>
              </w:rPr>
            </w:pPr>
            <w:r w:rsidRPr="009D2EDD">
              <w:rPr>
                <w:rStyle w:val="Sup"/>
                <w:color w:val="auto"/>
              </w:rPr>
              <w:t>41</w:t>
            </w:r>
            <w:r w:rsidRPr="009D2EDD">
              <w:t>(EU) [XXX/XXXX ny Dublinforordning].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247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 Jean Lambert</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(44)</w:t>
            </w:r>
            <w:r w:rsidRPr="009D2EDD">
              <w:tab/>
            </w:r>
            <w:r w:rsidRPr="009D2EDD">
              <w:rPr>
                <w:b/>
                <w:i/>
                <w:color w:val="auto"/>
              </w:rPr>
              <w:t>For at forhindre sekundære bevægelser inden for Den Europæiske Union bør direktiv 2003/109/EF om fastboende udlændinge ændres således, at den femårsperiode, efter hvilken personer med international beskyttelse vil kunne opnå status som fastboende udlænding starter forfra, hver gang det konstateres, at den pågældende person opholder sig i en anden medlemsstat end den, der har tildelt international beskyttelse, uden at have ret til ophold eller bopæl dér i overensstemmelse med relevant EU-ret eller national ret.</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Udgår af hensyn til sammenhængen med bilag om gensidig anerkendelse af asylafgørelser</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248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(44)</w:t>
            </w:r>
            <w:r w:rsidRPr="009D2EDD">
              <w:tab/>
            </w:r>
            <w:r w:rsidRPr="009D2EDD">
              <w:rPr>
                <w:b/>
                <w:i/>
                <w:color w:val="auto"/>
              </w:rPr>
              <w:t>For at forhindre sekundære bevægelser inden for Den Europæiske Union bør direktiv 2003/109/EF om fastboende udlændinge ændres således, at den femårsperiode, efter hvilken personer med international beskyttelse vil kunne opnå status som fastboende udlænding starter forfra, hver gang det konstateres, at den pågældende person opholder sig i en anden medlemsstat end den, der har tildelt international beskyttelse, uden at have ret til ophold eller bopæl dér i overensstemmelse med relevant EU-ret eller national ret.</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249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Alessandra Mussolini, Elissavet Vozemberg-Vrionidi, Frank Engel, Barbara Matera, Salvatore Domenico Pogliese, Carlos Coelho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(44)</w:t>
            </w:r>
            <w:r w:rsidRPr="009D2EDD">
              <w:tab/>
            </w:r>
            <w:r w:rsidRPr="009D2EDD">
              <w:rPr>
                <w:color w:val="auto"/>
              </w:rPr>
              <w:t>For at forhindre sekundære bevægelser inden for Den Europæiske Union bør direktiv 2003/109/EF om fastboende udlændinge ændres således, at den femårsperiode, efter hvilken personer med international beskyttelse vil kunne opnå status som fastboende udlænding starter forfra, hver gang det konstateres, at den pågældende person opholder sig i en anden medlemsstat end den, der har tildelt international beskyttelse, uden at have ret til ophold eller bopæl dér i overensstemmelse med relevant EU-ret eller national ret.</w:t>
            </w:r>
          </w:p>
        </w:tc>
        <w:tc>
          <w:tcPr>
            <w:tcW w:w="4876" w:type="dxa"/>
          </w:tcPr>
          <w:p w:rsidR="00944CB0" w:rsidRPr="009D2EDD" w:rsidRDefault="001E7D6E">
            <w:pPr>
              <w:pStyle w:val="Normal6"/>
              <w:rPr>
                <w:color w:val="auto"/>
              </w:rPr>
            </w:pPr>
            <w:r w:rsidRPr="009D2EDD">
              <w:rPr>
                <w:color w:val="auto"/>
              </w:rPr>
              <w:t>(44)</w:t>
            </w:r>
            <w:r w:rsidRPr="009D2EDD">
              <w:tab/>
            </w:r>
            <w:r w:rsidRPr="009D2EDD">
              <w:rPr>
                <w:color w:val="auto"/>
              </w:rPr>
              <w:t xml:space="preserve">For at forhindre sekundære bevægelser inden for Den Europæiske Union bør direktiv 2003/109/EF om fastboende udlændinge ændres således, at den femårsperiode, efter hvilken personer med international beskyttelse vil kunne opnå status som fastboende udlænding starter forfra, hver gang det konstateres, at den pågældende person opholder sig i en anden medlemsstat end den, der har tildelt international beskyttelse, uden at have ret til ophold eller bopæl dér i overensstemmelse med relevant EU-ret eller national ret. </w:t>
            </w:r>
            <w:r w:rsidRPr="009D2EDD">
              <w:rPr>
                <w:b/>
                <w:i/>
                <w:color w:val="auto"/>
              </w:rPr>
              <w:t>Dette bør ikke berøre muligheden for, at modtageren af, hvad international beskyttelse er, skal den relevante myndighed med tilladte begrundelser.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Denne betragtning er tilpasset til det forslag, der blev fremsat i ændringsforslag til art. 44 (1)</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250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Jeroen Lenaers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(44)</w:t>
            </w:r>
            <w:r w:rsidRPr="009D2EDD">
              <w:tab/>
            </w:r>
            <w:r w:rsidRPr="009D2EDD">
              <w:rPr>
                <w:color w:val="auto"/>
              </w:rPr>
              <w:t>For at forhindre sekundære bevægelser inden for Den Europæiske Union bør direktiv 2003/109/EF om fastboende udlændinge ændres således, at den femårsperiode, efter hvilken personer med international beskyttelse vil kunne opnå status som fastboende udlænding starter forfra, hver gang det konstateres, at den pågældende person opholder sig i en anden medlemsstat end den, der har tildelt international beskyttelse, uden at have ret til ophold eller bopæl dér i overensstemmelse med relevant EU-ret eller national ret.</w:t>
            </w:r>
          </w:p>
        </w:tc>
        <w:tc>
          <w:tcPr>
            <w:tcW w:w="4876" w:type="dxa"/>
          </w:tcPr>
          <w:p w:rsidR="00944CB0" w:rsidRPr="009D2EDD" w:rsidRDefault="001E7D6E">
            <w:pPr>
              <w:pStyle w:val="Normal6"/>
              <w:rPr>
                <w:color w:val="auto"/>
              </w:rPr>
            </w:pPr>
            <w:r w:rsidRPr="009D2EDD">
              <w:rPr>
                <w:color w:val="auto"/>
              </w:rPr>
              <w:t>(44)</w:t>
            </w:r>
            <w:r w:rsidRPr="009D2EDD">
              <w:tab/>
            </w:r>
            <w:r w:rsidRPr="009D2EDD">
              <w:rPr>
                <w:color w:val="auto"/>
              </w:rPr>
              <w:t xml:space="preserve">For at forhindre sekundære bevægelser inden for Den Europæiske Union bør direktiv 2003/109/EF om fastboende udlændinge ændres således, at den femårsperiode, efter hvilken personer med international beskyttelse vil kunne opnå status som fastboende udlænding starter forfra, hver gang det konstateres, at den pågældende person opholder sig i en anden medlemsstat end den, der har tildelt international beskyttelse, uden at have ret til ophold eller bopæl dér i overensstemmelse med relevant EU-ret eller national ret. </w:t>
            </w:r>
            <w:r w:rsidRPr="009D2EDD">
              <w:rPr>
                <w:b/>
                <w:i/>
                <w:color w:val="auto"/>
              </w:rPr>
              <w:t>Desuden er perioden på 5 år, efter hvilken personer under international beskyttelse status som fastboende udlænding bør udvides til 7 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251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(45)</w:t>
            </w:r>
            <w:r w:rsidRPr="009D2EDD">
              <w:tab/>
            </w:r>
            <w:r w:rsidRPr="009D2EDD">
              <w:rPr>
                <w:color w:val="auto"/>
              </w:rPr>
              <w:t>Begreberne statens sikkerhed og den offentlige orden omfatter også de tilfælde, hvor en tredjelandsstatsborger er medlem af en sammenslutning, der støtter international terrorisme, eller støtter en sådan sammenslutning.</w:t>
            </w:r>
          </w:p>
        </w:tc>
        <w:tc>
          <w:tcPr>
            <w:tcW w:w="4876" w:type="dxa"/>
          </w:tcPr>
          <w:p w:rsidR="00944CB0" w:rsidRPr="009D2EDD" w:rsidRDefault="001E7D6E">
            <w:pPr>
              <w:pStyle w:val="Normal6"/>
              <w:rPr>
                <w:color w:val="auto"/>
              </w:rPr>
            </w:pPr>
            <w:r w:rsidRPr="009D2EDD">
              <w:rPr>
                <w:color w:val="auto"/>
              </w:rPr>
              <w:t>(45)</w:t>
            </w:r>
            <w:r w:rsidRPr="009D2EDD">
              <w:tab/>
            </w:r>
            <w:r w:rsidRPr="009D2EDD">
              <w:rPr>
                <w:color w:val="auto"/>
              </w:rPr>
              <w:t>Begreberne statens sikkerhed og den offentlige orden kan også omfatte de tilfælde, hvor en tredjelandsstatsborger er medlem af en sammenslutning, der støtter international terrorisme.</w:t>
            </w:r>
            <w:r w:rsidRPr="009D2EDD">
              <w:rPr>
                <w:b/>
                <w:i/>
                <w:color w:val="auto"/>
              </w:rPr>
              <w:t xml:space="preserve"> </w:t>
            </w:r>
            <w:r w:rsidRPr="009D2EDD">
              <w:rPr>
                <w:color w:val="auto"/>
              </w:rPr>
              <w:t>Den omstændighed, at den berørte person var medlem af en sådan organisation, ikke automatisk indebærer, at denne person udelukkes fra flygtningestatus:</w:t>
            </w:r>
            <w:r w:rsidRPr="009D2EDD">
              <w:rPr>
                <w:b/>
                <w:i/>
                <w:color w:val="auto"/>
              </w:rPr>
              <w:t xml:space="preserve"> det skal være muligt at give den pågældende person en del af ansvaret for handlinger, der er begået af den pågældende organisation, mens han var medlem af. Med henblik herpå skal den kompetente myndighed bl.a. undersøge den rolle, som den pågældende i udførelsen af de pågældende retsakter; hans eller hendes stilling i organisationen; omfanget af den viden, som han var eller ansås for at have, af dets aktiviteter; ethvert pres, som han blev udsat for; eller andre faktorer, der med sandsynlighed kan have påvirket dennes adfærd. Denne individuelle ansvar skal vurderes på grundlag af såvel objektive som subjektive kriterier, skal være baseret på dokumenteret bevismateriale og afgørelsen bør være berettigede og står i et rimeligt forhold til de påståede mål. Ansøgerne skal underrettes om grundene til afslag, som ikke må være baseret på mistanker. </w:t>
            </w:r>
            <w:r w:rsidRPr="009D2EDD">
              <w:rPr>
                <w:color w:val="auto"/>
              </w:rPr>
              <w:t>Ansøgere skal have adgang til effektive retsmidler.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Som indeholder dele af Bundesrepublik Deutschland mod B (sag C-57/09) og D (sag C-101/09) dom fra Den Europæiske Unions Domstol,</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252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(45)</w:t>
            </w:r>
            <w:r w:rsidRPr="009D2EDD">
              <w:tab/>
            </w:r>
            <w:r w:rsidRPr="009D2EDD">
              <w:rPr>
                <w:color w:val="auto"/>
              </w:rPr>
              <w:t>Begreberne statens sikkerhed og den offentlige orden omfatter også de tilfælde, hvor en tredjelandsstatsborger er medlem af en sammenslutning, der støtter international terrorisme, eller støtter en sådan sammenslutning.</w:t>
            </w:r>
          </w:p>
        </w:tc>
        <w:tc>
          <w:tcPr>
            <w:tcW w:w="4876" w:type="dxa"/>
          </w:tcPr>
          <w:p w:rsidR="00944CB0" w:rsidRPr="009D2EDD" w:rsidRDefault="001E7D6E">
            <w:pPr>
              <w:pStyle w:val="Normal6"/>
              <w:rPr>
                <w:color w:val="auto"/>
              </w:rPr>
            </w:pPr>
            <w:r w:rsidRPr="009D2EDD">
              <w:rPr>
                <w:color w:val="auto"/>
              </w:rPr>
              <w:t>(45)</w:t>
            </w:r>
            <w:r w:rsidRPr="009D2EDD">
              <w:tab/>
            </w:r>
            <w:r w:rsidRPr="009D2EDD">
              <w:rPr>
                <w:color w:val="auto"/>
              </w:rPr>
              <w:t>Begreberne statens sikkerhed og den offentlige orden omfatter også de tilfælde, hvor en tredjelandsstatsborger er medlem af en sammenslutning, der støtter international terrorisme.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253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 Helga Stevens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(45)</w:t>
            </w:r>
            <w:r w:rsidRPr="009D2EDD">
              <w:tab/>
            </w:r>
            <w:r w:rsidRPr="009D2EDD">
              <w:rPr>
                <w:color w:val="auto"/>
              </w:rPr>
              <w:t>Begreberne statens sikkerhed og den offentlige orden omfatter også de tilfælde, hvor en tredjelandsstatsborger er medlem af en sammenslutning, der støtter international terrorisme, eller støtter en sådan sammenslutning.</w:t>
            </w:r>
          </w:p>
        </w:tc>
        <w:tc>
          <w:tcPr>
            <w:tcW w:w="4876" w:type="dxa"/>
          </w:tcPr>
          <w:p w:rsidR="00944CB0" w:rsidRPr="009D2EDD" w:rsidRDefault="001E7D6E">
            <w:pPr>
              <w:pStyle w:val="Normal6"/>
              <w:rPr>
                <w:color w:val="auto"/>
              </w:rPr>
            </w:pPr>
            <w:r w:rsidRPr="009D2EDD">
              <w:rPr>
                <w:color w:val="auto"/>
              </w:rPr>
              <w:t>(45)</w:t>
            </w:r>
            <w:r w:rsidRPr="009D2EDD">
              <w:tab/>
            </w:r>
            <w:r w:rsidRPr="009D2EDD">
              <w:rPr>
                <w:color w:val="auto"/>
              </w:rPr>
              <w:t>Begreberne statens sikkerhed og den offentlige orden omfatter også de tilfælde, hvor en tredjelandsstatsborger, enten indirekte eller direkte støtter terrorisme eller religiøs radikalisme.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Det er svært og unødvendigt at bevise, at medlemskab af en terrororganisation; det er mere relevant at fokusere på støtte til sådanne fænomener, der underminerer den nationale sikkerhed og offentlige orden.</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254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Alessandra Mussolini, Elissavet Vozemberg-Vrionidi, Frank Engel, Barbara Matera, Salvatore Domenico Pogliese, József Nagy, Emil Radev</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45 a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(45a)</w:t>
            </w:r>
            <w:r w:rsidRPr="009D2EDD">
              <w:tab/>
            </w:r>
            <w:r w:rsidRPr="009D2EDD">
              <w:rPr>
                <w:b/>
                <w:i/>
                <w:color w:val="auto"/>
              </w:rPr>
              <w:t>For det tilfælde, at en person med international beskyttelse eller en ansøger om international beskyttelse, opfylder de betingelser, der er fastsat i art. 33(2) i Genève-konventionen, bør medlemsstaterne have beføjelse til at afgøre, hvorvidt en person tilbage til vedkommendes oprindelsesland, med fuld respekt for Den Europæiske Unions charter om grundlæggende rettigheder, særlig artikel 4 og artikel 19, stk. 2.</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I sag HT (C-373/13) af 24. juni 2015 Domstolen understreger, at den "lov", som den foreligger på nuværende tidspunkt, lader medlemsstaterne bestemme, i tilfælde, hvor en person kan blive refouleret. Trods "non refuolment" -princippet bør respekteres, forekommer det også nødvendigt at give medlemsstaterne mulighed for at fravige det, hvis dette ikke er i modstrid med deres internationale forpligtelser og med hvad der er fastsat i EU's charter om grundlæggende rettigheder.</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255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(46)</w:t>
            </w:r>
            <w:r w:rsidRPr="009D2EDD">
              <w:tab/>
            </w:r>
            <w:r w:rsidRPr="009D2EDD">
              <w:rPr>
                <w:color w:val="auto"/>
              </w:rPr>
              <w:t>Når de kompetente myndigheder træffer afgørelse om, hvorvidt personer er berettigede til de af denne forordning omfattede ydelser, bør de tage behørigt hensyn til barnets tarv samt til de særlige omstændigheder i forbindelse med det afhængighedsforhold til en person med international beskyttelse, som nære slægtninge, der allerede befinder sig i medlemsstaten, og som ikke er familiemedlemmer til den pågældende person, står i. Under usædvanlige omstændigheder, hvor den nære slægtning til personen med international beskyttelse er en gift mindreårig, der dog ikke er ledsaget af sin ægtefælle, kan det være bedst at lade den mindreåriges tarv varetage af vedkommendes oprindelige familie.</w:t>
            </w:r>
          </w:p>
        </w:tc>
        <w:tc>
          <w:tcPr>
            <w:tcW w:w="4876" w:type="dxa"/>
          </w:tcPr>
          <w:p w:rsidR="00944CB0" w:rsidRPr="009D2EDD" w:rsidRDefault="001E7D6E">
            <w:pPr>
              <w:pStyle w:val="Normal6"/>
              <w:rPr>
                <w:color w:val="auto"/>
              </w:rPr>
            </w:pPr>
            <w:r w:rsidRPr="009D2EDD">
              <w:rPr>
                <w:color w:val="auto"/>
              </w:rPr>
              <w:t>(46)</w:t>
            </w:r>
            <w:r w:rsidRPr="009D2EDD">
              <w:tab/>
            </w:r>
            <w:r w:rsidRPr="009D2EDD">
              <w:rPr>
                <w:color w:val="auto"/>
              </w:rPr>
              <w:t>Når de kompetente myndigheder træffer afgørelse om, hvorvidt personer er berettigede til de af dette direktiv omfattede ydelser, bør de tage behørigt hensyn til barnets tarv samt til de særlige omstændigheder i forbindelse med det afhængighedsforhold til en person med international beskyttelse, som nære slægtninge, der allerede befinder sig i medlemsstaten, og som ikke er familiemedlemmer til den pågældende person, står i. Under usædvanlige omstændigheder, hvor den nære slægtning til personen med international beskyttelse er en gift mindreårig, der dog ikke er ledsaget af sin ægtefælle, kan det være bedst at lade den mindreåriges tarv varetage af vedkommendes oprindelige familie.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256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(47)</w:t>
            </w:r>
            <w:r w:rsidRPr="009D2EDD">
              <w:tab/>
            </w:r>
            <w:r w:rsidRPr="009D2EDD">
              <w:rPr>
                <w:b/>
                <w:i/>
                <w:color w:val="auto"/>
              </w:rPr>
              <w:t>Inden for de grænser, som internationale forpligtelser sætter, kræver tildeling af ydelser, for så vidt angår adgang til beskæftigelse og social sikring, forudgående udstedelse af opholdstilladelse.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Ændringsforslaget skal sikre overensstemmelse med tidligere ændringsforslag til artikel 22, stk. 1</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257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(48)</w:t>
            </w:r>
            <w:r w:rsidRPr="009D2EDD">
              <w:tab/>
            </w:r>
            <w:r w:rsidRPr="009D2EDD">
              <w:rPr>
                <w:b/>
                <w:i/>
                <w:color w:val="auto"/>
              </w:rPr>
              <w:t>De kompetente myndigheder kan begrænse adgangen til lønnet beskæftigelse eller selvstændig erhvervsvirksomhed for så vidt angår stillinger, som indebærer udøvelse af offentlig myndighed og varetagelse af ansvar, som skal sikre statens eller de andre offentlige kollektive enheders almene interesser. I forbindelse med udøvelsen af deres ret til ligebehandling med hensyn til medlemskab af en arbejdstagerorganisation eller udøvelse af et bestemt erhverv kan personer med international beskyttelse ligeledes udelukkes fra deltagelse i administration af offentligretlige organer og fra udførelse af offentligretlige hverv.</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258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(48)</w:t>
            </w:r>
            <w:r w:rsidRPr="009D2EDD">
              <w:tab/>
            </w:r>
            <w:r w:rsidRPr="009D2EDD">
              <w:rPr>
                <w:color w:val="auto"/>
              </w:rPr>
              <w:t>De kompetente myndigheder kan begrænse adgangen til lønnet beskæftigelse eller selvstændig erhvervsvirksomhed for så vidt angår stillinger, som indebærer udøvelse af offentlig myndighed og varetagelse af ansvar, som skal sikre statens eller de andre offentlige kollektive enheders almene interesser.</w:t>
            </w:r>
            <w:r w:rsidRPr="009D2EDD">
              <w:rPr>
                <w:b/>
                <w:i/>
                <w:color w:val="auto"/>
              </w:rPr>
              <w:t xml:space="preserve"> I forbindelse med udøvelsen af deres ret til ligebehandling med hensyn til medlemskab af en arbejdstagerorganisation eller udøvelse af et bestemt erhverv kan personer med international beskyttelse ligeledes udelukkes fra deltagelse i administration af offentligretlige organer og fra udførelse af offentligretlige hverv.</w:t>
            </w:r>
          </w:p>
        </w:tc>
        <w:tc>
          <w:tcPr>
            <w:tcW w:w="4876" w:type="dxa"/>
          </w:tcPr>
          <w:p w:rsidR="00944CB0" w:rsidRPr="009D2EDD" w:rsidRDefault="001E7D6E">
            <w:pPr>
              <w:pStyle w:val="Normal6"/>
              <w:rPr>
                <w:color w:val="auto"/>
              </w:rPr>
            </w:pPr>
            <w:r w:rsidRPr="009D2EDD">
              <w:rPr>
                <w:color w:val="auto"/>
              </w:rPr>
              <w:t>(48)</w:t>
            </w:r>
            <w:r w:rsidRPr="009D2EDD">
              <w:tab/>
            </w:r>
            <w:r w:rsidRPr="009D2EDD">
              <w:rPr>
                <w:color w:val="auto"/>
              </w:rPr>
              <w:t>De kompetente myndigheder kan begrænse adgangen til lønnet beskæftigelse eller selvstændig erhvervsvirksomhed for så vidt angår stillinger, som indebærer udøvelse af offentlig myndighed og varetagelse af ansvar, som skal sikre statens eller de andre offentlige kollektive enheders almene interesser.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259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(48)</w:t>
            </w:r>
            <w:r w:rsidRPr="009D2EDD">
              <w:tab/>
            </w:r>
            <w:r w:rsidRPr="009D2EDD">
              <w:rPr>
                <w:color w:val="auto"/>
              </w:rPr>
              <w:t>De kompetente myndigheder kan begrænse adgangen til lønnet beskæftigelse eller selvstændig erhvervsvirksomhed for så vidt angår stillinger, som indebærer udøvelse af offentlig myndighed og varetagelse af ansvar, som skal sikre statens eller de andre offentlige kollektive enheders almene interesser. I forbindelse med udøvelsen af deres ret til ligebehandling med hensyn til medlemskab af en arbejdstagerorganisation eller udøvelse af et bestemt erhverv kan personer med international beskyttelse ligeledes udelukkes fra deltagelse i administration af offentligretlige organer og fra udførelse af offentligretlige hverv.</w:t>
            </w:r>
          </w:p>
        </w:tc>
        <w:tc>
          <w:tcPr>
            <w:tcW w:w="4876" w:type="dxa"/>
          </w:tcPr>
          <w:p w:rsidR="00944CB0" w:rsidRPr="009D2EDD" w:rsidRDefault="001E7D6E">
            <w:pPr>
              <w:pStyle w:val="Normal6"/>
              <w:rPr>
                <w:color w:val="auto"/>
              </w:rPr>
            </w:pPr>
            <w:r w:rsidRPr="009D2EDD">
              <w:rPr>
                <w:color w:val="auto"/>
              </w:rPr>
              <w:t>(48)</w:t>
            </w:r>
            <w:r w:rsidRPr="009D2EDD">
              <w:tab/>
            </w:r>
            <w:r w:rsidRPr="009D2EDD">
              <w:rPr>
                <w:color w:val="auto"/>
              </w:rPr>
              <w:t>De kompetente myndigheder kan begrænse adgangen til lønnet beskæftigelse eller selvstændig erhvervsvirksomhed for så vidt angår stillinger, som indebærer udøvelse af offentlig myndighed og varetagelse af ansvar, som skal sikre statens eller de andre offentlige kollektive enheders almene interesser. I forbindelse med udøvelsen af deres ret til ligebehandling med hensyn til medlemskab af en arbejdstagerorganisation eller udøvelse af et bestemt erhverv kan personer med international beskyttelse ligeledes udelukkes fra deltagelse i administration af offentligretlige organer og fra udførelse af offentligretlige hverv.</w:t>
            </w:r>
            <w:r w:rsidRPr="009D2EDD">
              <w:rPr>
                <w:b/>
                <w:i/>
                <w:color w:val="auto"/>
              </w:rPr>
              <w:t xml:space="preserve"> de kompetente myndigheder kan begrænse adgangen til lønnet beskæftigelse eller selvstændig erhvervsvirksomhed for at undgå ubalancer på arbejdsmarkedet;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260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(49)</w:t>
            </w:r>
            <w:r w:rsidRPr="009D2EDD">
              <w:tab/>
            </w:r>
            <w:r w:rsidRPr="009D2EDD">
              <w:rPr>
                <w:color w:val="auto"/>
              </w:rPr>
              <w:t>For at sikre, at personer med international beskyttelse effektivt kan udnytte de rettigheder og ydelser, der er fastsat i denne forordning, er det nødvendigt, at der tages hensyn til deres særlige behov og de særlige problemer med integration, som de står over for, og lette deres adgang til integrationsrelaterede rettigheder, navnlig adgang til beskæftigelsesrelaterede uddannelsesmuligheder og til erhvervsuddannelse og adgang til procedurer for anerkendelse af udenlandske eksamensbeviser, certifikater og andre kvalifikationsbeviser, særligt på grund af manglende dokumentation, og fordi de ikke er i stand til at dække omkostningerne i forbindelse med anerkendelsesprocedurerne.</w:t>
            </w:r>
          </w:p>
        </w:tc>
        <w:tc>
          <w:tcPr>
            <w:tcW w:w="4876" w:type="dxa"/>
          </w:tcPr>
          <w:p w:rsidR="00944CB0" w:rsidRPr="009D2EDD" w:rsidRDefault="001E7D6E">
            <w:pPr>
              <w:pStyle w:val="Normal6"/>
              <w:rPr>
                <w:color w:val="auto"/>
              </w:rPr>
            </w:pPr>
            <w:r w:rsidRPr="009D2EDD">
              <w:rPr>
                <w:color w:val="auto"/>
              </w:rPr>
              <w:t>(49)</w:t>
            </w:r>
            <w:r w:rsidRPr="009D2EDD">
              <w:tab/>
            </w:r>
            <w:r w:rsidRPr="009D2EDD">
              <w:rPr>
                <w:color w:val="auto"/>
              </w:rPr>
              <w:t xml:space="preserve">For at sikre, at personer med international beskyttelse effektivt kan udnytte de rettigheder og ydelser, der er fastsat i denne forordning, er det nødvendigt, at der tages hensyn til deres særlige behov og de særlige problemer med integration, som de står over for, og lette deres adgang til integrationsrelaterede rettigheder, navnlig adgang til beskæftigelsesrelaterede uddannelsesmuligheder og til erhvervsuddannelse og adgang til procedurer for anerkendelse af udenlandske eksamensbeviser, certifikater og andre kvalifikationsbeviser, særligt på grund af manglende dokumentation, og fordi de ikke er i stand til at dække omkostningerne i forbindelse med anerkendelsesprocedurerne. </w:t>
            </w:r>
            <w:r w:rsidRPr="009D2EDD">
              <w:rPr>
                <w:b/>
                <w:i/>
                <w:color w:val="auto"/>
              </w:rPr>
              <w:t>Som antydet i modtagelsesdirektivet, ved at begrænse modtagerne af international beskyttelse til befolkninger, fratager regeringerne motiverede arbejdstagere, asylansøgere/flygtninge, der er sårbare over for udnyttelse som billig arbejdskraft og gøre integrationsprocessen mere vanskeligt på lang sigt. Hertil kommer, at omkostninger, der er forbundet med at huse asylansøgere er lavere, når de er autoriseret til at have lønnet beskæftigelse. I denne forbindelse tidlig integration på arbejdsmarkedet vil være den bedste løsning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261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 Helga Stevens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(49)</w:t>
            </w:r>
            <w:r w:rsidRPr="009D2EDD">
              <w:tab/>
            </w:r>
            <w:r w:rsidRPr="009D2EDD">
              <w:rPr>
                <w:color w:val="auto"/>
              </w:rPr>
              <w:t>For at sikre, at personer med international beskyttelse effektivt kan udnytte de rettigheder og ydelser, der er fastsat i denne forordning, er det nødvendigt, at der tages hensyn til deres særlige behov og de særlige problemer med integration, som de står over for, og lette deres adgang til integrationsrelaterede rettigheder, navnlig adgang til beskæftigelsesrelaterede uddannelsesmuligheder og til erhvervsuddannelse og adgang til procedurer for anerkendelse af udenlandske eksamensbeviser, certifikater og andre kvalifikationsbeviser, særligt på grund af manglende dokumentation, og fordi de ikke er i stand til at dække omkostningerne i forbindelse med anerkendelsesprocedurerne.</w:t>
            </w:r>
          </w:p>
        </w:tc>
        <w:tc>
          <w:tcPr>
            <w:tcW w:w="4876" w:type="dxa"/>
          </w:tcPr>
          <w:p w:rsidR="00944CB0" w:rsidRPr="009D2EDD" w:rsidRDefault="001E7D6E">
            <w:pPr>
              <w:pStyle w:val="Normal6"/>
              <w:rPr>
                <w:color w:val="auto"/>
              </w:rPr>
            </w:pPr>
            <w:r w:rsidRPr="009D2EDD">
              <w:rPr>
                <w:color w:val="auto"/>
              </w:rPr>
              <w:t>(49)</w:t>
            </w:r>
            <w:r w:rsidRPr="009D2EDD">
              <w:tab/>
            </w:r>
            <w:r w:rsidRPr="009D2EDD">
              <w:rPr>
                <w:color w:val="auto"/>
              </w:rPr>
              <w:t>For at sikre, at personer med international beskyttelse effektivt kan udnytte de rettigheder og ydelser, der er fastsat i denne forordning, er det nødvendigt, at der tages hensyn til deres særlige behov og de særlige problemer med integration, som de står over for, og lette deres adgang til integrationsrelaterede rettigheder.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262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(49)</w:t>
            </w:r>
            <w:r w:rsidRPr="009D2EDD">
              <w:tab/>
            </w:r>
            <w:r w:rsidRPr="009D2EDD">
              <w:rPr>
                <w:color w:val="auto"/>
              </w:rPr>
              <w:t>For at sikre, at personer med international beskyttelse effektivt kan udnytte de rettigheder og ydelser, der er fastsat i denne forordning, er det nødvendigt, at der tages hensyn til deres særlige behov og de særlige problemer med integration, som de står over for, og lette deres adgang til integrationsrelaterede rettigheder, navnlig adgang til beskæftigelsesrelaterede uddannelsesmuligheder og til erhvervsuddannelse og adgang til procedurer for anerkendelse af udenlandske eksamensbeviser, certifikater og andre kvalifikationsbeviser, særligt på grund af manglende dokumentation, og fordi de ikke er i stand til at dække omkostningerne i forbindelse med anerkendelsesprocedurerne.</w:t>
            </w:r>
          </w:p>
        </w:tc>
        <w:tc>
          <w:tcPr>
            <w:tcW w:w="4876" w:type="dxa"/>
          </w:tcPr>
          <w:p w:rsidR="00944CB0" w:rsidRPr="009D2EDD" w:rsidRDefault="001E7D6E">
            <w:pPr>
              <w:pStyle w:val="Normal6"/>
              <w:rPr>
                <w:color w:val="auto"/>
              </w:rPr>
            </w:pPr>
            <w:r w:rsidRPr="009D2EDD">
              <w:rPr>
                <w:color w:val="auto"/>
              </w:rPr>
              <w:t>(49)</w:t>
            </w:r>
            <w:r w:rsidRPr="009D2EDD">
              <w:tab/>
            </w:r>
            <w:r w:rsidRPr="009D2EDD">
              <w:rPr>
                <w:color w:val="auto"/>
              </w:rPr>
              <w:t>For at sikre, at personer med international beskyttelse effektivt kan udnytte de rettigheder og ydelser, der er fastsat i dette direktiv, er det nødvendigt, at der tages hensyn til deres særlige behov og de særlige problemer med integration, som de står over for, og lette deres adgang til integrationsrelaterede rettigheder, navnlig adgang til beskæftigelsesrelaterede uddannelsesmuligheder og til erhvervsuddannelse og adgang til procedurer for anerkendelse af udenlandske eksamensbeviser, certifikater og andre kvalifikationsbeviser, særligt på grund af manglende dokumentation, og fordi de ikke er i stand til at dække omkostningerne i forbindelse med anerkendelsesprocedurerne.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263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49 a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(49a)</w:t>
            </w:r>
            <w:r w:rsidRPr="009D2EDD">
              <w:tab/>
            </w:r>
            <w:r w:rsidRPr="009D2EDD">
              <w:rPr>
                <w:b/>
                <w:i/>
                <w:color w:val="auto"/>
              </w:rPr>
              <w:t>modtagere af international beskyttelse, kan komme med visse ulemper. I sin rapport med titlen "The arbejdsmarkedsrelaterede integration af genbosatte flygtninge", UNHCR anfører, at genbosatte flygtninge enten falder ind under særskilt på arbejdsmarkedet (med lave kvalifikationskrav) eller står over for yderligere hindringer for adgangen til beskæftigelse. Derfor bør der iværksættes strukturerede programmer med forskellige praksisser med henblik på at give lige adgang til arbejdsmarkedet for denne målgruppe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264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49 b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(49b)</w:t>
            </w:r>
            <w:r w:rsidRPr="009D2EDD">
              <w:tab/>
            </w:r>
            <w:r w:rsidRPr="009D2EDD">
              <w:rPr>
                <w:b/>
                <w:i/>
                <w:color w:val="auto"/>
              </w:rPr>
              <w:t>Særlige foranstaltninger bør overvejes med henblik på at finde effektive løsninger på de praktiske problemer, som personer med international beskyttelse kan støde på i forbindelse med bekræftelse af ægtheden af deres udenlandske eksamensbeviser, certifikater og andre kvalifikationsbeviser, særligt på grund af manglende dokumentation, og fordi de ikke er i stand til at betale udgifterne til anerkendelsesprocedurerne.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Dette ændringsforslag genindsætter § 44 i præamblen til direktivet af 2011 med meget små ændringer</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265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49 c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(49c)</w:t>
            </w:r>
            <w:r w:rsidRPr="009D2EDD">
              <w:tab/>
            </w:r>
            <w:r w:rsidRPr="009D2EDD">
              <w:rPr>
                <w:b/>
                <w:i/>
                <w:color w:val="auto"/>
              </w:rPr>
              <w:t>Integration er en tovejsproces, og derfor bør respekt for de værdier, som EU er baseret på, og respekt for de grundlæggende rettigheder, der tilkommer personer med international beskyttelse, være en integrerende del af integrationsprocessen. Integration bør undgå isolering, fremme af inddragelse og deltagelse af alle involverede aktører er afgørende for dens succes. Medlemsstaterne bør på nationalt, regionalt og lokalt plan tilbyde personer med international beskyttelse støtte og lejlighed til at integrere sig og opbygge en tilværelse i deres nye samfund, hvilket bør omfatte indkvartering, alfabetisering og sprogkurser, interkulturel dialog, uddannelse og efteruddannelse samt effektiv adgang til de demokratiske strukturer i samfundet.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266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50</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(50)</w:t>
            </w:r>
            <w:r w:rsidRPr="009D2EDD">
              <w:tab/>
            </w:r>
            <w:r w:rsidRPr="009D2EDD">
              <w:rPr>
                <w:b/>
                <w:i/>
                <w:color w:val="auto"/>
              </w:rPr>
              <w:t>Personer med international beskyttelse bør sikres samme behandling som statsborgerne i den medlemsstat, der har tildelt beskyttelse, for så vidt angår social sikring.</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267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Traian Ungureanu, Artis Pabriks, Kinga Gál, Pál Csáky, Tomáš Zdechovský,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50</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(50)</w:t>
            </w:r>
            <w:r w:rsidRPr="009D2EDD">
              <w:tab/>
            </w:r>
            <w:r w:rsidRPr="009D2EDD">
              <w:rPr>
                <w:b/>
                <w:i/>
                <w:color w:val="auto"/>
              </w:rPr>
              <w:t>Personer med international beskyttelse bør sikres samme behandling som statsborgerne i den medlemsstat, der har tildelt beskyttelse, for så vidt angår social sikring.</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268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Kristina Winberg</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50</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(50)</w:t>
            </w:r>
            <w:r w:rsidRPr="009D2EDD">
              <w:tab/>
            </w:r>
            <w:r w:rsidRPr="009D2EDD">
              <w:rPr>
                <w:b/>
                <w:i/>
                <w:color w:val="auto"/>
              </w:rPr>
              <w:t>Personer med international beskyttelse bør sikres samme behandling som statsborgerne i den medlemsstat, der har tildelt beskyttelse, for så vidt angår social sikring.</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269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50</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(50)</w:t>
            </w:r>
            <w:r w:rsidRPr="009D2EDD">
              <w:tab/>
            </w:r>
            <w:r w:rsidRPr="009D2EDD">
              <w:rPr>
                <w:color w:val="auto"/>
              </w:rPr>
              <w:t>Personer med international beskyttelse bør sikres samme behandling som statsborgerne i den medlemsstat, der har tildelt beskyttelse, for så vidt angår social sikring.</w:t>
            </w:r>
          </w:p>
        </w:tc>
        <w:tc>
          <w:tcPr>
            <w:tcW w:w="4876" w:type="dxa"/>
          </w:tcPr>
          <w:p w:rsidR="00944CB0" w:rsidRPr="009D2EDD" w:rsidRDefault="001E7D6E">
            <w:pPr>
              <w:pStyle w:val="Normal6"/>
              <w:rPr>
                <w:color w:val="auto"/>
              </w:rPr>
            </w:pPr>
            <w:r w:rsidRPr="009D2EDD">
              <w:rPr>
                <w:color w:val="auto"/>
              </w:rPr>
              <w:t>(50)</w:t>
            </w:r>
            <w:r w:rsidRPr="009D2EDD">
              <w:tab/>
            </w:r>
            <w:r w:rsidRPr="009D2EDD">
              <w:rPr>
                <w:color w:val="auto"/>
              </w:rPr>
              <w:t>Personer med international beskyttelse bør sikres samme behandling som statsborgerne i den medlemsstat, der har tildelt beskyttelse, for så vidt angår social sikring og adgang til integrationsprogrammer.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270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Kristina Winberg</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(51)</w:t>
            </w:r>
            <w:r w:rsidRPr="009D2EDD">
              <w:tab/>
            </w:r>
            <w:r w:rsidRPr="009D2EDD">
              <w:rPr>
                <w:b/>
                <w:i/>
                <w:color w:val="auto"/>
              </w:rPr>
              <w:t>Desuden er det især for at undgå social nød hensigtsmæssigt at sikre personer med international beskyttelse social bistand uden forskelsbehandling. Medlemsstaterne bør dog, for så vidt angår personer med subsidiær beskyttelsesstatus, have en vis fleksibilitet til at begrænse sådanne rettigheder til grundydelser forstået således, at de som minimum omfatter mindsteindkomststøtte, bistand i tilfælde af sygdom eller graviditet og bistand til forældre, for så vidt som nævnte ydelser ydes til statsborgere i henhold til national ret. Medlemsstaterne bør for at fremme de enkeltes integration have mulighed for at gøre adgangen til visse typer social bistand, der er fastsat i national ret, for både flygtninge og personer med subsidiær beskyttelsesstatus betinget af, at personer med international beskyttelse effektivt deltager i integrationsforanstaltninger.</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271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(51)</w:t>
            </w:r>
            <w:r w:rsidRPr="009D2EDD">
              <w:tab/>
            </w:r>
            <w:r w:rsidRPr="009D2EDD">
              <w:rPr>
                <w:color w:val="auto"/>
              </w:rPr>
              <w:t>Desuden er det især for at undgå social nød hensigtsmæssigt at sikre personer med international beskyttelse social bistand uden forskelsbehandling.</w:t>
            </w:r>
            <w:r w:rsidRPr="009D2EDD">
              <w:rPr>
                <w:b/>
                <w:i/>
                <w:color w:val="auto"/>
              </w:rPr>
              <w:t xml:space="preserve"> Medlemsstaterne bør dog, for så vidt angår personer med subsidiær beskyttelsesstatus, have en vis fleksibilitet til at begrænse sådanne rettigheder til grundydelser forstået således, at de som minimum omfatter mindsteindkomststøtte, bistand i tilfælde af sygdom eller graviditet og bistand til forældre, for så vidt som nævnte ydelser ydes til statsborgere i henhold til national ret. Medlemsstaterne bør for at fremme de enkeltes integration have mulighed for at gøre adgangen til visse typer social bistand, der er fastsat i national ret, for både flygtninge og personer med subsidiær beskyttelsesstatus betinget af, at personer med international beskyttelse effektivt deltager i integrationsforanstaltninger.</w:t>
            </w:r>
          </w:p>
        </w:tc>
        <w:tc>
          <w:tcPr>
            <w:tcW w:w="4876" w:type="dxa"/>
          </w:tcPr>
          <w:p w:rsidR="00944CB0" w:rsidRPr="009D2EDD" w:rsidRDefault="001E7D6E">
            <w:pPr>
              <w:pStyle w:val="Normal6"/>
              <w:rPr>
                <w:color w:val="auto"/>
              </w:rPr>
            </w:pPr>
            <w:r w:rsidRPr="009D2EDD">
              <w:rPr>
                <w:color w:val="auto"/>
              </w:rPr>
              <w:t>(51)</w:t>
            </w:r>
            <w:r w:rsidRPr="009D2EDD">
              <w:tab/>
            </w:r>
            <w:r w:rsidRPr="009D2EDD">
              <w:rPr>
                <w:color w:val="auto"/>
              </w:rPr>
              <w:t>Desuden er det især for at undgå social nød hensigtsmæssigt at sikre personer med international beskyttelse social bistand uden forskelsbehandling.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Skyggeordføreren er enig med ordføreren i, at det slet ikke er klart, hvorfor personer, der har behov for beskyttelse, og som har opnået subsidiær beskyttelse ikke modtager social bistand, som andre personer, der har behov for international beskyttelse. Der bør ikke være nogen forskelsbehandling af personer, der har behov for international beskyttelse. Dette er både juridisk tvivlsom og administrativt unyttig. Når behovet for beskyttelse er disse personer har alle samme sociale behov i værtslandet.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272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(51)</w:t>
            </w:r>
            <w:r w:rsidRPr="009D2EDD">
              <w:tab/>
            </w:r>
            <w:r w:rsidRPr="009D2EDD">
              <w:rPr>
                <w:color w:val="auto"/>
              </w:rPr>
              <w:t xml:space="preserve">Desuden er det især for at undgå social nød hensigtsmæssigt at sikre personer med international beskyttelse social bistand uden forskelsbehandling. </w:t>
            </w:r>
            <w:r w:rsidRPr="009D2EDD">
              <w:rPr>
                <w:b/>
                <w:i/>
                <w:color w:val="auto"/>
              </w:rPr>
              <w:t xml:space="preserve">Medlemsstaterne bør dog, for så vidt angår personer med subsidiær beskyttelsesstatus, have en vis fleksibilitet til at begrænse sådanne rettigheder til grundydelser forstået således, at de som minimum omfatter mindsteindkomststøtte, bistand i tilfælde af sygdom eller graviditet og bistand til forældre, for så vidt som nævnte ydelser ydes til statsborgere i henhold til national ret. </w:t>
            </w:r>
            <w:r w:rsidRPr="009D2EDD">
              <w:rPr>
                <w:color w:val="auto"/>
              </w:rPr>
              <w:t>Medlemsstaterne bør for at fremme de enkeltes integration have mulighed for at gøre adgangen til visse typer social bistand, der er fastsat i national ret, for både flygtninge og personer med subsidiær beskyttelsesstatus betinget af, at personer med international beskyttelse effektivt deltager i integrationsforanstaltninger.</w:t>
            </w:r>
          </w:p>
        </w:tc>
        <w:tc>
          <w:tcPr>
            <w:tcW w:w="4876" w:type="dxa"/>
          </w:tcPr>
          <w:p w:rsidR="00944CB0" w:rsidRPr="009D2EDD" w:rsidRDefault="001E7D6E">
            <w:pPr>
              <w:pStyle w:val="Normal6"/>
              <w:rPr>
                <w:color w:val="auto"/>
              </w:rPr>
            </w:pPr>
            <w:r w:rsidRPr="009D2EDD">
              <w:rPr>
                <w:color w:val="auto"/>
              </w:rPr>
              <w:t>(51)</w:t>
            </w:r>
            <w:r w:rsidRPr="009D2EDD">
              <w:tab/>
            </w:r>
            <w:r w:rsidRPr="009D2EDD">
              <w:rPr>
                <w:color w:val="auto"/>
              </w:rPr>
              <w:t>Desuden er det især for at undgå social nød hensigtsmæssigt at sikre personer med international beskyttelse social bistand uden forskelsbehandling. Medlemsstaterne bør for at fremme de enkeltes integration have mulighed for at gøre adgangen til visse typer social bistand, der er fastsat i national ret, betinget af, at personer med international beskyttelse effektivt deltager i integrationsforanstaltninger.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273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(51)</w:t>
            </w:r>
            <w:r w:rsidRPr="009D2EDD">
              <w:tab/>
            </w:r>
            <w:r w:rsidRPr="009D2EDD">
              <w:rPr>
                <w:color w:val="auto"/>
              </w:rPr>
              <w:t xml:space="preserve">Desuden er det især for at undgå social nød hensigtsmæssigt at sikre personer med international beskyttelse social bistand uden forskelsbehandling. </w:t>
            </w:r>
            <w:r w:rsidRPr="009D2EDD">
              <w:rPr>
                <w:b/>
                <w:i/>
                <w:color w:val="auto"/>
              </w:rPr>
              <w:t xml:space="preserve">Medlemsstaterne bør dog, for så vidt angår personer med subsidiær beskyttelsesstatus, have en vis fleksibilitet til at begrænse sådanne rettigheder til grundydelser forstået således, at de som minimum omfatter mindsteindkomststøtte, bistand i tilfælde af sygdom eller graviditet og bistand til forældre, for så vidt som nævnte ydelser ydes til statsborgere i henhold til national ret. </w:t>
            </w:r>
            <w:r w:rsidRPr="009D2EDD">
              <w:rPr>
                <w:color w:val="auto"/>
              </w:rPr>
              <w:t>Medlemsstaterne bør for at fremme de enkeltes integration have mulighed for at gøre adgangen til visse typer social bistand, der er fastsat i national ret, for både flygtninge og personer med subsidiær beskyttelsesstatus betinget af, at personer med international beskyttelse effektivt deltager i integrationsforanstaltninger.</w:t>
            </w:r>
          </w:p>
        </w:tc>
        <w:tc>
          <w:tcPr>
            <w:tcW w:w="4876" w:type="dxa"/>
          </w:tcPr>
          <w:p w:rsidR="00944CB0" w:rsidRPr="009D2EDD" w:rsidRDefault="001E7D6E">
            <w:pPr>
              <w:pStyle w:val="Normal6"/>
              <w:rPr>
                <w:color w:val="auto"/>
              </w:rPr>
            </w:pPr>
            <w:r w:rsidRPr="009D2EDD">
              <w:rPr>
                <w:color w:val="auto"/>
              </w:rPr>
              <w:t>(51)</w:t>
            </w:r>
            <w:r w:rsidRPr="009D2EDD">
              <w:tab/>
            </w:r>
            <w:r w:rsidRPr="009D2EDD">
              <w:rPr>
                <w:color w:val="auto"/>
              </w:rPr>
              <w:t>Desuden er det især for at undgå social nød hensigtsmæssigt at sikre personer med international beskyttelse social bistand uden forskelsbehandling. For at fremme deres integration, bør medlemsstaterne sikre en effektiv adgang til visse typer social bistand, der er fastsat i national ret, for både flygtninge og personer under subsidiær beskyttelse.</w:t>
            </w:r>
            <w:r w:rsidRPr="009D2EDD">
              <w:rPr>
                <w:b/>
                <w:i/>
                <w:color w:val="auto"/>
              </w:rPr>
              <w:t xml:space="preserve"> </w:t>
            </w:r>
            <w:r w:rsidRPr="009D2EDD">
              <w:rPr>
                <w:color w:val="auto"/>
              </w:rPr>
              <w:t>Mens retsgrundlaget for beskyttelse kan resultere i en fastlæggelse af status, er der ingen forskel i de materielle behov hos de enkelte beskyttede.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274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 Helga Stevens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(51)</w:t>
            </w:r>
            <w:r w:rsidRPr="009D2EDD">
              <w:tab/>
            </w:r>
            <w:r w:rsidRPr="009D2EDD">
              <w:rPr>
                <w:color w:val="auto"/>
              </w:rPr>
              <w:t>Desuden er det især for at undgå social nød hensigtsmæssigt at sikre personer med international beskyttelse social bistand uden forskelsbehandling.</w:t>
            </w:r>
            <w:r w:rsidRPr="009D2EDD">
              <w:rPr>
                <w:b/>
                <w:i/>
                <w:color w:val="auto"/>
              </w:rPr>
              <w:t xml:space="preserve"> </w:t>
            </w:r>
            <w:r w:rsidRPr="009D2EDD">
              <w:rPr>
                <w:color w:val="auto"/>
              </w:rPr>
              <w:t>Medlemsstaterne bør dog, for så vidt angår personer med subsidiær beskyttelsesstatus, have en vis fleksibilitet til at begrænse sådanne rettigheder til grundydelser forstået således, at de som minimum omfatter mindsteindkomststøtte, bistand i tilfælde af sygdom eller graviditet og bistand til forældre, for så vidt som nævnte ydelser ydes til statsborgere i henhold til national ret. Medlemsstaterne bør for at fremme de enkeltes integration have mulighed for at gøre adgangen til visse typer social bistand, der er fastsat i national ret, for både flygtninge og personer med subsidiær beskyttelsesstatus betinget af, at personer med international beskyttelse effektivt deltager i integrationsforanstaltninger.</w:t>
            </w:r>
          </w:p>
        </w:tc>
        <w:tc>
          <w:tcPr>
            <w:tcW w:w="4876" w:type="dxa"/>
          </w:tcPr>
          <w:p w:rsidR="00944CB0" w:rsidRPr="009D2EDD" w:rsidRDefault="001E7D6E">
            <w:pPr>
              <w:pStyle w:val="Normal6"/>
              <w:rPr>
                <w:color w:val="auto"/>
              </w:rPr>
            </w:pPr>
            <w:r w:rsidRPr="009D2EDD">
              <w:rPr>
                <w:color w:val="auto"/>
              </w:rPr>
              <w:t>(51)</w:t>
            </w:r>
            <w:r w:rsidRPr="009D2EDD">
              <w:tab/>
            </w:r>
            <w:r w:rsidRPr="009D2EDD">
              <w:rPr>
                <w:color w:val="auto"/>
              </w:rPr>
              <w:t>Desuden er det især for at undgå social nød hensigtsmæssigt at sikre personer med international beskyttelse og deres familiemedlemmer inden for rammerne af denne forordning med social bistand.</w:t>
            </w:r>
            <w:r w:rsidRPr="009D2EDD">
              <w:rPr>
                <w:b/>
                <w:i/>
                <w:color w:val="auto"/>
              </w:rPr>
              <w:t xml:space="preserve"> </w:t>
            </w:r>
            <w:r w:rsidRPr="009D2EDD">
              <w:rPr>
                <w:color w:val="auto"/>
              </w:rPr>
              <w:t>Medlemsstaterne bør dog have bred fleksibilitet til at begrænse sådanne rettigheder. For at fremme deres integration, bør medlemsstaterne gøre adgangen til visse typer social bistand betinget af en effektiv og vellykket deltagelse af personen under international beskyttelse og dennes familiemedlemmer i integrationsforanstaltninger.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275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(51)</w:t>
            </w:r>
            <w:r w:rsidRPr="009D2EDD">
              <w:tab/>
            </w:r>
            <w:r w:rsidRPr="009D2EDD">
              <w:rPr>
                <w:color w:val="auto"/>
              </w:rPr>
              <w:t>Desuden er det især for at undgå social nød hensigtsmæssigt at sikre personer med international beskyttelse social bistand uden forskelsbehandling. Medlemsstaterne bør dog, for så vidt angår personer med subsidiær beskyttelsesstatus, have en vis fleksibilitet til at begrænse sådanne rettigheder til grundydelser forstået således, at de som minimum omfatter mindsteindkomststøtte, bistand i tilfælde af sygdom eller graviditet og bistand til forældre, for så vidt som nævnte ydelser ydes til statsborgere i henhold til national ret. Medlemsstaterne bør for at fremme de enkeltes integration have mulighed for at gøre adgangen til visse typer social bistand, der er fastsat i national ret, for både flygtninge og personer med subsidiær beskyttelsesstatus betinget af, at personer med international beskyttelse effektivt deltager i integrationsforanstaltninger.</w:t>
            </w:r>
          </w:p>
        </w:tc>
        <w:tc>
          <w:tcPr>
            <w:tcW w:w="4876" w:type="dxa"/>
          </w:tcPr>
          <w:p w:rsidR="00944CB0" w:rsidRPr="009D2EDD" w:rsidRDefault="001E7D6E">
            <w:pPr>
              <w:pStyle w:val="Normal6"/>
              <w:rPr>
                <w:color w:val="auto"/>
              </w:rPr>
            </w:pPr>
            <w:r w:rsidRPr="009D2EDD">
              <w:rPr>
                <w:color w:val="auto"/>
              </w:rPr>
              <w:t>(51)</w:t>
            </w:r>
            <w:r w:rsidRPr="009D2EDD">
              <w:tab/>
            </w:r>
            <w:r w:rsidRPr="009D2EDD">
              <w:rPr>
                <w:color w:val="auto"/>
              </w:rPr>
              <w:t>Desuden er det især for at undgå social nød hensigtsmæssigt at sikre personer med international beskyttelse social bistand uden forskelsbehandling. Medlemsstaterne bør dog, for så vidt angår personer med subsidiær beskyttelsesstatus, have en vis fleksibilitet til at begrænse sådanne rettigheder til grundydelser forstået således, at de som minimum omfatter mindsteindkomststøtte, bistand i tilfælde af sygdom eller graviditet, adgang til seksuel og reproduktiv sundhed og bistand til forældre, for så vidt som nævnte ydelser ydes til statsborgere i henhold til national ret. Medlemsstaterne bør for at fremme de enkeltes integration have mulighed for at gøre adgangen til visse typer social bistand, der er fastsat i national ret, for både flygtninge og personer med subsidiær beskyttelsesstatus betinget af, at personer med international beskyttelse effektivt deltager i integrationsforanstaltninger.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276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51 a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(51a)</w:t>
            </w:r>
            <w:r w:rsidRPr="009D2EDD">
              <w:tab/>
            </w:r>
            <w:r w:rsidRPr="009D2EDD">
              <w:rPr>
                <w:b/>
                <w:i/>
                <w:color w:val="auto"/>
              </w:rPr>
              <w:t>I de integrationsprogrammer, der stilles til rådighed for personer og personer international beskyttelsesstatus, bør der så vidt muligt tages hensyn til deres særlige behov og til de særlige omstændigheder ved deres situation, herunder om nødvendigt gennem sprogundervisning og meddelelse af oplysninger om individuelle rettigheder og forpligtelser vedrørende deres beskyttelsesstatus i den pågældende medlemsstat.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Dette ændringsforslag re-incorporates § 47 i præamblen til direktivet af 2011</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277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(52)</w:t>
            </w:r>
            <w:r w:rsidRPr="009D2EDD">
              <w:tab/>
            </w:r>
            <w:r w:rsidRPr="009D2EDD">
              <w:rPr>
                <w:color w:val="auto"/>
              </w:rPr>
              <w:t>Personer med international beskyttelse bør have adgang til lægehjælp, herunder både fysisk og psykisk behandling.</w:t>
            </w:r>
          </w:p>
        </w:tc>
        <w:tc>
          <w:tcPr>
            <w:tcW w:w="4876" w:type="dxa"/>
          </w:tcPr>
          <w:p w:rsidR="00944CB0" w:rsidRPr="009D2EDD" w:rsidRDefault="001E7D6E">
            <w:pPr>
              <w:pStyle w:val="Normal6"/>
              <w:rPr>
                <w:color w:val="auto"/>
              </w:rPr>
            </w:pPr>
            <w:r w:rsidRPr="009D2EDD">
              <w:rPr>
                <w:color w:val="auto"/>
              </w:rPr>
              <w:t>(52)</w:t>
            </w:r>
            <w:r w:rsidRPr="009D2EDD">
              <w:tab/>
            </w:r>
            <w:r w:rsidRPr="009D2EDD">
              <w:rPr>
                <w:color w:val="auto"/>
              </w:rPr>
              <w:t>Adgang til lægehjælp, herunder både fysisk og psykisk sundhed, herunder seksuel og reproduktiv sundhedspleje, bør sikres for personer under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278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Kinga Gál, Pál Csáky</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(52)</w:t>
            </w:r>
            <w:r w:rsidRPr="009D2EDD">
              <w:tab/>
            </w:r>
            <w:r w:rsidRPr="009D2EDD">
              <w:rPr>
                <w:color w:val="auto"/>
              </w:rPr>
              <w:t>Personer med international beskyttelse bør have adgang til lægehjælp, herunder både fysisk og psykisk behandling.</w:t>
            </w:r>
          </w:p>
        </w:tc>
        <w:tc>
          <w:tcPr>
            <w:tcW w:w="4876" w:type="dxa"/>
          </w:tcPr>
          <w:p w:rsidR="00944CB0" w:rsidRPr="009D2EDD" w:rsidRDefault="001E7D6E">
            <w:pPr>
              <w:pStyle w:val="Normal6"/>
              <w:rPr>
                <w:color w:val="auto"/>
              </w:rPr>
            </w:pPr>
            <w:r w:rsidRPr="009D2EDD">
              <w:rPr>
                <w:color w:val="auto"/>
              </w:rPr>
              <w:t>(52)</w:t>
            </w:r>
            <w:r w:rsidRPr="009D2EDD">
              <w:tab/>
            </w:r>
            <w:r w:rsidRPr="009D2EDD">
              <w:rPr>
                <w:color w:val="auto"/>
              </w:rPr>
              <w:t>Personer med international beskyttelse bør have adgang til grundlæggende lægehjælp, herunder både fysisk og psykisk behandling.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279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52 a (ny)</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(52a)</w:t>
            </w:r>
            <w:r w:rsidRPr="009D2EDD">
              <w:tab/>
            </w:r>
            <w:r w:rsidRPr="009D2EDD">
              <w:rPr>
                <w:b/>
                <w:i/>
                <w:color w:val="auto"/>
              </w:rPr>
              <w:t>Personer med international beskyttelse bør have adgang til varer og tjenesteydelser og levering af alment tilgængelige varer og tjenesteydelser, herunder informations- og rådgivningstjenester på arbejdsformidlingskontorerne.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Skyggeordføreren er enig med ordføreren i, at formuleringen af denne betragtning er rettet ind efter den formulering, som Kommissionen har foreslået i ligebehandlingsbestemmelser i instrumenter om lovlig migration (navnlig revisionen af det blå EU-kort). Betragtningerne kommer til udtryk i henholdsvis artikel 30 og 35.</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280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(53)</w:t>
            </w:r>
            <w:r w:rsidRPr="009D2EDD">
              <w:tab/>
            </w:r>
            <w:r w:rsidRPr="009D2EDD">
              <w:rPr>
                <w:color w:val="auto"/>
              </w:rPr>
              <w:t>Med henblik på at lette integrationen af personer med international beskyttelse i samfundet skal disse have adgang til integrationsforanstaltninger, for hvilke de nærmere bestemmelser fastsættes af medlemsstaterne. Medlemsstaterne kan gøre deltagelsen i sådanne integrationsforanstaltninger, såsom sprogkurser, integrationskurser, erhvervsuddannelse og andre beskæftigelsesrelaterede kurser, obligatorisk.</w:t>
            </w:r>
          </w:p>
        </w:tc>
        <w:tc>
          <w:tcPr>
            <w:tcW w:w="4876" w:type="dxa"/>
          </w:tcPr>
          <w:p w:rsidR="00944CB0" w:rsidRPr="009D2EDD" w:rsidRDefault="001E7D6E">
            <w:pPr>
              <w:pStyle w:val="Normal6"/>
              <w:rPr>
                <w:color w:val="auto"/>
              </w:rPr>
            </w:pPr>
            <w:r w:rsidRPr="009D2EDD">
              <w:rPr>
                <w:color w:val="auto"/>
              </w:rPr>
              <w:t>(53)</w:t>
            </w:r>
            <w:r w:rsidRPr="009D2EDD">
              <w:tab/>
            </w:r>
            <w:r w:rsidRPr="009D2EDD">
              <w:rPr>
                <w:color w:val="auto"/>
              </w:rPr>
              <w:t>Med henblik på at lette integrationen af personer med international beskyttelse i samfundet skal disse have adgang til integrationsforanstaltninger, for hvilke de nærmere bestemmelser fastsættes af medlemsstaterne. Medlemsstaterne kan gøre deltagelsen i sådanne integrationsforanstaltninger, såsom sprogkurser, integrationskurser, erhvervsuddannelse og andre beskæftigelsesrelaterede kurser, obligatorisk, forudsat at de reelt er gratis og lettilgængelig, og at de tager hensyn til de særlige behov hos personer med international beskyttelsesstatus.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281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Jeroen Lenaers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(53)</w:t>
            </w:r>
            <w:r w:rsidRPr="009D2EDD">
              <w:tab/>
            </w:r>
            <w:r w:rsidRPr="009D2EDD">
              <w:rPr>
                <w:color w:val="auto"/>
              </w:rPr>
              <w:t>Med henblik på at lette integrationen af personer med international beskyttelse i samfundet skal disse have adgang til integrationsforanstaltninger, for hvilke de nærmere bestemmelser fastsættes af medlemsstaterne. Medlemsstaterne kan gøre deltagelsen i sådanne integrationsforanstaltninger, såsom sprogkurser, integrationskurser, erhvervsuddannelse og andre beskæftigelsesrelaterede kurser, obligatorisk.</w:t>
            </w:r>
          </w:p>
        </w:tc>
        <w:tc>
          <w:tcPr>
            <w:tcW w:w="4876" w:type="dxa"/>
          </w:tcPr>
          <w:p w:rsidR="00944CB0" w:rsidRPr="009D2EDD" w:rsidRDefault="001E7D6E">
            <w:pPr>
              <w:pStyle w:val="Normal6"/>
              <w:rPr>
                <w:color w:val="auto"/>
              </w:rPr>
            </w:pPr>
            <w:r w:rsidRPr="009D2EDD">
              <w:rPr>
                <w:color w:val="auto"/>
              </w:rPr>
              <w:t>(53)</w:t>
            </w:r>
            <w:r w:rsidRPr="009D2EDD">
              <w:tab/>
            </w:r>
            <w:r w:rsidRPr="009D2EDD">
              <w:rPr>
                <w:color w:val="auto"/>
              </w:rPr>
              <w:t xml:space="preserve">Med henblik på at lette integrationen af personer med international beskyttelse i samfundet skal disse have adgang til integrationsforanstaltninger, for hvilke de nærmere bestemmelser fastsættes af medlemsstaterne. Medlemsstaterne kan gøre deltagelsen i sådanne integrationsforanstaltninger, såsom sprogkurser, integrationskurser, erhvervsuddannelse og andre beskæftigelsesrelaterede kurser, obligatorisk. </w:t>
            </w:r>
            <w:r w:rsidRPr="009D2EDD">
              <w:rPr>
                <w:b/>
                <w:i/>
                <w:color w:val="auto"/>
              </w:rPr>
              <w:t>Fortsat afviser at integrere sig aktivt kan som en sidste udvej føre til ophør af retten til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282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(53)</w:t>
            </w:r>
            <w:r w:rsidRPr="009D2EDD">
              <w:tab/>
            </w:r>
            <w:r w:rsidRPr="009D2EDD">
              <w:rPr>
                <w:color w:val="auto"/>
              </w:rPr>
              <w:t>Med henblik på at lette integrationen af personer med international beskyttelse i samfundet skal disse have adgang til integrationsforanstaltninger, for hvilke de nærmere bestemmelser fastsættes af medlemsstaterne. Medlemsstaterne kan gøre deltagelsen i sådanne integrationsforanstaltninger, såsom sprogkurser, integrationskurser, erhvervsuddannelse og andre beskæftigelsesrelaterede kurser, obligatorisk.</w:t>
            </w:r>
          </w:p>
        </w:tc>
        <w:tc>
          <w:tcPr>
            <w:tcW w:w="4876" w:type="dxa"/>
          </w:tcPr>
          <w:p w:rsidR="00944CB0" w:rsidRPr="009D2EDD" w:rsidRDefault="001E7D6E">
            <w:pPr>
              <w:pStyle w:val="Normal6"/>
              <w:rPr>
                <w:color w:val="auto"/>
              </w:rPr>
            </w:pPr>
            <w:r w:rsidRPr="009D2EDD">
              <w:rPr>
                <w:color w:val="auto"/>
              </w:rPr>
              <w:t>(53)</w:t>
            </w:r>
            <w:r w:rsidRPr="009D2EDD">
              <w:tab/>
            </w:r>
            <w:r w:rsidRPr="009D2EDD">
              <w:rPr>
                <w:color w:val="auto"/>
              </w:rPr>
              <w:t>Med henblik på at lette integrationen af personer med international beskyttelse i samfundet kan disse have adgang til integrationsforanstaltninger, for hvilke de nærmere bestemmelser fastsættes af medlemsstaterne. Medlemsstaterne kan gøre deltagelsen i sådanne integrationsforanstaltninger, som den finder egnede, såsom sprogkurser, integrationskurser, erhvervsuddannelse og andre beskæftigelsesrelaterede kurser, obligatorisk.</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283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(53)</w:t>
            </w:r>
            <w:r w:rsidRPr="009D2EDD">
              <w:tab/>
            </w:r>
            <w:r w:rsidRPr="009D2EDD">
              <w:rPr>
                <w:color w:val="auto"/>
              </w:rPr>
              <w:t>Med henblik på at lette integrationen af personer med international beskyttelse i samfundet skal disse have adgang til integrationsforanstaltninger, for hvilke de nærmere bestemmelser fastsættes af medlemsstaterne. Medlemsstaterne kan gøre deltagelsen i sådanne integrationsforanstaltninger, såsom sprogkurser, integrationskurser, erhvervsuddannelse og andre beskæftigelsesrelaterede kurser, obligatorisk.</w:t>
            </w:r>
          </w:p>
        </w:tc>
        <w:tc>
          <w:tcPr>
            <w:tcW w:w="4876" w:type="dxa"/>
          </w:tcPr>
          <w:p w:rsidR="00944CB0" w:rsidRPr="009D2EDD" w:rsidRDefault="001E7D6E">
            <w:pPr>
              <w:pStyle w:val="Normal6"/>
              <w:rPr>
                <w:color w:val="auto"/>
              </w:rPr>
            </w:pPr>
            <w:r w:rsidRPr="009D2EDD">
              <w:rPr>
                <w:color w:val="auto"/>
              </w:rPr>
              <w:t>(53)</w:t>
            </w:r>
            <w:r w:rsidRPr="009D2EDD">
              <w:tab/>
            </w:r>
            <w:r w:rsidRPr="009D2EDD">
              <w:rPr>
                <w:color w:val="auto"/>
              </w:rPr>
              <w:t>Med henblik på at lette integrationen af personer med international beskyttelse i samfundet skal disse have adgang til integrationsforanstaltninger, for hvilke de nærmere bestemmelser fastsættes af medlemsstaterne. Medlemsstaterne skal gøre deltagelsen i sådanne integrationsforanstaltninger, såsom sprogkurser og integrationskurser, obligatorisk.</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284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(53)</w:t>
            </w:r>
            <w:r w:rsidRPr="009D2EDD">
              <w:tab/>
            </w:r>
            <w:r w:rsidRPr="009D2EDD">
              <w:rPr>
                <w:color w:val="auto"/>
              </w:rPr>
              <w:t>Med henblik på at lette integrationen af personer med international beskyttelse i samfundet skal disse have adgang til integrationsforanstaltninger, for hvilke de nærmere bestemmelser fastsættes af medlemsstaterne.</w:t>
            </w:r>
            <w:r w:rsidRPr="009D2EDD">
              <w:rPr>
                <w:b/>
                <w:i/>
                <w:color w:val="auto"/>
              </w:rPr>
              <w:t xml:space="preserve"> </w:t>
            </w:r>
            <w:r w:rsidRPr="009D2EDD">
              <w:rPr>
                <w:color w:val="auto"/>
              </w:rPr>
              <w:t>Medlemsstaterne kan gøre deltagelsen i sådanne integrationsforanstaltninger, såsom sprogkurser, integrationskurser, erhvervsuddannelse og andre beskæftigelsesrelaterede kurser, obligatorisk.</w:t>
            </w:r>
          </w:p>
        </w:tc>
        <w:tc>
          <w:tcPr>
            <w:tcW w:w="4876" w:type="dxa"/>
          </w:tcPr>
          <w:p w:rsidR="00944CB0" w:rsidRPr="009D2EDD" w:rsidRDefault="001E7D6E">
            <w:pPr>
              <w:pStyle w:val="Normal6"/>
              <w:rPr>
                <w:color w:val="auto"/>
              </w:rPr>
            </w:pPr>
            <w:r w:rsidRPr="009D2EDD">
              <w:rPr>
                <w:color w:val="auto"/>
              </w:rPr>
              <w:t>(53)</w:t>
            </w:r>
            <w:r w:rsidRPr="009D2EDD">
              <w:tab/>
            </w:r>
            <w:r w:rsidRPr="009D2EDD">
              <w:rPr>
                <w:color w:val="auto"/>
              </w:rPr>
              <w:t>For at lette integrationen af personer med international beskyttelse i samfundet skal disse have adgang til integrationsforanstaltninger, såsom sprogkurser, integrationskurser, erhvervsuddannelse og andre beskæftigelsesrelaterede kurser, som skal være lettilgængelige, tilgængelige, gratis og børnepasning skal stilles til rådighed.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285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(53)</w:t>
            </w:r>
            <w:r w:rsidRPr="009D2EDD">
              <w:tab/>
            </w:r>
            <w:r w:rsidRPr="009D2EDD">
              <w:rPr>
                <w:color w:val="auto"/>
              </w:rPr>
              <w:t>Med henblik på at lette integrationen af personer med international beskyttelse i samfundet skal disse have adgang til integrationsforanstaltninger, for hvilke de nærmere bestemmelser fastsættes af medlemsstaterne. Medlemsstaterne kan gøre deltagelsen i sådanne integrationsforanstaltninger, såsom sprogkurser, integrationskurser, erhvervsuddannelse og andre beskæftigelsesrelaterede kurser, obligatorisk.</w:t>
            </w:r>
          </w:p>
        </w:tc>
        <w:tc>
          <w:tcPr>
            <w:tcW w:w="4876" w:type="dxa"/>
          </w:tcPr>
          <w:p w:rsidR="00944CB0" w:rsidRPr="009D2EDD" w:rsidRDefault="001E7D6E">
            <w:pPr>
              <w:pStyle w:val="Normal6"/>
              <w:rPr>
                <w:color w:val="auto"/>
              </w:rPr>
            </w:pPr>
            <w:r w:rsidRPr="009D2EDD">
              <w:rPr>
                <w:color w:val="auto"/>
              </w:rPr>
              <w:t>(53)</w:t>
            </w:r>
            <w:r w:rsidRPr="009D2EDD">
              <w:tab/>
            </w:r>
            <w:r w:rsidRPr="009D2EDD">
              <w:rPr>
                <w:color w:val="auto"/>
              </w:rPr>
              <w:t xml:space="preserve">Med henblik på at lette integrationen af personer med international beskyttelse i samfundet skal disse </w:t>
            </w:r>
            <w:r w:rsidR="00AA4696" w:rsidRPr="009D2EDD">
              <w:rPr>
                <w:color w:val="auto"/>
              </w:rPr>
              <w:t>have fri</w:t>
            </w:r>
            <w:r w:rsidRPr="009D2EDD">
              <w:rPr>
                <w:color w:val="auto"/>
              </w:rPr>
              <w:t xml:space="preserve"> og reel adgang til integrationsforanstaltninger, for hvilke de nærmere bestemmelser fastsættes af medlemsstaterne. Det må erkendes, at ikke alle personer med international beskyttelse kan være i stand til at deltage i integrationsforanstaltninger som følge af traumer, de har lidt.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286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Traian Ungureanu, Artis Pabriks, Kinga Gál, Pál Csáky, Tomáš Zdechovský,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(53)</w:t>
            </w:r>
            <w:r w:rsidRPr="009D2EDD">
              <w:tab/>
            </w:r>
            <w:r w:rsidRPr="009D2EDD">
              <w:rPr>
                <w:color w:val="auto"/>
              </w:rPr>
              <w:t>Med henblik på at lette integrationen af personer med international beskyttelse i samfundet skal disse have adgang til integrationsforanstaltninger, for hvilke de nærmere bestemmelser fastsættes af medlemsstaterne. Medlemsstaterne kan gøre deltagelsen i sådanne integrationsforanstaltninger, såsom sprogkurser, integrationskurser, erhvervsuddannelse og andre beskæftigelsesrelaterede kurser, obligatorisk.</w:t>
            </w:r>
          </w:p>
        </w:tc>
        <w:tc>
          <w:tcPr>
            <w:tcW w:w="4876" w:type="dxa"/>
          </w:tcPr>
          <w:p w:rsidR="00944CB0" w:rsidRPr="009D2EDD" w:rsidRDefault="001E7D6E">
            <w:pPr>
              <w:pStyle w:val="Normal6"/>
              <w:rPr>
                <w:color w:val="auto"/>
              </w:rPr>
            </w:pPr>
            <w:r w:rsidRPr="009D2EDD">
              <w:rPr>
                <w:color w:val="auto"/>
              </w:rPr>
              <w:t>(53)</w:t>
            </w:r>
            <w:r w:rsidRPr="009D2EDD">
              <w:tab/>
            </w:r>
            <w:r w:rsidRPr="009D2EDD">
              <w:rPr>
                <w:color w:val="auto"/>
              </w:rPr>
              <w:t>Med henblik på at lette integrationen af personer med international beskyttelse i samfundet skal disse have adgang til integrationsforanstaltninger, for hvilke de nærmere bestemmelser fastsættes af medlemsstaterne. Medlemsstaterne kan gøre deltagelsen i sådanne integrationsforanstaltninger, såsom sprogkurser, integrationskurser, erhvervsuddannelse og andre beskæftigelsesrelaterede kurser, obligatorisk.</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287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(54)</w:t>
            </w:r>
            <w:r w:rsidRPr="009D2EDD">
              <w:tab/>
            </w:r>
            <w:r w:rsidRPr="009D2EDD">
              <w:rPr>
                <w:color w:val="auto"/>
              </w:rPr>
              <w:t>For at sikre et effektivt tilsyn med anvendelsen af denne forordning er det nødvendigt, at der foretages regelmæssige evalueringer.</w:t>
            </w:r>
          </w:p>
        </w:tc>
        <w:tc>
          <w:tcPr>
            <w:tcW w:w="4876" w:type="dxa"/>
          </w:tcPr>
          <w:p w:rsidR="00944CB0" w:rsidRPr="009D2EDD" w:rsidRDefault="001E7D6E">
            <w:pPr>
              <w:pStyle w:val="Normal6"/>
              <w:rPr>
                <w:color w:val="auto"/>
              </w:rPr>
            </w:pPr>
            <w:r w:rsidRPr="009D2EDD">
              <w:rPr>
                <w:color w:val="auto"/>
              </w:rPr>
              <w:t>(54)</w:t>
            </w:r>
            <w:r w:rsidRPr="009D2EDD">
              <w:tab/>
            </w:r>
            <w:r w:rsidRPr="009D2EDD">
              <w:rPr>
                <w:color w:val="auto"/>
              </w:rPr>
              <w:t>Anvendelsen af denne forordning bør evalueres regelmæssigt, navnlig under hensyn til udviklingen i medlemsstaternes internationale forpligtelser for så vidt angår non-refoulement, udviklingen på arbejdsmarkedet i medlemsstaterne samt udarbejdelsen af fælles grundprincipper for integration.</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BE74C3">
      <w:pPr>
        <w:pStyle w:val="Normal12Italic"/>
      </w:pPr>
      <w:r w:rsidRPr="009D2EDD">
        <w:t>Dette ændringsforslag re-incorporates 2011Directive § 48 fremgår det, at: "Gennemførelsen af dette direktiv bør evalueres regelmæssigt, navnlig under hensyn til udviklingen i medlemsstaternes internationale forpligtelser for så vidt angår non-refoulement, udviklingen på arbejdsmarkedet i medlemsstaterne samt udarbejdelsen af fælles grundprincipper for integration."</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288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(54)</w:t>
            </w:r>
            <w:r w:rsidRPr="009D2EDD">
              <w:tab/>
            </w:r>
            <w:r w:rsidRPr="009D2EDD">
              <w:rPr>
                <w:color w:val="auto"/>
              </w:rPr>
              <w:t>For at sikre et effektivt tilsyn med anvendelsen af denne forordning er det nødvendigt, at der foretages regelmæssige evalueringer.</w:t>
            </w:r>
          </w:p>
        </w:tc>
        <w:tc>
          <w:tcPr>
            <w:tcW w:w="4876" w:type="dxa"/>
          </w:tcPr>
          <w:p w:rsidR="00944CB0" w:rsidRPr="009D2EDD" w:rsidRDefault="001E7D6E">
            <w:pPr>
              <w:pStyle w:val="Normal6"/>
              <w:rPr>
                <w:color w:val="auto"/>
              </w:rPr>
            </w:pPr>
            <w:r w:rsidRPr="009D2EDD">
              <w:rPr>
                <w:color w:val="auto"/>
              </w:rPr>
              <w:t>(54)</w:t>
            </w:r>
            <w:r w:rsidRPr="009D2EDD">
              <w:tab/>
            </w:r>
            <w:r w:rsidRPr="009D2EDD">
              <w:rPr>
                <w:color w:val="auto"/>
              </w:rPr>
              <w:t>En effektiv overvågning af gennemførelsen og anvendelsen af dette direktiv kræver, at den evalueres med jævne mellemrum.</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289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(55)</w:t>
            </w:r>
            <w:r w:rsidRPr="009D2EDD">
              <w:tab/>
            </w:r>
            <w:r w:rsidRPr="009D2EDD">
              <w:rPr>
                <w:color w:val="auto"/>
              </w:rPr>
              <w:t>For at sikre ensartede betingelser for gennemførelsen af bestemmelserne i denne forordning med hensyn til form og indhold af de oplysninger, der skal tilvejebringes, bør Kommissionen tillægges gennemførelsesbeføjelser. Disse beføjelser bør udøves i overensstemmelse med Europa-Parlamentets og Rådets forordning (EU) nr. 182/2011 af 16. februar 2011 om de generelle regler og principper for, hvordan medlemsstaterne skal kontrollere Kommissionens udøvelse af gennemførelsesbeføjelser</w:t>
            </w:r>
            <w:r w:rsidRPr="009D2EDD">
              <w:rPr>
                <w:rStyle w:val="Sup"/>
                <w:color w:val="auto"/>
              </w:rPr>
              <w:t>42</w:t>
            </w:r>
            <w:r w:rsidRPr="009D2EDD">
              <w:rPr>
                <w:color w:val="auto"/>
              </w:rPr>
              <w:t>.</w:t>
            </w:r>
          </w:p>
        </w:tc>
        <w:tc>
          <w:tcPr>
            <w:tcW w:w="4876" w:type="dxa"/>
          </w:tcPr>
          <w:p w:rsidR="00944CB0" w:rsidRPr="009D2EDD" w:rsidRDefault="001E7D6E">
            <w:pPr>
              <w:pStyle w:val="Normal6"/>
              <w:rPr>
                <w:color w:val="auto"/>
              </w:rPr>
            </w:pPr>
            <w:r w:rsidRPr="009D2EDD">
              <w:rPr>
                <w:color w:val="auto"/>
              </w:rPr>
              <w:t>(55)</w:t>
            </w:r>
            <w:r w:rsidRPr="009D2EDD">
              <w:tab/>
            </w:r>
            <w:r w:rsidRPr="009D2EDD">
              <w:rPr>
                <w:color w:val="auto"/>
              </w:rPr>
              <w:t>For at sikre ensartede betingelser for gennemførelsen af bestemmelserne i dette direktiv med hensyn til form og indhold af de oplysninger, der skal tilvejebringes, bør Kommissionen tillægges gennemførelsesbeføjelser. Disse beføjelser bør udøves i overensstemmelse med Europa-Parlamentets og Rådets forordning (EU) nr. 182/2011 af 16. februar 2011 om de generelle regler og principper for, hvordan medlemsstaterne skal kontrollere Kommissionens udøvelse af gennemførelsesbeføjelser</w:t>
            </w:r>
            <w:r w:rsidRPr="009D2EDD">
              <w:rPr>
                <w:rStyle w:val="Sup"/>
                <w:color w:val="auto"/>
              </w:rPr>
              <w:t>42</w:t>
            </w:r>
            <w:r w:rsidRPr="009D2EDD">
              <w:rPr>
                <w:color w:val="auto"/>
              </w:rPr>
              <w:t>.</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auto"/>
              </w:rPr>
            </w:pPr>
            <w:r w:rsidRPr="009D2EDD">
              <w:rPr>
                <w:rStyle w:val="Sup"/>
                <w:color w:val="auto"/>
              </w:rPr>
              <w:t>42</w:t>
            </w:r>
            <w:r w:rsidRPr="009D2EDD">
              <w:t>EUT L 55 af 28.2.2011, s. 13.</w:t>
            </w:r>
          </w:p>
        </w:tc>
        <w:tc>
          <w:tcPr>
            <w:tcW w:w="4876" w:type="dxa"/>
          </w:tcPr>
          <w:p w:rsidR="00944CB0" w:rsidRPr="009D2EDD" w:rsidRDefault="001E7D6E">
            <w:pPr>
              <w:pStyle w:val="Normal6"/>
              <w:rPr>
                <w:color w:val="auto"/>
              </w:rPr>
            </w:pPr>
            <w:r w:rsidRPr="009D2EDD">
              <w:rPr>
                <w:rStyle w:val="Sup"/>
                <w:color w:val="auto"/>
              </w:rPr>
              <w:t>42</w:t>
            </w:r>
            <w:r w:rsidRPr="009D2EDD">
              <w:t>EUT L 55 af 28.2.2011, s. 13.</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290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(56)</w:t>
            </w:r>
            <w:r w:rsidRPr="009D2EDD">
              <w:tab/>
            </w:r>
            <w:r w:rsidRPr="009D2EDD">
              <w:rPr>
                <w:b/>
                <w:i/>
                <w:color w:val="auto"/>
              </w:rPr>
              <w:t>Målene for denne forordning, nemlig indførelse af standarder for tildeling af international beskyttelse til tredjelandsstatsborgere og statsløse i medlemsstaterne, for en ensartet status for flygtninge og personer, der er berettiget til subsidiær beskyttelse, og for indholdet af denne beskyttelse, kan ikke i tilstrækkelig grad opfyldes af medlemsstaterne og kan derfor på grund af denne forordnings omfang og virkninger bedre nås på EU-plan; Unionen kan derfor vedtage foranstaltninger i overensstemmelse med nærhedsprincippet, jf. artikel 5 i TEU. I overensstemmelse med proportionalitetsprincippet, jf. ovennævnte artikel, går denne forordning ikke ud over, hvad der er nødvendigt for at nå disse mål -</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291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(56)</w:t>
            </w:r>
            <w:r w:rsidRPr="009D2EDD">
              <w:tab/>
            </w:r>
            <w:r w:rsidRPr="009D2EDD">
              <w:rPr>
                <w:b/>
                <w:i/>
                <w:color w:val="auto"/>
              </w:rPr>
              <w:t>Målene for denne forordning, nemlig indførelse af standarder for tildeling af international beskyttelse til tredjelandsstatsborgere og statsløse i medlemsstaterne, for en ensartet status for flygtninge og personer, der er berettiget til subsidiær beskyttelse, og for indholdet af denne beskyttelse, kan ikke i tilstrækkelig grad opfyldes af medlemsstaterne og kan derfor på grund af denne forordnings omfang og virkninger bedre nås på EU-plan; Unionen kan derfor vedtage foranstaltninger i overensstemmelse med nærhedsprincippet, jf. artikel 5 i TEU. I overensstemmelse med proportionalitetsprincippet, jf. ovennævnte artikel, går denne forordning ikke ud over, hvad der er nødvendigt for at nå disse mål -</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292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(56)</w:t>
            </w:r>
            <w:r w:rsidRPr="009D2EDD">
              <w:tab/>
            </w:r>
            <w:r w:rsidRPr="009D2EDD">
              <w:rPr>
                <w:color w:val="auto"/>
              </w:rPr>
              <w:t>Målene for denne forordning, nemlig indførelse af standarder for tildeling af international beskyttelse til tredjelandsstatsborgere og statsløse i medlemsstaterne, for en ensartet status for flygtninge og personer, der er berettiget til subsidiær beskyttelse, og for indholdet af denne beskyttelse, kan ikke i tilstrækkelig grad opfyldes af medlemsstaterne og kan derfor på grund af denne forordnings omfang og virkninger bedre nås på EU-plan; Unionen kan derfor vedtage foranstaltninger i overensstemmelse med nærhedsprincippet, jf. artikel 5 i TEU. I overensstemmelse med proportionalitetsprincippet, jf. ovennævnte artikel, går denne forordning ikke ud over, hvad der er nødvendigt for at nå disse mål -</w:t>
            </w:r>
          </w:p>
        </w:tc>
        <w:tc>
          <w:tcPr>
            <w:tcW w:w="4876" w:type="dxa"/>
          </w:tcPr>
          <w:p w:rsidR="00944CB0" w:rsidRPr="009D2EDD" w:rsidRDefault="001E7D6E">
            <w:pPr>
              <w:pStyle w:val="Normal6"/>
              <w:rPr>
                <w:color w:val="auto"/>
              </w:rPr>
            </w:pPr>
            <w:r w:rsidRPr="009D2EDD">
              <w:rPr>
                <w:color w:val="auto"/>
              </w:rPr>
              <w:t>(56)</w:t>
            </w:r>
            <w:r w:rsidRPr="009D2EDD">
              <w:tab/>
            </w:r>
            <w:r w:rsidRPr="009D2EDD">
              <w:rPr>
                <w:color w:val="auto"/>
              </w:rPr>
              <w:t>Målene for dette direktiv, nemlig indførelse af høje standarder for indrømmelse af international beskyttelse til tredjelandsstatsborgere og statsløse i medlemsstaterne, for en ensartet status for flygtninge og personer, der er berettiget til subsidiær beskyttelse, og for indholdet af denne beskyttelse, kan ikke i tilstrækkelig grad opfyldes af medlemsstaterne og kan derfor på grund af dette direktivs omfang og virkninger bedre nås på EU-plan; Unionen kan derfor vedtage foranstaltninger i overensstemmelse med nærhedsprincippet, jf. artikel 5 i TEU. I overensstemmelse med proportionalitetsprincippet, jf. nævnte artikel, går dette direktiv ikke videre, end hvad der er nødvendigt for at nå disse mål.</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293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57 - stk.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[I medfør af artikel 3 i protokol nr. 21 om Det Forenede Kongeriges og Irlands stilling for så vidt angår området med frihed, sikkerhed og retfærdighed, der er knyttet som bilag til traktaten om Den Europæiske Union og til traktaten om Den Europæiske Unions funktionsmåde, har disse medlemsstater meddelt, at de ønsker at deltage i vedtagelsen og anvendelsen af denne forordning.]</w:t>
            </w:r>
          </w:p>
        </w:tc>
        <w:tc>
          <w:tcPr>
            <w:tcW w:w="4876" w:type="dxa"/>
          </w:tcPr>
          <w:p w:rsidR="00944CB0" w:rsidRPr="009D2EDD" w:rsidRDefault="001E7D6E">
            <w:pPr>
              <w:pStyle w:val="Normal6"/>
              <w:rPr>
                <w:color w:val="auto"/>
              </w:rPr>
            </w:pPr>
            <w:r w:rsidRPr="009D2EDD">
              <w:rPr>
                <w:color w:val="auto"/>
              </w:rPr>
              <w:t>[I medfør af artikel 3 i protokol nr. 21 om Det Forenede Kongeriges og Irlands stilling for så vidt angår området med frihed, sikkerhed og retfærdighed, der er knyttet som bilag til traktaten om Den Europæiske Union og til traktaten om Den Europæiske Unions funktionsmåde, har disse medlemsstater meddelt, at de ønsker at deltage i vedtagelsen og anvendelsen af dette direktiv].</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294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57 -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[I medfør af artikel 1 og 2 i protokol nr. 21 om Det Forenede Kongeriges og Irlands stilling for så vidt angår området med frihed, sikkerhed og retfærdighed, der er knyttet som bilag til traktaten om Den Europæiske Union og til traktaten om Den Europæiske Unions funktionsmåde og med forbehold af artikel 4 i samme protokol deltager disse medlemsstater ikke i vedtagelsen af denne forordning, som ikke er bindende for og ikke finder anvendelse i disse medlemsstater.]</w:t>
            </w:r>
          </w:p>
        </w:tc>
        <w:tc>
          <w:tcPr>
            <w:tcW w:w="4876" w:type="dxa"/>
          </w:tcPr>
          <w:p w:rsidR="00944CB0" w:rsidRPr="009D2EDD" w:rsidRDefault="001E7D6E">
            <w:pPr>
              <w:pStyle w:val="Normal6"/>
              <w:rPr>
                <w:color w:val="auto"/>
              </w:rPr>
            </w:pPr>
            <w:r w:rsidRPr="009D2EDD">
              <w:rPr>
                <w:color w:val="auto"/>
              </w:rPr>
              <w:t>[I medfør af artikel 1 og 2 i protokol nr. 21 om Det Forenede Kongeriges og Irlands stilling for så vidt angår området med frihed, sikkerhed og retfærdighed, der er knyttet som bilag til traktaten om Den Europæiske Union og til traktaten om Den Europæiske Unions funktionsmåde, og med forbehold af artikel 4 i samme protokol, deltager disse medlemsstater ikke i vedtagelsen af dette direktiv, som ikke er bindende for og ikke finder anvendelse i Det Forenede Kongerige og Irland.]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295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57 - stk. 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[(XX) I medfør af artikel 1 og 2 i protokol nr. 21 om Det Forenede Kongeriges og Irlands stilling for så vidt angår området med frihed, sikkerhed og retfærdighed, der er knyttet som bilag til traktaten om Den Europæiske Union og til traktaten om Den Europæiske Unions funktionsmåde, og med forbehold af artikel 4 i samme protokol, deltager Det Forenede Kongerige ikke i vedtagelsen af denne forordning, som ikke er bindende for og ikke finder anvendelse i Det Forenede Kongerige.</w:t>
            </w:r>
          </w:p>
        </w:tc>
        <w:tc>
          <w:tcPr>
            <w:tcW w:w="4876" w:type="dxa"/>
          </w:tcPr>
          <w:p w:rsidR="00944CB0" w:rsidRPr="009D2EDD" w:rsidRDefault="001E7D6E">
            <w:pPr>
              <w:pStyle w:val="Normal6"/>
              <w:rPr>
                <w:color w:val="auto"/>
              </w:rPr>
            </w:pPr>
            <w:r w:rsidRPr="009D2EDD">
              <w:rPr>
                <w:color w:val="auto"/>
              </w:rPr>
              <w:t>[(XX) I medfør af artikel 1 og 2 i protokol nr. 21 om Det Forenede Kongeriges og Irlands stilling, for så vidt angår området med frihed, sikkerhed og retfærdighed, der er knyttet som bilag til traktaten om Den Europæiske Union og til traktaten om Den Europæiske Unions funktionsmåde, og med forbehold af artikel 4 i samme protokol, deltager Det Forenede Kongerige ikke i vedtagelsen af dette direktiv, som ikke er bindende for og ikke finder anvendelse i Det Forenede Kongerige.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296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57 - stk. 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(XX) I medfør af artikel 3 i protokol nr. 21 om Det Forenede Kongeriges og Irlands stilling for så vidt angår området med frihed, sikkerhed og retfærdighed, der er knyttet som bilag til traktaten om Den Europæiske Union og til traktaten om Den Europæiske Unions funktionsmåde, har Irland (ved skrivelse af …) meddelt, at Irland ønsker at deltage i vedtagelsen og anvendelsen af denne forordning.]</w:t>
            </w:r>
          </w:p>
        </w:tc>
        <w:tc>
          <w:tcPr>
            <w:tcW w:w="4876" w:type="dxa"/>
          </w:tcPr>
          <w:p w:rsidR="00944CB0" w:rsidRPr="009D2EDD" w:rsidRDefault="001E7D6E">
            <w:pPr>
              <w:pStyle w:val="Normal6"/>
              <w:rPr>
                <w:color w:val="auto"/>
              </w:rPr>
            </w:pPr>
            <w:r w:rsidRPr="009D2EDD">
              <w:rPr>
                <w:color w:val="auto"/>
              </w:rPr>
              <w:t>(XX) I medfør af artikel 3 i protokol nr. 21 om Det Forenede Kongeriges og Irlands stilling for så vidt angår området med frihed, sikkerhed og retfærdighed, der er knyttet som bilag til traktaten om Den Europæiske Union og til traktaten om Den Europæiske Unions funktionsmåde, har Irland (ved skrivelse af</w:t>
            </w:r>
            <w:r w:rsidR="00AA4696" w:rsidRPr="009D2EDD">
              <w:rPr>
                <w:color w:val="auto"/>
              </w:rPr>
              <w:t xml:space="preserve"> …</w:t>
            </w:r>
            <w:r w:rsidRPr="009D2EDD">
              <w:rPr>
                <w:color w:val="auto"/>
              </w:rPr>
              <w:t>) meddelt, at landet ikke deltager i vedtagelsen og anvendelsen af dette direktiv.]</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297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57 - stk. 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[(XX) I medfør af artikel 3 i protokol nr. 21 om Det Forenede Kongeriges og Irlands stilling for så vidt angår området med frihed, sikkerhed og retfærdighed, der er knyttet som bilag til traktaten om Den Europæiske Union og til traktaten om Den Europæiske Unions funktionsmåde, har Det Forenede Kongerige meddelt (ved skrivelse af …), at Det Forenede Kongerige ønsker at deltage i vedtagelsen og anvendelsen af denne forordning.</w:t>
            </w:r>
          </w:p>
        </w:tc>
        <w:tc>
          <w:tcPr>
            <w:tcW w:w="4876" w:type="dxa"/>
          </w:tcPr>
          <w:p w:rsidR="00944CB0" w:rsidRPr="009D2EDD" w:rsidRDefault="001E7D6E">
            <w:pPr>
              <w:pStyle w:val="Normal6"/>
              <w:rPr>
                <w:color w:val="auto"/>
              </w:rPr>
            </w:pPr>
            <w:r w:rsidRPr="009D2EDD">
              <w:rPr>
                <w:color w:val="auto"/>
              </w:rPr>
              <w:t>[(XX) I medfør af artikel 3 i protokol nr. 21 om Det Forenede Kongeriges og Irlands stilling for så vidt angår området med frihed, sikkerhed og retfærdighed, der er knyttet som bilag til traktaten om Den Europæiske Union og til traktaten om Den Europæiske Unions funktionsmåde, har Det Forenede Kongerige meddelt (ved skrivelse af …), at Det Forenede Kongerige ønsker at deltage i vedtagelsen og anvendelsen af dette direktiv.</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298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57 - stk. 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(XX) I medfør af artikel 1 og 2 i protokol nr. 21 om Det Forenede Kongeriges og Irlands stilling for så vidt angår området med frihed, sikkerhed og retfærdighed, der er knyttet som bilag til traktaten om Den Europæiske Union og til traktaten om Den Europæiske Unions funktionsmåde, og med forbehold af artikel 4 i samme protokol, deltager Irland ikke i vedtagelsen af denne forordning, som ikke er bindende for og ikke finder anvendelse i Irland.]</w:t>
            </w:r>
          </w:p>
        </w:tc>
        <w:tc>
          <w:tcPr>
            <w:tcW w:w="4876" w:type="dxa"/>
          </w:tcPr>
          <w:p w:rsidR="00944CB0" w:rsidRPr="009D2EDD" w:rsidRDefault="001E7D6E">
            <w:pPr>
              <w:pStyle w:val="Normal6"/>
              <w:rPr>
                <w:color w:val="auto"/>
              </w:rPr>
            </w:pPr>
            <w:r w:rsidRPr="009D2EDD">
              <w:rPr>
                <w:color w:val="auto"/>
              </w:rPr>
              <w:t>(XX) I medfør af artikel 1 og 2 i protokol nr. 21 om Det Forenede Kongeriges og Irlands stilling for så vidt angår området med frihed, sikkerhed og retfærdighed, der er knyttet som bilag til traktaten om Den Europæiske Union og til traktaten om Den Europæiske Unions funktionsmåde, og med forbehold af artikel 4 i samme protokol, deltager Irland ikke i vedtagelsen af dette direktiv, som ikke er bindende for og ikke finder anvendelse i Irland.]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299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Betragtning 58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(58)</w:t>
            </w:r>
            <w:r w:rsidRPr="009D2EDD">
              <w:tab/>
            </w:r>
            <w:r w:rsidRPr="009D2EDD">
              <w:rPr>
                <w:color w:val="auto"/>
              </w:rPr>
              <w:t>I medfør af artikel 1 og 2 i protokol nr. 22 om Danmarks stilling, der er knyttet som bilag til TEU og til TEUF, deltager Danmark ikke i vedtagelsen af denne forordning, som ikke er bindende for og ikke finder anvendelse i Danmark —</w:t>
            </w:r>
          </w:p>
        </w:tc>
        <w:tc>
          <w:tcPr>
            <w:tcW w:w="4876" w:type="dxa"/>
          </w:tcPr>
          <w:p w:rsidR="00944CB0" w:rsidRPr="009D2EDD" w:rsidRDefault="001E7D6E">
            <w:pPr>
              <w:pStyle w:val="Normal6"/>
              <w:rPr>
                <w:color w:val="auto"/>
              </w:rPr>
            </w:pPr>
            <w:r w:rsidRPr="009D2EDD">
              <w:rPr>
                <w:color w:val="auto"/>
              </w:rPr>
              <w:t>(58)</w:t>
            </w:r>
            <w:r w:rsidRPr="009D2EDD">
              <w:tab/>
            </w:r>
            <w:r w:rsidRPr="009D2EDD">
              <w:rPr>
                <w:color w:val="auto"/>
              </w:rPr>
              <w:t>I medfør af artikel 1 og 2 i protokollen (nr. 22) om Danmarks stilling, der er knyttet som bilag til TEU og til TEUF, deltager Danmark ikke i vedtagelsen af dette direktiv, som ikke er bindende for og ikke finder anvendelse i Danmark −</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300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1 – stk. 1 – indledning</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I denne forordning fastsættes der standarder for:</w:t>
            </w:r>
          </w:p>
        </w:tc>
        <w:tc>
          <w:tcPr>
            <w:tcW w:w="4876" w:type="dxa"/>
          </w:tcPr>
          <w:p w:rsidR="00944CB0" w:rsidRPr="009D2EDD" w:rsidRDefault="001E7D6E">
            <w:pPr>
              <w:pStyle w:val="Normal6"/>
              <w:rPr>
                <w:color w:val="auto"/>
              </w:rPr>
            </w:pPr>
            <w:r w:rsidRPr="009D2EDD">
              <w:rPr>
                <w:color w:val="auto"/>
              </w:rPr>
              <w:t>I dette direktiv fastsættes der standarder for: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301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Birgit Sippel</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1 – stk. 1 a (nyt)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Uden at dette berører stk. 1, skal medlemsstaterne bevare muligheden for at give familiemedlemmer den flygtningestatus eller subsidiær beskyttelse, i overensstemmelse med deres nationale lovgivning, uanset om de er genstand for en risiko for forfølgelse eller alvorlige overgreb, med henblik på at fastlægge en ensartet retlig status inden for familien.</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302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indledning</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I denne forordning forstås ved "international beskyttelse":</w:t>
            </w:r>
          </w:p>
        </w:tc>
        <w:tc>
          <w:tcPr>
            <w:tcW w:w="4876" w:type="dxa"/>
          </w:tcPr>
          <w:p w:rsidR="00944CB0" w:rsidRPr="009D2EDD" w:rsidRDefault="001E7D6E">
            <w:pPr>
              <w:pStyle w:val="Normal6"/>
              <w:rPr>
                <w:color w:val="auto"/>
              </w:rPr>
            </w:pPr>
            <w:r w:rsidRPr="009D2EDD">
              <w:rPr>
                <w:color w:val="auto"/>
              </w:rPr>
              <w:t>I dette direktiv forstås ved: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303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flygtningestatus og subsidiær beskyttelsesstatus, jf. nr. 4) og 6) "person med international beskyttelse":</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flygtningestatus, jf. nr. 4) "person med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304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en person, som er blevet tildelt flygtningestatus eller subsidiær beskyttelsesstatus, jf. nr. 4) og 6) "flygtning":</w:t>
            </w:r>
          </w:p>
        </w:tc>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en person, som er blevet tildelt flygtningestatus, jf. nr. 4) "flygtning":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305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en tredjelandsstatsborger, som i kraft af en velbegrundet frygt for forfølgelse på grund af race, religion, nationalitet, politisk anskuelse eller tilhørsforhold til en bestemt social gruppe opholder sig uden for det land, hvor den pågældende er statsborger, og som ikke kan eller, på grund af en sådan frygt, ikke vil påberåbe sig dette lands beskyttelse, eller en statsløs, som opholder sig uden for det land, hvor vedkommende tidligere havde sit sædvanlige opholdssted, af samme grunde som anført ovenfor, og som ikke kan eller, på grund af en sådan frygt, ikke vil vende tilbage til dette land, og som ikke er omfattet af artikel 12 "flygtningestatus":</w:t>
            </w:r>
          </w:p>
        </w:tc>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en tredjelandsstatsborger, som i kraft af en velbegrundet frygt for forfølgelse på grund af race, religion, nationalitet, politisk anskuelsekøn, seksuel orientering, kønsidentitet eller tilhørsforhold til en bestemt social gruppe opholder sig uden for det land, hvor den pågældende er statsborger, og som ikke kan eller, på grund af en sådan frygt, ikke vil påberåbe sig dette lands beskyttelse, eller en statsløs, som opholder sig uden for det land, hvor vedkommende tidligere havde sit sædvanlige opholdssted, af samme grunde som anført ovenfor, og som ikke kan eller, på grund af en sådan frygt, ikke vil vende tilbage til dette land, og som ikke er omfattet af artikel 12 "flygtningestatus":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306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6)</w:t>
            </w:r>
            <w:r w:rsidRPr="009D2EDD">
              <w:tab/>
            </w:r>
            <w:r w:rsidRPr="009D2EDD">
              <w:rPr>
                <w:b/>
                <w:i/>
                <w:color w:val="auto"/>
              </w:rPr>
              <w:t>en medlemsstats anerkendelse af en tredjelandsstatsborger eller statsløs som værende en person, der er berettiget til subsidiær beskyttelse "ansøgning om international beskyttelse":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307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en anmodning, der fremsættes af en tredjelandsstatsborger eller statsløs om beskyttelse fra en medlemsstat, når der er grundlag for at antage, at ansøgeren søger om flygtningestatus eller subsidiær beskyttelsesstatus</w:t>
            </w:r>
          </w:p>
        </w:tc>
        <w:tc>
          <w:tcPr>
            <w:tcW w:w="4876" w:type="dxa"/>
          </w:tcPr>
          <w:p w:rsidR="00944CB0" w:rsidRPr="009D2EDD" w:rsidRDefault="001E7D6E">
            <w:pPr>
              <w:pStyle w:val="Normal6"/>
              <w:rPr>
                <w:color w:val="auto"/>
              </w:rPr>
            </w:pPr>
            <w:r w:rsidRPr="009D2EDD">
              <w:rPr>
                <w:color w:val="auto"/>
              </w:rPr>
              <w:t>7)</w:t>
            </w:r>
            <w:r w:rsidRPr="009D2EDD">
              <w:tab/>
            </w:r>
            <w:r w:rsidRPr="009D2EDD">
              <w:rPr>
                <w:color w:val="auto"/>
              </w:rPr>
              <w:t xml:space="preserve">en anmodning, der fremsættes af en tredjelandsstatsborger eller statsløs om beskyttelse fra en medlemsstat, når der er grundlag for at antage, at ansøgeren søger om flygtningestatus </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308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indledning</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9)</w:t>
            </w:r>
            <w:r w:rsidRPr="009D2EDD">
              <w:tab/>
            </w:r>
            <w:r w:rsidRPr="009D2EDD">
              <w:rPr>
                <w:color w:val="auto"/>
              </w:rPr>
              <w:t>"familiemedlemmer": for så vidt familien allerede bestod før ansøgerens ankomst til en medlemsstats område, følgende medlemmer af familien til personen med international beskyttelse, når de pågældende befinder sig i den samme medlemsstat i forbindelse med ansøgningen om international beskyttelse:</w:t>
            </w:r>
          </w:p>
        </w:tc>
        <w:tc>
          <w:tcPr>
            <w:tcW w:w="4876" w:type="dxa"/>
          </w:tcPr>
          <w:p w:rsidR="00944CB0" w:rsidRPr="009D2EDD" w:rsidRDefault="001E7D6E">
            <w:pPr>
              <w:pStyle w:val="Normal6"/>
              <w:rPr>
                <w:color w:val="auto"/>
              </w:rPr>
            </w:pPr>
            <w:r w:rsidRPr="009D2EDD">
              <w:rPr>
                <w:color w:val="auto"/>
              </w:rPr>
              <w:t>9)</w:t>
            </w:r>
            <w:r w:rsidRPr="009D2EDD">
              <w:tab/>
            </w:r>
            <w:r w:rsidRPr="009D2EDD">
              <w:rPr>
                <w:color w:val="auto"/>
              </w:rPr>
              <w:t>"familiemedlemmer": følgende medlemmer af familien til personen med international beskyttelse, når de pågældende befinder sig på medlemsstatens område: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309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indledning</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9)</w:t>
            </w:r>
            <w:r w:rsidRPr="009D2EDD">
              <w:tab/>
            </w:r>
            <w:r w:rsidRPr="009D2EDD">
              <w:rPr>
                <w:color w:val="auto"/>
              </w:rPr>
              <w:t>"familiemedlemmer": for så vidt familien allerede bestod før ansøgerens ankomst til en medlemsstats område, følgende medlemmer af familien til personen med international beskyttelse, når de pågældende befinder sig i den samme medlemsstat i forbindelse med ansøgningen om international beskyttelse:</w:t>
            </w:r>
          </w:p>
        </w:tc>
        <w:tc>
          <w:tcPr>
            <w:tcW w:w="4876" w:type="dxa"/>
          </w:tcPr>
          <w:p w:rsidR="00944CB0" w:rsidRPr="009D2EDD" w:rsidRDefault="001E7D6E">
            <w:pPr>
              <w:pStyle w:val="Normal6"/>
              <w:rPr>
                <w:color w:val="auto"/>
              </w:rPr>
            </w:pPr>
            <w:r w:rsidRPr="009D2EDD">
              <w:rPr>
                <w:color w:val="auto"/>
              </w:rPr>
              <w:t>9)</w:t>
            </w:r>
            <w:r w:rsidRPr="009D2EDD">
              <w:tab/>
            </w:r>
            <w:r w:rsidRPr="009D2EDD">
              <w:rPr>
                <w:color w:val="auto"/>
              </w:rPr>
              <w:t>"familiemedlemmer": følgende medlemmer af familien til den, der har ansøgt om eller nyder international beskyttelse, der opholder sig på medlemsstaternes område: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Det foreslås at medtage en henvisning til sagsøgeren, og ikke kun til personen med international beskyttelse, fordi denne definition af familiemedlem, der anvendes i direktivet om modtagelsesforhold (art. 2(3): Definitioner artikel 3 Anvendelsesområde) situationen for ansøgere, der endnu ikke har fået international beskyttelse.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310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indledning</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9)</w:t>
            </w:r>
            <w:r w:rsidRPr="009D2EDD">
              <w:tab/>
            </w:r>
            <w:r w:rsidRPr="009D2EDD">
              <w:rPr>
                <w:color w:val="auto"/>
              </w:rPr>
              <w:t>"familiemedlemmer": for så vidt familien allerede bestod før ansøgerens ankomst til en medlemsstats område, følgende medlemmer af familien til personen med international beskyttelse, når de pågældende befinder sig i den samme medlemsstat i forbindelse med ansøgningen om international beskyttelse:</w:t>
            </w:r>
          </w:p>
        </w:tc>
        <w:tc>
          <w:tcPr>
            <w:tcW w:w="4876" w:type="dxa"/>
          </w:tcPr>
          <w:p w:rsidR="00944CB0" w:rsidRPr="009D2EDD" w:rsidRDefault="001E7D6E">
            <w:pPr>
              <w:pStyle w:val="Normal6"/>
              <w:rPr>
                <w:color w:val="auto"/>
              </w:rPr>
            </w:pPr>
            <w:r w:rsidRPr="009D2EDD">
              <w:rPr>
                <w:color w:val="auto"/>
              </w:rPr>
              <w:t>9)</w:t>
            </w:r>
            <w:r w:rsidRPr="009D2EDD">
              <w:tab/>
            </w:r>
            <w:r w:rsidRPr="009D2EDD">
              <w:rPr>
                <w:color w:val="auto"/>
              </w:rPr>
              <w:t>"familiemedlemmer": for så vidt familien allerede eksisterede i hjemlandet, eller, for så vidt angår en statsløs, i det land, hvor han tidligere havde sit sædvanlige opholdssted, følgende medlemmer af familien til personen med international beskyttelsesstatus, når de pågældende familiemedlemmer befinder sig i samme medlemsstat i forbindelse med ansøgningen om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311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a</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a)</w:t>
            </w:r>
            <w:r w:rsidRPr="009D2EDD">
              <w:tab/>
            </w:r>
            <w:r w:rsidRPr="009D2EDD">
              <w:rPr>
                <w:color w:val="auto"/>
              </w:rPr>
              <w:t>ægtefællen til personen med international beskyttelse eller dennes ugifte samlever i et fast forhold, hvis ugifte par i den pågældende medlemsstats ret eller praksis vedrørende tredjelandsstatsborgere sidestilles med gifte par</w:t>
            </w:r>
          </w:p>
        </w:tc>
        <w:tc>
          <w:tcPr>
            <w:tcW w:w="4876" w:type="dxa"/>
          </w:tcPr>
          <w:p w:rsidR="00944CB0" w:rsidRPr="009D2EDD" w:rsidRDefault="001E7D6E">
            <w:pPr>
              <w:pStyle w:val="Normal6"/>
              <w:rPr>
                <w:color w:val="auto"/>
              </w:rPr>
            </w:pPr>
            <w:r w:rsidRPr="009D2EDD">
              <w:rPr>
                <w:color w:val="auto"/>
              </w:rPr>
              <w:t>a)</w:t>
            </w:r>
            <w:r w:rsidRPr="009D2EDD">
              <w:tab/>
            </w:r>
            <w:r w:rsidRPr="009D2EDD">
              <w:rPr>
                <w:color w:val="auto"/>
              </w:rPr>
              <w:t>ægtefællen til personen med international beskyttelse eller dennes ugifte samlever,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312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a</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a)</w:t>
            </w:r>
            <w:r w:rsidRPr="009D2EDD">
              <w:tab/>
            </w:r>
            <w:r w:rsidRPr="009D2EDD">
              <w:rPr>
                <w:color w:val="auto"/>
              </w:rPr>
              <w:t>ægtefællen til personen med international beskyttelse eller dennes ugifte samlever i et fast forhold, hvis ugifte par i den pågældende medlemsstats ret eller praksis vedrørende tredjelandsstatsborgere sidestilles med gifte par</w:t>
            </w:r>
          </w:p>
        </w:tc>
        <w:tc>
          <w:tcPr>
            <w:tcW w:w="4876" w:type="dxa"/>
          </w:tcPr>
          <w:p w:rsidR="00944CB0" w:rsidRPr="009D2EDD" w:rsidRDefault="001E7D6E">
            <w:pPr>
              <w:pStyle w:val="Normal6"/>
              <w:rPr>
                <w:color w:val="auto"/>
              </w:rPr>
            </w:pPr>
            <w:r w:rsidRPr="009D2EDD">
              <w:rPr>
                <w:color w:val="auto"/>
              </w:rPr>
              <w:t>a)</w:t>
            </w:r>
            <w:r w:rsidRPr="009D2EDD">
              <w:tab/>
            </w:r>
            <w:r w:rsidRPr="009D2EDD">
              <w:rPr>
                <w:color w:val="auto"/>
              </w:rPr>
              <w:t>ægtefællen til personen med international beskyttelse eller dennes ugifte samlever i et fast forhold;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313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b</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b)</w:t>
            </w:r>
            <w:r w:rsidRPr="009D2EDD">
              <w:tab/>
            </w:r>
            <w:r w:rsidRPr="009D2EDD">
              <w:rPr>
                <w:color w:val="auto"/>
              </w:rPr>
              <w:t>mindreårige børn af par som omhandlet i litra a) eller af personen med international beskyttelse, såfremt børnene er ugifte, uanset om de efter national ret er født i eller uden for ægteskab eller er adopteret</w:t>
            </w:r>
          </w:p>
        </w:tc>
        <w:tc>
          <w:tcPr>
            <w:tcW w:w="4876" w:type="dxa"/>
          </w:tcPr>
          <w:p w:rsidR="00944CB0" w:rsidRPr="009D2EDD" w:rsidRDefault="001E7D6E">
            <w:pPr>
              <w:pStyle w:val="Normal6"/>
              <w:rPr>
                <w:color w:val="auto"/>
              </w:rPr>
            </w:pPr>
            <w:r w:rsidRPr="009D2EDD">
              <w:rPr>
                <w:color w:val="auto"/>
              </w:rPr>
              <w:t>b)</w:t>
            </w:r>
            <w:r w:rsidRPr="009D2EDD">
              <w:tab/>
            </w:r>
            <w:r w:rsidRPr="009D2EDD">
              <w:rPr>
                <w:color w:val="auto"/>
              </w:rPr>
              <w:t>børn af det par, der er nævnt i litra a), eller af ansøgeren eller af personen med international beskyttelsesstatus, uanset om de er født i eller uden for ægteskab eller er adopteret, som defineret i national ret, og de børn, som de bærer hovedansvaret eller sædvanemæssige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314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b</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b)</w:t>
            </w:r>
            <w:r w:rsidRPr="009D2EDD">
              <w:tab/>
            </w:r>
            <w:r w:rsidRPr="009D2EDD">
              <w:rPr>
                <w:color w:val="auto"/>
              </w:rPr>
              <w:t>mindreårige børn af par som omhandlet i litra a) eller af personen med international beskyttelse, såfremt børnene er ugifte, uanset om de efter national ret er født i eller uden for ægteskab eller er adopteret</w:t>
            </w:r>
          </w:p>
        </w:tc>
        <w:tc>
          <w:tcPr>
            <w:tcW w:w="4876" w:type="dxa"/>
          </w:tcPr>
          <w:p w:rsidR="00944CB0" w:rsidRPr="009D2EDD" w:rsidRDefault="001E7D6E">
            <w:pPr>
              <w:pStyle w:val="Normal6"/>
              <w:rPr>
                <w:color w:val="auto"/>
              </w:rPr>
            </w:pPr>
            <w:r w:rsidRPr="009D2EDD">
              <w:rPr>
                <w:color w:val="auto"/>
              </w:rPr>
              <w:t>b)</w:t>
            </w:r>
            <w:r w:rsidRPr="009D2EDD">
              <w:tab/>
            </w:r>
            <w:r w:rsidRPr="009D2EDD">
              <w:rPr>
                <w:color w:val="auto"/>
              </w:rPr>
              <w:t>børn af par som omhandlet i litra a) eller af personen med international beskyttelse, uanset om de som defineret efter national ret er født i eller uden for ægteskab eller er adopteret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315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Elly Schlein</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b</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b)</w:t>
            </w:r>
            <w:r w:rsidRPr="009D2EDD">
              <w:tab/>
            </w:r>
            <w:r w:rsidRPr="009D2EDD">
              <w:rPr>
                <w:color w:val="auto"/>
              </w:rPr>
              <w:t>mindreårige børn af par som omhandlet i litra a) eller af personen med international beskyttelse, såfremt børnene er ugifte, uanset om de efter national ret er født i eller uden for ægteskab eller er adopteret</w:t>
            </w:r>
          </w:p>
        </w:tc>
        <w:tc>
          <w:tcPr>
            <w:tcW w:w="4876" w:type="dxa"/>
          </w:tcPr>
          <w:p w:rsidR="00944CB0" w:rsidRPr="009D2EDD" w:rsidRDefault="001E7D6E">
            <w:pPr>
              <w:pStyle w:val="Normal6"/>
              <w:rPr>
                <w:color w:val="auto"/>
              </w:rPr>
            </w:pPr>
            <w:r w:rsidRPr="009D2EDD">
              <w:rPr>
                <w:color w:val="auto"/>
              </w:rPr>
              <w:t>b)</w:t>
            </w:r>
            <w:r w:rsidRPr="009D2EDD">
              <w:tab/>
            </w:r>
            <w:r w:rsidRPr="009D2EDD">
              <w:rPr>
                <w:color w:val="auto"/>
              </w:rPr>
              <w:t>de sønner og døtre af par som omhandlet i litra a) eller af personen med international beskyttelsesstatus, uanset om de er født i eller uden for ægteskab eller er adopteret som defineret i national ret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 sønner og døtre af ansøgeren bør betragtes som familiemedlemmer uanset alder eller civilstatus</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316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Elly Schlein</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c</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c)</w:t>
            </w:r>
            <w:r w:rsidRPr="009D2EDD">
              <w:tab/>
            </w:r>
            <w:r w:rsidRPr="009D2EDD">
              <w:rPr>
                <w:color w:val="auto"/>
              </w:rPr>
              <w:t>faderen, moderen eller en anden voksen, som i henhold til lov eller praksis i den pågældende medlemsstat er ansvarlig for personen med international beskyttelse, hvis personen med international beskyttelse er mindreårig og ugift "mindreårig":</w:t>
            </w:r>
          </w:p>
        </w:tc>
        <w:tc>
          <w:tcPr>
            <w:tcW w:w="4876" w:type="dxa"/>
          </w:tcPr>
          <w:p w:rsidR="00944CB0" w:rsidRPr="009D2EDD" w:rsidRDefault="001E7D6E">
            <w:pPr>
              <w:pStyle w:val="Normal6"/>
              <w:rPr>
                <w:color w:val="auto"/>
              </w:rPr>
            </w:pPr>
            <w:r w:rsidRPr="009D2EDD">
              <w:rPr>
                <w:color w:val="auto"/>
              </w:rPr>
              <w:t>c)</w:t>
            </w:r>
            <w:r w:rsidRPr="009D2EDD">
              <w:tab/>
              <w:t>faderen og moderen eller en anden voksen, der er ansvarlig for personen med international beskyttelsesstatus i henhold til lov eller ifølge praksis i den pågældende medlemsstat, hvis personen med international beskyttelse er mindreårig;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Det foreslås at straighten bestemmelser og garantier om familiesammenføring ved at udvide definitionen af familiemedlemmer.</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317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c</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c)</w:t>
            </w:r>
            <w:r w:rsidRPr="009D2EDD">
              <w:tab/>
            </w:r>
            <w:r w:rsidRPr="009D2EDD">
              <w:rPr>
                <w:color w:val="auto"/>
              </w:rPr>
              <w:t>faderen, moderen eller en anden voksen, som i henhold til lov eller praksis i den pågældende medlemsstat er ansvarlig for personen med international beskyttelse, hvis personen med international beskyttelse er mindreårig og ugift "mindreårig":</w:t>
            </w:r>
          </w:p>
        </w:tc>
        <w:tc>
          <w:tcPr>
            <w:tcW w:w="4876" w:type="dxa"/>
          </w:tcPr>
          <w:p w:rsidR="00944CB0" w:rsidRPr="009D2EDD" w:rsidRDefault="001E7D6E">
            <w:pPr>
              <w:pStyle w:val="Normal6"/>
              <w:rPr>
                <w:color w:val="auto"/>
              </w:rPr>
            </w:pPr>
            <w:r w:rsidRPr="009D2EDD">
              <w:rPr>
                <w:color w:val="auto"/>
              </w:rPr>
              <w:t>c)</w:t>
            </w:r>
            <w:r w:rsidRPr="009D2EDD">
              <w:tab/>
            </w:r>
            <w:r w:rsidRPr="009D2EDD">
              <w:rPr>
                <w:color w:val="auto"/>
              </w:rPr>
              <w:t>faderen, moderen eller en anden voksen, der er ansvarlig for ansøgeren om eller nyder international beskyttelse i henhold til loven eller ifølge praksis i oprindelseslandet eller i den pågældende medlemsstat.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Skyggeordføreren er enig med ordføreren i, at børns status som gifte eller ugifte bør være en faktor, der indgår i bedømmelsen af antallet af familiemedlemmer.</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318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c</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c)</w:t>
            </w:r>
            <w:r w:rsidRPr="009D2EDD">
              <w:tab/>
            </w:r>
            <w:r w:rsidRPr="009D2EDD">
              <w:rPr>
                <w:color w:val="auto"/>
              </w:rPr>
              <w:t>faderen, moderen eller en anden voksen, som i henhold til lov eller praksis i den pågældende medlemsstat er ansvarlig for personen med international beskyttelse, hvis personen med international beskyttelse er mindreårig og ugift "mindreårig":</w:t>
            </w:r>
          </w:p>
        </w:tc>
        <w:tc>
          <w:tcPr>
            <w:tcW w:w="4876" w:type="dxa"/>
          </w:tcPr>
          <w:p w:rsidR="00944CB0" w:rsidRPr="009D2EDD" w:rsidRDefault="001E7D6E">
            <w:pPr>
              <w:pStyle w:val="Normal6"/>
              <w:rPr>
                <w:color w:val="auto"/>
              </w:rPr>
            </w:pPr>
            <w:r w:rsidRPr="009D2EDD">
              <w:rPr>
                <w:color w:val="auto"/>
              </w:rPr>
              <w:t>c)</w:t>
            </w:r>
            <w:r w:rsidRPr="009D2EDD">
              <w:tab/>
            </w:r>
            <w:r w:rsidRPr="009D2EDD">
              <w:rPr>
                <w:color w:val="auto"/>
              </w:rPr>
              <w:t>faderen, moderen eller en anden voksen, som i henhold til lov eller praksis i den pågældende medlemsstat er ansvarlig for personen med international beskyttelse, hvis personen med international beskyttelse er mindreårig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319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c</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c)</w:t>
            </w:r>
            <w:r w:rsidRPr="009D2EDD">
              <w:tab/>
            </w:r>
            <w:r w:rsidRPr="009D2EDD">
              <w:rPr>
                <w:color w:val="auto"/>
              </w:rPr>
              <w:t>faderen, moderen eller en anden voksen, som i henhold til lov eller praksis i den pågældende medlemsstat er ansvarlig for personen med international beskyttelse, hvis personen med international beskyttelse er mindreårig og ugift "mindreårig":</w:t>
            </w:r>
          </w:p>
        </w:tc>
        <w:tc>
          <w:tcPr>
            <w:tcW w:w="4876" w:type="dxa"/>
          </w:tcPr>
          <w:p w:rsidR="00944CB0" w:rsidRPr="009D2EDD" w:rsidRDefault="001E7D6E">
            <w:pPr>
              <w:pStyle w:val="Normal6"/>
              <w:rPr>
                <w:color w:val="auto"/>
              </w:rPr>
            </w:pPr>
            <w:r w:rsidRPr="009D2EDD">
              <w:rPr>
                <w:color w:val="auto"/>
              </w:rPr>
              <w:t>c)</w:t>
            </w:r>
            <w:r w:rsidRPr="009D2EDD">
              <w:tab/>
            </w:r>
            <w:r w:rsidRPr="009D2EDD">
              <w:rPr>
                <w:color w:val="auto"/>
              </w:rPr>
              <w:t>faderen, moderen eller en anden voksen, som i henhold til lov eller praksis i den pågældende medlemsstat er ansvarlig for personen med international beskyttelse, hvis personen med international beskyttelse er mindreårig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320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c a (nyt)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ca)</w:t>
            </w:r>
            <w:r w:rsidRPr="009D2EDD">
              <w:tab/>
            </w:r>
            <w:r w:rsidRPr="009D2EDD">
              <w:rPr>
                <w:b/>
                <w:i/>
                <w:color w:val="auto"/>
              </w:rPr>
              <w:t>søskende til ansøgeren eller personen med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321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c a (nyt)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ca)</w:t>
            </w:r>
            <w:r w:rsidRPr="009D2EDD">
              <w:tab/>
            </w:r>
            <w:r w:rsidRPr="009D2EDD">
              <w:rPr>
                <w:b/>
                <w:i/>
                <w:color w:val="auto"/>
              </w:rPr>
              <w:t>søskende til den person, der er blevet tildelt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322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Elly Schlein</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c a (nyt)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ca)</w:t>
            </w:r>
            <w:r w:rsidRPr="009D2EDD">
              <w:tab/>
            </w:r>
            <w:r w:rsidRPr="009D2EDD">
              <w:rPr>
                <w:b/>
                <w:i/>
                <w:color w:val="auto"/>
              </w:rPr>
              <w:t>-bedsteforældrene til ansøgeren eller personen med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Det foreslås at straighten bestemmelser og garantier om familiesammenføring ved at udvide definitionen af familiemedlemmer.</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323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c a (nyt)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ca)</w:t>
            </w:r>
            <w:r w:rsidRPr="009D2EDD">
              <w:tab/>
            </w:r>
            <w:r w:rsidRPr="009D2EDD">
              <w:rPr>
                <w:b/>
                <w:i/>
                <w:color w:val="auto"/>
              </w:rPr>
              <w:t>søskende til den person, der er blevet tildelt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324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c b (nyt)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cb)</w:t>
            </w:r>
            <w:r w:rsidRPr="009D2EDD">
              <w:tab/>
            </w:r>
            <w:r w:rsidRPr="009D2EDD">
              <w:rPr>
                <w:b/>
                <w:i/>
                <w:color w:val="auto"/>
              </w:rPr>
              <w:t>faderen, moderen, bedstemor eller bedstefar, tante, onkel til personen med international beskyttelsesstatus, uanset om personen med international beskyttelse er født i eller uden for ægteskab eller er adopteret som defineret i national ret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325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c b (nyt)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cb)</w:t>
            </w:r>
            <w:r w:rsidRPr="009D2EDD">
              <w:tab/>
            </w:r>
            <w:r w:rsidRPr="009D2EDD">
              <w:rPr>
                <w:b/>
                <w:i/>
                <w:color w:val="auto"/>
              </w:rPr>
              <w:t>egne slægtninge i opstigende linje, der har ansøgt om eller nyder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326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Elly Schlein</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c b (nyt)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cb)</w:t>
            </w:r>
            <w:r w:rsidRPr="009D2EDD">
              <w:tab/>
            </w:r>
            <w:r w:rsidRPr="009D2EDD">
              <w:rPr>
                <w:b/>
                <w:i/>
                <w:color w:val="auto"/>
              </w:rPr>
              <w:t>-børnebørn til ansøgeren;</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Det foreslås at straighten bestemmelser og garantier om familiesammenføring ved at udvide definitionen af familiemedlemmer.</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327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9 – litra c c (nyt)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cc)</w:t>
            </w:r>
            <w:r w:rsidRPr="009D2EDD">
              <w:tab/>
            </w:r>
            <w:r w:rsidRPr="009D2EDD">
              <w:rPr>
                <w:b/>
                <w:i/>
                <w:color w:val="auto"/>
              </w:rPr>
              <w:t>"organiserende institut": en statsborger i en medlemsstat eller en tredjelandsstatsborger, der er godkendt af en medlemsstat til at opholde sig på dens område som indehaver af en opholdstilladelse i henhold til EU-retten eller national ret i den pågældende medlemsstat for en periode på et år eller mere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328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10</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10)</w:t>
            </w:r>
            <w:r w:rsidRPr="009D2EDD">
              <w:tab/>
            </w:r>
            <w:r w:rsidRPr="009D2EDD">
              <w:rPr>
                <w:color w:val="auto"/>
              </w:rPr>
              <w:t>en tredjelandsstatsborger eller en statsløs under 18 år "uledsaget mindreårig":</w:t>
            </w:r>
          </w:p>
        </w:tc>
        <w:tc>
          <w:tcPr>
            <w:tcW w:w="4876" w:type="dxa"/>
          </w:tcPr>
          <w:p w:rsidR="00944CB0" w:rsidRPr="009D2EDD" w:rsidRDefault="001E7D6E">
            <w:pPr>
              <w:pStyle w:val="Normal6"/>
              <w:rPr>
                <w:color w:val="auto"/>
              </w:rPr>
            </w:pPr>
            <w:r w:rsidRPr="009D2EDD">
              <w:rPr>
                <w:color w:val="auto"/>
              </w:rPr>
              <w:t>10)</w:t>
            </w:r>
            <w:r w:rsidRPr="009D2EDD">
              <w:tab/>
            </w:r>
            <w:r w:rsidRPr="009D2EDD">
              <w:rPr>
                <w:color w:val="auto"/>
              </w:rPr>
              <w:t>"mindreårig" en tredjelandsstatsborger eller en statsløs under 18 år på det tidspunkt, hvor hans/hendes ansøgning om international beskyttelse er indgivet.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329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10 a (nyt)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10a)</w:t>
            </w:r>
            <w:r w:rsidRPr="009D2EDD">
              <w:tab/>
            </w:r>
            <w:r w:rsidRPr="009D2EDD">
              <w:rPr>
                <w:b/>
                <w:i/>
                <w:color w:val="auto"/>
              </w:rPr>
              <w:t>"barn" en tredjelandsstatsborger eller statsløs, der er under 18 år på det tidspunkt, hvor hans/hendes ansøgning om international beskyttelse er indgivet.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330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11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11)</w:t>
            </w:r>
            <w:r w:rsidRPr="009D2EDD">
              <w:tab/>
            </w:r>
            <w:r w:rsidRPr="009D2EDD">
              <w:rPr>
                <w:color w:val="auto"/>
              </w:rPr>
              <w:t>en mindreårig, som ankommer til en medlemsstats område uden at være ledsaget af en voksen, der er ansvarlig for vedkommende i henhold til lov eller ifølge praksis i den pågældende medlemsstat, så længe vedkommende ikke reelt befinder sig i en sådan persons varetægt; denne definition omfatter også mindreårige, der efterlades alene efter at være rejst ind på en medlemsstats område</w:t>
            </w:r>
          </w:p>
        </w:tc>
        <w:tc>
          <w:tcPr>
            <w:tcW w:w="4876" w:type="dxa"/>
          </w:tcPr>
          <w:p w:rsidR="00944CB0" w:rsidRPr="009D2EDD" w:rsidRDefault="001E7D6E">
            <w:pPr>
              <w:pStyle w:val="Normal6"/>
              <w:rPr>
                <w:color w:val="auto"/>
              </w:rPr>
            </w:pPr>
            <w:r w:rsidRPr="009D2EDD">
              <w:rPr>
                <w:color w:val="auto"/>
              </w:rPr>
              <w:t>11)</w:t>
            </w:r>
            <w:r w:rsidRPr="009D2EDD">
              <w:tab/>
            </w:r>
            <w:r w:rsidRPr="009D2EDD">
              <w:rPr>
                <w:color w:val="auto"/>
              </w:rPr>
              <w:t>»uledsaget mindreårig« en mindreårig, som rejser ind på en medlemsstats område uden at være ledsaget af en voksen, der i henhold til lov eller praksis i den pågældende medlemsstat er ansvarlig for den pågældende, og så længe den pågældende ikke i praksis er i en sådan persons varetægt;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331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14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14)</w:t>
            </w:r>
            <w:r w:rsidRPr="009D2EDD">
              <w:tab/>
            </w:r>
            <w:r w:rsidRPr="009D2EDD">
              <w:rPr>
                <w:color w:val="auto"/>
              </w:rPr>
              <w:t>"fratagelse af international beskyttelse": en afgørelse truffet af en kompetent myndighed om at inddrage, ophæve eller afslå at forlænge en persons flygtningestatus eller subsidiære beskyttelsesstatus</w:t>
            </w:r>
          </w:p>
        </w:tc>
        <w:tc>
          <w:tcPr>
            <w:tcW w:w="4876" w:type="dxa"/>
          </w:tcPr>
          <w:p w:rsidR="00944CB0" w:rsidRPr="009D2EDD" w:rsidRDefault="001E7D6E">
            <w:pPr>
              <w:pStyle w:val="Normal6"/>
              <w:rPr>
                <w:color w:val="auto"/>
              </w:rPr>
            </w:pPr>
            <w:r w:rsidRPr="009D2EDD">
              <w:rPr>
                <w:color w:val="auto"/>
              </w:rPr>
              <w:t>14)</w:t>
            </w:r>
            <w:r w:rsidRPr="009D2EDD">
              <w:tab/>
            </w:r>
            <w:r w:rsidRPr="009D2EDD">
              <w:rPr>
                <w:color w:val="auto"/>
              </w:rPr>
              <w:t xml:space="preserve">"fratagelse af international beskyttelse": en afgørelse truffet af en kompetent myndighed om at inddrage, ophæve eller afslå at forlænge en persons flygtningestatus </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332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15</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15)</w:t>
            </w:r>
            <w:r w:rsidRPr="009D2EDD">
              <w:tab/>
            </w:r>
            <w:r w:rsidRPr="009D2EDD">
              <w:rPr>
                <w:color w:val="auto"/>
              </w:rPr>
              <w:t>"fornyet ansøgning": en ny ansøgning om international beskyttelse, der fremsættes i en medlemsstat, efter at der er truffet endelig afgørelse om en tidligere ansøgning, bl.a. hvis ansøgeren udtrykkeligt har trukket sin ansøgning tilbage, eller hvis den besluttende myndighed har afslået en ansøgning som værende opgivet, efter at den implicit er blevet trukket tilbage</w:t>
            </w:r>
          </w:p>
        </w:tc>
        <w:tc>
          <w:tcPr>
            <w:tcW w:w="4876" w:type="dxa"/>
          </w:tcPr>
          <w:p w:rsidR="00944CB0" w:rsidRPr="009D2EDD" w:rsidRDefault="001E7D6E">
            <w:pPr>
              <w:pStyle w:val="Normal6"/>
              <w:rPr>
                <w:color w:val="auto"/>
              </w:rPr>
            </w:pPr>
            <w:r w:rsidRPr="009D2EDD">
              <w:rPr>
                <w:color w:val="auto"/>
              </w:rPr>
              <w:t>15)</w:t>
            </w:r>
            <w:r w:rsidRPr="009D2EDD">
              <w:tab/>
            </w:r>
            <w:r w:rsidRPr="009D2EDD">
              <w:rPr>
                <w:color w:val="auto"/>
              </w:rPr>
              <w:t>"fornyet ansøgning": en ny ansøgning om international beskyttelse, der fremsættes i en medlemsstat, efter at der er truffet endelig afgørelse om en tidligere ansøgning, bl.a. hvis ansøgeren udtrykkeligt har trukket sin ansøgning tilbage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333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16</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16)</w:t>
            </w:r>
            <w:r w:rsidRPr="009D2EDD">
              <w:tab/>
            </w:r>
            <w:r w:rsidRPr="009D2EDD">
              <w:rPr>
                <w:color w:val="auto"/>
              </w:rPr>
              <w:t>"besluttende myndighed": enhver domstolslignende eller administrativ instans i en medlemsstat, der er ansvarlig for behandlingen af ansøgninger om international beskyttelse, og som er kompetent til at træffe afgørelse i første instans i sådanne sager</w:t>
            </w:r>
          </w:p>
        </w:tc>
        <w:tc>
          <w:tcPr>
            <w:tcW w:w="4876" w:type="dxa"/>
          </w:tcPr>
          <w:p w:rsidR="00944CB0" w:rsidRPr="009D2EDD" w:rsidRDefault="001E7D6E">
            <w:pPr>
              <w:pStyle w:val="Normal6"/>
              <w:rPr>
                <w:color w:val="auto"/>
              </w:rPr>
            </w:pPr>
            <w:r w:rsidRPr="009D2EDD">
              <w:rPr>
                <w:color w:val="auto"/>
              </w:rPr>
              <w:t>16)</w:t>
            </w:r>
            <w:r w:rsidRPr="009D2EDD">
              <w:tab/>
            </w:r>
            <w:r w:rsidRPr="009D2EDD">
              <w:rPr>
                <w:color w:val="auto"/>
              </w:rPr>
              <w:t>"besluttende myndighed": enhver juridisk, domstolslignende eller administrativ instans i en medlemsstat, der er ansvarlig for behandlingen af ansøgninger om international beskyttelse, og som er kompetent til at træffe afgørelse i første instans i sådanne sager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334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 Helga Stevens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17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17)</w:t>
            </w:r>
            <w:r w:rsidRPr="009D2EDD">
              <w:tab/>
            </w:r>
            <w:r w:rsidRPr="009D2EDD">
              <w:rPr>
                <w:color w:val="auto"/>
              </w:rPr>
              <w:t>"social sikring": de sociale sikringsgrene som defineret i Europa-Parlamentets og Rådets forordning (EF) nr. 883/2004</w:t>
            </w:r>
            <w:r w:rsidRPr="009D2EDD">
              <w:rPr>
                <w:rStyle w:val="SupBoldItalic"/>
                <w:color w:val="auto"/>
              </w:rPr>
              <w:t>44</w:t>
            </w:r>
            <w:r w:rsidRPr="009D2EDD">
              <w:rPr>
                <w:color w:val="auto"/>
              </w:rPr>
              <w:t>, som dækker ydelser ved sygdom, ydelser ved moderskab og dermed ligestillede ydelser ved faderskab, ydelser ved invaliditet, ydelser ved alderdom, ydelser til efterladte, ydelser ved arbejdsulykker og erhvervssygdomme, ydelser ved dødsfald, ydelser ved arbejdsløshed, efterløn og familieydelser</w:t>
            </w:r>
          </w:p>
        </w:tc>
        <w:tc>
          <w:tcPr>
            <w:tcW w:w="4876" w:type="dxa"/>
          </w:tcPr>
          <w:p w:rsidR="00944CB0" w:rsidRPr="009D2EDD" w:rsidRDefault="001E7D6E">
            <w:pPr>
              <w:pStyle w:val="Normal6"/>
              <w:rPr>
                <w:color w:val="auto"/>
              </w:rPr>
            </w:pPr>
            <w:r w:rsidRPr="009D2EDD">
              <w:rPr>
                <w:color w:val="auto"/>
              </w:rPr>
              <w:t>17)</w:t>
            </w:r>
            <w:r w:rsidRPr="009D2EDD">
              <w:tab/>
            </w:r>
            <w:r w:rsidRPr="009D2EDD">
              <w:rPr>
                <w:color w:val="auto"/>
              </w:rPr>
              <w:t>"social sikring": de sociale sikringsgrene som fastlagt af medlemsstaten</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rStyle w:val="SupBoldItalic"/>
                <w:color w:val="auto"/>
              </w:rPr>
              <w:t>44</w:t>
            </w:r>
            <w:r w:rsidRPr="009D2EDD">
              <w:t>Europa-Parlamentets og Rådets forordning (EF) nr. 883/2004 af 29. april 2004 om koordinering af de sociale sikringsordninger (EUT L 166 af 30.4.2004, s. 1).</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Det står medlemsstaterne frit for at træffe afgørelse, uden indblanding fra EU, hvem der kan forsikres i henhold til deres nationale socialsikringssystem, hvilke ydelser der tilkendes og på hvilke betingelser. Forordning (EF) nr. 883/2004 om koordinering af de sociale sikringsordninger er et af de redskaber, der er til rådighed for medlemsstaterne til at anvende med henblik på at bestemme omfanget af den sociale sikkerhed.</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335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Kinga Gál, Pál Csáky,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17</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17)</w:t>
            </w:r>
            <w:r w:rsidRPr="009D2EDD">
              <w:tab/>
            </w:r>
            <w:r w:rsidRPr="009D2EDD">
              <w:rPr>
                <w:color w:val="auto"/>
              </w:rPr>
              <w:t>"social sikring": de sociale sikringsgrene som defineret i Europa-Parlamentets og Rådets forordning (EF) nr. 883/2004</w:t>
            </w:r>
            <w:r w:rsidRPr="009D2EDD">
              <w:rPr>
                <w:rStyle w:val="Sup"/>
                <w:color w:val="auto"/>
              </w:rPr>
              <w:t>44</w:t>
            </w:r>
            <w:r w:rsidRPr="009D2EDD">
              <w:rPr>
                <w:color w:val="auto"/>
              </w:rPr>
              <w:t>, som dækker ydelser ved sygdom, ydelser ved moderskab og dermed ligestillede ydelser ved faderskab, ydelser ved invaliditet, ydelser ved alderdom, ydelser til efterladte, ydelser ved arbejdsulykker og erhvervssygdomme, ydelser ved dødsfald, ydelser ved arbejdsløshed, efterløn og familieydelser</w:t>
            </w:r>
          </w:p>
        </w:tc>
        <w:tc>
          <w:tcPr>
            <w:tcW w:w="4876" w:type="dxa"/>
          </w:tcPr>
          <w:p w:rsidR="00944CB0" w:rsidRPr="009D2EDD" w:rsidRDefault="001E7D6E">
            <w:pPr>
              <w:pStyle w:val="Normal6"/>
              <w:rPr>
                <w:color w:val="auto"/>
              </w:rPr>
            </w:pPr>
            <w:r w:rsidRPr="009D2EDD">
              <w:rPr>
                <w:color w:val="auto"/>
              </w:rPr>
              <w:t>17)</w:t>
            </w:r>
            <w:r w:rsidRPr="009D2EDD">
              <w:tab/>
            </w:r>
            <w:r w:rsidRPr="009D2EDD">
              <w:rPr>
                <w:color w:val="auto"/>
              </w:rPr>
              <w:t>"social sikring": de sociale sikringsgrene som defineret i Europa-Parlamentets og Rådets forordning (EF) nr. 883/2004</w:t>
            </w:r>
            <w:r w:rsidRPr="009D2EDD">
              <w:rPr>
                <w:rStyle w:val="Sup"/>
                <w:color w:val="auto"/>
              </w:rPr>
              <w:t>44</w:t>
            </w:r>
            <w:r w:rsidRPr="009D2EDD">
              <w:rPr>
                <w:color w:val="auto"/>
              </w:rPr>
              <w:t>;</w:t>
            </w:r>
          </w:p>
        </w:tc>
      </w:tr>
      <w:tr w:rsidR="00944CB0" w:rsidRPr="009D2EDD">
        <w:trPr>
          <w:jc w:val="center"/>
        </w:trPr>
        <w:tc>
          <w:tcPr>
            <w:tcW w:w="4876" w:type="dxa"/>
          </w:tcPr>
          <w:p w:rsidR="00944CB0" w:rsidRPr="009D2EDD" w:rsidRDefault="001E7D6E">
            <w:pPr>
              <w:pStyle w:val="Normal6"/>
              <w:rPr>
                <w:color w:val="auto"/>
              </w:rPr>
            </w:pPr>
            <w:r w:rsidRPr="009D2EDD">
              <w:rPr>
                <w:color w:val="auto"/>
              </w:rPr>
              <w:t>_________________</w:t>
            </w:r>
          </w:p>
        </w:tc>
        <w:tc>
          <w:tcPr>
            <w:tcW w:w="4876" w:type="dxa"/>
          </w:tcPr>
          <w:p w:rsidR="00944CB0" w:rsidRPr="009D2EDD" w:rsidRDefault="001E7D6E">
            <w:pPr>
              <w:pStyle w:val="Normal6"/>
              <w:rPr>
                <w:color w:val="auto"/>
              </w:rPr>
            </w:pPr>
            <w:r w:rsidRPr="009D2EDD">
              <w:rPr>
                <w:color w:val="auto"/>
              </w:rPr>
              <w:t>_________________</w:t>
            </w:r>
          </w:p>
        </w:tc>
      </w:tr>
      <w:tr w:rsidR="00944CB0" w:rsidRPr="009D2EDD">
        <w:trPr>
          <w:jc w:val="center"/>
        </w:trPr>
        <w:tc>
          <w:tcPr>
            <w:tcW w:w="4876" w:type="dxa"/>
          </w:tcPr>
          <w:p w:rsidR="00944CB0" w:rsidRPr="009D2EDD" w:rsidRDefault="001E7D6E">
            <w:pPr>
              <w:pStyle w:val="Normal6"/>
              <w:rPr>
                <w:color w:val="0000FA"/>
              </w:rPr>
            </w:pPr>
            <w:r w:rsidRPr="009D2EDD">
              <w:rPr>
                <w:rStyle w:val="Sup"/>
                <w:color w:val="auto"/>
              </w:rPr>
              <w:t>44</w:t>
            </w:r>
            <w:r w:rsidRPr="009D2EDD">
              <w:t>Europa-Parlamentets og Rådets forordning (EF) nr. 883/2004 af 29. april 2004 om koordinering af de sociale sikringsordninger (EUT L 166 af 30.4.2004, s. 1).</w:t>
            </w:r>
          </w:p>
        </w:tc>
        <w:tc>
          <w:tcPr>
            <w:tcW w:w="4876" w:type="dxa"/>
          </w:tcPr>
          <w:p w:rsidR="00944CB0" w:rsidRPr="009D2EDD" w:rsidRDefault="001E7D6E">
            <w:pPr>
              <w:pStyle w:val="Normal6"/>
              <w:rPr>
                <w:color w:val="auto"/>
              </w:rPr>
            </w:pPr>
            <w:r w:rsidRPr="009D2EDD">
              <w:rPr>
                <w:rStyle w:val="Sup"/>
                <w:color w:val="auto"/>
              </w:rPr>
              <w:t>44</w:t>
            </w:r>
            <w:r w:rsidRPr="009D2EDD">
              <w:t>Europa-Parlamentets og Rådets forordning (EF) nr. 883/2004 af 29. april 2004 om koordinering af de sociale sikringsordninger (EUT L 166 af 30.4.2004, s. 1).</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336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19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19)</w:t>
            </w:r>
            <w:r w:rsidRPr="009D2EDD">
              <w:tab/>
            </w:r>
            <w:r w:rsidRPr="009D2EDD">
              <w:rPr>
                <w:color w:val="auto"/>
              </w:rPr>
              <w:t>"værge": en person eller en organisation, der er udpeget af de kompetente organer til at bistå og repræsentere en uledsaget mindreårig i de procedurer, der er omhandlet i denne forordning, med henblik på at varetage barnets tarv og udøve retlig handleevne for den mindreårige, når det er nødvendigt.</w:t>
            </w:r>
          </w:p>
        </w:tc>
        <w:tc>
          <w:tcPr>
            <w:tcW w:w="4876" w:type="dxa"/>
          </w:tcPr>
          <w:p w:rsidR="00944CB0" w:rsidRPr="009D2EDD" w:rsidRDefault="001E7D6E">
            <w:pPr>
              <w:pStyle w:val="Normal6"/>
              <w:rPr>
                <w:color w:val="auto"/>
              </w:rPr>
            </w:pPr>
            <w:r w:rsidRPr="009D2EDD">
              <w:rPr>
                <w:color w:val="auto"/>
              </w:rPr>
              <w:t>19)</w:t>
            </w:r>
            <w:r w:rsidRPr="009D2EDD">
              <w:tab/>
            </w:r>
            <w:r w:rsidRPr="009D2EDD">
              <w:rPr>
                <w:color w:val="auto"/>
              </w:rPr>
              <w:t>"værge": en person eller en organisation, der er udpeget af de kompetente organer til at bistå og repræsentere en uledsaget mindreårig i de procedurer, der er omhandlet i dette direktiv, med henblik på at sikre barnets tarv og hans eller hendes generelle trivsel og udøve retlig handleevne for den mindreårige, når det er nødvendigt.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337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19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19)</w:t>
            </w:r>
            <w:r w:rsidRPr="009D2EDD">
              <w:tab/>
            </w:r>
            <w:r w:rsidRPr="009D2EDD">
              <w:rPr>
                <w:color w:val="auto"/>
              </w:rPr>
              <w:t>"værge": en person eller en organisation, der er udpeget af de kompetente organer til at bistå og repræsentere en uledsaget mindreårig i de procedurer, der er omhandlet i denne forordning, med henblik på at varetage barnets tarv og udøve retlig handleevne for den mindreårige, når det er nødvendigt.</w:t>
            </w:r>
          </w:p>
        </w:tc>
        <w:tc>
          <w:tcPr>
            <w:tcW w:w="4876" w:type="dxa"/>
          </w:tcPr>
          <w:p w:rsidR="00944CB0" w:rsidRPr="009D2EDD" w:rsidRDefault="001E7D6E">
            <w:pPr>
              <w:pStyle w:val="Normal6"/>
              <w:rPr>
                <w:color w:val="auto"/>
              </w:rPr>
            </w:pPr>
            <w:r w:rsidRPr="009D2EDD">
              <w:rPr>
                <w:color w:val="auto"/>
              </w:rPr>
              <w:t>19)</w:t>
            </w:r>
            <w:r w:rsidRPr="009D2EDD">
              <w:tab/>
            </w:r>
            <w:r w:rsidRPr="009D2EDD">
              <w:rPr>
                <w:color w:val="auto"/>
              </w:rPr>
              <w:t>"værge": en person eller en organisation, der er udpeget af de kompetente organer til at bistå og repræsentere en uledsaget mindreårig i de procedurer, der er omhandlet i denne forordning, med henblik på at sikre barnets tarv og hans eller hendes trivsel og udøve retlig handleevne for den mindreårige, når det er nødvendigt.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Harmonisering af definitioner og reference, jf. FN's konvention om barnets rettigheder, artikel 3.</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338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Kinga Gál</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2 – stk. 1 – nr. 19</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19)</w:t>
            </w:r>
            <w:r w:rsidRPr="009D2EDD">
              <w:tab/>
            </w:r>
            <w:r w:rsidRPr="009D2EDD">
              <w:rPr>
                <w:color w:val="auto"/>
              </w:rPr>
              <w:t>"værge": en person eller en organisation, der er udpeget af de kompetente organer til at bistå og repræsentere en uledsaget mindreårig i de procedurer, der er omhandlet i denne forordning, med henblik på at varetage barnets tarv og udøve retlig handleevne for den mindreårige, når det er nødvendigt.</w:t>
            </w:r>
          </w:p>
        </w:tc>
        <w:tc>
          <w:tcPr>
            <w:tcW w:w="4876" w:type="dxa"/>
          </w:tcPr>
          <w:p w:rsidR="00944CB0" w:rsidRPr="009D2EDD" w:rsidRDefault="001E7D6E">
            <w:pPr>
              <w:pStyle w:val="Normal6"/>
              <w:rPr>
                <w:color w:val="auto"/>
              </w:rPr>
            </w:pPr>
            <w:r w:rsidRPr="009D2EDD">
              <w:rPr>
                <w:color w:val="auto"/>
              </w:rPr>
              <w:t>19)</w:t>
            </w:r>
            <w:r w:rsidRPr="009D2EDD">
              <w:tab/>
            </w:r>
            <w:r w:rsidRPr="009D2EDD">
              <w:rPr>
                <w:color w:val="auto"/>
              </w:rPr>
              <w:t>"værge": en person eller en organisation, der er udpeget til at bistå og repræsentere en uledsaget mindreårig med henblik på at varetage barnets tarv og vedkommendes generelle forsorg i forbindelse med de procedurer, der er omhandlet i denne forordning, og udøve retlig handleevne for den mindreårige, når det er nødvendigt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339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3 – stk.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Denne forordning finder anvendelse på anerkendelse af tredjelandsstatsborgere eller statsløse som personer med international beskyttelse og indholdet af den internationale beskyttelse.</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 xml:space="preserve">Denne forordning finder anvendelse på anerkendelse af tredjelandsstatsborgere eller statsløse som personer med international beskyttelse og indholdet af den internationale beskyttelse. </w:t>
            </w:r>
            <w:r w:rsidRPr="009D2EDD">
              <w:rPr>
                <w:b/>
                <w:i/>
                <w:color w:val="auto"/>
              </w:rPr>
              <w:t>Bestemmelserne i artiklerne 15 og 21 i denne forordning gælde med tilbagevirkende kraft for personer under international beskyttelse, der endnu ikke har opbrugt gyldigheden af deres opholdstilladelse.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340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3 – stk.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Denne forordning finder anvendelse på anerkendelse af tredjelandsstatsborgere eller statsløse som personer med international beskyttelse og indholdet af den internationale beskyttelse.</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Dette direktiv finder anvendelse på anerkendelse af tredjelandsstatsborgere eller statsløse som personer med international beskyttelse og indholdet af den internationale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341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3 – stk.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Denne forordning finder ikke anvendelse på andre nationale humanitære statusser, der udstedes af medlemsstaterne i henhold til deres nationale ret til de personer, som ikke kan tildeles flygtningestatus eller subsidiær beskyttelsesstatus.</w:t>
            </w:r>
            <w:r w:rsidRPr="009D2EDD">
              <w:rPr>
                <w:b/>
                <w:i/>
                <w:color w:val="auto"/>
              </w:rPr>
              <w:t xml:space="preserve"> Hvis der udstedes sådanne statusser, skal de udstedes således, at de ikke medfører risiko for forveksling med international beskyttelse.</w:t>
            </w:r>
          </w:p>
        </w:tc>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Dette direktiv finder ikke anvendelse på andre nationale humanitære statusser, der udstedes af medlemsstaterne i henhold til deres nationale ret til de personer, som ikke kan tildeles flygtningestatus eller subsidiær beskyttelsesstatus.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342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3 – stk.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Denne forordning finder ikke anvendelse på andre nationale humanitære statusser, der udstedes af medlemsstaterne i henhold til deres nationale ret til de personer, som ikke kan tildeles flygtningestatus eller subsidiær beskyttelsesstatus.</w:t>
            </w:r>
            <w:r w:rsidRPr="009D2EDD">
              <w:rPr>
                <w:b/>
                <w:i/>
                <w:color w:val="auto"/>
              </w:rPr>
              <w:t xml:space="preserve"> Hvis der udstedes sådanne statusser, skal de udstedes således, at de ikke medfører risiko for forveksling med international beskyttelse.</w:t>
            </w:r>
          </w:p>
        </w:tc>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Denne forordning finder ikke anvendelse på andre nationale humanitære statusser, der udstedes af medlemsstaterne i henhold til deres nationale ret til de personer, som ikke kan tildeles flygtningestatus eller subsidiær beskyttelsesstatus.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Ændringsforslaget er i overensstemmelse med de tidligere ændringsforslag til betragtning 9.</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343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3 – stk. 2 a (nyt)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2a.</w:t>
            </w:r>
            <w:r w:rsidRPr="009D2EDD">
              <w:tab/>
            </w:r>
            <w:r w:rsidRPr="009D2EDD">
              <w:rPr>
                <w:b/>
                <w:i/>
                <w:color w:val="auto"/>
              </w:rPr>
              <w:t>samtidig er der ikke nogen generelt accepteret definition af miljømæssigt fordrevne personer på EU-plan, er dette ikke til hinder for, at medlemsstater, der yder beskyttelse til disse personer i henhold til deres egen nationale lovgivning eller praksis.</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344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 Helga Stevens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Ansøgeren skal forelægge alle til rådighed værende elementer, der underbygger den pågældendes ansøgning om international beskyttelse. Den pågældende ansøger skal samarbejde med den besluttende myndighed og være til stede og til rådighed under hele proceduren.</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 xml:space="preserve">Ansøgeren skal straks forelægge alle til rådighed værende elementer, der underbygger den pågældendes ansøgning om international beskyttelse. Den pågældende ansøger skal samarbejde med den besluttende myndighed og være til stede og til rådighed under hele proceduren. </w:t>
            </w:r>
            <w:r w:rsidRPr="009D2EDD">
              <w:rPr>
                <w:b/>
                <w:i/>
                <w:color w:val="auto"/>
              </w:rPr>
              <w:t>Enhver ulovligt ophold på medlemsstaternes område før indgivelse af en ansøgning om international beskyttelse skal undersøges som mulige tegn på motiver for ophold i Unionen til lovligt søger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345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Ansøgeren skal forelægge alle til rådighed værende elementer, der underbygger den pågældendes ansøgning om international beskyttelse. Den pågældende ansøger skal samarbejde med den besluttende myndighed og være til stede og til rådighed under hele proceduren.</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Ansøgeren skal forelægge alle til rådighed værende elementer, der underbygger den pågældendes ansøgning om international beskyttelse. Den besluttende myndighed og ansøgeren skal samarbejde under hele proceduren.</w:t>
            </w:r>
            <w:r w:rsidRPr="009D2EDD">
              <w:rPr>
                <w:b/>
                <w:i/>
                <w:color w:val="auto"/>
              </w:rPr>
              <w:t xml:space="preserve"> </w:t>
            </w:r>
            <w:r w:rsidRPr="009D2EDD">
              <w:rPr>
                <w:color w:val="auto"/>
              </w:rPr>
              <w:t xml:space="preserve">Ansøgeren bør være til stede og til rådighed under hele proceduren. </w:t>
            </w:r>
            <w:r w:rsidRPr="009D2EDD">
              <w:rPr>
                <w:b/>
                <w:i/>
                <w:color w:val="auto"/>
              </w:rPr>
              <w:t>Hvis ansøgeren ikke er til rådighed på et hvilket som helst tidspunkt i løbet af proceduren på grund af formildende omstændigheder, den særlige begrundelse bør tages i betragtning.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346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Alessandra Mussolini, Elissavet Vozemberg-Vrionidi, Frank Engel, Barbara Matera, Salvatore Domenico Pogliese, Carlos Coelho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Ansøgeren skal forelægge alle til rådighed værende elementer, der underbygger den pågældendes ansøgning om international beskyttelse. Den pågældende ansøger skal samarbejde med den besluttende myndighed og være til stede og til rådighed under hele proceduren.</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Den besluttende myndighed skal betragte det som ansøgerens pligt hurtigst muligt at forelægge alle de elementer, der er nødvendige for at underbygge hans ansøgning om international beskyttelse. I samarbejde med ansøgeren, som det påhviler den besluttende myndighed at vurdere de relevante elementer i ansøgningen.</w:t>
            </w:r>
            <w:r w:rsidRPr="009D2EDD">
              <w:rPr>
                <w:b/>
                <w:i/>
                <w:color w:val="auto"/>
              </w:rPr>
              <w:t xml:space="preserve"> </w:t>
            </w:r>
            <w:r w:rsidRPr="009D2EDD">
              <w:rPr>
                <w:color w:val="auto"/>
              </w:rPr>
              <w:t>Ansøgeren skal være til stede og til rådighed under hele proceduren.</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Den formulering, der er anvendt i art. 4(1) i direktiv 2011/95/EU synes at være bedre til at beskrive omfanget af ansvaret, som ansøgeren og den besluttende myndighed i forbindelse med vurderingen af kendsgerninger og omstændigheder.</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347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b/>
                <w:i/>
                <w:color w:val="auto"/>
              </w:rPr>
              <w:t xml:space="preserve">Ansøgeren skal forelægge alle til rådighed værende elementer, der underbygger den pågældendes ansøgning om international beskyttelse. </w:t>
            </w:r>
            <w:r w:rsidRPr="009D2EDD">
              <w:t>Den pågældende ansøger skal samarbejde med den besluttende myndighed og være til stede og til rådighed under hele proceduren.</w:t>
            </w:r>
          </w:p>
        </w:tc>
        <w:tc>
          <w:tcPr>
            <w:tcW w:w="4876" w:type="dxa"/>
          </w:tcPr>
          <w:p w:rsidR="00944CB0" w:rsidRPr="009D2EDD" w:rsidRDefault="001E7D6E">
            <w:pPr>
              <w:pStyle w:val="Normal6"/>
              <w:rPr>
                <w:color w:val="auto"/>
              </w:rPr>
            </w:pPr>
            <w:r w:rsidRPr="009D2EDD">
              <w:rPr>
                <w:color w:val="auto"/>
              </w:rPr>
              <w:t>1.</w:t>
            </w:r>
            <w:r w:rsidRPr="009D2EDD">
              <w:tab/>
              <w:t>Medlemsstaterne har pligt til i samarbejde med ansøgeren at vurdere de relevante elementer i ansøgningen.</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348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Ansøgeren skal forelægge alle til rådighed værende elementer, der underbygger den pågældendes ansøgning om international beskyttelse.</w:t>
            </w:r>
            <w:r w:rsidRPr="009D2EDD">
              <w:rPr>
                <w:b/>
                <w:i/>
                <w:color w:val="auto"/>
              </w:rPr>
              <w:t xml:space="preserve"> </w:t>
            </w:r>
            <w:r w:rsidRPr="009D2EDD">
              <w:rPr>
                <w:color w:val="auto"/>
              </w:rPr>
              <w:t>Den pågældende ansøger skal samarbejde med den besluttende myndighed og være til stede og til rådighed under hele proceduren.</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Ansøgeren skal forelægge alle til rådighed værende elementer, der underbygger den pågældendes ansøgning om international beskyttelse i samarbejde med de relevante nationale myndigheder.</w:t>
            </w:r>
            <w:r w:rsidRPr="009D2EDD">
              <w:rPr>
                <w:b/>
                <w:i/>
                <w:color w:val="auto"/>
              </w:rPr>
              <w:t xml:space="preserve"> </w:t>
            </w:r>
            <w:r w:rsidRPr="009D2EDD">
              <w:rPr>
                <w:color w:val="auto"/>
              </w:rPr>
              <w:t>De relevante nationale besluttende myndigheder bør samarbejde med sagsøgeren, og han eller hun være til stede og til rådighed under hele proceduren.</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349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De i stk. 1 nævnte elementer skal bestå af ansøgerens erklæringer og al anden for ansøgeren tilgængelig dokumentation om ansøgerens alder, baggrund, herunder eventuelle slægtninges baggrund, identitet, statsborgerskab(er), tidligere opholdssted(er) og -land(e), tidligere ansøgninger [om international beskyttelse og resultater af en eventuel fremskyndet genbosætningsprocedure som defineret i forordning (EU) XXX/XX [genbosætningsforordning]], rejseruter, rejsedokumenter samt grundene til, at vedkommende ansøger om international beskyttelse.</w:t>
            </w:r>
          </w:p>
        </w:tc>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De i stk. 1 nævnte elementer består af ansøgerens forklaringer og al anden for ansøgeren tilgængelig dokumentation om ansøgerens alder, baggrund, herunder eventuelle slægtninges baggrund, identitet, statsborgerskab(er), tidligere opholdssted(er) og -land(e), tidligere ansøgninger, rejserute, rejsedokumentation samt grundene til, at vedkommende ansøger om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350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De i stk. 1 nævnte elementer skal bestå af ansøgerens erklæringer og al anden for ansøgeren tilgængelig dokumentation om ansøgerens alder, baggrund, herunder eventuelle slægtninges baggrund, identitet, statsborgerskab(er), tidligere opholdssted(er) og -land(e), tidligere ansøgninger [om international beskyttelse og resultater af en eventuel fremskyndet genbosætningsprocedure som defineret i forordning (EU) XXX/XX [genbosætningsforordning]], rejseruter, rejsedokumenter samt grundene til, at vedkommende ansøger om international beskyttelse.</w:t>
            </w:r>
          </w:p>
        </w:tc>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De i stk. 1 nævnte elementer skal bestå af ansøgerens erklæringer og al anden for ansøgeren tilgængelig dokumentation om ansøgerens alder, baggrund, herunder eventuelle slægtninges baggrund, identitet, statsborgerskab(er), tidligere opholdssted(er) og -land(e), tidligere ansøgninger [om international beskyttelse og resultater af en eventuel fremskyndet genbosætningsprocedure, rejseruter, rejsedokumenter samt grundene til, at vedkommende ansøger om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351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Den besluttende myndighed vurderer de relevante elementer i ansøgningen i overensstemmelse med artikel 33 i forordning (EU) XXX/XXX [procedureforordning.]</w:t>
            </w:r>
          </w:p>
        </w:tc>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Den besluttende myndighed vurderer de relevante elementer i ansøgningen i overensstemmelse med artikel 33 forordning (EU) XXX/XXX [procedureforordning.] Ansøgeren skal underkastes en aldersvurdering ved brug af de nyeste videnskabelige metoder, når der er grund til at formode, at ansøgeren er en voksen, og han eller hun uden et solidt evidensgrundlag, mellem 15 og 17 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352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t>Den besluttende myndighed vurderer de relevante elementer i ansøgningen i overensstemmelse med artikel 33 i forordning (EU) XXX/XXX [procedureforordning.]</w:t>
            </w:r>
          </w:p>
        </w:tc>
        <w:tc>
          <w:tcPr>
            <w:tcW w:w="4876" w:type="dxa"/>
          </w:tcPr>
          <w:p w:rsidR="00944CB0" w:rsidRPr="009D2EDD" w:rsidRDefault="001E7D6E">
            <w:pPr>
              <w:pStyle w:val="Normal6"/>
              <w:rPr>
                <w:color w:val="auto"/>
              </w:rPr>
            </w:pPr>
            <w:r w:rsidRPr="009D2EDD">
              <w:rPr>
                <w:color w:val="auto"/>
              </w:rPr>
              <w:t>3.</w:t>
            </w:r>
            <w:r w:rsidRPr="009D2EDD">
              <w:tab/>
              <w:t>I samarbejde med ansøgeren, den besluttende myndighed vurderer de relevante elementer i ansøgningen om international beskyttelse i overensstemmelse med artikel 33 forordning (EU) XXX/XXX [procedureforordning.] og bearbejde alle de oplysninger, der er nødvendige for grundigt at vurdere ansøgningen om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353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t>Den besluttende myndighed vurderer de relevante elementer i ansøgningen i overensstemmelse med artikel 33 i forordning (EU) XXX/XXX [procedureforordning.]</w:t>
            </w:r>
          </w:p>
        </w:tc>
        <w:tc>
          <w:tcPr>
            <w:tcW w:w="4876" w:type="dxa"/>
          </w:tcPr>
          <w:p w:rsidR="00944CB0" w:rsidRPr="009D2EDD" w:rsidRDefault="001E7D6E">
            <w:pPr>
              <w:pStyle w:val="Normal6"/>
              <w:rPr>
                <w:color w:val="auto"/>
              </w:rPr>
            </w:pPr>
            <w:r w:rsidRPr="009D2EDD">
              <w:rPr>
                <w:color w:val="auto"/>
              </w:rPr>
              <w:t>3.</w:t>
            </w:r>
            <w:r w:rsidRPr="009D2EDD">
              <w:tab/>
              <w:t>I samarbejde med ansøgeren, den besluttende myndighed vurderer de relevante elementer i ansøgningen i overensstemmelse med artikel 33 forordning (EU) XXX/XXX [procedureforordning.]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Præcisering af formuleringen af denne artikel vil sikre, at et løbende samarbejde mellem begge parter opretholdes i asylproceduren, og holder sig således i overensstemmelse med Den Europæiske Menneskerettighedsdomstols standarder.</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354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w:t>
            </w:r>
            <w:r w:rsidRPr="009D2EDD">
              <w:tab/>
            </w:r>
            <w:r w:rsidRPr="009D2EDD">
              <w:rPr>
                <w:color w:val="auto"/>
              </w:rPr>
              <w:t>Hvis en ansøger allerede har været udsat for forfølgelse eller alvorlig overlast eller direkte trusler om sådan forfølgelse eller sådan overlast, skal det anses for at være en god grund til at antage, at ansøgeren har en velbegrundet frygt for forfølgelse eller løber en reel risiko for at lide alvorlig overlast, medmindre der er god grund til at antage, at sådan forfølgelse eller sådan overlast ikke vil gentage sig.</w:t>
            </w:r>
          </w:p>
        </w:tc>
        <w:tc>
          <w:tcPr>
            <w:tcW w:w="4876" w:type="dxa"/>
          </w:tcPr>
          <w:p w:rsidR="00944CB0" w:rsidRPr="009D2EDD" w:rsidRDefault="001E7D6E">
            <w:pPr>
              <w:pStyle w:val="Normal6"/>
              <w:rPr>
                <w:color w:val="auto"/>
              </w:rPr>
            </w:pPr>
            <w:r w:rsidRPr="009D2EDD">
              <w:rPr>
                <w:color w:val="auto"/>
              </w:rPr>
              <w:t>4.</w:t>
            </w:r>
            <w:r w:rsidRPr="009D2EDD">
              <w:tab/>
            </w:r>
            <w:r w:rsidRPr="009D2EDD">
              <w:rPr>
                <w:color w:val="auto"/>
              </w:rPr>
              <w:t>Det forhold, at en ansøger allerede har været udsat for forfølgelse eller alvorlig overlast eller direkte trusler om sådan forfølgelse eller sådan overlast, skal betragtes som en formode, at ansøgeren har en velbegrundet frygt for forfølgelse eller en reel risiko for at lide alvorlig overlast.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355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w:t>
            </w:r>
            <w:r w:rsidRPr="009D2EDD">
              <w:tab/>
            </w:r>
            <w:r w:rsidRPr="009D2EDD">
              <w:rPr>
                <w:color w:val="auto"/>
              </w:rPr>
              <w:t>Hvis en ansøger allerede har været udsat for forfølgelse eller alvorlig overlast eller direkte trusler om sådan forfølgelse eller sådan overlast, skal det anses for at være en god grund til at antage, at ansøgeren har en velbegrundet frygt for forfølgelse eller løber en reel risiko for at lide alvorlig overlast, medmindre der er god grund til at antage, at sådan forfølgelse eller sådan overlast ikke vil gentage sig.</w:t>
            </w:r>
          </w:p>
        </w:tc>
        <w:tc>
          <w:tcPr>
            <w:tcW w:w="4876" w:type="dxa"/>
          </w:tcPr>
          <w:p w:rsidR="00944CB0" w:rsidRPr="009D2EDD" w:rsidRDefault="001E7D6E">
            <w:pPr>
              <w:pStyle w:val="Normal6"/>
              <w:rPr>
                <w:color w:val="auto"/>
              </w:rPr>
            </w:pPr>
            <w:r w:rsidRPr="009D2EDD">
              <w:rPr>
                <w:color w:val="auto"/>
              </w:rPr>
              <w:t>4.</w:t>
            </w:r>
            <w:r w:rsidRPr="009D2EDD">
              <w:tab/>
            </w:r>
            <w:r w:rsidRPr="009D2EDD">
              <w:rPr>
                <w:color w:val="auto"/>
              </w:rPr>
              <w:t>Det forhold, at en ansøger allerede har været udsat for forfølgelse eller alvorlig overlast eller direkte trusler om sådan forfølgelse eller sådan overlast, skal betragtes som en formode, at ansøgeren har en velbegrundet frygt for forfølgelse eller en reel risiko for at lide alvorlig overlast.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356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4</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4.</w:t>
            </w:r>
            <w:r w:rsidRPr="009D2EDD">
              <w:tab/>
            </w:r>
            <w:r w:rsidRPr="009D2EDD">
              <w:rPr>
                <w:color w:val="auto"/>
              </w:rPr>
              <w:t>Hvis en ansøger allerede har været udsat for forfølgelse eller alvorlig overlast eller direkte trusler om sådan forfølgelse eller sådan overlast, skal det anses for at være en god grund til at antage, at ansøgeren har en velbegrundet frygt for forfølgelse eller løber en reel risiko for at lide alvorlig overlast, medmindre der er god grund til at antage, at sådan forfølgelse eller sådan overlast ikke vil gentage sig.</w:t>
            </w:r>
          </w:p>
        </w:tc>
        <w:tc>
          <w:tcPr>
            <w:tcW w:w="4876" w:type="dxa"/>
          </w:tcPr>
          <w:p w:rsidR="00944CB0" w:rsidRPr="009D2EDD" w:rsidRDefault="001E7D6E">
            <w:pPr>
              <w:pStyle w:val="Normal6"/>
              <w:rPr>
                <w:color w:val="auto"/>
              </w:rPr>
            </w:pPr>
            <w:r w:rsidRPr="009D2EDD">
              <w:rPr>
                <w:color w:val="auto"/>
              </w:rPr>
              <w:t>4.</w:t>
            </w:r>
            <w:r w:rsidRPr="009D2EDD">
              <w:tab/>
            </w:r>
            <w:r w:rsidRPr="009D2EDD">
              <w:rPr>
                <w:color w:val="auto"/>
              </w:rPr>
              <w:t>Hvis en ansøger allerede har været udsat for forfølgelse eller alvorlig overlast eller direkte trusler om sådan forfølgelse eller sådan overlast i sit oprindelsesland, skal det anses for at være en god grund til at antage, at ansøgeren har en velbegrundet frygt for forfølgelse eller løber en reel risiko for at lide alvorlig overlast, medmindre der er god grund til at antage, at sådan forfølgelse eller sådan overlast ikke vil gentage sig.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357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5 – indledning</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Hvis der er aspekter af ansøgerens erklæringer, der ikke er underbygget af dokumentation eller andre beviser, kræves der ingen yderligere beviser i forbindelse med disse aspekter, hvis følgende betingelser er opfyldt:</w:t>
            </w:r>
          </w:p>
        </w:tc>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 xml:space="preserve">Hvis der er aspekter af ansøgerens erklæringer, der ikke er underbygget af dokumentation eller andre beviser, kræves der ingen yderligere beviser i forbindelse med disse </w:t>
            </w:r>
            <w:r w:rsidR="00AA4696" w:rsidRPr="009D2EDD">
              <w:rPr>
                <w:color w:val="auto"/>
              </w:rPr>
              <w:t>aspekter, og</w:t>
            </w:r>
            <w:r w:rsidRPr="009D2EDD">
              <w:rPr>
                <w:color w:val="auto"/>
              </w:rPr>
              <w:t xml:space="preserve"> ansøgeren skal være omfattet af den tvivl, hvis følgende betingelser er opfyldt: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358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5 – indledning</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Hvis der er aspekter af ansøgerens erklæringer, der ikke er underbygget af dokumentation eller andre beviser, kræves der ingen yderligere beviser i forbindelse med disse aspekter, hvis følgende betingelser er opfyldt:</w:t>
            </w:r>
          </w:p>
        </w:tc>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Hvis der er aspekter af ansøgerens erklæringer, der ikke er underbygget af dokumentation eller andre beviser, kræves der ingen yderligere beviser i forbindelse med disse aspekter, og ansøgeren skal være omfattet af den tvivl, hvis følgende betingelser er opfyldt: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The benefit of the doubt principle is well-established in international refugee law and requires that where an applicant’s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individual’s declaration lacks credibility. The Court further clarified that all fundamental rights, including dignity and privacy, must be respected in the process</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359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5 – indledning</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Hvis der er aspekter af ansøgerens erklæringer, der ikke er underbygget af dokumentation eller andre beviser, kræves der ingen yderligere beviser i forbindelse med disse aspekter, hvis følgende betingelser er opfyldt:</w:t>
            </w:r>
          </w:p>
        </w:tc>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Hvis der er aspekter af ansøgerens erklæringer, der ikke er underbygget af dokumentation eller andre beviser, kræves der ingen yderligere beviser i forbindelse med disse aspekter, og ansøgeren skal være omfattet af den tvivl, hvis følgende betingelser er opfyldt: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360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5 – indledning</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Hvis der er aspekter af ansøgerens erklæringer, der ikke er underbygget af dokumentation eller andre beviser, kræves der ingen yderligere beviser i forbindelse med disse aspekter, hvis følgende betingelser er opfyldt:</w:t>
            </w:r>
          </w:p>
        </w:tc>
        <w:tc>
          <w:tcPr>
            <w:tcW w:w="4876" w:type="dxa"/>
          </w:tcPr>
          <w:p w:rsidR="00944CB0" w:rsidRPr="009D2EDD" w:rsidRDefault="001E7D6E">
            <w:pPr>
              <w:pStyle w:val="Normal6"/>
              <w:rPr>
                <w:color w:val="auto"/>
              </w:rPr>
            </w:pPr>
            <w:r w:rsidRPr="009D2EDD">
              <w:rPr>
                <w:color w:val="auto"/>
              </w:rPr>
              <w:t>5.</w:t>
            </w:r>
            <w:r w:rsidRPr="009D2EDD">
              <w:tab/>
            </w:r>
            <w:r w:rsidRPr="009D2EDD">
              <w:rPr>
                <w:color w:val="auto"/>
              </w:rPr>
              <w:t>Hvis der er aspekter af ansøgerens erklæringer, der ikke er underbygget af dokumentation eller andre beviser, kan kræves yderligere beviser i forbindelse med disse aspekter, hvis følgende betingelser er opfyldt: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361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5 – litra a</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a)</w:t>
            </w:r>
            <w:r w:rsidRPr="009D2EDD">
              <w:tab/>
            </w:r>
            <w:r w:rsidRPr="009D2EDD">
              <w:rPr>
                <w:b/>
                <w:i/>
                <w:color w:val="auto"/>
              </w:rPr>
              <w:t>ansøgeren har oprigtigt bestræbt sig på at underbygge sin ansøgning</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Udtrykket "reel" er alt for uklart og subjektivt.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362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5 – litra b</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b)</w:t>
            </w:r>
            <w:r w:rsidRPr="009D2EDD">
              <w:tab/>
            </w:r>
            <w:r w:rsidRPr="009D2EDD">
              <w:rPr>
                <w:color w:val="auto"/>
              </w:rPr>
              <w:t>alle de relevante elementer, som ansøgeren råder over, er blevet forelagt, og der er givet en tilfredsstillende forklaring på eventuelle manglende relevante elementer</w:t>
            </w:r>
          </w:p>
        </w:tc>
        <w:tc>
          <w:tcPr>
            <w:tcW w:w="4876" w:type="dxa"/>
          </w:tcPr>
          <w:p w:rsidR="00944CB0" w:rsidRPr="009D2EDD" w:rsidRDefault="001E7D6E">
            <w:pPr>
              <w:pStyle w:val="Normal6"/>
              <w:rPr>
                <w:color w:val="auto"/>
              </w:rPr>
            </w:pPr>
            <w:r w:rsidRPr="009D2EDD">
              <w:rPr>
                <w:color w:val="auto"/>
              </w:rPr>
              <w:t>b)</w:t>
            </w:r>
            <w:r w:rsidRPr="009D2EDD">
              <w:tab/>
            </w:r>
            <w:r w:rsidRPr="009D2EDD">
              <w:rPr>
                <w:color w:val="auto"/>
              </w:rPr>
              <w:t>alle de relevante elementer, som ansøgeren råder over, er blevet forelagt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Se begrundelsen til artikel 4, stk. 5</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363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5 – litra b</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b)</w:t>
            </w:r>
            <w:r w:rsidRPr="009D2EDD">
              <w:tab/>
            </w:r>
            <w:r w:rsidRPr="009D2EDD">
              <w:rPr>
                <w:color w:val="auto"/>
              </w:rPr>
              <w:t>alle de relevante elementer, som ansøgeren råder over, er blevet forelagt, og der er givet en tilfredsstillende forklaring på eventuelle manglende relevante elementer</w:t>
            </w:r>
          </w:p>
        </w:tc>
        <w:tc>
          <w:tcPr>
            <w:tcW w:w="4876" w:type="dxa"/>
          </w:tcPr>
          <w:p w:rsidR="00944CB0" w:rsidRPr="009D2EDD" w:rsidRDefault="001E7D6E">
            <w:pPr>
              <w:pStyle w:val="Normal6"/>
              <w:rPr>
                <w:color w:val="auto"/>
              </w:rPr>
            </w:pPr>
            <w:r w:rsidRPr="009D2EDD">
              <w:rPr>
                <w:color w:val="auto"/>
              </w:rPr>
              <w:t>b)</w:t>
            </w:r>
            <w:r w:rsidRPr="009D2EDD">
              <w:tab/>
            </w:r>
            <w:r w:rsidRPr="009D2EDD">
              <w:rPr>
                <w:color w:val="auto"/>
              </w:rPr>
              <w:t>alle de relevante elementer, som ansøgeren råder over, er blevet forelagt;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364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5 – litra d</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d)</w:t>
            </w:r>
            <w:r w:rsidRPr="009D2EDD">
              <w:tab/>
            </w:r>
            <w:r w:rsidRPr="009D2EDD">
              <w:rPr>
                <w:b/>
                <w:i/>
                <w:color w:val="auto"/>
              </w:rPr>
              <w:t>ansøgeren har ansøgt om international beskyttelse så tidligt som muligt, medmindre vedkommende kan godtgøre at have haft god grund til ikke at gøre dette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365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5 – litra d</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d)</w:t>
            </w:r>
            <w:r w:rsidRPr="009D2EDD">
              <w:tab/>
            </w:r>
            <w:r w:rsidRPr="009D2EDD">
              <w:rPr>
                <w:b/>
                <w:i/>
                <w:color w:val="auto"/>
              </w:rPr>
              <w:t>ansøgeren har ansøgt om international beskyttelse så tidligt som muligt, medmindre vedkommende kan godtgøre at have haft god grund til ikke at gøre dette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366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5 – litra d</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d)</w:t>
            </w:r>
            <w:r w:rsidRPr="009D2EDD">
              <w:tab/>
            </w:r>
            <w:r w:rsidRPr="009D2EDD">
              <w:rPr>
                <w:b/>
                <w:i/>
                <w:color w:val="auto"/>
              </w:rPr>
              <w:t>ansøgeren har ansøgt om international beskyttelse så tidligt som muligt, medmindre vedkommende kan godtgøre at have haft god grund til ikke at gøre dette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Skyggeordføreren er enig med ordføreren i, at der er mange grunde til, at en ansøger ikke søger international beskyttelse omgående. Spørgsmålet om, hvorvidt ansøgeren har ansøgt om international beskyttelse så tidligt som muligt, bør ikke være afgørende for, hvilken vægt der tillægges en ansøgers erklæringer.</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367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Monika Hohlmeier</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5 – litra d</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d)</w:t>
            </w:r>
            <w:r w:rsidRPr="009D2EDD">
              <w:tab/>
            </w:r>
            <w:r w:rsidRPr="009D2EDD">
              <w:rPr>
                <w:color w:val="auto"/>
              </w:rPr>
              <w:t>ansøgeren har ansøgt om international beskyttelse så tidligt som muligt, medmindre vedkommende kan godtgøre at have haft god grund til ikke at gøre dette</w:t>
            </w:r>
          </w:p>
        </w:tc>
        <w:tc>
          <w:tcPr>
            <w:tcW w:w="4876" w:type="dxa"/>
          </w:tcPr>
          <w:p w:rsidR="00944CB0" w:rsidRPr="009D2EDD" w:rsidRDefault="001E7D6E">
            <w:pPr>
              <w:pStyle w:val="Normal6"/>
              <w:rPr>
                <w:color w:val="auto"/>
              </w:rPr>
            </w:pPr>
            <w:r w:rsidRPr="009D2EDD">
              <w:rPr>
                <w:color w:val="auto"/>
              </w:rPr>
              <w:t>d)</w:t>
            </w:r>
            <w:r w:rsidRPr="009D2EDD">
              <w:tab/>
            </w:r>
            <w:r w:rsidRPr="009D2EDD">
              <w:rPr>
                <w:color w:val="auto"/>
              </w:rPr>
              <w:t>ansøgeren har indgivet sin ansøgning om international beskyttelse så tidligt som muligt;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368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 Helga Stevens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5 – litra d</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d)</w:t>
            </w:r>
            <w:r w:rsidRPr="009D2EDD">
              <w:tab/>
            </w:r>
            <w:r w:rsidRPr="009D2EDD">
              <w:rPr>
                <w:color w:val="auto"/>
              </w:rPr>
              <w:t>ansøgeren har ansøgt om international beskyttelse så tidligt som muligt, medmindre vedkommende kan godtgøre at have haft god grund til ikke at gøre dette</w:t>
            </w:r>
          </w:p>
        </w:tc>
        <w:tc>
          <w:tcPr>
            <w:tcW w:w="4876" w:type="dxa"/>
          </w:tcPr>
          <w:p w:rsidR="00944CB0" w:rsidRPr="009D2EDD" w:rsidRDefault="001E7D6E">
            <w:pPr>
              <w:pStyle w:val="Normal6"/>
              <w:rPr>
                <w:color w:val="auto"/>
              </w:rPr>
            </w:pPr>
            <w:r w:rsidRPr="009D2EDD">
              <w:rPr>
                <w:color w:val="auto"/>
              </w:rPr>
              <w:t>d)</w:t>
            </w:r>
            <w:r w:rsidRPr="009D2EDD">
              <w:tab/>
            </w:r>
            <w:r w:rsidRPr="009D2EDD">
              <w:rPr>
                <w:color w:val="auto"/>
              </w:rPr>
              <w:t>ansøgeren har indgivet sin ansøgning om international beskyttelse så tidligt som muligt;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369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4 – stk. 5 – litra e</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e)</w:t>
            </w:r>
            <w:r w:rsidRPr="009D2EDD">
              <w:tab/>
            </w:r>
            <w:r w:rsidRPr="009D2EDD">
              <w:rPr>
                <w:b/>
                <w:i/>
                <w:color w:val="auto"/>
              </w:rPr>
              <w:t>ansøgerens almindelige troværdighed er slået fast.</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370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5 – stk.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En velbegrundet frygt for forfølgelse eller en reel risiko for at lide alvorlig overlast kan være baseret på begivenheder, der har fundet sted, efter at ansøgeren har forladt oprindelseslandet.</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En frygt for forfølgelse eller en reel risiko for at lide alvorlig overlast kan være baseret på begivenheder, der har fundet sted, efter at ansøgeren har forladt oprindelseslandet.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371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5 – stk.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En velbegrundet frygt for forfølgelse eller en reel risiko for at lide alvorlig overlast kan være baseret på begivenheder, der har fundet sted, efter at ansøgeren har forladt oprindelseslandet.</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En velbegrundet frygt for forfølgelse eller en reel risiko for at lide alvorlig overlast kan være baseret på begivenheder, der har fundet sted i oprindelseslandet.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372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Beatrix von Storch</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5 – stk.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2.</w:t>
            </w:r>
            <w:r w:rsidRPr="009D2EDD">
              <w:tab/>
            </w:r>
            <w:r w:rsidRPr="009D2EDD">
              <w:rPr>
                <w:b/>
                <w:i/>
                <w:color w:val="auto"/>
              </w:rPr>
              <w:t>En velbegrundet frygt for forfølgelse eller en reel risiko for at lide alvorlig overlast kan være baseret på aktiviteter, som ansøgeren har deltaget i, efter at den pågældende har forladt oprindelseslandet, navnlig hvis det er godtgjort, at de tilgrundliggende aktiviteter er et udtryk for og en videreførelse af overbevisninger eller holdninger, som ansøgeren havde i oprindelseslandet.</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Sletningen er i overensstemmelse med ændringsforslaget til artikel 5 — stk. 1</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373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 Helga Stevens</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5 – stk.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2.</w:t>
            </w:r>
            <w:r w:rsidRPr="009D2EDD">
              <w:tab/>
            </w:r>
            <w:r w:rsidRPr="009D2EDD">
              <w:rPr>
                <w:b/>
                <w:i/>
                <w:color w:val="auto"/>
              </w:rPr>
              <w:t>En velbegrundet frygt for forfølgelse eller en reel risiko for at lide alvorlig overlast kan være baseret på aktiviteter, som ansøgeren har deltaget i, efter at den pågældende har forladt oprindelseslandet, navnlig hvis det er godtgjort, at de tilgrundliggende aktiviteter er et udtryk for og en videreførelse af overbevisninger eller holdninger, som ansøgeren havde i oprindelseslandet.</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374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Alessandra Mussolini, Elissavet Vozemberg-Vrionidi, Frank Engel, Barbara Matera, Salvatore Domenico Pogliese, Emil Radev</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5 – stk. 2 a (nyt)</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944CB0">
            <w:pPr>
              <w:pStyle w:val="Normal6"/>
              <w:rPr>
                <w:color w:val="auto"/>
              </w:rPr>
            </w:pPr>
          </w:p>
        </w:tc>
        <w:tc>
          <w:tcPr>
            <w:tcW w:w="4876" w:type="dxa"/>
          </w:tcPr>
          <w:p w:rsidR="00944CB0" w:rsidRPr="009D2EDD" w:rsidRDefault="001E7D6E">
            <w:pPr>
              <w:pStyle w:val="Normal6"/>
              <w:rPr>
                <w:color w:val="auto"/>
              </w:rPr>
            </w:pPr>
            <w:r w:rsidRPr="009D2EDD">
              <w:rPr>
                <w:b/>
                <w:i/>
                <w:color w:val="auto"/>
              </w:rPr>
              <w:t>2a.</w:t>
            </w:r>
            <w:r w:rsidRPr="009D2EDD">
              <w:tab/>
            </w:r>
            <w:r w:rsidRPr="009D2EDD">
              <w:rPr>
                <w:b/>
                <w:i/>
                <w:color w:val="auto"/>
              </w:rPr>
              <w:t>ved behandlingen af ansøgningen om international beskyttelse den besluttende myndighed vurderer, om sagsøgeren bevidst har forholdt sig på en måde, som er afgørende for hans/hendes forfølgelse i hjemlandet, udelukkende eller hovedsagelig havde til formål at skabe de nødvendige betingelser for at indgive ansøgning om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Det er nødvendigt at skabe betingelserne for at forhindre enhver form for misbrug af det fælles europæiske asylsystem, som ansøgere om international beskyttelse.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375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5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3.</w:t>
            </w:r>
            <w:r w:rsidRPr="009D2EDD">
              <w:tab/>
            </w:r>
            <w:r w:rsidRPr="009D2EDD">
              <w:rPr>
                <w:b/>
                <w:i/>
                <w:color w:val="auto"/>
              </w:rPr>
              <w:t>Med forbehold af bestemmelserne i Genèvekonventionen og den europæiske menneskerettighedskonvention skal en ansøger, der indgiver en efterfølgende ansøgning i overensstemmelse med artikel 42 i forordning (EU) XXX/XXX [procedureforordning], almindeligvis ikke tildeles flygtningestatus, hvis risikoen for forfølgelse skyldes omstændigheder, som ansøgeren selv har forårsaget, efter at vedkommende forlod oprindelseslandet.</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376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5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r>
            <w:r w:rsidRPr="009D2EDD">
              <w:rPr>
                <w:b/>
                <w:i/>
                <w:color w:val="auto"/>
              </w:rPr>
              <w:t>Med forbehold af bestemmelserne i Genèvekonventionen og den europæiske menneskerettighedskonvention skal en ansøger, der indgiver en efterfølgende ansøgning i overensstemmelse med artikel 42 i forordning (EU) XXX/XXX [procedureforordning], almindeligvis ikke tildeles flygtningestatus, hvis risikoen for forfølgelse skyldes omstændigheder, som ansøgeren selv har forårsaget, efter at vedkommende forlod oprindelseslandet.</w:t>
            </w:r>
          </w:p>
        </w:tc>
        <w:tc>
          <w:tcPr>
            <w:tcW w:w="4876" w:type="dxa"/>
          </w:tcPr>
          <w:p w:rsidR="00944CB0" w:rsidRPr="009D2EDD" w:rsidRDefault="001E7D6E">
            <w:pPr>
              <w:pStyle w:val="Normal6"/>
              <w:rPr>
                <w:color w:val="auto"/>
              </w:rPr>
            </w:pPr>
            <w:r w:rsidRPr="009D2EDD">
              <w:rPr>
                <w:color w:val="auto"/>
              </w:rPr>
              <w:t>3.</w:t>
            </w:r>
            <w:r w:rsidRPr="009D2EDD">
              <w:tab/>
            </w: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Gennem artikel 5, stk. 3, selv når formuleret som en fakultativ bestemmelse, at forslaget risikerer at nægte international beskyttelse til personer, som har en velbegrundet frygt for forfølgelse eller risiko for alvorlig overlast gennem et retligt irrelevant og pr. definition meget subjektiv vurdering af, om de forsøgte at skabe betingelser for ret til international beskyttelse.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377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5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t>Med forbehold af bestemmelserne i Genèvekonventionen og den europæiske menneskerettighedskonvention skal en ansøger, der indgiver en efterfølgende ansøgning i overensstemmelse med artikel 42 i forordning (EU) XXX/XXX [procedureforordning], almindeligvis ikke tildeles flygtningestatus, hvis risikoen for forfølgelse skyldes omstændigheder, som ansøgeren selv har forårsaget, efter at vedkommende forlod oprindelseslandet.</w:t>
            </w:r>
          </w:p>
        </w:tc>
        <w:tc>
          <w:tcPr>
            <w:tcW w:w="4876" w:type="dxa"/>
          </w:tcPr>
          <w:p w:rsidR="00944CB0" w:rsidRPr="009D2EDD" w:rsidRDefault="001E7D6E">
            <w:pPr>
              <w:pStyle w:val="Normal6"/>
              <w:rPr>
                <w:color w:val="auto"/>
              </w:rPr>
            </w:pPr>
            <w:r w:rsidRPr="009D2EDD">
              <w:rPr>
                <w:color w:val="auto"/>
              </w:rPr>
              <w:t>3.</w:t>
            </w:r>
            <w:r w:rsidRPr="009D2EDD">
              <w:tab/>
              <w:t>Såfremt alle afgørelser træffes fuldstændig på linje med bestemmelserne i Genèvekonventionen, den europæiske konvention til beskyttelse af menneskerettigheder og grundlæggende frihedsrettigheder og Den Europæiske Unions charter om grundlæggende rettigheder, kan en ansøger, der indgiver en efterfølgende ansøgning i overensstemmelse med artikel 42 i forordning (EU) XXX/XXX [procedureforordning], få afslag på tildeling af flygtningestatus, hvis risikoen for forfølgelse skyldes omstændigheder, som ansøgeren selv har forårsaget, efter at vedkommende forlod oprindelseslandet.</w:t>
            </w:r>
            <w:r w:rsidRPr="009D2EDD">
              <w:rPr>
                <w:color w:val="auto"/>
              </w:rPr>
              <w:t xml:space="preserve"> </w:t>
            </w:r>
            <w:r w:rsidRPr="009D2EDD">
              <w:rPr>
                <w:b/>
                <w:i/>
                <w:color w:val="auto"/>
              </w:rPr>
              <w:t>Dette udelukker alle omstændigheder uafhængige af ansøgerens beslutningsproces, herunder, men ikke begrænset til deres seksuelle orientering, og religiøse overbevisning, som han eller hun måtte have åbenbart fulgt i forskelligt omfang i oprindelseslandet.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378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5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Med forbehold af bestemmelserne i Genèvekonventionen og den europæiske menneskerettighedskonvention skal en ansøger, der indgiver en efterfølgende ansøgning i overensstemmelse med artikel 42 i forordning (EU) XXX/XXX [procedureforordning], almindeligvis ikke tildeles flygtningestatus, hvis risikoen for forfølgelse skyldes omstændigheder, som ansøgeren selv har forårsaget, efter at vedkommende forlod oprindelseslandet.</w:t>
            </w:r>
          </w:p>
        </w:tc>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Med forbehold af bestemmelserne i Genèvekonventionen og den europæiske menneskerettighedskonvention skal en ansøger, der indgiver en ansøgning om international beskyttelse, som hovedregel ikke skal indrømmes flygtningestatus eller subsidiær beskyttelsesstatus, hvis risikoen for forfølgelse eller alvorlig overlast skyldes omstændigheder, som ansøgeren har skabt af hans eller hendes egen beslutning, siden han forlod oprindelseslandet.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379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Alessandra Mussolini, Elissavet Vozemberg-Vrionidi, Frank Engel, Barbara Matera, Salvatore Domenico Pogliese, Emil Radev</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5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Med forbehold af bestemmelserne i Genèvekonventionen og den europæiske menneskerettighedskonvention skal en ansøger, der indgiver en efterfølgende ansøgning i overensstemmelse med artikel 42 i forordning (EU) XXX/XXX [procedureforordning], almindeligvis ikke tildeles flygtningestatus, hvis risikoen for forfølgelse skyldes omstændigheder, som ansøgeren selv har forårsaget, efter at vedkommende forlod oprindelseslandet.</w:t>
            </w:r>
          </w:p>
        </w:tc>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Med forbehold af bestemmelserne i Genèvekonventionen og den europæiske menneskerettighedskonvention skal en ansøger, der indgiver en efterfølgende ansøgning, almindeligvis ikke tildeles flygtningestatus, hvis risikoen for forfølgelse skyldes omstændigheder, som ansøgeren selv har forårsaget, efter at vedkommende forlod oprindelseslandet for den eneste og vigtigste med henblik på at blive indrømmet international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Det er nødvendigt at skabe betingelserne for at forhindre enhver form for misbrug af det fælles europæiske asylsystem, som ansøgere om international beskyttelse.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380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6 – stk. 1 – indledning</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Aktører, der kan stå bag forfølgelse eller alvorlig overlast, omfatter kun:</w:t>
            </w:r>
          </w:p>
        </w:tc>
        <w:tc>
          <w:tcPr>
            <w:tcW w:w="4876" w:type="dxa"/>
          </w:tcPr>
          <w:p w:rsidR="00944CB0" w:rsidRPr="009D2EDD" w:rsidRDefault="001E7D6E">
            <w:pPr>
              <w:pStyle w:val="Normal6"/>
              <w:rPr>
                <w:color w:val="auto"/>
              </w:rPr>
            </w:pPr>
            <w:r w:rsidRPr="009D2EDD">
              <w:rPr>
                <w:color w:val="auto"/>
              </w:rPr>
              <w:t>Aktører, der kan stå bag forfølgelse eller alvorlig overlast, omfatter: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381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6 – stk. 1 – indledning</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Aktører, der kan stå bag forfølgelse eller alvorlig overlast, omfatter kun:</w:t>
            </w:r>
          </w:p>
        </w:tc>
        <w:tc>
          <w:tcPr>
            <w:tcW w:w="4876" w:type="dxa"/>
          </w:tcPr>
          <w:p w:rsidR="00944CB0" w:rsidRPr="009D2EDD" w:rsidRDefault="001E7D6E">
            <w:pPr>
              <w:pStyle w:val="Normal6"/>
              <w:rPr>
                <w:color w:val="auto"/>
              </w:rPr>
            </w:pPr>
            <w:r w:rsidRPr="009D2EDD">
              <w:rPr>
                <w:color w:val="auto"/>
              </w:rPr>
              <w:t>Aktører, der kan stå bag forfølgelse eller alvorlig overlast, er navnlig:</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382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Lorenzo Fontana</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6 – stk. 1 – litra b</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b)</w:t>
            </w:r>
            <w:r w:rsidRPr="009D2EDD">
              <w:tab/>
            </w:r>
            <w:r w:rsidRPr="009D2EDD">
              <w:rPr>
                <w:color w:val="auto"/>
              </w:rPr>
              <w:t>parter eller organisationer, der kontrollerer staten eller en væsentlig del af dens område</w:t>
            </w:r>
          </w:p>
        </w:tc>
        <w:tc>
          <w:tcPr>
            <w:tcW w:w="4876" w:type="dxa"/>
          </w:tcPr>
          <w:p w:rsidR="00944CB0" w:rsidRPr="009D2EDD" w:rsidRDefault="001E7D6E">
            <w:pPr>
              <w:pStyle w:val="Normal6"/>
              <w:rPr>
                <w:color w:val="auto"/>
              </w:rPr>
            </w:pPr>
            <w:r w:rsidRPr="009D2EDD">
              <w:rPr>
                <w:color w:val="auto"/>
              </w:rPr>
              <w:t>b)</w:t>
            </w:r>
            <w:r w:rsidRPr="009D2EDD">
              <w:tab/>
            </w:r>
            <w:r w:rsidRPr="009D2EDD">
              <w:rPr>
                <w:color w:val="auto"/>
              </w:rPr>
              <w:t>parter eller terrororganisationer, der kontrollerer staten eller en væsentlig del af dens område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383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6 – stk. 1 – litra c</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c)</w:t>
            </w:r>
            <w:r w:rsidRPr="009D2EDD">
              <w:tab/>
            </w:r>
            <w:r w:rsidRPr="009D2EDD">
              <w:rPr>
                <w:color w:val="auto"/>
              </w:rPr>
              <w:t>ikke-statslige aktører, hvis det kan påvises, at de i litra a) og b) nævnte aktører, herunder internationale organisationer, ikke kan eller ikke vil tilbyde beskyttelse mod forfølgelse eller alvorlig overlast som omhandlet i artikel 7.</w:t>
            </w:r>
          </w:p>
        </w:tc>
        <w:tc>
          <w:tcPr>
            <w:tcW w:w="4876" w:type="dxa"/>
          </w:tcPr>
          <w:p w:rsidR="00944CB0" w:rsidRPr="009D2EDD" w:rsidRDefault="001E7D6E">
            <w:pPr>
              <w:pStyle w:val="Normal6"/>
              <w:rPr>
                <w:color w:val="auto"/>
              </w:rPr>
            </w:pPr>
            <w:r w:rsidRPr="009D2EDD">
              <w:rPr>
                <w:color w:val="auto"/>
              </w:rPr>
              <w:t>c)</w:t>
            </w:r>
            <w:r w:rsidRPr="009D2EDD">
              <w:tab/>
            </w:r>
            <w:r w:rsidRPr="009D2EDD">
              <w:rPr>
                <w:color w:val="auto"/>
              </w:rPr>
              <w:t>ikke-statslige aktører, bortset fra kriminelle organisationer eller terrororganisationer, hvor ansøgeren er eller har været involveret i frivilligt, hvis det kan påvises, at de aktører, der er nævnt i litra a) og b), herunder internationale organisationer, ikke kan eller ikke vil tilbyde beskyttelse mod forfølgelse eller alvorlig overlast som omhandlet i artikel 7.</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384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1 – indledning</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Beskyttelsen mod forfølgelse og alvorlig overlast kan kun ydes af følgende aktører:</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Beskyttelsen mod forfølgelse og alvorlig overlast kan kun ydes af:</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385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1 – litra b</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b)</w:t>
            </w:r>
            <w:r w:rsidRPr="009D2EDD">
              <w:tab/>
            </w:r>
            <w:r w:rsidRPr="009D2EDD">
              <w:rPr>
                <w:b/>
                <w:i/>
                <w:color w:val="auto"/>
              </w:rPr>
              <w:t>parter eller organisationer, herunder internationale organisationer, der kontroller staten eller en væsentlig del af dens område</w:t>
            </w:r>
          </w:p>
        </w:tc>
        <w:tc>
          <w:tcPr>
            <w:tcW w:w="4876" w:type="dxa"/>
          </w:tcPr>
          <w:p w:rsidR="00944CB0" w:rsidRPr="009D2EDD" w:rsidRDefault="001E7D6E">
            <w:pPr>
              <w:pStyle w:val="Normal6"/>
              <w:rPr>
                <w:color w:val="auto"/>
              </w:rPr>
            </w:pPr>
            <w:r w:rsidRPr="009D2EDD">
              <w:rPr>
                <w:b/>
                <w:i/>
                <w:color w:val="auto"/>
              </w:rPr>
              <w:t>udgår</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forudsat de er villige til og i stand til at yde beskyttelse i overensstemmelse med stk. 2.</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I overensstemmelse med artikel 1A(2) i konventionen om flygtninges retsstilling, undertegnet i Genève den 28. juli 1951, som ændret ved New York-protokollen af 31. januar 1967.</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386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1 – litra b</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b)</w:t>
            </w:r>
            <w:r w:rsidRPr="009D2EDD">
              <w:tab/>
            </w:r>
            <w:r w:rsidRPr="009D2EDD">
              <w:rPr>
                <w:b/>
                <w:i/>
                <w:color w:val="auto"/>
              </w:rPr>
              <w:t>parter eller organisationer, herunder internationale organisationer, der kontroller staten eller en væsentlig del af dens område</w:t>
            </w:r>
          </w:p>
        </w:tc>
        <w:tc>
          <w:tcPr>
            <w:tcW w:w="4876" w:type="dxa"/>
          </w:tcPr>
          <w:p w:rsidR="00944CB0" w:rsidRPr="009D2EDD" w:rsidRDefault="001E7D6E">
            <w:pPr>
              <w:pStyle w:val="Normal6"/>
              <w:rPr>
                <w:color w:val="auto"/>
              </w:rPr>
            </w:pPr>
            <w:r w:rsidRPr="009D2EDD">
              <w:rPr>
                <w:b/>
                <w:i/>
                <w:color w:val="auto"/>
              </w:rPr>
              <w:t>udgår</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forudsat de er villige til og i stand til at yde beskyttelse i overensstemmelse med stk. 2.</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According to the 1951 refugee convention, as amended in 1967, the only protection actor is the State [Art. 1A(2)]:</w:t>
      </w:r>
    </w:p>
    <w:p w:rsidR="00944CB0" w:rsidRPr="009D2EDD" w:rsidRDefault="001E7D6E">
      <w:pPr>
        <w:pStyle w:val="Normal12Italic"/>
      </w:pPr>
      <w:r w:rsidRPr="009D2EDD">
        <w:t>“For the purposes of the present Convention, the term “refugee” shall apply to any person who:</w:t>
      </w:r>
    </w:p>
    <w:p w:rsidR="00944CB0" w:rsidRPr="009D2EDD" w:rsidRDefault="001E7D6E">
      <w:pPr>
        <w:pStyle w:val="Normal12Italic"/>
      </w:pPr>
      <w:r w:rsidRPr="009D2EDD">
        <w:t>…</w:t>
      </w:r>
    </w:p>
    <w:p w:rsidR="00944CB0" w:rsidRPr="009D2EDD" w:rsidRDefault="001E7D6E">
      <w:pPr>
        <w:pStyle w:val="Normal12Italic"/>
      </w:pPr>
      <w:r w:rsidRPr="009D2EDD">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387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1 – litra b – nr.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parter eller organisationer, herunder internationale organisationer, der kontroller staten eller en væsentlig del af dens område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388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1 – litra b – nr.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parter eller organisationer, herunder internationale organisationer, der kontroller staten eller en væsentlig del af dens område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I henhold til den i 1951, om aktøren er den eneste beskyttelse [art. 1A(2)]: en flygtning er "enhver person, der som følge af velbegrundet frygt for forfølgelse [...], og som ikke kan eller, på grund af en sådan frygt, ikke vil påberåbe sig dette lands beskyttelse; dette gælder også personer, som ikke har statsborgerskab og opholder sig uden for det land, hvor han tidligere havde sit sædvanlige opholdssted som følge af sådanne begivenheder, og som ikke kan eller, på grund af en sådan frygt, ikke vil vende tilbage til dette land. "</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389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1 – litra b – nr.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parter eller organisationer, herunder internationale organisationer, der kontroller staten eller en væsentlig del af dens område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I overensstemmelse med artikel 1A(2) i konventionen om flygtninges retsstilling, undertegnet i Genève den 28. juli 1951, som ændret ved New York-protokollen af 31. januar 1967.</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390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1 – litra b – nr.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forudsat de er villige til og i stand til at yde beskyttelse i overensstemmelse med stk. 2.</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I overensstemmelse med artikel 1A(2) i konventionen om flygtninges retsstilling, undertegnet i Genève den 28. juli 1951, som ændret ved New York-protokollen af 31. januar 1967.</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391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1 – litra b – nr.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t>forudsat de er villige til og i stand til at yde beskyttelse i overensstemmelse med stk. 2.</w:t>
            </w:r>
          </w:p>
        </w:tc>
        <w:tc>
          <w:tcPr>
            <w:tcW w:w="4876" w:type="dxa"/>
          </w:tcPr>
          <w:p w:rsidR="00944CB0" w:rsidRPr="009D2EDD" w:rsidRDefault="001E7D6E">
            <w:pPr>
              <w:pStyle w:val="Normal6"/>
              <w:rPr>
                <w:color w:val="auto"/>
              </w:rPr>
            </w:pPr>
            <w:r w:rsidRPr="009D2EDD">
              <w:t>så længe de er villige til og i stand til at yde beskyttelse i overensstemmelse med stk. 2.</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392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1 – litra b – nr.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t>forudsat de er villige til og i stand til at yde beskyttelse i overensstemmelse med stk. 2.</w:t>
            </w:r>
          </w:p>
        </w:tc>
        <w:tc>
          <w:tcPr>
            <w:tcW w:w="4876" w:type="dxa"/>
          </w:tcPr>
          <w:p w:rsidR="00944CB0" w:rsidRPr="009D2EDD" w:rsidRDefault="001E7D6E">
            <w:pPr>
              <w:pStyle w:val="Normal6"/>
              <w:rPr>
                <w:color w:val="auto"/>
              </w:rPr>
            </w:pPr>
            <w:r w:rsidRPr="009D2EDD">
              <w:t>så længe de er villige til og i stand til at yde beskyttelse i overensstemmelse med stk. 2.</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Skyggeordføreren er enig med ordføreren i, at beskyttelse af ansøgeren skan foreligge i praksis og i det konkrete tilfælde – ikke blot i princippet eller i almen forstand. Den besluttende myndighed bør påvise, at beskyttelsen ikke kun er midlertidig og begrænset i sin rækkevidde.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393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1 – litra b – nr.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forudsat de er villige til og i stand til at yde beskyttelse i overensstemmelse med stk. 2.</w:t>
            </w:r>
          </w:p>
        </w:tc>
        <w:tc>
          <w:tcPr>
            <w:tcW w:w="4876" w:type="dxa"/>
          </w:tcPr>
          <w:p w:rsidR="00944CB0" w:rsidRPr="009D2EDD" w:rsidRDefault="001E7D6E">
            <w:pPr>
              <w:pStyle w:val="Normal6"/>
              <w:rPr>
                <w:color w:val="auto"/>
              </w:rPr>
            </w:pPr>
            <w:r w:rsidRPr="009D2EDD">
              <w:rPr>
                <w:color w:val="auto"/>
              </w:rPr>
              <w:t>forudsat de er villige til og i stand til at sikre beskyttelse i overensstemmelse med stk. 2.</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394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Beskyttelsen mod forfølgelse og alvorlig overlast skal være effektiv og ikke blot af midlertidig karakter.</w:t>
            </w:r>
            <w:r w:rsidRPr="009D2EDD">
              <w:rPr>
                <w:b/>
                <w:i/>
                <w:color w:val="auto"/>
              </w:rPr>
              <w:t xml:space="preserve"> En sådan beskyttelse anses for at være ydet, når de i stk. 1 anførte aktører tager rimelige skridt til at forhindre forfølgelse eller udsættelse for alvorlig overlast, bl.a. ved at anvende et effektivt retssystem til afsløring, retsforfølgning og sanktionering af handlinger, der udgør forfølgelse eller alvorlig overlast, og når ansøgeren har adgang til en sådan beskyttelse.</w:t>
            </w:r>
          </w:p>
        </w:tc>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Beskyttelsen mod forfølgelse og alvorlig overlast skal være effektiv og ikke blot af midlertidig karakter.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395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Beskyttelsen mod forfølgelse og alvorlig overlast skal være effektiv og ikke blot af midlertidig karakter.</w:t>
            </w:r>
            <w:r w:rsidRPr="009D2EDD">
              <w:rPr>
                <w:b/>
                <w:i/>
                <w:color w:val="auto"/>
              </w:rPr>
              <w:t xml:space="preserve"> En sådan beskyttelse anses for at være ydet, når de i stk. 1 anførte aktører tager rimelige skridt til at forhindre forfølgelse eller udsættelse for alvorlig overlast, bl.a. ved at anvende et effektivt retssystem til afsløring, retsforfølgning og sanktionering af handlinger, der udgør forfølgelse eller alvorlig overlast, og når ansøgeren har adgang til en sådan beskyttelse.</w:t>
            </w:r>
          </w:p>
        </w:tc>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Beskyttelsen mod forfølgelse og alvorlig overlast skal være effektiv og ikke blot af midlertidig karakter.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396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Beskyttelsen mod forfølgelse og alvorlig overlast skal være effektiv og ikke blot af midlertidig karakter. En sådan beskyttelse anses for at være ydet, når de i stk. 1 anførte aktører tager rimelige skridt til at forhindre forfølgelse eller udsættelse for alvorlig overlast, bl.a. ved at anvende et effektivt retssystem til afsløring, retsforfølgning og sanktionering af handlinger, der udgør forfølgelse eller alvorlig overlast, og når ansøgeren har adgang til en sådan beskyttelse.</w:t>
            </w:r>
          </w:p>
        </w:tc>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Beskyttelsen mod forfølgelse og alvorlig overlast skal være effektiv. En sådan beskyttelse anses for at være ydet, når de i stk. 1 anførte aktører tager rimelige skridt til at forhindre forfølgelse eller udsættelse for alvorlig overlast, bl.a. ved at anvende et effektivt retssystem til afsløring, retsforfølgning og sanktionering af handlinger, der udgør forfølgelse eller alvorlig overlast, og når ansøgeren har adgang til en sådan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397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Beskyttelsen mod forfølgelse og alvorlig overlast skal være effektiv og ikke blot af midlertidig karakter. En sådan beskyttelse anses for at være ydet, når de i stk. 1 anførte aktører tager rimelige skridt til at forhindre forfølgelse eller udsættelse for alvorlig overlast, bl.a. ved at anvende et effektivt retssystem til afsløring, retsforfølgning og sanktionering af handlinger, der udgør forfølgelse eller alvorlig overlast, og når ansøgeren har adgang til en sådan beskyttelse.</w:t>
            </w:r>
          </w:p>
        </w:tc>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Beskyttelsen mod forfølgelse og alvorlig overlast skal være effektiv og ikke blot af midlertidig karakter. En sådan beskyttelse anses for at være ydet, når Stat tager rimelige skridt til at forhindre forfølgelse eller udsættelse for alvorlig overlast, bl.a. ved at anvende et effektivt retssystem til afsløring, retsforfølgning og sanktionering af handlinger, der udgør forfølgelse eller alvorlig overlast, og når ansøgeren har adgang til en sådan beskyttelse.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398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3.</w:t>
            </w:r>
            <w:r w:rsidRPr="009D2EDD">
              <w:tab/>
            </w:r>
            <w:r w:rsidRPr="009D2EDD">
              <w:rPr>
                <w:b/>
                <w:i/>
                <w:color w:val="auto"/>
              </w:rPr>
              <w:t xml:space="preserve">Ved vurderingen af, om en international organisation kontrollerer en stat eller en væsentlig del af dens område og yder beskyttelse som omhandlet i stk. 2 baserer de besluttende myndigheder sig på retningslinjer i den relevante EU-ret, navnlig oplysninger om oprindelseslande på EU-plan og fælles analyse af oplysninger om oprindelseslande, jf. artikel 8 og 10 i forordning (EU) XXX/XX [forordning om Den Europæiske Unions </w:t>
            </w:r>
            <w:r w:rsidR="00AA4696" w:rsidRPr="009D2EDD">
              <w:rPr>
                <w:b/>
                <w:i/>
                <w:color w:val="auto"/>
              </w:rPr>
              <w:t>Asylagentur]</w:t>
            </w:r>
            <w:r w:rsidRPr="009D2EDD">
              <w:rPr>
                <w:b/>
                <w:i/>
                <w:color w:val="auto"/>
              </w:rPr>
              <w:t>.</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399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t xml:space="preserve">Ved vurderingen af, om en international organisation kontrollerer en stat eller en væsentlig del af dens område og yder beskyttelse som omhandlet i stk. 2 baserer de besluttende myndigheder sig på retningslinjer i den relevante EU-ret, navnlig oplysninger om oprindelseslande på EU-plan og fælles analyse af oplysninger om oprindelseslande, jf. artikel 8 og 10 i forordning (EU) XXX/XX [forordning om Den Europæiske Unions </w:t>
            </w:r>
            <w:r w:rsidR="00AA4696" w:rsidRPr="009D2EDD">
              <w:t>Asylagentur]</w:t>
            </w:r>
            <w:r w:rsidRPr="009D2EDD">
              <w:t>.</w:t>
            </w:r>
          </w:p>
        </w:tc>
        <w:tc>
          <w:tcPr>
            <w:tcW w:w="4876" w:type="dxa"/>
          </w:tcPr>
          <w:p w:rsidR="00944CB0" w:rsidRPr="009D2EDD" w:rsidRDefault="001E7D6E">
            <w:pPr>
              <w:pStyle w:val="Normal6"/>
              <w:rPr>
                <w:color w:val="auto"/>
              </w:rPr>
            </w:pPr>
            <w:r w:rsidRPr="009D2EDD">
              <w:rPr>
                <w:color w:val="auto"/>
              </w:rPr>
              <w:t>3.</w:t>
            </w:r>
            <w:r w:rsidRPr="009D2EDD">
              <w:tab/>
            </w:r>
            <w:r w:rsidRPr="009D2EDD">
              <w:rPr>
                <w:b/>
                <w:i/>
                <w:color w:val="auto"/>
              </w:rPr>
              <w:t xml:space="preserve">De besluttende myndigheder sørger for at opnå og tage hensyn til præcise og ajourførte oplysninger og vejledning om situationen i hjemlandet fra alle relevante nationale, EU- og internationale kilder, herunder Den Europæiske Unions Asylagentur, FN's Højkommissariat for Flygtninge og NGO'er på menneskerettighedsområdet. </w:t>
            </w:r>
            <w:r w:rsidRPr="009D2EDD">
              <w:t>De besluttende myndigheder kan beslutte at lægge særlig vægt på oplysninger om oprindelseslande på EU-plan og fælles analyse af situationen i bestemte oprindelseslande og de vejledninger, der er omhandlet i artiklerne 8 og 10 i forordning (EU) XXX/XX [forordning om Den Europæiske Unions Asylagentur].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400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 xml:space="preserve">Ved vurderingen af, om en international organisation kontrollerer en stat eller en væsentlig del af dens område og yder beskyttelse som omhandlet i stk. 2 baserer de besluttende myndigheder sig på retningslinjer i den relevante EU-ret, navnlig oplysninger om oprindelseslande på EU-plan og fælles analyse af oplysninger om oprindelseslande, jf. artikel 8 og 10 i forordning (EU) XXX/XX [forordning om Den Europæiske Unions </w:t>
            </w:r>
            <w:r w:rsidR="00AA4696" w:rsidRPr="009D2EDD">
              <w:rPr>
                <w:color w:val="auto"/>
              </w:rPr>
              <w:t>Asylagentur]</w:t>
            </w:r>
            <w:r w:rsidRPr="009D2EDD">
              <w:rPr>
                <w:color w:val="auto"/>
              </w:rPr>
              <w:t>.</w:t>
            </w:r>
          </w:p>
        </w:tc>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Ved vurderingen af, om en international organisation kontrollerer en stat eller en væsentlig del af dens område og yder beskyttelse som omhandlet i stk. 2, skal de tage hensyn til og kan basere sig på retningslinjer i den relevante EU-ret, navnlig disponible oplysninger om oprindelseslande på EU-plan og fælles analyse af oplysninger om oprindelseslande, der er omhandlet i artiklerne 8 og 10 i forordning (EU) XXX/XX [forordning om Den Europæiske Unions Asylagentur].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401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Kinga Gál, Pál Csáky,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7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 xml:space="preserve">Ved vurderingen af, om en international organisation kontrollerer en stat eller en væsentlig del af dens område og yder beskyttelse som omhandlet i stk. 2 baserer de besluttende myndigheder sig på retningslinjer i den relevante EU-ret, navnlig oplysninger om oprindelseslande på EU-plan og fælles analyse af oplysninger om oprindelseslande, jf. artikel 8 og 10 i forordning (EU) XXX/XX [forordning om Den Europæiske Unions </w:t>
            </w:r>
            <w:r w:rsidR="00AA4696" w:rsidRPr="009D2EDD">
              <w:rPr>
                <w:color w:val="auto"/>
              </w:rPr>
              <w:t>Asylagentur]</w:t>
            </w:r>
            <w:r w:rsidRPr="009D2EDD">
              <w:rPr>
                <w:color w:val="auto"/>
              </w:rPr>
              <w:t>.</w:t>
            </w:r>
          </w:p>
        </w:tc>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Ved vurderingen af, om en international organisation kontrollerer en stat eller en væsentlig del af dens område og yder beskyttelse som omhandlet i stk. 2, de besluttende myndigheder kan tage hensyn til eventuelle retningslinjer i den relevante EU-ret, navnlig disponible oplysninger om oprindelseslande på EU-plan og fælles analyse af oplysninger om oprindelseslande, der er omhandlet i artiklerne 8 og 10 i forordning (EU) XXX/XX [forordning om Den Europæiske Unions Asylagentur].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402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Barbara Spinelli, Cornelia Ernst</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Begrebet national beskyttelse ikke følger af flygtningekonventionen fra 1951 og tilføjer et yderligere kriterium for berettigelse til flygtningestatus efter de kriterier, der er fastsat i artikel 1a flygtningekonventionen, og derved risikoen for ansøgere, som har ret til beskyttelse i henhold til konventionen, med mindre man beskyttelse i henhold til EU-retten.</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403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404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Fabio Massimo Castaldo, Laura Ferrara, Ignazio Corrao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{IT}</w:t>
      </w:r>
      <w:r w:rsidRPr="009D2EDD">
        <w:rPr>
          <w:color w:val="auto"/>
        </w:rPr>
        <w:t>it</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405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 – stk. 1</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1.</w:t>
            </w:r>
            <w:r w:rsidRPr="009D2EDD">
              <w:tab/>
            </w:r>
            <w:r w:rsidRPr="009D2EDD">
              <w:rPr>
                <w:b/>
                <w:i/>
                <w:color w:val="auto"/>
              </w:rPr>
              <w:t>Som led i vurderingen af ansøgningen om international beskyttelse fastslår den besluttende myndighed, at en ansøger ikke har behov for international beskyttelse, hvis vedkommende sikkert og lovligt kan rejse til og sikkert og lovligt kan rejse ind i en del af oprindelseslandet og med rimelighed kan forventes at bosætte sig der, og hvis vedkommende i den pågældende del af landet:</w:t>
            </w:r>
          </w:p>
        </w:tc>
        <w:tc>
          <w:tcPr>
            <w:tcW w:w="4876" w:type="dxa"/>
          </w:tcPr>
          <w:p w:rsidR="00944CB0" w:rsidRPr="009D2EDD" w:rsidRDefault="001E7D6E">
            <w:pPr>
              <w:pStyle w:val="Normal6"/>
              <w:rPr>
                <w:color w:val="auto"/>
              </w:rPr>
            </w:pPr>
            <w:r w:rsidRPr="009D2EDD">
              <w:rPr>
                <w:b/>
                <w:i/>
                <w:color w:val="auto"/>
              </w:rPr>
              <w:t>udgår</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a) ikke har grund til at nære nogen velbegrundet frygt for forfølgelse eller ikke løber nogen reel risiko for at lide alvorlig overlast, eller</w:t>
            </w:r>
          </w:p>
        </w:tc>
        <w:tc>
          <w:tcPr>
            <w:tcW w:w="4876" w:type="dxa"/>
          </w:tcPr>
          <w:p w:rsidR="00944CB0" w:rsidRPr="009D2EDD" w:rsidRDefault="00944CB0">
            <w:pPr>
              <w:pStyle w:val="Normal6"/>
              <w:rPr>
                <w:color w:val="auto"/>
              </w:rPr>
            </w:pP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b) har adgang til beskyttelse mod forfølgelse eller alvorlig overlast.</w:t>
            </w:r>
          </w:p>
        </w:tc>
        <w:tc>
          <w:tcPr>
            <w:tcW w:w="4876" w:type="dxa"/>
          </w:tcPr>
          <w:p w:rsidR="00944CB0" w:rsidRPr="009D2EDD" w:rsidRDefault="00944CB0">
            <w:pPr>
              <w:pStyle w:val="Normal6"/>
              <w:rPr>
                <w:color w:val="auto"/>
              </w:rPr>
            </w:pP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406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 – stk. 1 – indledning</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Som led i vurderingen af ansøgningen om international beskyttelse fastslår den besluttende myndighed, at en ansøger ikke har behov for international beskyttelse, hvis vedkommende sikkert og lovligt kan rejse til og sikkert og lovligt kan rejse ind i en del af oprindelseslandet og med rimelighed kan forventes at bosætte sig der, og hvis vedkommende i den pågældende del af landet:</w:t>
            </w:r>
          </w:p>
        </w:tc>
        <w:tc>
          <w:tcPr>
            <w:tcW w:w="4876" w:type="dxa"/>
          </w:tcPr>
          <w:p w:rsidR="00944CB0" w:rsidRPr="009D2EDD" w:rsidRDefault="001E7D6E">
            <w:pPr>
              <w:pStyle w:val="Normal6"/>
              <w:rPr>
                <w:color w:val="auto"/>
              </w:rPr>
            </w:pPr>
            <w:r w:rsidRPr="009D2EDD">
              <w:rPr>
                <w:color w:val="auto"/>
              </w:rPr>
              <w:t>1.</w:t>
            </w:r>
            <w:r w:rsidRPr="009D2EDD">
              <w:tab/>
            </w:r>
            <w:r w:rsidRPr="009D2EDD">
              <w:rPr>
                <w:color w:val="auto"/>
              </w:rPr>
              <w:t>Som led i vurderingen af ansøgningen om international beskyttelse, og forudsat at de aktører, der står bag forfølgelsen eller den alvorlige overlast, ikke er staten eller statens agenter, kan den besluttende myndighed fastslå, at en ansøger ikke har behov for international beskyttelse, hvis vedkommende sikkert og lovligt kan rejse til og sikkert og lovligt kan rejse ind i en del af oprindelseslandet og med rimelighed kan forventes at bosætte sig der, og hvis vedkommende i den pågældende del af landet: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407</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 – stk. 1 – litra a</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a)</w:t>
            </w:r>
            <w:r w:rsidRPr="009D2EDD">
              <w:tab/>
            </w:r>
            <w:r w:rsidRPr="009D2EDD">
              <w:rPr>
                <w:b/>
                <w:i/>
                <w:color w:val="auto"/>
              </w:rPr>
              <w:t>ikke har grund til at nære nogen velbegrundet frygt for forfølgelse eller ikke løber nogen reel risiko for at lide alvorlig overlast, eller</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408</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 – stk. 1 – litra b</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b)</w:t>
            </w:r>
            <w:r w:rsidRPr="009D2EDD">
              <w:tab/>
            </w:r>
            <w:r w:rsidRPr="009D2EDD">
              <w:rPr>
                <w:b/>
                <w:i/>
                <w:color w:val="auto"/>
              </w:rPr>
              <w:t>har adgang til beskyttelse mod forfølgelse eller alvorlig overlast.</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409</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Angelika Mlinar, Cecilia Wikström, Maite Pagazaurtundúa Ruiz</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 – stk. 1 – litra b</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b)</w:t>
            </w:r>
            <w:r w:rsidRPr="009D2EDD">
              <w:tab/>
            </w:r>
            <w:r w:rsidRPr="009D2EDD">
              <w:rPr>
                <w:color w:val="auto"/>
              </w:rPr>
              <w:t>har adgang til beskyttelse mod forfølgelse eller alvorlig overlast.</w:t>
            </w:r>
          </w:p>
        </w:tc>
        <w:tc>
          <w:tcPr>
            <w:tcW w:w="4876" w:type="dxa"/>
          </w:tcPr>
          <w:p w:rsidR="00944CB0" w:rsidRPr="009D2EDD" w:rsidRDefault="001E7D6E">
            <w:pPr>
              <w:pStyle w:val="Normal6"/>
              <w:rPr>
                <w:color w:val="auto"/>
              </w:rPr>
            </w:pPr>
            <w:r w:rsidRPr="009D2EDD">
              <w:rPr>
                <w:color w:val="auto"/>
              </w:rPr>
              <w:t>b)</w:t>
            </w:r>
            <w:r w:rsidRPr="009D2EDD">
              <w:tab/>
            </w:r>
            <w:r w:rsidRPr="009D2EDD">
              <w:rPr>
                <w:color w:val="auto"/>
              </w:rPr>
              <w:t>har fuld adgang til effektiv og varig beskyttelse mod forfølgelse eller alvorlig overlast.</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410</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 – stk.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2.</w:t>
            </w:r>
            <w:r w:rsidRPr="009D2EDD">
              <w:tab/>
            </w:r>
            <w:r w:rsidRPr="009D2EDD">
              <w:rPr>
                <w:b/>
                <w:i/>
                <w:color w:val="auto"/>
              </w:rPr>
              <w:t>Vurderingen af, om der er mulighed for national beskyttelse, foretages, når den besluttende myndighed har fastslået, at kvalifikationskriterierne ellers ville finde anvendelse. Det påhviler den besluttende myndighed at påvise, at der er mulighed for national beskyttelse. Ansøgeren er ikke forpligtet til at bevise, at vedkommende før sin ansøgning om international beskyttelse har udtømt alle muligheder for at opnå beskyttelse i sit oprindelsesland.</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411</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Kinga Gál, Pál Csáky,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 – stk.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Vurderingen af, om der er mulighed for national beskyttelse, foretages, når den besluttende myndighed har fastslået, at kvalifikationskriterierne ellers ville finde anvendelse.</w:t>
            </w:r>
            <w:r w:rsidRPr="009D2EDD">
              <w:rPr>
                <w:b/>
                <w:i/>
                <w:color w:val="auto"/>
              </w:rPr>
              <w:t xml:space="preserve"> Det påhviler den besluttende myndighed at påvise, at der er mulighed for national beskyttelse. Ansøgeren er ikke forpligtet til at bevise, at vedkommende før sin ansøgning om international beskyttelse har udtømt alle muligheder for at opnå beskyttelse i sit oprindelsesland.</w:t>
            </w:r>
          </w:p>
        </w:tc>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Vurderingen af, om der er mulighed for national beskyttelse, foretages, når den besluttende myndighed har fastslået, at kvalifikationskriterierne ellers ville finde anvendelse.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412</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 – stk.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Vurderingen af, om der er mulighed for national beskyttelse, foretages, når den besluttende myndighed har fastslået, at kvalifikationskriterierne ellers ville finde anvendelse. Det påhviler den besluttende myndighed at påvise, at der er mulighed for national beskyttelse. Ansøgeren er ikke forpligtet til at bevise, at vedkommende før sin ansøgning om international beskyttelse har udtømt alle muligheder for at opnå beskyttelse i sit oprindelsesland.</w:t>
            </w:r>
          </w:p>
        </w:tc>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Vurderingen af, om der er mulighed for national beskyttelse, foretages, så hurtigt som muligt og senest, når den har konstateret, at den besluttende myndighed, at kvalifikationskriterierne ellers ville finde anvendelse. Manglende adgang for at påvise, at der er mulighed for national beskyttelse ansøgeren. Ansøgeren er forpligtet til at bevise, at vedkommende før sin ansøgning om international beskyttelse har udtømt alle muligheder for at opnå beskyttelse i sit oprindelsesland.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Især når der er klare tegn på, at national beskyttelse er til rådighed for en ansøger om international beskyttelse i deres hjemland, er der ikke behov for en langvarig procedure med en forudgående vurdering af de kvalifikationskriterier. Derfor rækkefølgen af disse vurderinger bør være fleksible.</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413</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Alessandra Mussolini, Elissavet Vozemberg-Vrionidi, Frank Engel, Barbara Matera, Salvatore Domenico Pogliese, Carlos Coelho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 – stk. 2</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Vurderingen af, om der er mulighed for national beskyttelse, foretages, når den besluttende myndighed har fastslået, at kvalifikationskriterierne ellers ville finde anvendelse. Det påhviler den besluttende myndighed at påvise, at der er mulighed for national beskyttelse. Ansøgeren er ikke forpligtet til at bevise, at vedkommende før sin ansøgning om international beskyttelse har udtømt alle muligheder for at opnå beskyttelse i sit oprindelsesland.</w:t>
            </w:r>
          </w:p>
        </w:tc>
        <w:tc>
          <w:tcPr>
            <w:tcW w:w="4876" w:type="dxa"/>
          </w:tcPr>
          <w:p w:rsidR="00944CB0" w:rsidRPr="009D2EDD" w:rsidRDefault="001E7D6E">
            <w:pPr>
              <w:pStyle w:val="Normal6"/>
              <w:rPr>
                <w:color w:val="auto"/>
              </w:rPr>
            </w:pPr>
            <w:r w:rsidRPr="009D2EDD">
              <w:rPr>
                <w:color w:val="auto"/>
              </w:rPr>
              <w:t>2.</w:t>
            </w:r>
            <w:r w:rsidRPr="009D2EDD">
              <w:tab/>
            </w:r>
            <w:r w:rsidRPr="009D2EDD">
              <w:rPr>
                <w:color w:val="auto"/>
              </w:rPr>
              <w:t>Vurderingen af, om der er mulighed for national beskyttelse, kan foretages, når den besluttende myndighed har fastslået, at kvalifikationskriterierne ellers ville finde anvendelse. Det påhviler den besluttende myndighed at påvise, at der er mulighed for national beskyttelse. Sagsøgeren har imidlertid skal samarbejde med den besluttende myndighed for at efterprøve, om betingelserne for beskyttelse er opfyldt i en del af sit oprindelsesland.</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pPr>
        <w:pStyle w:val="JustificationTitle"/>
      </w:pPr>
      <w:r w:rsidRPr="009D2EDD">
        <w:rPr>
          <w:rStyle w:val="HideTWBExt"/>
        </w:rPr>
        <w:t>&lt;TitreJust&gt;</w:t>
      </w:r>
      <w:r w:rsidRPr="009D2EDD">
        <w:rPr>
          <w:color w:val="auto"/>
        </w:rPr>
        <w:t>Begrundelse</w:t>
      </w:r>
      <w:r w:rsidRPr="009D2EDD">
        <w:rPr>
          <w:rStyle w:val="HideTWBExt"/>
        </w:rPr>
        <w:t>&lt;/TitreJust&gt;</w:t>
      </w:r>
    </w:p>
    <w:p w:rsidR="00944CB0" w:rsidRPr="009D2EDD" w:rsidRDefault="001E7D6E">
      <w:pPr>
        <w:pStyle w:val="Normal12Italic"/>
      </w:pPr>
      <w:r w:rsidRPr="009D2EDD">
        <w:t>Til trods for at påvise, at national beskyttelse bør ligge hos den besluttende myndighed, det er også nødvendigt, at sagsøgeren med den besluttende myndighed at afgøre, om betingelserne for beskyttelse er opfyldt, ved at yde omfattende oplysninger og besvare alle de forelagte spørgsmål.</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414</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Jean Lambert</w:t>
      </w:r>
      <w:r w:rsidRPr="009D2EDD">
        <w:rPr>
          <w:rStyle w:val="HideTWBExt"/>
        </w:rPr>
        <w:t>&lt;/Members&gt;</w:t>
      </w:r>
    </w:p>
    <w:p w:rsidR="00944CB0" w:rsidRPr="009D2EDD" w:rsidRDefault="001E7D6E">
      <w:r w:rsidRPr="009D2EDD">
        <w:rPr>
          <w:rStyle w:val="HideTWBExt"/>
        </w:rPr>
        <w:t>&lt;AuNomDe&gt;</w:t>
      </w:r>
      <w:r w:rsidRPr="009D2EDD">
        <w:rPr>
          <w:rStyle w:val="HideTWBInt"/>
          <w:color w:val="auto"/>
        </w:rPr>
        <w:t>{Verts/ALE}</w:t>
      </w:r>
      <w:r w:rsidRPr="009D2EDD">
        <w:t>for Verts/ALE-Gruppen</w:t>
      </w:r>
      <w:r w:rsidRPr="009D2EDD">
        <w:rPr>
          <w:rStyle w:val="HideTWBExt"/>
        </w:rPr>
        <w:t>&lt;/AuNomDe&gt;</w:t>
      </w:r>
    </w:p>
    <w:p w:rsidR="00944CB0" w:rsidRPr="009D2EDD" w:rsidRDefault="001E7D6E">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b/>
                <w:i/>
                <w:color w:val="auto"/>
              </w:rPr>
              <w:t>3.</w:t>
            </w:r>
            <w:r w:rsidRPr="009D2EDD">
              <w:tab/>
            </w:r>
            <w:r w:rsidRPr="009D2EDD">
              <w:rPr>
                <w:b/>
                <w:i/>
                <w:color w:val="auto"/>
              </w:rPr>
              <w:t>Ved undersøgelsen af, om ansøgeren har grund til at nære en velbegrundet frygt for forfølgelse eller løber en reel risiko for at lide alvorlig overlast eller har adgang til beskyttelse mod forfølgelse og alvorlig overlast i en del af oprindelseslandet, jf. stk. 1, tager de besluttende myndigheder i overensstemmelse med artikel 4 hensyn til de generelle forhold, der hersker i den pågældende del af landet, samt til ansøgerens personlige forhold på det tidspunkt, hvor der træffes afgørelse om ansøgningen. Med henblik herpå sikrer de besluttende myndigheder, at der indhentes præcise og aktuelle oplysninger fra alle relevante kilder, herunder disponible oplysninger om oprindelseslande på EU-plan og fælles analyse af oplysninger om oprindelseslande, jf. artikel 8 og 10 i forordning (EU) XXX/XX [forordning om Den Europæiske Unions Asylagentur], samt oplysninger og retningslinjer fra De Forenede Nationers Højkommissariat for Flygtninge.</w:t>
            </w:r>
          </w:p>
        </w:tc>
        <w:tc>
          <w:tcPr>
            <w:tcW w:w="4876" w:type="dxa"/>
          </w:tcPr>
          <w:p w:rsidR="00944CB0" w:rsidRPr="009D2EDD" w:rsidRDefault="001E7D6E">
            <w:pPr>
              <w:pStyle w:val="Normal6"/>
              <w:rPr>
                <w:color w:val="auto"/>
              </w:rPr>
            </w:pPr>
            <w:r w:rsidRPr="009D2EDD">
              <w:rPr>
                <w:b/>
                <w:i/>
                <w:color w:val="auto"/>
              </w:rPr>
              <w:t>udgår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415</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Jussi Halla-aho</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Ved undersøgelsen af, om ansøgeren har grund til at nære en velbegrundet frygt for forfølgelse eller løber en reel risiko for at lide alvorlig overlast eller har adgang til beskyttelse mod forfølgelse og alvorlig overlast i en del af oprindelseslandet, jf. stk. 1, tager de besluttende myndigheder i overensstemmelse med artikel 4 hensyn til de generelle forhold, der hersker i den pågældende del af landet, samt til ansøgerens personlige forhold på det tidspunkt, hvor der træffes afgørelse om ansøgningen. Med henblik herpå sikrer de besluttende myndigheder, at der indhentes præcise og aktuelle oplysninger fra alle relevante kilder, herunder disponible oplysninger om oprindelseslande på EU-plan og fælles analyse af oplysninger om oprindelseslande, jf. artikel 8 og 10 i forordning (EU) XXX/XX [forordning om Den Europæiske Unions Asylagentur], samt oplysninger og retningslinjer fra De Forenede Nationers Højkommissariat for Flygtninge.</w:t>
            </w:r>
          </w:p>
        </w:tc>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Ved undersøgelsen af, om ansøgeren har grund til at nære en velbegrundet frygt for forfølgelse eller løber en reel risiko for at lide alvorlig overlast eller har adgang til beskyttelse mod forfølgelse og alvorlig overlast i en del af oprindelseslandet, jf. stk. 1, tager de besluttende myndigheder i overensstemmelse med artikel 4 hensyn til de generelle forhold, der hersker i den pågældende del af landet, samt til ansøgerens personlige forhold på det tidspunkt, hvor der træffes afgørelse om ansøgningen. Med henblik herpå sikrer de besluttende myndigheder, at der indhentes præcise og aktuelle oplysninger fra alle relevante kilder, herunder disponible oplysninger om oprindelseslande på EU-plan og fælles analyse af oplysninger om oprindelseslande, jf. artikel 8 og 10 i forordning (EU) XXX/XX [forordning om Den Europæiske Unions Asylagentur].</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w:t>
      </w:r>
    </w:p>
    <w:p w:rsidR="00944CB0" w:rsidRPr="009D2EDD" w:rsidRDefault="001E7D6E">
      <w:pPr>
        <w:pStyle w:val="AMNumberTabs"/>
      </w:pPr>
      <w:r w:rsidRPr="009D2EDD">
        <w:rPr>
          <w:rStyle w:val="HideTWBExt"/>
        </w:rPr>
        <w:t>&lt;AmendB&gt;</w:t>
      </w:r>
      <w:r w:rsidRPr="009D2EDD">
        <w:rPr>
          <w:color w:val="auto"/>
        </w:rPr>
        <w:t xml:space="preserve">Ændringsforslag </w:t>
      </w:r>
      <w:r w:rsidRPr="009D2EDD">
        <w:tab/>
      </w:r>
      <w:r w:rsidRPr="009D2EDD">
        <w:tab/>
      </w:r>
      <w:r w:rsidRPr="009D2EDD">
        <w:rPr>
          <w:rStyle w:val="HideTWBExt"/>
        </w:rPr>
        <w:t>&lt;NumAmB&gt;</w:t>
      </w:r>
      <w:r w:rsidRPr="009D2EDD">
        <w:rPr>
          <w:color w:val="auto"/>
        </w:rPr>
        <w:t>416</w:t>
      </w:r>
      <w:r w:rsidRPr="009D2EDD">
        <w:rPr>
          <w:rStyle w:val="HideTWBExt"/>
        </w:rPr>
        <w:t>&lt;/NumAmB&gt;</w:t>
      </w:r>
    </w:p>
    <w:p w:rsidR="00944CB0" w:rsidRPr="009D2EDD" w:rsidRDefault="001E7D6E">
      <w:pPr>
        <w:pStyle w:val="NormalBold"/>
      </w:pPr>
      <w:r w:rsidRPr="009D2EDD">
        <w:rPr>
          <w:rStyle w:val="HideTWBExt"/>
        </w:rPr>
        <w:t>&lt;RepeatBlock-By&gt;&lt;Members&gt;</w:t>
      </w:r>
      <w:r w:rsidRPr="009D2EDD">
        <w:rPr>
          <w:color w:val="auto"/>
        </w:rPr>
        <w:t>Artis Pabriks, Traian Ungureanu, Tomáš Zdechovský, Kinga Gál, Pál Csáky, Monica Macovei</w:t>
      </w:r>
      <w:r w:rsidRPr="009D2EDD">
        <w:rPr>
          <w:rStyle w:val="HideTWBExt"/>
        </w:rPr>
        <w:t>&lt;/Members&gt;</w:t>
      </w:r>
    </w:p>
    <w:p w:rsidR="00944CB0" w:rsidRPr="009D2EDD" w:rsidRDefault="001E7D6E">
      <w:pPr>
        <w:pStyle w:val="NormalBold"/>
      </w:pPr>
      <w:r w:rsidRPr="009D2EDD">
        <w:rPr>
          <w:rStyle w:val="HideTWBExt"/>
        </w:rPr>
        <w:t>&lt;/RepeatBlock-By&gt;</w:t>
      </w:r>
    </w:p>
    <w:p w:rsidR="00944CB0" w:rsidRPr="009D2EDD" w:rsidRDefault="001E7D6E">
      <w:pPr>
        <w:pStyle w:val="NormalBold"/>
      </w:pPr>
      <w:r w:rsidRPr="009D2EDD">
        <w:rPr>
          <w:rStyle w:val="HideTWBExt"/>
        </w:rPr>
        <w:t>&lt;DocAmend&gt;</w:t>
      </w:r>
      <w:r w:rsidRPr="009D2EDD">
        <w:rPr>
          <w:color w:val="auto"/>
        </w:rPr>
        <w:t>Forslag til forordning</w:t>
      </w:r>
      <w:r w:rsidRPr="009D2EDD">
        <w:rPr>
          <w:rStyle w:val="HideTWBExt"/>
        </w:rPr>
        <w:t>&lt;/DocAmend&gt;</w:t>
      </w:r>
    </w:p>
    <w:p w:rsidR="00944CB0" w:rsidRPr="009D2EDD" w:rsidRDefault="001E7D6E">
      <w:pPr>
        <w:pStyle w:val="NormalBold"/>
      </w:pPr>
      <w:r w:rsidRPr="009D2EDD">
        <w:rPr>
          <w:rStyle w:val="HideTWBExt"/>
        </w:rPr>
        <w:t>&lt;Article&gt;</w:t>
      </w:r>
      <w:r w:rsidRPr="009D2EDD">
        <w:rPr>
          <w:color w:val="auto"/>
        </w:rPr>
        <w:t>Artikel 8 – stk. 3</w:t>
      </w:r>
      <w:r w:rsidRPr="009D2E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CB0" w:rsidRPr="009D2EDD">
        <w:trPr>
          <w:trHeight w:hRule="exact" w:val="240"/>
          <w:jc w:val="center"/>
        </w:trPr>
        <w:tc>
          <w:tcPr>
            <w:tcW w:w="9752" w:type="dxa"/>
            <w:gridSpan w:val="2"/>
          </w:tcPr>
          <w:p w:rsidR="00944CB0" w:rsidRPr="009D2EDD" w:rsidRDefault="00944CB0"/>
        </w:tc>
      </w:tr>
      <w:tr w:rsidR="00944CB0" w:rsidRPr="009D2EDD">
        <w:trPr>
          <w:trHeight w:val="240"/>
          <w:jc w:val="center"/>
        </w:trPr>
        <w:tc>
          <w:tcPr>
            <w:tcW w:w="4876" w:type="dxa"/>
          </w:tcPr>
          <w:p w:rsidR="00944CB0" w:rsidRPr="009D2EDD" w:rsidRDefault="001E7D6E">
            <w:pPr>
              <w:pStyle w:val="ColumnHeading"/>
              <w:rPr>
                <w:color w:val="auto"/>
              </w:rPr>
            </w:pPr>
            <w:r w:rsidRPr="009D2EDD">
              <w:rPr>
                <w:color w:val="auto"/>
              </w:rPr>
              <w:t>Kommissionens forslag</w:t>
            </w:r>
          </w:p>
        </w:tc>
        <w:tc>
          <w:tcPr>
            <w:tcW w:w="4876" w:type="dxa"/>
          </w:tcPr>
          <w:p w:rsidR="00944CB0" w:rsidRPr="009D2EDD" w:rsidRDefault="001E7D6E">
            <w:pPr>
              <w:pStyle w:val="ColumnHeading"/>
              <w:rPr>
                <w:color w:val="auto"/>
              </w:rPr>
            </w:pPr>
            <w:r w:rsidRPr="009D2EDD">
              <w:rPr>
                <w:color w:val="auto"/>
              </w:rPr>
              <w:t>Ændringsforslag</w:t>
            </w:r>
          </w:p>
        </w:tc>
      </w:tr>
      <w:tr w:rsidR="00944CB0" w:rsidRPr="009D2EDD">
        <w:trPr>
          <w:jc w:val="center"/>
        </w:trPr>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Ved undersøgelsen af, om ansøgeren har grund til at nære en velbegrundet frygt for forfølgelse eller løber en reel risiko for at lide alvorlig overlast eller har adgang til beskyttelse mod forfølgelse og alvorlig overlast i en del af oprindelseslandet, jf. stk. 1, tager de besluttende myndigheder i overensstemmelse med artikel 4 hensyn til de generelle forhold, der hersker i den pågældende del af landet, samt til ansøgerens personlige forhold på det tidspunkt, hvor der træffes afgørelse om ansøgningen. Med henblik herpå sikrer de besluttende myndigheder, at der indhentes præcise og aktuelle oplysninger fra alle relevante kilder, herunder disponible oplysninger om oprindelseslande på EU-plan og fælles analyse af oplysninger om oprindelseslande, jf. artikel 8 og 10 i forordning (EU) XXX/XX [forordning om Den Europæiske Unions Asylagentur], samt oplysninger og retningslinjer fra De Forenede Nationers Højkommissariat for Flygtninge.</w:t>
            </w:r>
          </w:p>
        </w:tc>
        <w:tc>
          <w:tcPr>
            <w:tcW w:w="4876" w:type="dxa"/>
          </w:tcPr>
          <w:p w:rsidR="00944CB0" w:rsidRPr="009D2EDD" w:rsidRDefault="001E7D6E">
            <w:pPr>
              <w:pStyle w:val="Normal6"/>
              <w:rPr>
                <w:color w:val="auto"/>
              </w:rPr>
            </w:pPr>
            <w:r w:rsidRPr="009D2EDD">
              <w:rPr>
                <w:color w:val="auto"/>
              </w:rPr>
              <w:t>3.</w:t>
            </w:r>
            <w:r w:rsidRPr="009D2EDD">
              <w:tab/>
            </w:r>
            <w:r w:rsidRPr="009D2EDD">
              <w:rPr>
                <w:color w:val="auto"/>
              </w:rPr>
              <w:t>Ved undersøgelsen af, om en ansøger har en velbegrundet frygt for forfølgelse eller nogen reel risiko for at lide alvorlig overlast eller har adgang til beskyttelse mod forfølgelse og alvorlig overlast i en del af hjemlandet, jf. stk. 1, kan de besluttende myndigheder på det tidspunkt, hvor den traf beslutning om ansøgningen, skal der tages hensyn til de generelle forhold, der hersker i den del af landet, og til ansøgerens personlige stilling og forhold i overensstemmelse med artikel 4. Med henblik herpå sikrer de besluttende myndigheder, at der indhentes præcise og aktuelle oplysninger fra alle relevante kilder, herunder disponible oplysninger om oprindelseslande på EU-plan og fælles analyse af oplysninger om oprindelseslande, jf. artikel 8 og 10 i forordning (EU) XXX/XX [forordning om Den Europæiske Unions Asylagentur], samt oplysninger og retningslinjer fra De Forenede Nationers Højkommissariat for Flygtninge.</w:t>
            </w:r>
          </w:p>
        </w:tc>
      </w:tr>
    </w:tbl>
    <w:p w:rsidR="00944CB0" w:rsidRPr="009D2EDD" w:rsidRDefault="001E7D6E" w:rsidP="009F789D">
      <w:pPr>
        <w:pStyle w:val="Olang"/>
      </w:pPr>
      <w:r w:rsidRPr="009D2EDD">
        <w:rPr>
          <w:color w:val="auto"/>
        </w:rPr>
        <w:t xml:space="preserve">Or. </w:t>
      </w:r>
      <w:r w:rsidRPr="009D2EDD">
        <w:rPr>
          <w:rStyle w:val="HideTWBExt"/>
        </w:rPr>
        <w:t>&lt;Original&gt;</w:t>
      </w:r>
      <w:r w:rsidRPr="009D2EDD">
        <w:rPr>
          <w:rStyle w:val="HideTWBInt"/>
        </w:rPr>
        <w:t>{EN}</w:t>
      </w:r>
      <w:r w:rsidRPr="009D2EDD">
        <w:rPr>
          <w:color w:val="auto"/>
        </w:rPr>
        <w:t>en</w:t>
      </w:r>
      <w:r w:rsidRPr="009D2EDD">
        <w:rPr>
          <w:rStyle w:val="HideTWBExt"/>
        </w:rPr>
        <w:t>&lt;/Original&gt;</w:t>
      </w:r>
    </w:p>
    <w:p w:rsidR="00944CB0" w:rsidRPr="009D2EDD" w:rsidRDefault="001E7D6E">
      <w:r w:rsidRPr="009D2EDD">
        <w:rPr>
          <w:rStyle w:val="HideTWBExt"/>
        </w:rPr>
        <w:t>&lt;/AmendB&gt;&lt;/RepeatBlock-AmendB&gt;</w:t>
      </w:r>
    </w:p>
    <w:sectPr w:rsidR="00944CB0" w:rsidRPr="009D2EDD" w:rsidSect="00F56731">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27B" w:rsidRPr="009D2EDD" w:rsidRDefault="001E7D6E">
      <w:r w:rsidRPr="009D2EDD">
        <w:separator/>
      </w:r>
    </w:p>
  </w:endnote>
  <w:endnote w:type="continuationSeparator" w:id="0">
    <w:p w:rsidR="001D627B" w:rsidRPr="009D2EDD" w:rsidRDefault="001E7D6E">
      <w:r w:rsidRPr="009D2E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731" w:rsidRPr="009D2EDD" w:rsidRDefault="00F56731" w:rsidP="00F56731">
    <w:pPr>
      <w:pStyle w:val="Footer"/>
    </w:pPr>
    <w:r w:rsidRPr="009D2EDD">
      <w:t>PE</w:t>
    </w:r>
    <w:r w:rsidRPr="009D2EDD">
      <w:rPr>
        <w:rStyle w:val="HideTWBExt"/>
      </w:rPr>
      <w:t>&lt;NoPE&gt;</w:t>
    </w:r>
    <w:r w:rsidRPr="009D2EDD">
      <w:t>602.739</w:t>
    </w:r>
    <w:r w:rsidRPr="009D2EDD">
      <w:rPr>
        <w:rStyle w:val="HideTWBExt"/>
      </w:rPr>
      <w:t>&lt;/NoPE&gt;&lt;Version&gt;</w:t>
    </w:r>
    <w:r w:rsidRPr="009D2EDD">
      <w:t>v01-00</w:t>
    </w:r>
    <w:r w:rsidRPr="009D2EDD">
      <w:rPr>
        <w:rStyle w:val="HideTWBExt"/>
      </w:rPr>
      <w:t>&lt;/Version&gt;</w:t>
    </w:r>
    <w:r w:rsidRPr="009D2EDD">
      <w:tab/>
    </w:r>
    <w:r w:rsidRPr="009D2EDD">
      <w:fldChar w:fldCharType="begin"/>
    </w:r>
    <w:r w:rsidRPr="009D2EDD">
      <w:instrText xml:space="preserve"> PAGE  \* MERGEFORMAT </w:instrText>
    </w:r>
    <w:r w:rsidRPr="009D2EDD">
      <w:fldChar w:fldCharType="separate"/>
    </w:r>
    <w:r w:rsidR="0088322B">
      <w:rPr>
        <w:noProof/>
      </w:rPr>
      <w:t>2</w:t>
    </w:r>
    <w:r w:rsidRPr="009D2EDD">
      <w:fldChar w:fldCharType="end"/>
    </w:r>
    <w:r w:rsidRPr="009D2EDD">
      <w:t>/</w:t>
    </w:r>
    <w:fldSimple w:instr=" NUMPAGES  \* MERGEFORMAT ">
      <w:r w:rsidR="0088322B">
        <w:rPr>
          <w:noProof/>
        </w:rPr>
        <w:t>121</w:t>
      </w:r>
    </w:fldSimple>
    <w:r w:rsidRPr="009D2EDD">
      <w:tab/>
    </w:r>
    <w:r w:rsidRPr="009D2EDD">
      <w:rPr>
        <w:rStyle w:val="HideTWBExt"/>
      </w:rPr>
      <w:t>&lt;PathFdR&gt;</w:t>
    </w:r>
    <w:r w:rsidR="009D2EDD" w:rsidRPr="009D2EDD">
      <w:t>AM\1121329DA.docx</w:t>
    </w:r>
    <w:r w:rsidRPr="009D2EDD">
      <w:rPr>
        <w:rStyle w:val="HideTWBExt"/>
      </w:rPr>
      <w:t>&lt;/PathFdR&gt;</w:t>
    </w:r>
  </w:p>
  <w:p w:rsidR="00944CB0" w:rsidRPr="009D2EDD" w:rsidRDefault="00F56731" w:rsidP="00F56731">
    <w:pPr>
      <w:pStyle w:val="Footer2"/>
    </w:pPr>
    <w:r w:rsidRPr="009D2EDD">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731" w:rsidRPr="009D2EDD" w:rsidRDefault="00F56731" w:rsidP="00F56731">
    <w:pPr>
      <w:pStyle w:val="Footer"/>
    </w:pPr>
    <w:r w:rsidRPr="009D2EDD">
      <w:rPr>
        <w:rStyle w:val="HideTWBExt"/>
      </w:rPr>
      <w:t>&lt;PathFdR&gt;</w:t>
    </w:r>
    <w:r w:rsidR="009D2EDD" w:rsidRPr="009D2EDD">
      <w:t>AM\1121329DA.docx</w:t>
    </w:r>
    <w:r w:rsidRPr="009D2EDD">
      <w:rPr>
        <w:rStyle w:val="HideTWBExt"/>
      </w:rPr>
      <w:t>&lt;/PathFdR&gt;</w:t>
    </w:r>
    <w:r w:rsidRPr="009D2EDD">
      <w:tab/>
    </w:r>
    <w:r w:rsidRPr="009D2EDD">
      <w:fldChar w:fldCharType="begin"/>
    </w:r>
    <w:r w:rsidRPr="009D2EDD">
      <w:instrText xml:space="preserve"> PAGE  \* MERGEFORMAT </w:instrText>
    </w:r>
    <w:r w:rsidRPr="009D2EDD">
      <w:fldChar w:fldCharType="separate"/>
    </w:r>
    <w:r w:rsidR="0088322B">
      <w:rPr>
        <w:noProof/>
      </w:rPr>
      <w:t>121</w:t>
    </w:r>
    <w:r w:rsidRPr="009D2EDD">
      <w:fldChar w:fldCharType="end"/>
    </w:r>
    <w:r w:rsidRPr="009D2EDD">
      <w:t>/</w:t>
    </w:r>
    <w:fldSimple w:instr=" NUMPAGES  \* MERGEFORMAT ">
      <w:r w:rsidR="0088322B">
        <w:rPr>
          <w:noProof/>
        </w:rPr>
        <w:t>121</w:t>
      </w:r>
    </w:fldSimple>
    <w:r w:rsidRPr="009D2EDD">
      <w:tab/>
      <w:t>PE</w:t>
    </w:r>
    <w:r w:rsidRPr="009D2EDD">
      <w:rPr>
        <w:rStyle w:val="HideTWBExt"/>
      </w:rPr>
      <w:t>&lt;NoPE&gt;</w:t>
    </w:r>
    <w:r w:rsidRPr="009D2EDD">
      <w:t>602.739</w:t>
    </w:r>
    <w:r w:rsidRPr="009D2EDD">
      <w:rPr>
        <w:rStyle w:val="HideTWBExt"/>
      </w:rPr>
      <w:t>&lt;/NoPE&gt;&lt;Version&gt;</w:t>
    </w:r>
    <w:r w:rsidRPr="009D2EDD">
      <w:t>v01-00</w:t>
    </w:r>
    <w:r w:rsidRPr="009D2EDD">
      <w:rPr>
        <w:rStyle w:val="HideTWBExt"/>
      </w:rPr>
      <w:t>&lt;/Version&gt;</w:t>
    </w:r>
  </w:p>
  <w:p w:rsidR="00944CB0" w:rsidRPr="009D2EDD" w:rsidRDefault="00F56731" w:rsidP="00F56731">
    <w:pPr>
      <w:pStyle w:val="Footer2"/>
    </w:pPr>
    <w:r w:rsidRPr="009D2EDD">
      <w:tab/>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731" w:rsidRPr="009D2EDD" w:rsidRDefault="00F56731" w:rsidP="00F56731">
    <w:pPr>
      <w:pStyle w:val="Footer"/>
    </w:pPr>
    <w:r w:rsidRPr="009D2EDD">
      <w:rPr>
        <w:rStyle w:val="HideTWBExt"/>
      </w:rPr>
      <w:t>&lt;PathFdR&gt;</w:t>
    </w:r>
    <w:r w:rsidR="009D2EDD" w:rsidRPr="009D2EDD">
      <w:t>AM\1121329DA.docx</w:t>
    </w:r>
    <w:r w:rsidRPr="009D2EDD">
      <w:rPr>
        <w:rStyle w:val="HideTWBExt"/>
      </w:rPr>
      <w:t>&lt;/PathFdR&gt;</w:t>
    </w:r>
    <w:r w:rsidRPr="009D2EDD">
      <w:tab/>
    </w:r>
    <w:r w:rsidRPr="009D2EDD">
      <w:tab/>
      <w:t>PE</w:t>
    </w:r>
    <w:r w:rsidRPr="009D2EDD">
      <w:rPr>
        <w:rStyle w:val="HideTWBExt"/>
      </w:rPr>
      <w:t>&lt;NoPE&gt;</w:t>
    </w:r>
    <w:r w:rsidRPr="009D2EDD">
      <w:t>602.739</w:t>
    </w:r>
    <w:r w:rsidRPr="009D2EDD">
      <w:rPr>
        <w:rStyle w:val="HideTWBExt"/>
      </w:rPr>
      <w:t>&lt;/NoPE&gt;&lt;Version&gt;</w:t>
    </w:r>
    <w:r w:rsidRPr="009D2EDD">
      <w:t>v01-00</w:t>
    </w:r>
    <w:r w:rsidRPr="009D2EDD">
      <w:rPr>
        <w:rStyle w:val="HideTWBExt"/>
      </w:rPr>
      <w:t>&lt;/Version&gt;</w:t>
    </w:r>
  </w:p>
  <w:p w:rsidR="00944CB0" w:rsidRPr="009D2EDD" w:rsidRDefault="00F56731" w:rsidP="00F56731">
    <w:pPr>
      <w:pStyle w:val="Footer2"/>
      <w:tabs>
        <w:tab w:val="center" w:pos="4535"/>
      </w:tabs>
    </w:pPr>
    <w:r w:rsidRPr="009D2EDD">
      <w:t>DA</w:t>
    </w:r>
    <w:r w:rsidRPr="009D2EDD">
      <w:tab/>
    </w:r>
    <w:r w:rsidRPr="009D2EDD">
      <w:rPr>
        <w:b w:val="0"/>
        <w:i/>
        <w:color w:val="C0C0C0"/>
        <w:sz w:val="22"/>
      </w:rPr>
      <w:t>Forenet i mangfoldighed</w:t>
    </w:r>
    <w:r w:rsidRPr="009D2EDD">
      <w:tab/>
      <w:t>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27B" w:rsidRPr="009D2EDD" w:rsidRDefault="001E7D6E">
      <w:r w:rsidRPr="009D2EDD">
        <w:separator/>
      </w:r>
    </w:p>
  </w:footnote>
  <w:footnote w:type="continuationSeparator" w:id="0">
    <w:p w:rsidR="001D627B" w:rsidRPr="009D2EDD" w:rsidRDefault="001E7D6E">
      <w:r w:rsidRPr="009D2EDD">
        <w:continuationSeparator/>
      </w:r>
    </w:p>
  </w:footnote>
  <w:footnote w:id="1">
    <w:p w:rsidR="00F56731" w:rsidRPr="009D2EDD" w:rsidRDefault="00F56731">
      <w:pPr>
        <w:pStyle w:val="FootnoteText"/>
      </w:pPr>
      <w:r w:rsidRPr="009D2EDD">
        <w:rPr>
          <w:rStyle w:val="FootnoteReference"/>
        </w:rPr>
        <w:footnoteRef/>
      </w:r>
      <w:r w:rsidRPr="009D2EDD">
        <w:t xml:space="preserve"> Af tekniske årsager er dette en urevideret maskinoversættelse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22B" w:rsidRDefault="008832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22B" w:rsidRDefault="008832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22B" w:rsidRDefault="008832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DA"/>
    <w:docVar w:name="TXTLANGUEMIN" w:val="da"/>
    <w:docVar w:name="TXTNRPE" w:val="602.739"/>
    <w:docVar w:name="TXTPEorAP" w:val="PE"/>
    <w:docVar w:name="TXTROUTE" w:val="AM\1121329DA.docx"/>
    <w:docVar w:name="TXTVERSION" w:val="01-00"/>
  </w:docVars>
  <w:rsids>
    <w:rsidRoot w:val="00944CB0"/>
    <w:rsid w:val="000F4E8A"/>
    <w:rsid w:val="001D627B"/>
    <w:rsid w:val="001E699D"/>
    <w:rsid w:val="001E7D6E"/>
    <w:rsid w:val="001F700D"/>
    <w:rsid w:val="003C3E6B"/>
    <w:rsid w:val="003E26DB"/>
    <w:rsid w:val="00603B59"/>
    <w:rsid w:val="007103BE"/>
    <w:rsid w:val="0088322B"/>
    <w:rsid w:val="00944CB0"/>
    <w:rsid w:val="0099086F"/>
    <w:rsid w:val="009D2EDD"/>
    <w:rsid w:val="009F789D"/>
    <w:rsid w:val="00AA4696"/>
    <w:rsid w:val="00BE74C3"/>
    <w:rsid w:val="00BF4F3F"/>
    <w:rsid w:val="00DD592D"/>
    <w:rsid w:val="00EA5142"/>
    <w:rsid w:val="00F56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4FAD05A-3629-4BE7-96BC-0CCD599E0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da-DK" w:bidi="da-DK"/>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da-DK"/>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BE74C3"/>
    <w:pPr>
      <w:tabs>
        <w:tab w:val="center" w:pos="4513"/>
        <w:tab w:val="right" w:pos="9026"/>
      </w:tabs>
    </w:pPr>
  </w:style>
  <w:style w:type="character" w:customStyle="1" w:styleId="HeaderChar">
    <w:name w:val="Header Char"/>
    <w:basedOn w:val="DefaultParagraphFont"/>
    <w:link w:val="Header"/>
    <w:rsid w:val="00BE74C3"/>
    <w:rPr>
      <w:sz w:val="24"/>
      <w:szCs w:val="24"/>
    </w:rPr>
  </w:style>
  <w:style w:type="paragraph" w:styleId="CommentText">
    <w:name w:val="annotation text"/>
    <w:basedOn w:val="Normal"/>
    <w:uiPriority w:val="99"/>
    <w:semiHidden/>
    <w:unhideWhenUsed/>
    <w:rPr>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semiHidden/>
    <w:unhideWhenUsed/>
    <w:rsid w:val="00F56731"/>
    <w:rPr>
      <w:sz w:val="20"/>
      <w:szCs w:val="20"/>
    </w:rPr>
  </w:style>
  <w:style w:type="character" w:customStyle="1" w:styleId="FootnoteTextChar">
    <w:name w:val="Footnote Text Char"/>
    <w:basedOn w:val="DefaultParagraphFont"/>
    <w:link w:val="FootnoteText"/>
    <w:semiHidden/>
    <w:rsid w:val="00F56731"/>
  </w:style>
  <w:style w:type="character" w:styleId="FootnoteReference">
    <w:name w:val="footnote reference"/>
    <w:basedOn w:val="DefaultParagraphFont"/>
    <w:semiHidden/>
    <w:unhideWhenUsed/>
    <w:rsid w:val="00F567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151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9991C-FF97-46B3-B338-4BB034B96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EE371073.dotm</Template>
  <TotalTime>0</TotalTime>
  <Pages>121</Pages>
  <Words>50895</Words>
  <Characters>318607</Characters>
  <Application>Microsoft Office Word</Application>
  <DocSecurity>0</DocSecurity>
  <Lines>12744</Lines>
  <Paragraphs>4451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JENSEN Stine Kyung</cp:lastModifiedBy>
  <cp:revision>2</cp:revision>
  <dcterms:created xsi:type="dcterms:W3CDTF">2017-04-19T14:26:00Z</dcterms:created>
  <dcterms:modified xsi:type="dcterms:W3CDTF">2017-04-19T14:26:00Z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1121329</vt:lpwstr>
  </property>
  <property fmtid="{D5CDD505-2E9C-101B-9397-08002B2CF9AE}" pid="3" name="&lt;FooterPath&gt;">
    <vt:lpwstr>AM\1121329EN.doc</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20170407-122901-177385-939480</vt:lpwstr>
  </property>
  <property fmtid="{D5CDD505-2E9C-101B-9397-08002B2CF9AE}" pid="7" name="PE Number">
    <vt:lpwstr>602.739</vt:lpwstr>
  </property>
  <property fmtid="{D5CDD505-2E9C-101B-9397-08002B2CF9AE}" pid="8" name="UID">
    <vt:lpwstr>eu.europa.europarl-DIN1-2017-0000037715_02.00-en-01.00_text-xml</vt:lpwstr>
  </property>
  <property fmtid="{D5CDD505-2E9C-101B-9397-08002B2CF9AE}" pid="9" name="LastEdited with">
    <vt:lpwstr>9.0.0 Build [20170325]</vt:lpwstr>
  </property>
  <property fmtid="{D5CDD505-2E9C-101B-9397-08002B2CF9AE}" pid="10" name="FooterPath">
    <vt:lpwstr>AM\1121329DA.docx</vt:lpwstr>
  </property>
  <property fmtid="{D5CDD505-2E9C-101B-9397-08002B2CF9AE}" pid="11" name="Bookout">
    <vt:lpwstr/>
  </property>
  <property fmtid="{D5CDD505-2E9C-101B-9397-08002B2CF9AE}" pid="12" name="SDLStudio">
    <vt:lpwstr/>
  </property>
  <property fmtid="{D5CDD505-2E9C-101B-9397-08002B2CF9AE}" pid="13" name="&lt;Extension&gt;">
    <vt:lpwstr>DA</vt:lpwstr>
  </property>
</Properties>
</file>