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6B3E32" w:rsidTr="007A42AB">
        <w:trPr>
          <w:trHeight w:hRule="exact" w:val="1418"/>
        </w:trPr>
        <w:tc>
          <w:tcPr>
            <w:tcW w:w="6804" w:type="dxa"/>
            <w:shd w:val="clear" w:color="auto" w:fill="auto"/>
            <w:vAlign w:val="center"/>
          </w:tcPr>
          <w:p w:rsidR="009154FF" w:rsidRPr="006B3E32" w:rsidRDefault="006B3E32" w:rsidP="007A42AB">
            <w:pPr>
              <w:pStyle w:val="EPName"/>
              <w:rPr>
                <w:lang w:val="et-EE"/>
              </w:rPr>
            </w:pPr>
            <w:r w:rsidRPr="006B3E32">
              <w:rPr>
                <w:lang w:val="et-EE"/>
              </w:rPr>
              <w:t>Euroopa Parlament</w:t>
            </w:r>
          </w:p>
          <w:p w:rsidR="009154FF" w:rsidRPr="009A5840" w:rsidRDefault="009A5840" w:rsidP="009A5840">
            <w:pPr>
              <w:pStyle w:val="EPTerm"/>
              <w:rPr>
                <w:rStyle w:val="HideTWBExt"/>
                <w:noProof w:val="0"/>
                <w:vanish w:val="0"/>
                <w:color w:val="auto"/>
                <w:lang w:val="et-EE"/>
              </w:rPr>
            </w:pPr>
            <w:r>
              <w:rPr>
                <w:lang w:val="et-EE"/>
              </w:rPr>
              <w:t>2014-2019</w:t>
            </w:r>
          </w:p>
        </w:tc>
        <w:tc>
          <w:tcPr>
            <w:tcW w:w="2268" w:type="dxa"/>
            <w:shd w:val="clear" w:color="auto" w:fill="auto"/>
          </w:tcPr>
          <w:p w:rsidR="009154FF" w:rsidRPr="006B3E32" w:rsidRDefault="00922C8B"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6B3E32" w:rsidRDefault="000E7234" w:rsidP="000E7234">
      <w:pPr>
        <w:pStyle w:val="LineTop"/>
        <w:rPr>
          <w:lang w:val="et-EE"/>
        </w:rPr>
      </w:pPr>
    </w:p>
    <w:p w:rsidR="000E7234" w:rsidRPr="006B3E32" w:rsidRDefault="000E7234" w:rsidP="000E7234">
      <w:pPr>
        <w:pStyle w:val="ZCommittee"/>
        <w:rPr>
          <w:lang w:val="et-EE"/>
        </w:rPr>
      </w:pPr>
      <w:r w:rsidRPr="006B3E32">
        <w:rPr>
          <w:rStyle w:val="HideTWBExt"/>
          <w:noProof w:val="0"/>
          <w:lang w:val="et-EE"/>
        </w:rPr>
        <w:t>&lt;</w:t>
      </w:r>
      <w:r w:rsidRPr="006B3E32">
        <w:rPr>
          <w:rStyle w:val="HideTWBExt"/>
          <w:i w:val="0"/>
          <w:noProof w:val="0"/>
          <w:lang w:val="et-EE"/>
        </w:rPr>
        <w:t>Commission</w:t>
      </w:r>
      <w:r w:rsidRPr="006B3E32">
        <w:rPr>
          <w:rStyle w:val="HideTWBExt"/>
          <w:noProof w:val="0"/>
          <w:lang w:val="et-EE"/>
        </w:rPr>
        <w:t>&gt;</w:t>
      </w:r>
      <w:r w:rsidR="009A5840" w:rsidRPr="009A5840">
        <w:rPr>
          <w:rStyle w:val="HideTWBInt"/>
        </w:rPr>
        <w:t>{LIBE}</w:t>
      </w:r>
      <w:r w:rsidR="009A5840">
        <w:rPr>
          <w:lang w:val="et-EE"/>
        </w:rPr>
        <w:t>Kodanikuvabaduste, justiits- ja siseasjade komisjon</w:t>
      </w:r>
      <w:r w:rsidRPr="006B3E32">
        <w:rPr>
          <w:rStyle w:val="HideTWBExt"/>
          <w:noProof w:val="0"/>
          <w:lang w:val="et-EE"/>
        </w:rPr>
        <w:t>&lt;/</w:t>
      </w:r>
      <w:r w:rsidRPr="006B3E32">
        <w:rPr>
          <w:rStyle w:val="HideTWBExt"/>
          <w:i w:val="0"/>
          <w:noProof w:val="0"/>
          <w:lang w:val="et-EE"/>
        </w:rPr>
        <w:t>Commission</w:t>
      </w:r>
      <w:r w:rsidRPr="006B3E32">
        <w:rPr>
          <w:rStyle w:val="HideTWBExt"/>
          <w:noProof w:val="0"/>
          <w:lang w:val="et-EE"/>
        </w:rPr>
        <w:t>&gt;</w:t>
      </w:r>
    </w:p>
    <w:p w:rsidR="000E7234" w:rsidRPr="006B3E32" w:rsidRDefault="000E7234" w:rsidP="000E7234">
      <w:pPr>
        <w:pStyle w:val="LineBottom"/>
      </w:pPr>
    </w:p>
    <w:p w:rsidR="009A5840" w:rsidRDefault="009A5840" w:rsidP="009A5840">
      <w:pPr>
        <w:pStyle w:val="RefProc"/>
      </w:pPr>
      <w:r w:rsidRPr="006F639C">
        <w:rPr>
          <w:rStyle w:val="HideTWBExt"/>
          <w:b w:val="0"/>
          <w:caps w:val="0"/>
          <w:noProof w:val="0"/>
        </w:rPr>
        <w:t>&lt;RefProc&gt;</w:t>
      </w:r>
      <w:r>
        <w:t>2016/0223</w:t>
      </w:r>
      <w:r w:rsidRPr="006F639C">
        <w:rPr>
          <w:rStyle w:val="HideTWBExt"/>
          <w:b w:val="0"/>
          <w:caps w:val="0"/>
          <w:noProof w:val="0"/>
        </w:rPr>
        <w:t>&lt;/RefProc&gt;&lt;RefTypeProc&gt;</w:t>
      </w:r>
      <w:r>
        <w:t>(COD)</w:t>
      </w:r>
      <w:r w:rsidRPr="006F639C">
        <w:rPr>
          <w:rStyle w:val="HideTWBExt"/>
          <w:b w:val="0"/>
          <w:caps w:val="0"/>
          <w:noProof w:val="0"/>
        </w:rPr>
        <w:t>&lt;/RefTypeProc&gt;</w:t>
      </w:r>
    </w:p>
    <w:p w:rsidR="009A5840" w:rsidRDefault="009A5840" w:rsidP="009A5840">
      <w:pPr>
        <w:pStyle w:val="ZDate"/>
      </w:pPr>
      <w:r w:rsidRPr="006F639C">
        <w:rPr>
          <w:rStyle w:val="HideTWBExt"/>
          <w:noProof w:val="0"/>
        </w:rPr>
        <w:t>&lt;Date&gt;</w:t>
      </w:r>
      <w:r w:rsidRPr="006F639C">
        <w:rPr>
          <w:rStyle w:val="HideTWBInt"/>
        </w:rPr>
        <w:t>{27/03/2017}</w:t>
      </w:r>
      <w:r>
        <w:t>27.3.2017</w:t>
      </w:r>
      <w:r w:rsidRPr="006F639C">
        <w:rPr>
          <w:rStyle w:val="HideTWBExt"/>
          <w:noProof w:val="0"/>
        </w:rPr>
        <w:t>&lt;/Date&gt;</w:t>
      </w:r>
    </w:p>
    <w:p w:rsidR="009B0305" w:rsidRPr="006B3E32" w:rsidRDefault="009B0305" w:rsidP="009B0305">
      <w:pPr>
        <w:pStyle w:val="TypeDocAM"/>
      </w:pPr>
      <w:r w:rsidRPr="006B3E32">
        <w:rPr>
          <w:rStyle w:val="HideTWBExt"/>
          <w:b w:val="0"/>
          <w:noProof w:val="0"/>
        </w:rPr>
        <w:t>&lt;TypeAM&gt;</w:t>
      </w:r>
      <w:r w:rsidR="009A5840">
        <w:t>MUUDATUSETTEPANEKUD</w:t>
      </w:r>
      <w:r w:rsidRPr="006B3E32">
        <w:rPr>
          <w:rStyle w:val="HideTWBExt"/>
          <w:b w:val="0"/>
          <w:noProof w:val="0"/>
        </w:rPr>
        <w:t>&lt;/TypeAM&gt;</w:t>
      </w:r>
    </w:p>
    <w:p w:rsidR="00B85286" w:rsidRPr="006B3E32" w:rsidRDefault="00E25DC5" w:rsidP="001C2054">
      <w:pPr>
        <w:pStyle w:val="NRAMS"/>
      </w:pPr>
      <w:r w:rsidRPr="006B3E32">
        <w:rPr>
          <w:rStyle w:val="HideTWBExt"/>
          <w:b w:val="0"/>
          <w:noProof w:val="0"/>
        </w:rPr>
        <w:t>&lt;RangeAM&gt;</w:t>
      </w:r>
      <w:r w:rsidR="009A5840">
        <w:t>96–416</w:t>
      </w:r>
      <w:r w:rsidRPr="006B3E32">
        <w:rPr>
          <w:rStyle w:val="HideTWBExt"/>
          <w:b w:val="0"/>
          <w:noProof w:val="0"/>
        </w:rPr>
        <w:t>&lt;/RangeAM&gt;</w:t>
      </w:r>
    </w:p>
    <w:p w:rsidR="001C2054" w:rsidRPr="006B3E32" w:rsidRDefault="00A15973" w:rsidP="00A93F8C">
      <w:pPr>
        <w:pStyle w:val="CoverBold"/>
      </w:pPr>
      <w:r w:rsidRPr="006B3E32">
        <w:rPr>
          <w:rStyle w:val="HideTWBExt"/>
          <w:b w:val="0"/>
          <w:noProof w:val="0"/>
        </w:rPr>
        <w:t>&lt;TitreType&gt;</w:t>
      </w:r>
      <w:r w:rsidR="006B3E32" w:rsidRPr="006B3E32">
        <w:t>Raporti projekt</w:t>
      </w:r>
      <w:r w:rsidRPr="006B3E32">
        <w:rPr>
          <w:rStyle w:val="HideTWBExt"/>
          <w:b w:val="0"/>
          <w:noProof w:val="0"/>
        </w:rPr>
        <w:t>&lt;/TitreType&gt;</w:t>
      </w:r>
    </w:p>
    <w:p w:rsidR="009A5840" w:rsidRDefault="009A5840" w:rsidP="009A5840">
      <w:pPr>
        <w:pStyle w:val="CoverBold"/>
      </w:pPr>
      <w:r w:rsidRPr="006F639C">
        <w:rPr>
          <w:rStyle w:val="HideTWBExt"/>
          <w:b w:val="0"/>
          <w:noProof w:val="0"/>
        </w:rPr>
        <w:t>&lt;Rapporteur&gt;</w:t>
      </w:r>
      <w:r>
        <w:t>Tanja Fajon</w:t>
      </w:r>
      <w:r w:rsidRPr="006F639C">
        <w:rPr>
          <w:rStyle w:val="HideTWBExt"/>
          <w:b w:val="0"/>
          <w:noProof w:val="0"/>
        </w:rPr>
        <w:t>&lt;/Rapporteur&gt;</w:t>
      </w:r>
    </w:p>
    <w:p w:rsidR="009A5840" w:rsidRDefault="009A5840" w:rsidP="009A5840">
      <w:pPr>
        <w:pStyle w:val="Cover24"/>
      </w:pPr>
      <w:r>
        <w:t>(PE599.799v02-00)</w:t>
      </w:r>
    </w:p>
    <w:p w:rsidR="009A5840" w:rsidRDefault="009A5840" w:rsidP="009A5840">
      <w:pPr>
        <w:pStyle w:val="Cover24"/>
      </w:pPr>
      <w:r w:rsidRPr="006F639C">
        <w:rPr>
          <w:rStyle w:val="HideTWBExt"/>
          <w:noProof w:val="0"/>
        </w:rPr>
        <w:t>&lt;Titre&gt;</w:t>
      </w:r>
      <w:r w:rsidR="00280A25">
        <w:t>N</w:t>
      </w:r>
      <w:r w:rsidR="00280A25" w:rsidRPr="00280A25">
        <w:t>õuded, millele kolmandate riikide kodanikud ja kodakondsuseta isikud peavad vastama, et kvalifitseeruda rahvusvahelise kaitse saajaks, ning nõuded pagulaste või täiendava kaitse saamise kriteeriumidele vastavate isikute ühetaolisele seisundile ja antava kaitse sisule ning nõukogu 25. novembri 2003. aasta direktiivi 2003/109/EÜ (pikaajalistest elanikest kolmandate riikide kodanike staatuse kohta) muutmine</w:t>
      </w:r>
      <w:r w:rsidRPr="006F639C">
        <w:rPr>
          <w:rStyle w:val="HideTWBExt"/>
          <w:noProof w:val="0"/>
        </w:rPr>
        <w:t>&lt;/Titre&gt;</w:t>
      </w:r>
    </w:p>
    <w:p w:rsidR="009A5840" w:rsidRDefault="009A5840" w:rsidP="009A5840">
      <w:pPr>
        <w:pStyle w:val="CoverNormal"/>
      </w:pPr>
      <w:r w:rsidRPr="006F639C">
        <w:rPr>
          <w:rStyle w:val="HideTWBExt"/>
          <w:noProof w:val="0"/>
        </w:rPr>
        <w:t>&lt;DocAmend&gt;</w:t>
      </w:r>
      <w:r w:rsidR="00C6270E">
        <w:t>Ettepanek võtta vastu määrus</w:t>
      </w:r>
      <w:r w:rsidRPr="006F639C">
        <w:rPr>
          <w:rStyle w:val="HideTWBExt"/>
          <w:noProof w:val="0"/>
        </w:rPr>
        <w:t>&lt;/DocAmend&gt;</w:t>
      </w:r>
    </w:p>
    <w:p w:rsidR="009A5840" w:rsidRDefault="009A5840" w:rsidP="009A5840">
      <w:pPr>
        <w:pStyle w:val="Cover24"/>
      </w:pPr>
      <w:r w:rsidRPr="006F639C">
        <w:rPr>
          <w:rStyle w:val="HideTWBExt"/>
          <w:noProof w:val="0"/>
        </w:rPr>
        <w:t>&lt;DocRef&gt;</w:t>
      </w:r>
      <w:r>
        <w:t>(COM(2016)0466 – C8-0324/2016 – 2016/0223(COD))</w:t>
      </w:r>
      <w:r w:rsidRPr="006F639C">
        <w:rPr>
          <w:rStyle w:val="HideTWBExt"/>
          <w:noProof w:val="0"/>
        </w:rPr>
        <w:t>&lt;/DocRef&gt;</w:t>
      </w:r>
    </w:p>
    <w:p w:rsidR="00B85286" w:rsidRPr="006B3E32" w:rsidRDefault="00B85286" w:rsidP="00E660E2">
      <w:pPr>
        <w:widowControl/>
        <w:tabs>
          <w:tab w:val="center" w:pos="4677"/>
        </w:tabs>
      </w:pPr>
      <w:r w:rsidRPr="006B3E32">
        <w:br w:type="page"/>
      </w:r>
    </w:p>
    <w:p w:rsidR="00B85286" w:rsidRPr="006B3E32" w:rsidRDefault="006B3E32" w:rsidP="00E660E2">
      <w:pPr>
        <w:widowControl/>
        <w:tabs>
          <w:tab w:val="center" w:pos="4677"/>
        </w:tabs>
      </w:pPr>
      <w:r w:rsidRPr="006B3E32">
        <w:t>AM_Com_LegReport</w:t>
      </w:r>
    </w:p>
    <w:p w:rsidR="002F3FB4" w:rsidRDefault="00B85286" w:rsidP="002F3FB4">
      <w:pPr>
        <w:pStyle w:val="AMNumberTabs"/>
      </w:pPr>
      <w:r w:rsidRPr="006B3E32">
        <w:br w:type="page"/>
      </w:r>
    </w:p>
    <w:p w:rsidR="009A5840" w:rsidRDefault="009A5840" w:rsidP="009A5840"/>
    <w:p w:rsidR="002F3FB4" w:rsidRDefault="002F3FB4" w:rsidP="002F3FB4">
      <w:pPr>
        <w:pStyle w:val="AMNumberTabs"/>
      </w:pPr>
      <w:r w:rsidRPr="002F3FB4">
        <w:rPr>
          <w:rStyle w:val="HideTWBExt"/>
          <w:b w:val="0"/>
          <w:noProof w:val="0"/>
        </w:rPr>
        <w:t>&lt;RepeatBlock-AmendA&gt;</w:t>
      </w:r>
      <w:r>
        <w:rPr>
          <w:rStyle w:val="HideTWBExt"/>
          <w:b w:val="0"/>
          <w:noProof w:val="0"/>
        </w:rPr>
        <w:t>&lt;AmendA&gt;</w:t>
      </w:r>
      <w:r>
        <w:t xml:space="preserve">Muudatusettepanek </w:t>
      </w:r>
      <w:r>
        <w:tab/>
      </w:r>
      <w:r>
        <w:rPr>
          <w:rStyle w:val="HideTWBExt"/>
          <w:b w:val="0"/>
          <w:noProof w:val="0"/>
        </w:rPr>
        <w:t>&lt;NumAmA&gt;</w:t>
      </w:r>
      <w:r>
        <w:t>96</w:t>
      </w:r>
      <w:r>
        <w:rPr>
          <w:rStyle w:val="HideTWBExt"/>
          <w:b w:val="0"/>
          <w:noProof w:val="0"/>
        </w:rPr>
        <w:t>&lt;/NumAmA&gt;</w:t>
      </w:r>
    </w:p>
    <w:p w:rsidR="002F3FB4" w:rsidRDefault="002F3FB4" w:rsidP="002F3FB4">
      <w:pPr>
        <w:pStyle w:val="NormalBold"/>
      </w:pPr>
      <w:r>
        <w:rPr>
          <w:rStyle w:val="HideTWBExt"/>
          <w:b w:val="0"/>
          <w:noProof w:val="0"/>
        </w:rPr>
        <w:t>&lt;RepeatBlock-By&gt;&lt;Members&gt;</w:t>
      </w:r>
      <w:r>
        <w:t>Kristina Winberg</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p>
        </w:tc>
        <w:tc>
          <w:tcPr>
            <w:tcW w:w="4876" w:type="dxa"/>
          </w:tcPr>
          <w:p w:rsidR="002F3FB4" w:rsidRPr="00F37676" w:rsidRDefault="002F3FB4" w:rsidP="00F37676">
            <w:pPr>
              <w:pStyle w:val="ColumnHeading"/>
            </w:pPr>
            <w:r w:rsidRPr="00F37676">
              <w:t>Tagasilükkamisettepanek</w:t>
            </w:r>
          </w:p>
        </w:tc>
      </w:tr>
      <w:tr w:rsidR="002F3FB4" w:rsidTr="00F37676">
        <w:trPr>
          <w:jc w:val="center"/>
        </w:trPr>
        <w:tc>
          <w:tcPr>
            <w:tcW w:w="4876" w:type="dxa"/>
          </w:tcPr>
          <w:p w:rsidR="002F3FB4" w:rsidRDefault="002F3FB4" w:rsidP="00F37676">
            <w:pPr>
              <w:pStyle w:val="ColumnHeading"/>
            </w:pPr>
          </w:p>
        </w:tc>
        <w:tc>
          <w:tcPr>
            <w:tcW w:w="4876" w:type="dxa"/>
          </w:tcPr>
          <w:p w:rsidR="002F3FB4" w:rsidRPr="006F55E6" w:rsidRDefault="002F3FB4" w:rsidP="00F37676">
            <w:pPr>
              <w:pStyle w:val="StyleNormal6TimesNewRomanBoldItalic"/>
              <w:rPr>
                <w:lang w:val="et-EE"/>
              </w:rPr>
            </w:pPr>
            <w:r w:rsidRPr="006F55E6">
              <w:rPr>
                <w:lang w:val="et-EE"/>
              </w:rPr>
              <w:t>Euroopa Parlament lükkab tagasi komisjoni ettepaneku võtta vastu Euroopa Parlamendi ja nõukogu määrus,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&lt;/AmendA&gt;</w:t>
      </w:r>
    </w:p>
    <w:p w:rsidR="002F3FB4" w:rsidRDefault="002F3FB4" w:rsidP="002F3FB4">
      <w:pPr>
        <w:pStyle w:val="AMNumberTabs"/>
      </w:pPr>
      <w:r>
        <w:rPr>
          <w:rStyle w:val="HideTWBExt"/>
          <w:b w:val="0"/>
          <w:noProof w:val="0"/>
        </w:rPr>
        <w:t>&lt;AmendA&gt;</w:t>
      </w:r>
      <w:r>
        <w:t xml:space="preserve">Muudatusettepanek </w:t>
      </w:r>
      <w:r>
        <w:tab/>
      </w:r>
      <w:r>
        <w:rPr>
          <w:rStyle w:val="HideTWBExt"/>
          <w:b w:val="0"/>
          <w:noProof w:val="0"/>
        </w:rPr>
        <w:t>&lt;NumAmA&gt;</w:t>
      </w:r>
      <w:r>
        <w:t>97</w:t>
      </w:r>
      <w:r>
        <w:rPr>
          <w:rStyle w:val="HideTWBExt"/>
          <w:b w:val="0"/>
          <w:noProof w:val="0"/>
        </w:rPr>
        <w:t>&lt;/NumAmA&gt;</w:t>
      </w:r>
    </w:p>
    <w:p w:rsidR="002F3FB4" w:rsidRDefault="002F3FB4" w:rsidP="002F3FB4">
      <w:pPr>
        <w:pStyle w:val="NormalBold"/>
      </w:pPr>
      <w:r>
        <w:rPr>
          <w:rStyle w:val="HideTWBExt"/>
          <w:b w:val="0"/>
          <w:noProof w:val="0"/>
        </w:rPr>
        <w:t>&lt;RepeatBlock-By&gt;&lt;Members&gt;</w:t>
      </w:r>
      <w:r>
        <w:t>Auke Zijlstra, Janice Atkinson</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p>
        </w:tc>
        <w:tc>
          <w:tcPr>
            <w:tcW w:w="4876" w:type="dxa"/>
          </w:tcPr>
          <w:p w:rsidR="002F3FB4" w:rsidRDefault="002F3FB4" w:rsidP="00F37676">
            <w:pPr>
              <w:pStyle w:val="ColumnHeading"/>
            </w:pPr>
            <w:r>
              <w:t>Tagasilükkamisettepanek</w:t>
            </w:r>
          </w:p>
        </w:tc>
      </w:tr>
      <w:tr w:rsidR="002F3FB4" w:rsidTr="00F37676">
        <w:trPr>
          <w:jc w:val="center"/>
        </w:trPr>
        <w:tc>
          <w:tcPr>
            <w:tcW w:w="4876" w:type="dxa"/>
          </w:tcPr>
          <w:p w:rsidR="002F3FB4" w:rsidRDefault="002F3FB4" w:rsidP="00F37676">
            <w:pPr>
              <w:pStyle w:val="ColumnHeading"/>
            </w:pPr>
          </w:p>
        </w:tc>
        <w:tc>
          <w:tcPr>
            <w:tcW w:w="4876" w:type="dxa"/>
          </w:tcPr>
          <w:p w:rsidR="002F3FB4" w:rsidRPr="006F55E6" w:rsidRDefault="002F3FB4" w:rsidP="00F37676">
            <w:pPr>
              <w:pStyle w:val="StyleNormal6TimesNewRomanBoldItalic"/>
              <w:rPr>
                <w:lang w:val="et-EE"/>
              </w:rPr>
            </w:pPr>
            <w:r w:rsidRPr="006F55E6">
              <w:rPr>
                <w:lang w:val="et-EE"/>
              </w:rPr>
              <w:t xml:space="preserve">Euroopa Parlament lükkab tagasi komisjoni ettepaneku võtta vastu Euroopa Parlamendi ja nõukogu määrus,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w:t>
            </w:r>
            <w:r w:rsidRPr="006F55E6">
              <w:rPr>
                <w:lang w:val="et-EE"/>
              </w:rPr>
              <w:lastRenderedPageBreak/>
              <w:t>sisule ning millega muudetakse nõukogu 25. novembri 2003. aasta direktiivi 2003/109/EÜ pikaajalistest elanikest kolmandate riikide kodanike staatuse kohta.</w:t>
            </w:r>
          </w:p>
        </w:tc>
      </w:tr>
    </w:tbl>
    <w:p w:rsidR="002F3FB4" w:rsidRDefault="002F3FB4" w:rsidP="002F3FB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&lt;/AmendA&gt;</w:t>
      </w:r>
    </w:p>
    <w:p w:rsidR="002F3FB4" w:rsidRDefault="002F3FB4" w:rsidP="002F3FB4">
      <w:pPr>
        <w:pStyle w:val="AMNumberTabs"/>
      </w:pPr>
      <w:r>
        <w:rPr>
          <w:rStyle w:val="HideTWBExt"/>
          <w:b w:val="0"/>
          <w:noProof w:val="0"/>
        </w:rPr>
        <w:t>&lt;AmendA&gt;</w:t>
      </w:r>
      <w:r>
        <w:t xml:space="preserve">Muudatusettepanek </w:t>
      </w:r>
      <w:r>
        <w:tab/>
      </w:r>
      <w:r>
        <w:rPr>
          <w:rStyle w:val="HideTWBExt"/>
          <w:b w:val="0"/>
          <w:noProof w:val="0"/>
        </w:rPr>
        <w:t>&lt;NumAmA&gt;</w:t>
      </w:r>
      <w:r>
        <w:t>98</w:t>
      </w:r>
      <w:r>
        <w:rPr>
          <w:rStyle w:val="HideTWBExt"/>
          <w:b w:val="0"/>
          <w:noProof w:val="0"/>
        </w:rPr>
        <w:t>&lt;/NumAmA&gt;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p>
        </w:tc>
        <w:tc>
          <w:tcPr>
            <w:tcW w:w="4876" w:type="dxa"/>
          </w:tcPr>
          <w:p w:rsidR="002F3FB4" w:rsidRDefault="002F3FB4" w:rsidP="00F37676">
            <w:pPr>
              <w:pStyle w:val="ColumnHeading"/>
            </w:pPr>
            <w:r>
              <w:t>Tagasilükkamisettepanek</w:t>
            </w:r>
          </w:p>
        </w:tc>
      </w:tr>
      <w:tr w:rsidR="002F3FB4" w:rsidTr="00F37676">
        <w:trPr>
          <w:jc w:val="center"/>
        </w:trPr>
        <w:tc>
          <w:tcPr>
            <w:tcW w:w="4876" w:type="dxa"/>
          </w:tcPr>
          <w:p w:rsidR="002F3FB4" w:rsidRDefault="002F3FB4" w:rsidP="00F37676">
            <w:pPr>
              <w:pStyle w:val="ColumnHeading"/>
            </w:pPr>
          </w:p>
        </w:tc>
        <w:tc>
          <w:tcPr>
            <w:tcW w:w="4876" w:type="dxa"/>
          </w:tcPr>
          <w:p w:rsidR="002F3FB4" w:rsidRPr="006F55E6" w:rsidRDefault="002F3FB4" w:rsidP="00F37676">
            <w:pPr>
              <w:pStyle w:val="StyleNormal6TimesNewRomanBoldItalic"/>
              <w:rPr>
                <w:lang w:val="et-EE"/>
              </w:rPr>
            </w:pPr>
            <w:r w:rsidRPr="006F55E6">
              <w:rPr>
                <w:lang w:val="et-EE"/>
              </w:rPr>
              <w:t>Euroopa Parlament lükkab tagasi komisjoni ettepaneku võtta vastu Euroopa Parlamendi ja nõukogu määrus,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&lt;/AmendA&gt;</w:t>
      </w:r>
    </w:p>
    <w:p w:rsidR="002F3FB4" w:rsidRDefault="002F3FB4" w:rsidP="002F3FB4">
      <w:pPr>
        <w:pStyle w:val="AMNumberTabs"/>
      </w:pPr>
      <w:r>
        <w:rPr>
          <w:rStyle w:val="HideTWBExt"/>
          <w:b w:val="0"/>
          <w:noProof w:val="0"/>
        </w:rPr>
        <w:t>&lt;AmendA&gt;</w:t>
      </w:r>
      <w:r>
        <w:t xml:space="preserve">Muudatusettepanek </w:t>
      </w:r>
      <w:r>
        <w:tab/>
      </w:r>
      <w:r>
        <w:rPr>
          <w:rStyle w:val="HideTWBExt"/>
          <w:b w:val="0"/>
          <w:noProof w:val="0"/>
        </w:rPr>
        <w:t>&lt;NumAmA&gt;</w:t>
      </w:r>
      <w:r>
        <w:t>99</w:t>
      </w:r>
      <w:r>
        <w:rPr>
          <w:rStyle w:val="HideTWBExt"/>
          <w:b w:val="0"/>
          <w:noProof w:val="0"/>
        </w:rPr>
        <w:t>&lt;/NumAmA&gt;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Seadusandliku resolutsiooni projekt</w:t>
      </w:r>
      <w:r>
        <w:rPr>
          <w:rStyle w:val="HideTWBExt"/>
          <w:b w:val="0"/>
          <w:noProof w:val="0"/>
        </w:rPr>
        <w:t>&lt;/DocAmend&gt;</w:t>
      </w:r>
    </w:p>
    <w:p w:rsidR="002F3FB4" w:rsidRDefault="002F3FB4" w:rsidP="002F3FB4">
      <w:pPr>
        <w:pStyle w:val="NormalBold"/>
      </w:pPr>
      <w:r>
        <w:rPr>
          <w:rStyle w:val="HideTWBExt"/>
          <w:b w:val="0"/>
          <w:noProof w:val="0"/>
        </w:rPr>
        <w:t>&lt;Article&gt;</w:t>
      </w:r>
      <w:r>
        <w:t>Volitus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Seadusandliku resolutsiooni projekt</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F37676" w:rsidP="00F37676">
            <w:pPr>
              <w:pStyle w:val="Normal6"/>
            </w:pPr>
            <w:r>
              <w:rPr>
                <w:b/>
                <w:i/>
                <w:color w:val="000000"/>
              </w:rPr>
              <w:t>–</w:t>
            </w:r>
            <w:r w:rsidR="002F3FB4">
              <w:tab/>
            </w:r>
            <w:r w:rsidR="002F3FB4">
              <w:rPr>
                <w:b/>
                <w:i/>
              </w:rPr>
              <w:t>võttes arvesse Euroopa Majandus- ja Sotsiaalkomitee 14. detsembri 2016. aasta arvamust</w:t>
            </w:r>
            <w:r w:rsidR="002F3FB4">
              <w:rPr>
                <w:rStyle w:val="SupBoldItalic"/>
              </w:rPr>
              <w:t>1</w:t>
            </w:r>
            <w:r w:rsidR="002F3FB4">
              <w:rPr>
                <w:b/>
                <w:i/>
                <w:color w:val="000000"/>
              </w:rPr>
              <w:t xml:space="preserve"> ,</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lastRenderedPageBreak/>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1</w:t>
            </w:r>
            <w:r>
              <w:t xml:space="preserve"> </w:t>
            </w:r>
            <w:r>
              <w:rPr>
                <w:b/>
                <w:i/>
              </w:rPr>
              <w:t>Euroopa Liidu Teatajas seni avaldamata</w:t>
            </w:r>
            <w:r>
              <w:t>.</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Euroopa Majandus- ja Sotsiaalkomitee on nõuandeasutus ning on vähe tõendeid selle kohta, et see poliitikat muudaks, lisaks kattub </w:t>
      </w:r>
      <w:r w:rsidR="00734E1D">
        <w:rPr>
          <w:noProof w:val="0"/>
        </w:rPr>
        <w:t xml:space="preserve">komitee </w:t>
      </w:r>
      <w:r>
        <w:rPr>
          <w:noProof w:val="0"/>
        </w:rPr>
        <w:t>vastutusala teiste organisatsioonide omaga. Seega tuleks see kaotada. Selle hõlbustamiseks peaks Euroopa Parlament komitee arvamust ignoreerima, muutes komitee seeläbi osaliselt de facto kaotatuks.</w:t>
      </w:r>
    </w:p>
    <w:p w:rsidR="002F3FB4" w:rsidRDefault="002F3FB4" w:rsidP="002F3FB4">
      <w:r>
        <w:rPr>
          <w:rStyle w:val="HideTWBExt"/>
          <w:noProof w:val="0"/>
        </w:rPr>
        <w:t>&lt;/AmendA&gt;</w:t>
      </w:r>
    </w:p>
    <w:p w:rsidR="002F3FB4" w:rsidRDefault="002F3FB4" w:rsidP="002F3FB4">
      <w:pPr>
        <w:pStyle w:val="AMNumberTabs"/>
      </w:pPr>
      <w:r>
        <w:rPr>
          <w:rStyle w:val="HideTWBExt"/>
          <w:b w:val="0"/>
          <w:noProof w:val="0"/>
        </w:rPr>
        <w:t>&lt;AmendA&gt;</w:t>
      </w:r>
      <w:r>
        <w:t xml:space="preserve">Muudatusettepanek </w:t>
      </w:r>
      <w:r>
        <w:tab/>
      </w:r>
      <w:r>
        <w:rPr>
          <w:rStyle w:val="HideTWBExt"/>
          <w:b w:val="0"/>
          <w:noProof w:val="0"/>
        </w:rPr>
        <w:t>&lt;NumAmA&gt;</w:t>
      </w:r>
      <w:r>
        <w:t>100</w:t>
      </w:r>
      <w:r>
        <w:rPr>
          <w:rStyle w:val="HideTWBExt"/>
          <w:b w:val="0"/>
          <w:noProof w:val="0"/>
        </w:rPr>
        <w:t>&lt;/NumAmA&gt;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Seadusandliku resolutsiooni projekt</w:t>
      </w:r>
      <w:r>
        <w:rPr>
          <w:rStyle w:val="HideTWBExt"/>
          <w:b w:val="0"/>
          <w:noProof w:val="0"/>
        </w:rPr>
        <w:t>&lt;/DocAmend&gt;</w:t>
      </w:r>
    </w:p>
    <w:p w:rsidR="002F3FB4" w:rsidRDefault="002F3FB4" w:rsidP="002F3FB4">
      <w:pPr>
        <w:pStyle w:val="NormalBold"/>
      </w:pPr>
      <w:r>
        <w:rPr>
          <w:rStyle w:val="HideTWBExt"/>
          <w:b w:val="0"/>
          <w:noProof w:val="0"/>
        </w:rPr>
        <w:t>&lt;Article&gt;</w:t>
      </w:r>
      <w:r>
        <w:t>Volitus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Seadusandliku resolutsiooni projekt</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734E1D" w:rsidP="00F37676">
            <w:pPr>
              <w:pStyle w:val="Normal6"/>
            </w:pPr>
            <w:r>
              <w:rPr>
                <w:b/>
                <w:i/>
                <w:color w:val="000000"/>
              </w:rPr>
              <w:t>–</w:t>
            </w:r>
            <w:r w:rsidR="002F3FB4">
              <w:tab/>
            </w:r>
            <w:r w:rsidR="002F3FB4">
              <w:rPr>
                <w:b/>
                <w:i/>
              </w:rPr>
              <w:t>võttes arvesse Regioonide Komitee 8. veebruari 2017. aasta arvamust</w:t>
            </w:r>
            <w:r w:rsidR="002F3FB4">
              <w:rPr>
                <w:rStyle w:val="SupBoldItalic"/>
              </w:rPr>
              <w:t>2</w:t>
            </w:r>
            <w:r w:rsidR="002F3FB4">
              <w:rPr>
                <w:b/>
                <w:i/>
                <w:color w:val="000000"/>
              </w:rPr>
              <w:t xml:space="preserve"> ,</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2</w:t>
            </w:r>
            <w:r>
              <w:t xml:space="preserve"> </w:t>
            </w:r>
            <w:r>
              <w:rPr>
                <w:b/>
                <w:i/>
              </w:rPr>
              <w:t>Euroopa Liidu Teatajas seni avaldamata</w:t>
            </w:r>
            <w:r>
              <w:t>.</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Tulenevalt Euroopa Parlamendi suuremast rollist seadusandlikus menetluses ei ole Regioonide Komitee kavandatud roll ELi õigusaktide kujundamisel enam asjakohane ning seega tuleks komitee kaotada. Selle hõlbustamiseks peaks Euroopa Parlament komitee arvamust ignoreerima, muutes komitee seeläbi osaliselt de facto kaotatuks.</w:t>
      </w:r>
    </w:p>
    <w:p w:rsidR="002F3FB4" w:rsidRDefault="002F3FB4" w:rsidP="002F3FB4">
      <w:pPr>
        <w:pStyle w:val="AMNumberTabs"/>
      </w:pPr>
      <w:r>
        <w:rPr>
          <w:rStyle w:val="HideTWBExt"/>
          <w:noProof w:val="0"/>
        </w:rPr>
        <w:t>&lt;/AmendA&gt;</w:t>
      </w:r>
      <w:r w:rsidRPr="002F3FB4">
        <w:rPr>
          <w:rStyle w:val="HideTWBExt"/>
          <w:b w:val="0"/>
          <w:noProof w:val="0"/>
        </w:rPr>
        <w:t>&lt;/RepeatBlock-AmendA&gt;&lt;RepeatBlock-AmendB&gt;</w:t>
      </w:r>
      <w:r>
        <w:rPr>
          <w:rStyle w:val="HideTWBExt"/>
          <w:b w:val="0"/>
          <w:noProof w:val="0"/>
        </w:rPr>
        <w:t>&lt;AmendB&gt;</w:t>
      </w:r>
      <w:r>
        <w:t xml:space="preserve">Muudatusettepanek </w:t>
      </w:r>
      <w:r>
        <w:tab/>
      </w:r>
      <w:r>
        <w:rPr>
          <w:rStyle w:val="HideTWBExt"/>
          <w:b w:val="0"/>
          <w:noProof w:val="0"/>
        </w:rPr>
        <w:t>&lt;NumAmB&gt;</w:t>
      </w:r>
      <w:r>
        <w:t>101</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rsidR="00734E1D">
        <w:t>Pealkiri</w:t>
      </w:r>
      <w:r>
        <w:t xml:space="preserv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Ettepanek:</w:t>
            </w:r>
          </w:p>
          <w:p w:rsidR="002F3FB4" w:rsidRDefault="002F3FB4" w:rsidP="00F37676">
            <w:pPr>
              <w:pStyle w:val="Normal6"/>
            </w:pPr>
            <w:r>
              <w:t xml:space="preserve">EUROOPA PARLAMENDI JA NÕUKOGU </w:t>
            </w:r>
            <w:r>
              <w:rPr>
                <w:b/>
                <w:i/>
              </w:rPr>
              <w:t>MÄÄRUS</w:t>
            </w:r>
            <w:r>
              <w:t>,</w:t>
            </w:r>
          </w:p>
          <w:p w:rsidR="002F3FB4" w:rsidRDefault="002F3FB4" w:rsidP="00F37676">
            <w:pPr>
              <w:pStyle w:val="Normal6"/>
            </w:pPr>
            <w:r>
              <w:t>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p>
        </w:tc>
        <w:tc>
          <w:tcPr>
            <w:tcW w:w="4876" w:type="dxa"/>
          </w:tcPr>
          <w:p w:rsidR="002F3FB4" w:rsidRDefault="002F3FB4" w:rsidP="00F37676">
            <w:pPr>
              <w:pStyle w:val="Normal6"/>
            </w:pPr>
            <w:r>
              <w:t>Ettepanek:</w:t>
            </w:r>
          </w:p>
          <w:p w:rsidR="002F3FB4" w:rsidRDefault="002F3FB4" w:rsidP="00F37676">
            <w:pPr>
              <w:pStyle w:val="Normal6"/>
            </w:pPr>
            <w:r>
              <w:t>EUROOPA PARLAMENDI JA NÕUKOGU</w:t>
            </w:r>
            <w:r>
              <w:rPr>
                <w:b/>
                <w:i/>
              </w:rPr>
              <w:t xml:space="preserve"> DIREKTIIV</w:t>
            </w:r>
            <w:r>
              <w:t>,</w:t>
            </w:r>
          </w:p>
          <w:p w:rsidR="002F3FB4" w:rsidRDefault="002F3FB4" w:rsidP="00F37676">
            <w:pPr>
              <w:pStyle w:val="Normal6"/>
            </w:pPr>
            <w:r>
              <w:t>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Italic"/>
            </w:pPr>
            <w:r>
              <w:t>(</w:t>
            </w:r>
            <w:r w:rsidRPr="006F55E6">
              <w:rPr>
                <w:lang w:val="et-EE"/>
              </w:rPr>
              <w:t>Muudatusettepanekut kohaldatakse kogu teksti ulatuses. Selle vastuvõtmise korral tehakse vastavad muudatused kogu tekstis.)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102</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(1)</w:t>
            </w:r>
            <w:r>
              <w:tab/>
            </w:r>
            <w:r w:rsidR="00734E1D" w:rsidRPr="006F55E6">
              <w:rPr>
                <w:b/>
                <w:i/>
              </w:rPr>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sidR="00734E1D" w:rsidRPr="006F55E6">
              <w:rPr>
                <w:b/>
                <w:i/>
                <w:vertAlign w:val="superscript"/>
              </w:rPr>
              <w:t>31</w:t>
            </w:r>
            <w:r w:rsidR="00734E1D" w:rsidRPr="006F55E6">
              <w:rPr>
                <w:b/>
                <w:i/>
              </w:rPr>
              <w:t xml:space="preserve"> (uuesti sõnastatud)) tehakse mitu sisulist muudatust. Selleks et tagada varjupaigaotsuste ja rahvusvahelise kaitse sisu ühtlustamine ja suurem lähenemine, et vähendada Euroopa Liidus teisese rände stiimuleid ja tagada rahvusvahelise kaitse saajate võrdne kohtlemine, tuleks kõnealune direktiiv kehtetuks tunnistada ja asendada määrusega</w:t>
            </w:r>
            <w:r>
              <w:rPr>
                <w:b/>
                <w:i/>
                <w:color w:val="000000"/>
              </w:rPr>
              <w:t>.</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31</w:t>
            </w:r>
            <w:r>
              <w:t xml:space="preserve"> </w:t>
            </w:r>
            <w:r>
              <w:rPr>
                <w:b/>
                <w:i/>
              </w:rPr>
              <w:t>ELT L 337, 20.12.2011, lk 9.</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Nõukogu 13. detsembri 2011. aasta direktiiv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mitte ei paranda</w:t>
      </w:r>
      <w:r w:rsidR="00734E1D">
        <w:rPr>
          <w:noProof w:val="0"/>
        </w:rPr>
        <w:t>,</w:t>
      </w:r>
      <w:r>
        <w:rPr>
          <w:noProof w:val="0"/>
        </w:rPr>
        <w:t xml:space="preserve"> vaid süvendab 1951. aasta Genfi konventsiooniga seotud kitsaskohti. Kvalifitseerumisega seotud probleemide lahendamiseks tuleks muuta 1951. aasta Genfi konventsiooni ning tunnistada kehtetuks nõukogu 13. detsembri 2011. aasta direktiiv 2011/95/EL.</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Malin Björk</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w:t>
            </w:r>
            <w:r w:rsidRPr="006F55E6">
              <w:t>sisule</w:t>
            </w:r>
            <w:r w:rsidRPr="006F55E6">
              <w:rPr>
                <w:rStyle w:val="SupBoldItalic"/>
                <w:b w:val="0"/>
              </w:rPr>
              <w:t>31</w:t>
            </w:r>
            <w:r w:rsidRPr="00235683">
              <w:t xml:space="preserve"> </w:t>
            </w:r>
            <w:r>
              <w:t xml:space="preserve">(uuesti sõnastatud)) tehakse mitu sisulist muudatust. Selleks et tagada varjupaigaotsuste ja rahvusvahelise kaitse sisu ühtlustamine ja suurem lähenemine, et </w:t>
            </w:r>
            <w:r>
              <w:rPr>
                <w:b/>
                <w:i/>
              </w:rPr>
              <w:t>vähendada Euroopa Liidus teisese rände stiimuleid</w:t>
            </w:r>
            <w:r>
              <w:t xml:space="preserve"> </w:t>
            </w:r>
            <w:r w:rsidRPr="006F55E6">
              <w:rPr>
                <w:b/>
                <w:i/>
              </w:rPr>
              <w:t>ja</w:t>
            </w:r>
            <w:r>
              <w:t xml:space="preserve"> tagada rahvusvahelise kaitse saajate võrdne kohtlemine, tuleks kõnealune direktiiv </w:t>
            </w:r>
            <w:r>
              <w:rPr>
                <w:b/>
                <w:i/>
              </w:rPr>
              <w:t>kehtetuks tunnistada ja asendada määrusega</w:t>
            </w:r>
            <w:r>
              <w:t>.</w:t>
            </w:r>
          </w:p>
        </w:tc>
        <w:tc>
          <w:tcPr>
            <w:tcW w:w="4876" w:type="dxa"/>
          </w:tcPr>
          <w:p w:rsidR="002F3FB4" w:rsidRDefault="002F3FB4" w:rsidP="00F37676">
            <w:pPr>
              <w:pStyle w:val="Normal6"/>
            </w:pPr>
            <w:r>
              <w:t>(1)</w:t>
            </w:r>
            <w:r>
              <w:tab/>
              <w:t xml:space="preserve">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w:t>
            </w:r>
            <w:r w:rsidRPr="006F55E6">
              <w:t>sisule</w:t>
            </w:r>
            <w:r w:rsidR="00734E1D" w:rsidRPr="006F55E6">
              <w:rPr>
                <w:vertAlign w:val="superscript"/>
              </w:rPr>
              <w:t>31</w:t>
            </w:r>
            <w:r w:rsidRPr="00235683">
              <w:t xml:space="preserve"> </w:t>
            </w:r>
            <w:r>
              <w:t xml:space="preserve">(uuesti sõnastatud)) tehakse mitu sisulist muudatust. Selleks et tagada varjupaigaotsuste ja rahvusvahelise kaitse sisu ühtlustamine ja suurem lähenemine </w:t>
            </w:r>
            <w:r>
              <w:rPr>
                <w:b/>
                <w:i/>
              </w:rPr>
              <w:t xml:space="preserve">kõrgete kaitsestandardite </w:t>
            </w:r>
            <w:r w:rsidR="00734E1D">
              <w:rPr>
                <w:b/>
                <w:i/>
              </w:rPr>
              <w:t>alusel</w:t>
            </w:r>
            <w:r>
              <w:t xml:space="preserve">, et tagada rahvusvahelise kaitse saajate võrdne kohtlemine, tuleks kõnealune direktiiv </w:t>
            </w:r>
            <w:r>
              <w:rPr>
                <w:b/>
                <w:i/>
              </w:rPr>
              <w:t>uuesti sõnastada</w:t>
            </w:r>
            <w:r>
              <w: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sidRPr="006F55E6">
              <w:rPr>
                <w:rStyle w:val="SupBoldItalic"/>
                <w:b w:val="0"/>
                <w:i w:val="0"/>
              </w:rPr>
              <w:t>31</w:t>
            </w:r>
            <w:r>
              <w:t xml:space="preserve"> ELT L 337, 20.12.2011, lk 9.</w:t>
            </w:r>
          </w:p>
        </w:tc>
        <w:tc>
          <w:tcPr>
            <w:tcW w:w="4876" w:type="dxa"/>
          </w:tcPr>
          <w:p w:rsidR="002F3FB4" w:rsidRDefault="00734E1D" w:rsidP="00F37676">
            <w:pPr>
              <w:pStyle w:val="Normal6"/>
            </w:pPr>
            <w:r w:rsidRPr="00140AFD">
              <w:rPr>
                <w:rStyle w:val="SupBoldItalic"/>
                <w:b w:val="0"/>
                <w:i w:val="0"/>
              </w:rPr>
              <w:t>31</w:t>
            </w:r>
            <w:r>
              <w:t xml:space="preserve"> ELT L 337, 20.12.2011, lk 9.</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Pr>
                <w:rStyle w:val="Sup"/>
              </w:rPr>
              <w:t>31</w:t>
            </w:r>
            <w:r>
              <w:t xml:space="preserve"> (uuesti sõnastatud)) tehakse mitu sisulist muudatust. Selleks et tagada varjupaigaotsuste ja rahvusvahelise kaitse sisu ühtlustamine ja suurem lähenemine, et </w:t>
            </w:r>
            <w:r>
              <w:rPr>
                <w:b/>
                <w:i/>
              </w:rPr>
              <w:t xml:space="preserve">vähendada Euroopa Liidus teisese rände stiimuleid </w:t>
            </w:r>
            <w:r w:rsidRPr="006F55E6">
              <w:t>ja tagada</w:t>
            </w:r>
            <w:r>
              <w:t xml:space="preserve"> rahvusvahelise kaitse saajate</w:t>
            </w:r>
            <w:r>
              <w:rPr>
                <w:b/>
                <w:i/>
              </w:rPr>
              <w:t xml:space="preserve"> võrdne</w:t>
            </w:r>
            <w:r>
              <w:rPr>
                <w:b/>
              </w:rPr>
              <w:t xml:space="preserve"> </w:t>
            </w:r>
            <w:r>
              <w:rPr>
                <w:b/>
                <w:i/>
              </w:rPr>
              <w:t>kohtlemine</w:t>
            </w:r>
            <w:r>
              <w:t xml:space="preserve">, tuleks kõnealune direktiiv </w:t>
            </w:r>
            <w:r>
              <w:rPr>
                <w:b/>
                <w:i/>
              </w:rPr>
              <w:t>kehtetuks tunnistada ja asendada määrusega</w:t>
            </w:r>
            <w:r w:rsidRPr="006F55E6">
              <w:t>.</w:t>
            </w:r>
          </w:p>
        </w:tc>
        <w:tc>
          <w:tcPr>
            <w:tcW w:w="4876" w:type="dxa"/>
          </w:tcPr>
          <w:p w:rsidR="002F3FB4" w:rsidRDefault="002F3FB4" w:rsidP="00F37676">
            <w:pPr>
              <w:pStyle w:val="Normal6"/>
            </w:pPr>
            <w:r>
              <w:t>(1)</w:t>
            </w:r>
            <w:r>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Pr>
                <w:rStyle w:val="Sup"/>
              </w:rPr>
              <w:t>31</w:t>
            </w:r>
            <w:r>
              <w:t xml:space="preserve"> (uuesti sõnastatud)) tehakse mitu sisulist muudatust. Selleks et tagada varjupaigaotsuste ja rahvusvahelise kaitse sisu ühtlustamine ja suurem lähenemine, et </w:t>
            </w:r>
            <w:r>
              <w:rPr>
                <w:b/>
                <w:i/>
              </w:rPr>
              <w:t xml:space="preserve">saavutada kõigis liikmesriikides kõrged ühised nõuded </w:t>
            </w:r>
            <w:r>
              <w:t xml:space="preserve">ja tagada rahvusvahelise kaitse saajate </w:t>
            </w:r>
            <w:r>
              <w:rPr>
                <w:b/>
                <w:i/>
              </w:rPr>
              <w:t>kohtlemisel ühtlaselt kõrged standardid</w:t>
            </w:r>
            <w:r>
              <w:t xml:space="preserve">, tuleks kõnealune direktiiv </w:t>
            </w:r>
            <w:r>
              <w:rPr>
                <w:b/>
                <w:i/>
              </w:rPr>
              <w:t>uuesti sõnastada</w:t>
            </w:r>
            <w:r>
              <w: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31</w:t>
            </w:r>
            <w:r>
              <w:t xml:space="preserve"> ELT L 337, 20.12.2011, lk 9.</w:t>
            </w:r>
          </w:p>
        </w:tc>
        <w:tc>
          <w:tcPr>
            <w:tcW w:w="4876" w:type="dxa"/>
          </w:tcPr>
          <w:p w:rsidR="002F3FB4" w:rsidRDefault="002F3FB4" w:rsidP="00F37676">
            <w:pPr>
              <w:pStyle w:val="Normal6"/>
            </w:pPr>
            <w:r>
              <w:rPr>
                <w:rStyle w:val="Sup"/>
              </w:rPr>
              <w:t>31</w:t>
            </w:r>
            <w:r>
              <w:t xml:space="preserve"> ELT L 337, 20.12.2011, lk 9.</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105</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w:t>
            </w:r>
            <w:r w:rsidRPr="00781174">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sidRPr="00781174">
              <w:rPr>
                <w:vertAlign w:val="superscript"/>
              </w:rPr>
              <w:t>31</w:t>
            </w:r>
            <w:r w:rsidRPr="00781174">
              <w:t xml:space="preserve"> (uuesti sõnastatud)) tehakse </w:t>
            </w:r>
            <w:r w:rsidRPr="00781174">
              <w:rPr>
                <w:b/>
                <w:i/>
              </w:rPr>
              <w:t>mitu sisulist muudatust</w:t>
            </w:r>
            <w:r w:rsidRPr="00781174">
              <w:t>. Selleks et tagada varjupaigaotsuste ja rahvusvahelise kaitse sisu ühtlustamine ja suurem lähenemine, et vähendada Euroopa Liidus teisese rände stiimuleid ja tagada rahvusvahelise kaitse saajate võrdne kohtlemine, tuleks kõnealune direktiiv kehtetuks tunnistada ja asendada määrusega.</w:t>
            </w:r>
          </w:p>
        </w:tc>
        <w:tc>
          <w:tcPr>
            <w:tcW w:w="4876" w:type="dxa"/>
          </w:tcPr>
          <w:p w:rsidR="002F3FB4" w:rsidRPr="00781174" w:rsidRDefault="002F3FB4" w:rsidP="00F37676">
            <w:pPr>
              <w:pStyle w:val="Normal6"/>
            </w:pPr>
            <w:r w:rsidRPr="00781174">
              <w:t>(1)</w:t>
            </w:r>
            <w:r w:rsidRPr="00781174">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sidRPr="00781174">
              <w:rPr>
                <w:vertAlign w:val="superscript"/>
              </w:rPr>
              <w:t>31</w:t>
            </w:r>
            <w:r w:rsidRPr="00781174">
              <w:t xml:space="preserve"> (uuesti sõnastatud)) tehakse </w:t>
            </w:r>
            <w:r w:rsidRPr="00781174">
              <w:rPr>
                <w:b/>
                <w:i/>
              </w:rPr>
              <w:t>sisuline muudatus</w:t>
            </w:r>
            <w:r w:rsidRPr="00781174">
              <w:t>. Selleks et tagada varjupaigaotsuste ja rahvusvahelise kaitse sisu ühtlustamine ja suurem lähenemine, et vähendada Euroopa Liidus teisese rände stiimuleid ja tagada rahvusvahelise kaitse saajate võrdne kohtlemine, tuleks kõnealune direktiiv kehtetuks tunnistada ja asendada määrusega.</w:t>
            </w:r>
          </w:p>
        </w:tc>
      </w:tr>
      <w:tr w:rsidR="002F3FB4" w:rsidRPr="00781174" w:rsidTr="00F37676">
        <w:trPr>
          <w:jc w:val="center"/>
        </w:trPr>
        <w:tc>
          <w:tcPr>
            <w:tcW w:w="4876" w:type="dxa"/>
          </w:tcPr>
          <w:p w:rsidR="002F3FB4" w:rsidRPr="00781174" w:rsidRDefault="002F3FB4" w:rsidP="00F37676">
            <w:pPr>
              <w:pStyle w:val="Normal6"/>
            </w:pPr>
            <w:r w:rsidRPr="00781174">
              <w:t>_________________</w:t>
            </w:r>
          </w:p>
        </w:tc>
        <w:tc>
          <w:tcPr>
            <w:tcW w:w="4876" w:type="dxa"/>
          </w:tcPr>
          <w:p w:rsidR="002F3FB4" w:rsidRPr="00781174" w:rsidRDefault="002F3FB4" w:rsidP="00F37676">
            <w:pPr>
              <w:pStyle w:val="Normal6"/>
            </w:pPr>
            <w:r w:rsidRPr="00781174">
              <w:t>_________________</w:t>
            </w:r>
          </w:p>
        </w:tc>
      </w:tr>
      <w:tr w:rsidR="002F3FB4" w:rsidRPr="00781174" w:rsidTr="00F37676">
        <w:trPr>
          <w:jc w:val="center"/>
        </w:trPr>
        <w:tc>
          <w:tcPr>
            <w:tcW w:w="4876" w:type="dxa"/>
          </w:tcPr>
          <w:p w:rsidR="002F3FB4" w:rsidRPr="00781174" w:rsidRDefault="002F3FB4" w:rsidP="00F37676">
            <w:pPr>
              <w:pStyle w:val="Normal6"/>
            </w:pPr>
            <w:r w:rsidRPr="00781174">
              <w:rPr>
                <w:rStyle w:val="Sup"/>
              </w:rPr>
              <w:t>31</w:t>
            </w:r>
            <w:r w:rsidRPr="00781174">
              <w:t xml:space="preserve"> ELT L 337, 20.12.2011, lk 9.</w:t>
            </w:r>
          </w:p>
        </w:tc>
        <w:tc>
          <w:tcPr>
            <w:tcW w:w="4876" w:type="dxa"/>
          </w:tcPr>
          <w:p w:rsidR="002F3FB4" w:rsidRPr="00781174" w:rsidRDefault="002F3FB4" w:rsidP="00F37676">
            <w:pPr>
              <w:pStyle w:val="Normal6"/>
            </w:pPr>
            <w:r w:rsidRPr="00781174">
              <w:rPr>
                <w:rStyle w:val="Sup"/>
              </w:rPr>
              <w:t>31</w:t>
            </w:r>
            <w:r w:rsidRPr="00781174">
              <w:t xml:space="preserve"> ELT L 337, 20.12.2011, lk 9.</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106</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Pr>
                <w:rStyle w:val="Sup"/>
              </w:rPr>
              <w:t>31</w:t>
            </w:r>
            <w:r>
              <w:t xml:space="preserve"> (uuesti sõnastatud)) tehakse mitu sisulist muudatust. Selleks et tagada varjupaigaotsuste ja rahvusvahelise kaitse sisu </w:t>
            </w:r>
            <w:r>
              <w:rPr>
                <w:b/>
                <w:i/>
              </w:rPr>
              <w:t>ühtlustamine ja</w:t>
            </w:r>
            <w:r>
              <w:t xml:space="preserve"> suurem lähenemine, et vähendada Euroopa Liidus teisese rände stiimuleid ja tagada rahvusvahelise kaitse saajate võrdne kohtlemine, tuleks kõnealune direktiiv kehtetuks tunnistada ja asendada määrusega.</w:t>
            </w:r>
          </w:p>
        </w:tc>
        <w:tc>
          <w:tcPr>
            <w:tcW w:w="4876" w:type="dxa"/>
          </w:tcPr>
          <w:p w:rsidR="002F3FB4" w:rsidRDefault="002F3FB4" w:rsidP="00F37676">
            <w:pPr>
              <w:pStyle w:val="Normal6"/>
            </w:pPr>
            <w:r>
              <w:t>(1)</w:t>
            </w:r>
            <w:r>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Pr>
                <w:rStyle w:val="Sup"/>
              </w:rPr>
              <w:t>31</w:t>
            </w:r>
            <w:r>
              <w:t xml:space="preserve"> (uuesti sõnastatud)) tehakse mitu sisulist muudatust. Selleks et tagada varjupaigaotsuste ja rahvusvahelise kaitse sisu suurem lähenemine, et vähendada Euroopa Liidus teisese rände stiimuleid ja tagada rahvusvahelise kaitse saajate võrdne kohtlemine, tuleks kõnealune direktiiv kehtetuks tunnistada ja asendada määrusega.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31</w:t>
            </w:r>
            <w:r>
              <w:t xml:space="preserve"> ELT L 337, 20.12.2011, lk 9.</w:t>
            </w:r>
          </w:p>
        </w:tc>
        <w:tc>
          <w:tcPr>
            <w:tcW w:w="4876" w:type="dxa"/>
          </w:tcPr>
          <w:p w:rsidR="002F3FB4" w:rsidRDefault="002F3FB4" w:rsidP="00F37676">
            <w:pPr>
              <w:pStyle w:val="Normal6"/>
            </w:pPr>
            <w:r>
              <w:rPr>
                <w:rStyle w:val="Sup"/>
              </w:rPr>
              <w:t>31</w:t>
            </w:r>
            <w:r>
              <w:t xml:space="preserve"> ELT L 337, 20.12.2011, lk 9.</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107</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w:t>
            </w:r>
            <w:r>
              <w:tab/>
            </w:r>
            <w:r>
              <w:rPr>
                <w:b/>
                <w:i/>
                <w:color w:val="000000"/>
              </w:rPr>
              <w:t>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solidaarsuse ja vastutuse, sh selle rahalise mõju õiglase jagamise põhimõttest liikmesriikide vahel.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Pagulasseisundit käsitlevat 28. juuli 1951. aasta Genfi konventsiooni (mida on täiendatud 31. jaanuari 1967. aasta New Yorgi protokolliga) </w:t>
      </w:r>
      <w:r w:rsidR="00F52225">
        <w:rPr>
          <w:noProof w:val="0"/>
        </w:rPr>
        <w:t xml:space="preserve">ei </w:t>
      </w:r>
      <w:r>
        <w:rPr>
          <w:noProof w:val="0"/>
        </w:rPr>
        <w:t>ole tänapäeval valitseva olukorra jaoks piisavalt ajakohastatud ja reformitud ning seega tuleks seda muuta</w:t>
      </w:r>
      <w:r w:rsidR="00F52225">
        <w:rPr>
          <w:noProof w:val="0"/>
        </w:rPr>
        <w:t>,</w:t>
      </w:r>
      <w:r>
        <w:rPr>
          <w:noProof w:val="0"/>
        </w:rPr>
        <w:t xml:space="preserve"> enne kui seda </w:t>
      </w:r>
      <w:r w:rsidR="00F52225">
        <w:rPr>
          <w:noProof w:val="0"/>
        </w:rPr>
        <w:t xml:space="preserve">loetakse kõnealuses </w:t>
      </w:r>
      <w:r>
        <w:rPr>
          <w:noProof w:val="0"/>
        </w:rPr>
        <w:t>valdkonnas õigusakti</w:t>
      </w:r>
      <w:r w:rsidR="00F52225">
        <w:rPr>
          <w:noProof w:val="0"/>
        </w:rPr>
        <w:t xml:space="preserve"> aluseks</w:t>
      </w:r>
      <w:r>
        <w:rPr>
          <w:noProof w:val="0"/>
        </w:rPr>
        <w: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108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w:t>
            </w:r>
            <w:r w:rsidRPr="00781174">
              <w:tab/>
            </w:r>
            <w:r w:rsidRPr="00781174">
              <w:rPr>
                <w:b/>
                <w:i/>
              </w:rPr>
              <w:t xml:space="preserve">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w:t>
            </w:r>
            <w:r w:rsidRPr="00781174">
              <w:t>solidaarsuse ja vastutuse, sh selle rahalise mõju õiglase jagamise põhimõttest liikmesriikide vahel.</w:t>
            </w:r>
          </w:p>
        </w:tc>
        <w:tc>
          <w:tcPr>
            <w:tcW w:w="4876" w:type="dxa"/>
          </w:tcPr>
          <w:p w:rsidR="002F3FB4" w:rsidRPr="00781174" w:rsidRDefault="002F3FB4" w:rsidP="00F37676">
            <w:pPr>
              <w:pStyle w:val="Normal6"/>
            </w:pPr>
            <w:r w:rsidRPr="00781174">
              <w:t>(2)</w:t>
            </w:r>
            <w:r w:rsidRPr="00781174">
              <w:tab/>
            </w:r>
            <w:r w:rsidRPr="00781174">
              <w:rPr>
                <w:b/>
                <w:i/>
              </w:rPr>
              <w:t>Varjupaigapoliitikas tuleks juhinduda</w:t>
            </w:r>
            <w:r w:rsidRPr="00781174">
              <w:t xml:space="preserve"> solidaarsuse ja vastutuse, sh selle rahalise mõju õiglase jagamise põhimõttest liikmesriikide vahel</w:t>
            </w:r>
            <w:r w:rsidRPr="00781174">
              <w:rPr>
                <w:b/>
                <w:i/>
              </w:rPr>
              <w:t>, kuid siiani on ELi tegevus selles valdkonnas ebaõnnestunud. Puudujäägid ELi poliitikas on viinud töökohavahetusteni, kümnete tuhandete alaealiste kadunuksjäämiseni, surmajuhtude arvu suurenemiseni Vahemerel ja sotsiaalsete pingete kasvuni</w:t>
            </w:r>
            <w:r w:rsidRPr="00781174">
              <w:t>.</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109</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w:t>
            </w:r>
            <w:r>
              <w:rPr>
                <w:b/>
                <w:i/>
              </w:rPr>
              <w:t>solidaarsuse ja vastutuse, sh selle rahalise mõju õiglase jagamise</w:t>
            </w:r>
            <w:r>
              <w:t xml:space="preserve"> põhimõttest </w:t>
            </w:r>
            <w:r>
              <w:rPr>
                <w:b/>
                <w:i/>
              </w:rPr>
              <w:t>liikmesriikide vahel</w:t>
            </w:r>
            <w:r w:rsidRPr="006F55E6">
              <w:t>.</w:t>
            </w:r>
          </w:p>
        </w:tc>
        <w:tc>
          <w:tcPr>
            <w:tcW w:w="4876" w:type="dxa"/>
          </w:tcPr>
          <w:p w:rsidR="002F3FB4" w:rsidRDefault="002F3FB4" w:rsidP="00F37676">
            <w:pPr>
              <w:pStyle w:val="Normal6"/>
            </w:pPr>
            <w:r>
              <w:t>(2)</w:t>
            </w:r>
            <w:r>
              <w:tab/>
              <w:t xml:space="preserve">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w:t>
            </w:r>
            <w:r>
              <w:rPr>
                <w:b/>
                <w:i/>
              </w:rPr>
              <w:t>taskukohasuse</w:t>
            </w:r>
            <w:r>
              <w:t xml:space="preserve"> põhimõttest</w:t>
            </w:r>
            <w:r w:rsidRPr="006F55E6">
              <w:rPr>
                <w:b/>
                <w:i/>
              </w:rPr>
              <w:t xml:space="preserve">, </w:t>
            </w:r>
            <w:r>
              <w:rPr>
                <w:b/>
                <w:i/>
              </w:rPr>
              <w:t>võttes arvesse vastuvõtvate ühiskondade vastuvõtmissuutlikkust ning rahvusvahelise kaitse saajate maksimaalset toimetulekuvõimet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110</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solidaarsuse ja vastutuse</w:t>
            </w:r>
            <w:r>
              <w:rPr>
                <w:b/>
                <w:i/>
              </w:rPr>
              <w:t>, sh selle rahalise mõju</w:t>
            </w:r>
            <w:r>
              <w:t xml:space="preserve"> õiglase jagamise põhimõttest liikmesriikide vahel.</w:t>
            </w:r>
          </w:p>
        </w:tc>
        <w:tc>
          <w:tcPr>
            <w:tcW w:w="4876" w:type="dxa"/>
          </w:tcPr>
          <w:p w:rsidR="002F3FB4" w:rsidRDefault="002F3FB4" w:rsidP="00F37676">
            <w:pPr>
              <w:pStyle w:val="Normal6"/>
            </w:pPr>
            <w:r>
              <w:t>(2)</w:t>
            </w:r>
            <w:r>
              <w:tab/>
              <w:t>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solidaarsuse ja vastutuse õiglase jagamise põhimõttest liikmesriikide vahel.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w:t>
            </w:r>
            <w:r>
              <w:tab/>
            </w:r>
            <w:r>
              <w:rPr>
                <w:b/>
                <w:i/>
                <w:color w:val="000000"/>
              </w:rPr>
              <w:t>Euroopa ühise varjupaigasüsteemi aluseks on varjupaigamenetlusi, liidu tasandil toimuvat tunnustamist ja pakutavat kaitset ning vastuvõtutingimusi käsitlevad ühised nõuded ning süsteem, mille abil määrata kindlaks varjupaigataotlejate eest vastutav liikmesriik. Hoolimata 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on olulised teisese rände ajendid ja töötavad vastu eesmärgile tagada kõikide taotlejate võrdne kohtlemine olenemata sellest, kus kohas liidus nad kaitset taotlevad.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Võttes arvesse, et liikmesriikidel on erinevad huvid, väärtused, jõukuse tase ning sisserändajate vastuvõtmise võimekus, </w:t>
      </w:r>
      <w:r w:rsidR="00235683">
        <w:rPr>
          <w:noProof w:val="0"/>
        </w:rPr>
        <w:t xml:space="preserve">ei </w:t>
      </w:r>
      <w:r>
        <w:rPr>
          <w:noProof w:val="0"/>
        </w:rPr>
        <w:t>ole otstarbekas arvata, et vastuvõtmise tingimused saavad olla võrdsed, nende ühtlustamisest rääkimata.</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112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(3)</w:t>
            </w:r>
            <w:r w:rsidRPr="00781174">
              <w:tab/>
              <w:t xml:space="preserve">Euroopa ühise varjupaigasüsteemi aluseks </w:t>
            </w:r>
            <w:r w:rsidRPr="00781174">
              <w:rPr>
                <w:b/>
                <w:i/>
              </w:rPr>
              <w:t>on</w:t>
            </w:r>
            <w:r w:rsidRPr="00781174">
              <w:t xml:space="preserve"> varjupaigamenetlusi, liidu tasandil toimuvat tunnustamist ja pakutavat kaitset ning vastuvõtutingimusi käsitlevad ühised nõuded ning süsteem, mille abil määrata kindlaks varjupaigataotlejate eest vastutav liikmesriik. Hoolimata </w:t>
            </w:r>
            <w:r w:rsidRPr="00781174">
              <w:rPr>
                <w:b/>
                <w:i/>
              </w:rPr>
              <w:t>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on olulised teisese rände ajendid ja töötavad vastu eesmärgile tagada kõikide taotlejate võrdne kohtlemine olenemata sellest, kus kohas liidus nad kaitset taotlevad</w:t>
            </w:r>
            <w:r w:rsidRPr="00781174">
              <w:t>.</w:t>
            </w:r>
          </w:p>
          <w:p w:rsidR="002F3FB4" w:rsidRPr="00781174" w:rsidRDefault="002F3FB4" w:rsidP="00F37676">
            <w:pPr>
              <w:pStyle w:val="Normal6"/>
            </w:pPr>
          </w:p>
        </w:tc>
        <w:tc>
          <w:tcPr>
            <w:tcW w:w="4876" w:type="dxa"/>
          </w:tcPr>
          <w:p w:rsidR="002F3FB4" w:rsidRPr="00781174" w:rsidRDefault="002F3FB4" w:rsidP="00F37676">
            <w:pPr>
              <w:pStyle w:val="Normal6"/>
            </w:pPr>
            <w:r w:rsidRPr="00781174">
              <w:t>(3)</w:t>
            </w:r>
            <w:r w:rsidRPr="00781174">
              <w:tab/>
              <w:t xml:space="preserve">Euroopa ühise varjupaigasüsteemi aluseks </w:t>
            </w:r>
            <w:r w:rsidRPr="00781174">
              <w:rPr>
                <w:b/>
                <w:i/>
              </w:rPr>
              <w:t>peaks olema</w:t>
            </w:r>
            <w:r w:rsidRPr="00781174">
              <w:t xml:space="preserve"> varjupaigamenetlusi, liidu tasandil toimuvat tunnustamist ja pakutavat kaitset ning vastuvõtutingimusi käsitlevad ühised nõuded ning süsteem, mille abil määrata kindlaks varjupaigataotlejate eest vastutav liikmesriik. Hoolimata </w:t>
            </w:r>
            <w:r w:rsidRPr="00781174">
              <w:rPr>
                <w:b/>
                <w:i/>
              </w:rPr>
              <w:t>tänaseni ilmnenud ebaõnnestumistest jätkatakse ELis sellise poliitika rakendamist, millega jätkuvalt mõjutatakse negatiivselt riike, kuhu esimesena sisenetakse</w:t>
            </w:r>
            <w:r w:rsidRPr="00781174">
              <w:t>.</w:t>
            </w:r>
          </w:p>
          <w:p w:rsidR="002F3FB4" w:rsidRPr="00781174" w:rsidRDefault="002F3FB4" w:rsidP="00F37676">
            <w:pPr>
              <w:pStyle w:val="Normal6"/>
            </w:pP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Euroopa ühise varjupaigasüsteemi aluseks on varjupaigamenetlusi, liidu tasandil toimuvat tunnustamist ja pakutavat kaitset ning vastuvõtutingimusi käsitlevad ühised nõuded ning süsteem, mille abil määrata kindlaks varjupaigataotlejate eest vastutav liikmesriik. Hoolimata 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w:t>
            </w:r>
            <w:r>
              <w:rPr>
                <w:b/>
                <w:i/>
              </w:rPr>
              <w:t>on olulised teisese rände ajendid ja</w:t>
            </w:r>
            <w:r>
              <w:t xml:space="preserve"> töötavad vastu eesmärgile tagada kõikide taotlejate võrdne kohtlemine olenemata sellest, kus kohas liidus nad kaitset taotlevad.</w:t>
            </w:r>
          </w:p>
        </w:tc>
        <w:tc>
          <w:tcPr>
            <w:tcW w:w="4876" w:type="dxa"/>
          </w:tcPr>
          <w:p w:rsidR="002F3FB4" w:rsidRDefault="002F3FB4" w:rsidP="00F37676">
            <w:pPr>
              <w:pStyle w:val="Normal6"/>
            </w:pPr>
            <w:r>
              <w:t>(3)</w:t>
            </w:r>
            <w:r>
              <w:tab/>
              <w:t>Euroopa ühise varjupaigasüsteemi aluseks on varjupaigamenetlusi, liidu tasandil toimuvat tunnustamist ja pakutavat kaitset ning vastuvõtutingimusi käsitlevad ühised nõuded ning süsteem, mille abil määrata kindlaks varjupaigataotlejate eest vastutav liikmesriik. Hoolimata 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töötavad vastu eesmärgile tagada kõikide taotlejate võrdne kohtlemine olenemata sellest, kus kohas liidus nad kaitset taotlevad.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Euroopa ühise varjupaigasüsteemi aluseks on varjupaigamenetlusi, liidu tasandil toimuvat tunnustamist ja pakutavat kaitset ning vastuvõtutingimusi käsitlevad ühised nõuded ning süsteem, mille abil määrata kindlaks varjupaigataotlejate eest vastutav liikmesriik. Hoolimata 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w:t>
            </w:r>
            <w:r>
              <w:rPr>
                <w:b/>
                <w:i/>
              </w:rPr>
              <w:t>on olulised teisese rände ajendid ja</w:t>
            </w:r>
            <w:r>
              <w:t xml:space="preserve"> töötavad vastu eesmärgile tagada kõikide taotlejate võrdne kohtlemine olenemata sellest, kus kohas liidus nad kaitset taotlevad.</w:t>
            </w:r>
          </w:p>
        </w:tc>
        <w:tc>
          <w:tcPr>
            <w:tcW w:w="4876" w:type="dxa"/>
          </w:tcPr>
          <w:p w:rsidR="002F3FB4" w:rsidRDefault="002F3FB4" w:rsidP="00F37676">
            <w:pPr>
              <w:pStyle w:val="Normal6"/>
            </w:pPr>
            <w:r>
              <w:t>(3)</w:t>
            </w:r>
            <w:r>
              <w:tab/>
              <w:t>Euroopa ühise varjupaigasüsteemi aluseks on varjupaigamenetlusi, liidu tasandil toimuvat tunnustamist ja pakutavat kaitset ning vastuvõtutingimusi käsitlevad ühised nõuded ning süsteem, mille abil määrata kindlaks varjupaigataotlejate eest vastutav liikmesriik. Hoolimata senistest edusammudest, mis on tehtud Euroopa ühise varjupaigasüsteemi järkjärgulisel arendamisel, esineb kasutatavates menetlusliikides, varjupaigataotluste rahuldamise määrades, antava kaitse liigis, materiaalsete vastuvõtutingimuste tasemes ning rahvusvahelise kaitse taotlejatele ja saajatele võimaldavates hüvedes liikmesriigiti endiselt suuri erinevusi. Need erinevused töötavad vastu eesmärgile tagada kõikide taotlejate võrdne kohtlemine olenemata sellest, kus kohas liidus nad kaitset taotlevad.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Jean Lambert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 a)</w:t>
            </w:r>
            <w:r>
              <w:tab/>
            </w:r>
            <w:r>
              <w:rPr>
                <w:b/>
                <w:i/>
                <w:color w:val="000000"/>
              </w:rPr>
              <w:t xml:space="preserve">Praegu tunnistavad liikmesriigid ainult neid teiste liikmesriikide väljastatud varjupaigaotsuseid, millega keeldutakse rahvusvahelise kaitse andmisest. Selleks et tagada ELi toimimise lepingu artikli 78 lõike 2 – millega nähakse ette kogu liidus kehtiv ühetaoline varjupaigaseisund – nõuetekohane rakendamine, tegutsevad liikmesriigid selle nimel, et vastastikuselt hakataks tunnustama ka selliseid teiste liikmesriikide väljastatud varjupaigaotsuseid, millega antakse </w:t>
            </w:r>
            <w:r w:rsidR="00235683">
              <w:rPr>
                <w:b/>
                <w:i/>
                <w:color w:val="000000"/>
              </w:rPr>
              <w:t xml:space="preserve">seda vajavatele isikutele </w:t>
            </w:r>
            <w:r>
              <w:rPr>
                <w:b/>
                <w:i/>
                <w:color w:val="000000"/>
              </w:rPr>
              <w:t>rahvusvaheline kaitse.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liikmesriikide tehtud rahvusvahelise kaitse otsuste täielik vastastikune tunnustamine on vajalik, et luua kogu liidus kehtiv tõeliselt ühtne rahvusvahelise kaitse seisund.</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116</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w:t>
            </w:r>
            <w:r>
              <w:tab/>
            </w:r>
            <w:r>
              <w:rPr>
                <w:b/>
                <w:i/>
              </w:rPr>
              <w:t>Komisjon kirjeldas 6. aprilli 2016. aasta teatises,</w:t>
            </w:r>
            <w:r>
              <w:rPr>
                <w:rStyle w:val="SupBoldItalic"/>
              </w:rPr>
              <w:t>32</w:t>
            </w:r>
            <w:r>
              <w:rPr>
                <w:b/>
                <w:i/>
              </w:rPr>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ELi sisese teisese rände ärahoidmist ning ELi Varjupaigaameti (EASO) uusi volitusi.</w:t>
            </w:r>
            <w:r>
              <w:rPr>
                <w:b/>
                <w:i/>
                <w:color w:val="000000"/>
              </w:rPr>
              <w:t xml:space="preserve"> </w:t>
            </w:r>
            <w:r>
              <w:rPr>
                <w:b/>
                <w:i/>
              </w:rPr>
              <w:t>Kõnealune teatis on kooskõlas Euroopa Ülemkogu 2016. aasta 18.–19. veebruari üleskutsetega</w:t>
            </w:r>
            <w:r>
              <w:rPr>
                <w:rStyle w:val="SupBoldItalic"/>
              </w:rPr>
              <w:t>33</w:t>
            </w:r>
            <w:r>
              <w:rPr>
                <w:b/>
                <w:i/>
              </w:rPr>
              <w:t xml:space="preserve"> liikuda edasi ELi olemasoleva raamistiku reformimisega, et tagada inimlik ja tõhus varjupaigapoliitika.</w:t>
            </w:r>
            <w:r>
              <w:rPr>
                <w:b/>
                <w:i/>
                <w:color w:val="000000"/>
              </w:rPr>
              <w:t xml:space="preserve"> Samuti tehakse selles ettepanek edasise tegevuse kohta kooskõlas Euroopa Parlamendi 12. aprilli 2016. aasta algatusraportis rände suhtes ette nähtud tervikliku lähenemisviisiga.</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32</w:t>
            </w:r>
            <w:r>
              <w:t xml:space="preserve"> </w:t>
            </w:r>
            <w:r>
              <w:rPr>
                <w:b/>
                <w:i/>
                <w:color w:val="000000"/>
              </w:rPr>
              <w:t xml:space="preserve">COM (2016) 197 </w:t>
            </w:r>
            <w:r w:rsidR="00235683">
              <w:rPr>
                <w:b/>
                <w:i/>
                <w:color w:val="000000"/>
              </w:rPr>
              <w:t>(finaal)</w:t>
            </w:r>
            <w:r>
              <w:rPr>
                <w:b/>
                <w:i/>
                <w:color w:val="000000"/>
              </w:rPr>
              <w:t>.</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33</w:t>
            </w:r>
            <w:r>
              <w:t xml:space="preserve"> </w:t>
            </w:r>
            <w:r>
              <w:rPr>
                <w:b/>
                <w:i/>
                <w:color w:val="000000"/>
              </w:rPr>
              <w:t>EUCO 19.2.2016, SN 1/16.</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Võttes arvesse, et liikmesriikidel on erinevad huvid, väärtused, jõukuse tase ning sisserändajate vastuvõtmise võimekus, </w:t>
      </w:r>
      <w:r w:rsidR="00235683">
        <w:rPr>
          <w:noProof w:val="0"/>
        </w:rPr>
        <w:t xml:space="preserve">ei ole </w:t>
      </w:r>
      <w:r>
        <w:rPr>
          <w:noProof w:val="0"/>
        </w:rPr>
        <w:t>otstarbekas arvata, et õigusaktide olemasolu viib tõhusa ja ühtlustatud ühise varjupaigapoliitikani.</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ELi sisese teisese rände ärahoidmist ning ELi Varjupaigaameti (</w:t>
            </w:r>
            <w:r>
              <w:rPr>
                <w:b/>
                <w:i/>
              </w:rPr>
              <w:t>EASO</w:t>
            </w:r>
            <w:r>
              <w:t>) uusi volitusi. Kõnealune teatis on kooskõlas Euroopa Ülemkogu 2016. aasta 18.–19. veebruari üleskutsetega</w:t>
            </w:r>
            <w:r>
              <w:rPr>
                <w:rStyle w:val="Sup"/>
              </w:rPr>
              <w:t>33</w:t>
            </w:r>
            <w:r>
              <w:t xml:space="preserve"> liikuda edasi ELi olemasoleva raamistiku reformimisega, et tagada inimlik ja tõhus varjupaigapoliitika. </w:t>
            </w:r>
            <w:r>
              <w:rPr>
                <w:b/>
                <w:i/>
              </w:rPr>
              <w:t>Samuti tehakse selles ettepanek edasise tegevuse kohta kooskõlas</w:t>
            </w:r>
            <w:r>
              <w:t xml:space="preserve"> Euroopa Parlamendi 12. aprilli 2016. aasta algatusraportis rände suhtes ette nähtud tervikliku lähenemisviisiga.</w:t>
            </w:r>
          </w:p>
        </w:tc>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ELi sisese teisese rände ärahoidmist ning ELi Varjupaigaameti (</w:t>
            </w:r>
            <w:r>
              <w:rPr>
                <w:b/>
                <w:i/>
              </w:rPr>
              <w:t>edaspidi „amet“</w:t>
            </w:r>
            <w:r>
              <w:t>) uusi volitusi. Kõnealune teatis on kooskõlas Euroopa Ülemkogu 2016. aasta 18.–19. veebruari üleskutsetega</w:t>
            </w:r>
            <w:r>
              <w:rPr>
                <w:rStyle w:val="Sup"/>
              </w:rPr>
              <w:t>33</w:t>
            </w:r>
            <w:r>
              <w:t xml:space="preserve"> liikuda edasi ELi olemasoleva raamistiku reformimisega, et tagada inimlik ja tõhus varjupaigapoliitika. </w:t>
            </w:r>
            <w:r>
              <w:rPr>
                <w:b/>
                <w:i/>
              </w:rPr>
              <w:t>Samas ignoreeritakse selles täielikult soovitusi, mis esitati</w:t>
            </w:r>
            <w:r>
              <w:rPr>
                <w:b/>
              </w:rPr>
              <w:t xml:space="preserve"> </w:t>
            </w:r>
            <w:r>
              <w:t>Euroopa Parlamendi 12. aprilli 2016. aasta algatusraportis rände suhtes ette nähtud tervikliku lähenemisviisiga.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32</w:t>
            </w:r>
            <w:r>
              <w:t xml:space="preserve"> </w:t>
            </w:r>
            <w:r w:rsidR="00235683">
              <w:rPr>
                <w:lang w:val="pt-PT"/>
              </w:rPr>
              <w:t>COM (2016) 197 (final).</w:t>
            </w:r>
          </w:p>
        </w:tc>
        <w:tc>
          <w:tcPr>
            <w:tcW w:w="4876" w:type="dxa"/>
          </w:tcPr>
          <w:p w:rsidR="002F3FB4" w:rsidRDefault="002F3FB4" w:rsidP="00F37676">
            <w:pPr>
              <w:pStyle w:val="Normal6"/>
            </w:pPr>
            <w:r>
              <w:rPr>
                <w:rStyle w:val="Sup"/>
              </w:rPr>
              <w:t>32</w:t>
            </w:r>
            <w:r>
              <w:t xml:space="preserve"> </w:t>
            </w:r>
            <w:r w:rsidR="00235683">
              <w:rPr>
                <w:lang w:val="pt-PT"/>
              </w:rPr>
              <w:t>COM (2016) 197 (final).</w:t>
            </w:r>
          </w:p>
        </w:tc>
      </w:tr>
      <w:tr w:rsidR="002F3FB4" w:rsidTr="00F37676">
        <w:trPr>
          <w:jc w:val="center"/>
        </w:trPr>
        <w:tc>
          <w:tcPr>
            <w:tcW w:w="4876" w:type="dxa"/>
          </w:tcPr>
          <w:p w:rsidR="002F3FB4" w:rsidRDefault="002F3FB4" w:rsidP="00F37676">
            <w:pPr>
              <w:pStyle w:val="Normal6"/>
            </w:pPr>
            <w:r>
              <w:rPr>
                <w:rStyle w:val="Sup"/>
              </w:rPr>
              <w:t>33</w:t>
            </w:r>
            <w:r>
              <w:t xml:space="preserve"> </w:t>
            </w:r>
            <w:r w:rsidR="00235683">
              <w:rPr>
                <w:lang w:val="pt-PT"/>
              </w:rPr>
              <w:t>EUCO 19.2.2016, SN 1/16.</w:t>
            </w:r>
          </w:p>
        </w:tc>
        <w:tc>
          <w:tcPr>
            <w:tcW w:w="4876" w:type="dxa"/>
          </w:tcPr>
          <w:p w:rsidR="002F3FB4" w:rsidRDefault="002F3FB4" w:rsidP="00F37676">
            <w:pPr>
              <w:pStyle w:val="Normal6"/>
            </w:pPr>
            <w:r>
              <w:rPr>
                <w:rStyle w:val="Sup"/>
              </w:rPr>
              <w:t>33</w:t>
            </w:r>
            <w:r>
              <w:t xml:space="preserve"> </w:t>
            </w:r>
            <w:r w:rsidR="00235683">
              <w:rPr>
                <w:lang w:val="pt-PT"/>
              </w:rPr>
              <w:t>EUCO 19.2.2016, SN 1/16.</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w:t>
            </w:r>
            <w:r w:rsidRPr="006F55E6">
              <w:rPr>
                <w:b/>
                <w:i/>
              </w:rPr>
              <w:t xml:space="preserve">, </w:t>
            </w:r>
            <w:r>
              <w:rPr>
                <w:b/>
                <w:i/>
              </w:rPr>
              <w:t>ELi sisese teisese rände ärahoidmist</w:t>
            </w:r>
            <w:r>
              <w:t xml:space="preserve"> ning ELi Varjupaigaameti (EASO) uusi volitusi. Kõnealune teatis on kooskõlas Euroopa Ülemkogu 2016. aasta 18.–19. veebruari üleskutsetega</w:t>
            </w:r>
            <w:r>
              <w:rPr>
                <w:rStyle w:val="Sup"/>
              </w:rPr>
              <w:t>33</w:t>
            </w:r>
            <w:r>
              <w:t xml:space="preserve"> liikuda edasi ELi olemasoleva raamistiku reformimisega, et tagada inimlik ja tõhus varjupaigapoliitika. Samuti tehakse selles ettepanek edasise tegevuse kohta kooskõlas Euroopa Parlamendi 12. aprilli 2016. aasta algatusraportis rände suhtes ette nähtud tervikliku lähenemisviisiga.</w:t>
            </w:r>
          </w:p>
        </w:tc>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ning ELi Varjupaigaameti (EASO) uusi volitusi. Kõnealune teatis on kooskõlas Euroopa Ülemkogu 2016. aasta 18.–19. veebruari üleskutsetega</w:t>
            </w:r>
            <w:r>
              <w:rPr>
                <w:rStyle w:val="Sup"/>
              </w:rPr>
              <w:t>33</w:t>
            </w:r>
            <w:r>
              <w:t xml:space="preserve"> liikuda edasi ELi olemasoleva raamistiku reformimisega, et tagada inimlik ja tõhus varjupaigapoliitika </w:t>
            </w:r>
            <w:r w:rsidR="00235683">
              <w:rPr>
                <w:b/>
                <w:i/>
              </w:rPr>
              <w:t>ning</w:t>
            </w:r>
            <w:r>
              <w:rPr>
                <w:b/>
                <w:i/>
              </w:rPr>
              <w:t xml:space="preserve"> sama kõrge</w:t>
            </w:r>
            <w:r w:rsidR="00995044">
              <w:rPr>
                <w:b/>
                <w:i/>
              </w:rPr>
              <w:t>tasemelised</w:t>
            </w:r>
            <w:r>
              <w:rPr>
                <w:b/>
                <w:i/>
              </w:rPr>
              <w:t xml:space="preserve"> nõuded kogu Euroopa Liidus</w:t>
            </w:r>
            <w:r>
              <w:t xml:space="preserve">. Samuti tehakse selles ettepanek edasise tegevuse kohta </w:t>
            </w:r>
            <w:r>
              <w:rPr>
                <w:b/>
                <w:i/>
              </w:rPr>
              <w:t>osaliselt</w:t>
            </w:r>
            <w:r>
              <w:t xml:space="preserve"> kooskõlas Euroopa Parlamendi 12. aprilli 2016. aasta algatusraportis rände suhtes ette nähtud tervikliku lähenemisviisiga.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32</w:t>
            </w:r>
            <w:r>
              <w:t xml:space="preserve"> </w:t>
            </w:r>
            <w:r w:rsidR="00235683">
              <w:rPr>
                <w:lang w:val="pt-PT"/>
              </w:rPr>
              <w:t>COM (2016) 197 (final).</w:t>
            </w:r>
          </w:p>
        </w:tc>
        <w:tc>
          <w:tcPr>
            <w:tcW w:w="4876" w:type="dxa"/>
          </w:tcPr>
          <w:p w:rsidR="002F3FB4" w:rsidRDefault="002F3FB4" w:rsidP="00F37676">
            <w:pPr>
              <w:pStyle w:val="Normal6"/>
            </w:pPr>
            <w:r>
              <w:rPr>
                <w:rStyle w:val="Sup"/>
              </w:rPr>
              <w:t>32</w:t>
            </w:r>
            <w:r>
              <w:t xml:space="preserve"> </w:t>
            </w:r>
            <w:r w:rsidR="00235683">
              <w:rPr>
                <w:lang w:val="pt-PT"/>
              </w:rPr>
              <w:t>COM (2016) 197 (final).</w:t>
            </w:r>
          </w:p>
        </w:tc>
      </w:tr>
      <w:tr w:rsidR="002F3FB4" w:rsidTr="00F37676">
        <w:trPr>
          <w:jc w:val="center"/>
        </w:trPr>
        <w:tc>
          <w:tcPr>
            <w:tcW w:w="4876" w:type="dxa"/>
          </w:tcPr>
          <w:p w:rsidR="002F3FB4" w:rsidRDefault="002F3FB4" w:rsidP="00F37676">
            <w:pPr>
              <w:pStyle w:val="Normal6"/>
            </w:pPr>
            <w:r>
              <w:rPr>
                <w:rStyle w:val="Sup"/>
              </w:rPr>
              <w:t>33</w:t>
            </w:r>
            <w:r>
              <w:t xml:space="preserve"> </w:t>
            </w:r>
            <w:r w:rsidR="00235683">
              <w:rPr>
                <w:lang w:val="pt-PT"/>
              </w:rPr>
              <w:t>EUCO 19.2.2016, SN 1/16.</w:t>
            </w:r>
          </w:p>
        </w:tc>
        <w:tc>
          <w:tcPr>
            <w:tcW w:w="4876" w:type="dxa"/>
          </w:tcPr>
          <w:p w:rsidR="002F3FB4" w:rsidRDefault="002F3FB4" w:rsidP="00F37676">
            <w:pPr>
              <w:pStyle w:val="Normal6"/>
            </w:pPr>
            <w:r>
              <w:rPr>
                <w:rStyle w:val="Sup"/>
              </w:rPr>
              <w:t>33</w:t>
            </w:r>
            <w:r>
              <w:t xml:space="preserve"> </w:t>
            </w:r>
            <w:r w:rsidR="00235683">
              <w:rPr>
                <w:lang w:val="pt-PT"/>
              </w:rPr>
              <w:t>EUCO 19.2.2016, SN 1/16.</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119</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w:t>
            </w:r>
            <w:r>
              <w:rPr>
                <w:b/>
                <w:i/>
              </w:rPr>
              <w:t>jätkusuutliku ja õiglase</w:t>
            </w:r>
            <w:r>
              <w:t xml:space="preserve"> süsteemi väljatöötamist varjupaigataotlejate eest vastutava liikmesriigi kindlaksmääramiseks, Eurodac-süsteemi tugevdamist, ELi varjupaigasüsteemis suurema lähenemise saavutamist, ELi sisese teisese rände ärahoidmist ning ELi Varjupaigaameti (EASO) uusi volitusi. Kõnealune teatis on kooskõlas Euroopa Ülemkogu 2016. aasta 18.–19. veebruari üleskutsetega</w:t>
            </w:r>
            <w:r>
              <w:rPr>
                <w:rStyle w:val="Sup"/>
              </w:rPr>
              <w:t>33</w:t>
            </w:r>
            <w:r>
              <w:t xml:space="preserve"> liikuda edasi ELi olemasoleva raamistiku reformimisega, et tagada inimlik ja tõhus varjupaigapoliitika. Samuti tehakse selles ettepanek edasise tegevuse kohta kooskõlas Euroopa Parlamendi 12. aprilli 2016. aasta algatusraportis rände suhtes ette nähtud tervikliku lähenemisviisiga.</w:t>
            </w:r>
          </w:p>
        </w:tc>
        <w:tc>
          <w:tcPr>
            <w:tcW w:w="4876" w:type="dxa"/>
          </w:tcPr>
          <w:p w:rsidR="002F3FB4" w:rsidRDefault="002F3FB4" w:rsidP="00F37676">
            <w:pPr>
              <w:pStyle w:val="Normal6"/>
            </w:pPr>
            <w:r>
              <w:t>(4)</w:t>
            </w:r>
            <w:r>
              <w:tab/>
              <w:t>Komisjon kirjeldas 6. aprilli 2016. aasta teatises,</w:t>
            </w:r>
            <w:r>
              <w:rPr>
                <w:rStyle w:val="Sup"/>
              </w:rPr>
              <w:t>32</w:t>
            </w:r>
            <w:r>
              <w:t xml:space="preserve"> milliseid võimalusi ta näeb Euroopa ühise varjupaigasüsteemi parandamiseks, nimelt süsteemi väljatöötamist varjupaigataotlejate eest vastutava liikmesriigi kindlaksmääramiseks, Eurodac-süsteemi tugevdamist, ELi varjupaigasüsteemis suurema lähenemise saavutamist, ELi sisese teisese rände ärahoidmist ning ELi Varjupaigaameti (EASO) uusi volitusi. Kõnealune teatis on kooskõlas Euroopa Ülemkogu 2016. aasta 18.–19. veebruari üleskutsetega</w:t>
            </w:r>
            <w:r>
              <w:rPr>
                <w:rStyle w:val="Sup"/>
              </w:rPr>
              <w:t>33</w:t>
            </w:r>
            <w:r>
              <w:t xml:space="preserve"> liikuda edasi ELi olemasoleva raamistiku reformimisega, et tagada inimlik ja tõhus varjupaigapoliitika. Samuti tehakse selles ettepanek edasise tegevuse kohta kooskõlas Euroopa Parlamendi 12. aprilli 2016. aasta algatusraportis rände suhtes ette nähtud tervikliku lähenemisviisiga.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32</w:t>
            </w:r>
            <w:r>
              <w:t xml:space="preserve"> </w:t>
            </w:r>
            <w:r w:rsidR="00235683">
              <w:rPr>
                <w:lang w:val="pt-PT"/>
              </w:rPr>
              <w:t>COM (2016) 197 (final).</w:t>
            </w:r>
          </w:p>
        </w:tc>
        <w:tc>
          <w:tcPr>
            <w:tcW w:w="4876" w:type="dxa"/>
          </w:tcPr>
          <w:p w:rsidR="002F3FB4" w:rsidRDefault="002F3FB4" w:rsidP="00F37676">
            <w:pPr>
              <w:pStyle w:val="Normal6"/>
            </w:pPr>
            <w:r>
              <w:rPr>
                <w:rStyle w:val="Sup"/>
              </w:rPr>
              <w:t>32</w:t>
            </w:r>
            <w:r>
              <w:t xml:space="preserve"> </w:t>
            </w:r>
            <w:r w:rsidR="00235683">
              <w:rPr>
                <w:lang w:val="pt-PT"/>
              </w:rPr>
              <w:t>COM (2016) 197 (final).</w:t>
            </w:r>
          </w:p>
        </w:tc>
      </w:tr>
      <w:tr w:rsidR="002F3FB4" w:rsidTr="00F37676">
        <w:trPr>
          <w:jc w:val="center"/>
        </w:trPr>
        <w:tc>
          <w:tcPr>
            <w:tcW w:w="4876" w:type="dxa"/>
          </w:tcPr>
          <w:p w:rsidR="002F3FB4" w:rsidRDefault="002F3FB4" w:rsidP="00F37676">
            <w:pPr>
              <w:pStyle w:val="Normal6"/>
            </w:pPr>
            <w:r>
              <w:rPr>
                <w:rStyle w:val="Sup"/>
              </w:rPr>
              <w:t>33</w:t>
            </w:r>
            <w:r>
              <w:t xml:space="preserve"> </w:t>
            </w:r>
            <w:r w:rsidR="00235683">
              <w:rPr>
                <w:lang w:val="pt-PT"/>
              </w:rPr>
              <w:t>EUCO 19.2.2016, SN 1/16.</w:t>
            </w:r>
          </w:p>
        </w:tc>
        <w:tc>
          <w:tcPr>
            <w:tcW w:w="4876" w:type="dxa"/>
          </w:tcPr>
          <w:p w:rsidR="002F3FB4" w:rsidRDefault="002F3FB4" w:rsidP="00F37676">
            <w:pPr>
              <w:pStyle w:val="Normal6"/>
            </w:pPr>
            <w:r>
              <w:rPr>
                <w:rStyle w:val="Sup"/>
              </w:rPr>
              <w:t>33</w:t>
            </w:r>
            <w:r>
              <w:t xml:space="preserve"> </w:t>
            </w:r>
            <w:r w:rsidR="00235683">
              <w:rPr>
                <w:lang w:val="pt-PT"/>
              </w:rPr>
              <w:t>EUCO 19.2.2016, SN 1/16.</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 a)</w:t>
            </w:r>
            <w:r>
              <w:tab/>
            </w:r>
            <w:r>
              <w:rPr>
                <w:b/>
                <w:i/>
                <w:color w:val="000000"/>
              </w:rPr>
              <w:t>Genfi konventsioon on pagulaste kaitse rahvusvahelise õigusliku raamistiku nurgakivi.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Käesoleva muudatusettepanekuga taastatakse 2011. aasta miinimumnõuete direktiivi preambuli lõige 4.</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r>
            <w:r>
              <w:rPr>
                <w:b/>
                <w:i/>
              </w:rPr>
              <w:t>Selleks et Euroopa ühine varjupaigasüsteem, sh Dublini süsteem, toimiks hästi,</w:t>
            </w:r>
            <w:r>
              <w:rPr>
                <w:b/>
              </w:rPr>
              <w:t xml:space="preserve"> </w:t>
            </w:r>
            <w:r>
              <w:t xml:space="preserve">on vaja riiklike varjupaigasüsteemide lähendamisel oluliselt edasi liikuda, pöörates erilist tähelepanu liikmesriikide erinevustele varjupaigataotluste rahuldamise määrades ja antava kaitseseisundi liikides. </w:t>
            </w:r>
            <w:r>
              <w:rPr>
                <w:b/>
                <w:i/>
              </w:rPr>
              <w:t>Lisaks tuleks muuta rangemaks seisundi läbivaatamise nõuded</w:t>
            </w:r>
            <w:r w:rsidRPr="006F55E6">
              <w:t>,</w:t>
            </w:r>
            <w:r>
              <w:rPr>
                <w:b/>
              </w:rPr>
              <w:t xml:space="preserve"> </w:t>
            </w:r>
            <w:r>
              <w:t xml:space="preserve">et kaitse andmine oleks tagatud ainult neile, kes seda vajavad </w:t>
            </w:r>
            <w:r>
              <w:rPr>
                <w:b/>
                <w:i/>
              </w:rPr>
              <w:t>ja kuni see vajadus püsib</w:t>
            </w:r>
            <w:r w:rsidRPr="006F55E6">
              <w:t>.</w:t>
            </w:r>
            <w:r>
              <w:rPr>
                <w:b/>
                <w:i/>
                <w:color w:val="000000"/>
              </w:rPr>
              <w:t xml:space="preserve"> </w:t>
            </w:r>
            <w:r>
              <w:t xml:space="preserve">Lisaks tuleks </w:t>
            </w:r>
            <w:r>
              <w:rPr>
                <w:b/>
                <w:i/>
              </w:rPr>
              <w:t>vältida elamislubade kehtivusaja suhtes erinevate tavade kujunemist</w:t>
            </w:r>
            <w:r>
              <w:t xml:space="preserve"> ning täpsustada ja ühtlustada rahvusvahelise kaitse saajatele antud õigusi.</w:t>
            </w:r>
          </w:p>
        </w:tc>
        <w:tc>
          <w:tcPr>
            <w:tcW w:w="4876" w:type="dxa"/>
          </w:tcPr>
          <w:p w:rsidR="002F3FB4" w:rsidRDefault="002F3FB4" w:rsidP="00F37676">
            <w:pPr>
              <w:pStyle w:val="Normal6"/>
            </w:pPr>
            <w:r>
              <w:t>(5)</w:t>
            </w:r>
            <w:r>
              <w:tab/>
            </w:r>
            <w:r>
              <w:rPr>
                <w:b/>
                <w:i/>
                <w:color w:val="000000"/>
              </w:rPr>
              <w:t xml:space="preserve">Liidu ühine rahvusvahelise kaitse poliitika peaks põhinema ühetaolisel seisundil. </w:t>
            </w:r>
            <w:r>
              <w:rPr>
                <w:b/>
                <w:i/>
              </w:rPr>
              <w:t>Hästi toimiva ja kõrgetasemelisel kaitsel põhineva Euroopa ühise varjupaigasüsteemi saavutamiseks</w:t>
            </w:r>
            <w:r>
              <w:t xml:space="preserve"> on vaja riiklike varjupaigasüsteemide lähendamisel </w:t>
            </w:r>
            <w:r>
              <w:rPr>
                <w:b/>
                <w:i/>
              </w:rPr>
              <w:t>ja parimate tavade vahetamisel</w:t>
            </w:r>
            <w:r>
              <w:t xml:space="preserve"> oluliselt edasi liikuda, pöörates erilist tähelepanu liikmesriikide erinevustele varjupaigataotluste rahuldamise määrades ja antava kaitseseisundi liikides. </w:t>
            </w:r>
            <w:r>
              <w:rPr>
                <w:b/>
                <w:i/>
                <w:color w:val="000000"/>
              </w:rPr>
              <w:t xml:space="preserve">Samas on tähtis liikmesriikide ametiasutusi haldustööga mitte üle koormata. </w:t>
            </w:r>
            <w:r>
              <w:rPr>
                <w:b/>
                <w:i/>
              </w:rPr>
              <w:t>Sellele vastavalt tuleks nõudeid rangemaks muuta</w:t>
            </w:r>
            <w:r w:rsidRPr="006F55E6">
              <w:t>,</w:t>
            </w:r>
            <w:r>
              <w:rPr>
                <w:b/>
              </w:rPr>
              <w:t xml:space="preserve"> </w:t>
            </w:r>
            <w:r>
              <w:t>et kaitse andmine oleks tagatud ainult neile, kes seda vajavad.</w:t>
            </w:r>
            <w:r>
              <w:rPr>
                <w:b/>
                <w:i/>
                <w:color w:val="000000"/>
              </w:rPr>
              <w:t xml:space="preserve"> </w:t>
            </w:r>
            <w:r>
              <w:t xml:space="preserve">Lisaks tuleks </w:t>
            </w:r>
            <w:r>
              <w:rPr>
                <w:b/>
                <w:i/>
              </w:rPr>
              <w:t>ühtlustada elamislubade kehtivusaega, võttes täielikult arvesse liikmesriikide praeguseid parimaid tavasid ja konsulteerides asjaomaste sidusrühmadega,</w:t>
            </w:r>
            <w:r>
              <w:rPr>
                <w:b/>
              </w:rPr>
              <w:t xml:space="preserve"> </w:t>
            </w:r>
            <w:r>
              <w:t>ning täpsustada ja ühtlustada rahvusvahelise kaitse saajatele antud õigusi.</w:t>
            </w:r>
            <w:r>
              <w:br/>
            </w:r>
            <w:r>
              <w:rPr>
                <w:b/>
                <w:i/>
                <w:color w:val="000000"/>
              </w:rPr>
              <w:t>Liikmesriikidel peaks siiski olema võimalus elamislubade kehtivusaja osas soodsamaid nõudeid rakendada.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rahvusvahelist kaitset vajavatele isikutele antavate elamislubade kehtivusaja ühtlustamisel tuleks täielikult arvesse võtta liikmesriikide praeguseid parimaid tavasid ning ei tohiks püüda kehtestada lühimat võimalikku kehtivusaega.</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122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5</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(5)</w:t>
            </w:r>
            <w:r w:rsidRPr="00781174">
              <w:tab/>
              <w:t xml:space="preserve">Selleks et Euroopa ühine varjupaigasüsteem, sh Dublini süsteem, toimiks hästi, on vaja </w:t>
            </w:r>
            <w:r w:rsidRPr="00781174">
              <w:rPr>
                <w:b/>
                <w:i/>
              </w:rPr>
              <w:t>riiklike varjupaigasüsteemide lähendamisel</w:t>
            </w:r>
            <w:r w:rsidRPr="00781174">
              <w:t xml:space="preserve"> oluliselt edasi liikuda</w:t>
            </w:r>
            <w:r w:rsidRPr="00781174">
              <w:rPr>
                <w:b/>
                <w:i/>
              </w:rPr>
              <w:t>, pöörates erilist tähelepanu liikmesriikide erinevustele varjupaigataotluste rahuldamise määrades ja antava kaitseseisundi liikides. Lisaks</w:t>
            </w:r>
            <w:r w:rsidRPr="00781174">
              <w:t xml:space="preserve"> tuleks muuta rangemaks </w:t>
            </w:r>
            <w:r w:rsidRPr="00781174">
              <w:rPr>
                <w:b/>
                <w:i/>
              </w:rPr>
              <w:t>seisundi läbivaatamise nõuded</w:t>
            </w:r>
            <w:r w:rsidRPr="006F55E6">
              <w:rPr>
                <w:b/>
                <w:i/>
              </w:rPr>
              <w:t xml:space="preserve">, et </w:t>
            </w:r>
            <w:r w:rsidRPr="00781174">
              <w:rPr>
                <w:b/>
                <w:i/>
              </w:rPr>
              <w:t xml:space="preserve">kaitse andmine oleks tagatud </w:t>
            </w:r>
            <w:r w:rsidRPr="00781174">
              <w:t xml:space="preserve">ainult neile, </w:t>
            </w:r>
            <w:r w:rsidRPr="00781174">
              <w:rPr>
                <w:b/>
                <w:i/>
              </w:rPr>
              <w:t>kes seda vajavad ja kuni see vajadus püsib. Lisaks tuleks vältida elamislubade kehtivusaja suhtes erinevate tavade kujunemist ning täpsustada ja ühtlustada rahvusvahelise kaitse saajatele antud õigusi</w:t>
            </w:r>
            <w:r w:rsidRPr="00781174">
              <w:t>.</w:t>
            </w:r>
          </w:p>
        </w:tc>
        <w:tc>
          <w:tcPr>
            <w:tcW w:w="4876" w:type="dxa"/>
          </w:tcPr>
          <w:p w:rsidR="002F3FB4" w:rsidRPr="00781174" w:rsidRDefault="002F3FB4" w:rsidP="00F37676">
            <w:pPr>
              <w:pStyle w:val="Normal6"/>
            </w:pPr>
            <w:r w:rsidRPr="00781174">
              <w:t>(5)</w:t>
            </w:r>
            <w:r w:rsidRPr="00781174">
              <w:tab/>
              <w:t xml:space="preserve">Selleks et Euroopa ühine varjupaigasüsteem, sh Dublini süsteem, toimiks hästi, on vaja </w:t>
            </w:r>
            <w:r w:rsidRPr="00781174">
              <w:rPr>
                <w:b/>
                <w:i/>
              </w:rPr>
              <w:t>sisserändepoliitika põhjaliku muutmise</w:t>
            </w:r>
            <w:r w:rsidR="00B45E23">
              <w:rPr>
                <w:b/>
                <w:i/>
              </w:rPr>
              <w:t>ga</w:t>
            </w:r>
            <w:r w:rsidRPr="00781174">
              <w:t xml:space="preserve"> oluliselt edasi liikuda</w:t>
            </w:r>
            <w:r w:rsidRPr="00781174">
              <w:rPr>
                <w:b/>
                <w:i/>
              </w:rPr>
              <w:t>; selleks</w:t>
            </w:r>
            <w:r w:rsidRPr="00781174">
              <w:t xml:space="preserve"> tuleks muuta rangemaks </w:t>
            </w:r>
            <w:r w:rsidRPr="00781174">
              <w:rPr>
                <w:b/>
                <w:i/>
              </w:rPr>
              <w:t>tagasisaatmispoliitika ja tagada</w:t>
            </w:r>
            <w:r w:rsidRPr="006F55E6">
              <w:rPr>
                <w:b/>
                <w:i/>
              </w:rPr>
              <w:t xml:space="preserve">, </w:t>
            </w:r>
            <w:r w:rsidRPr="00781174">
              <w:rPr>
                <w:b/>
                <w:i/>
              </w:rPr>
              <w:t xml:space="preserve">et kaitset antakse </w:t>
            </w:r>
            <w:r w:rsidRPr="00781174">
              <w:t xml:space="preserve">ainult neile, </w:t>
            </w:r>
            <w:r w:rsidRPr="00781174">
              <w:rPr>
                <w:b/>
                <w:i/>
              </w:rPr>
              <w:t>kellel on selleks õigus</w:t>
            </w:r>
            <w:r w:rsidRPr="00781174">
              <w:t>.</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123</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József Nagy,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 ja ühtlustada rahvusvahelise kaitse saajatele antud õigusi.</w:t>
            </w:r>
          </w:p>
        </w:tc>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 ja ühtlustada rahvusvahelise kaitse saajatele antud õigusi</w:t>
            </w:r>
            <w:r>
              <w:rPr>
                <w:b/>
                <w:i/>
              </w:rPr>
              <w:t>,</w:t>
            </w:r>
            <w:r>
              <w:t xml:space="preserve"> </w:t>
            </w:r>
            <w:r>
              <w:rPr>
                <w:b/>
                <w:i/>
              </w:rPr>
              <w:t>võttes arvesse pagulasseisundi ja täiendava kaitse seisundi juriidilisi erinevusi.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Kuigi kahe rahvusvahelise kaitse seisundiga seotud elamislubade kehtivusaegade ühtlustamist peetakse vastuvõetavaks, tundub siinkohal asjakohane rõhutada, et kahe seisundi juriidiline erinevus tuleks säilitada, kuna seisundid tulenevad kahest erinevast õiguslikust taustast. Pagulasseisundit käsitletakse Genfi konventsioonis, samas kui täiendava kaitse seisundi mõiste toodi esmakordselt Euroopa Liidu õigusesse direktiiviga 2004/83/EÜ.</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 xml:space="preserve">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w:t>
            </w:r>
            <w:r>
              <w:rPr>
                <w:b/>
                <w:i/>
                <w:color w:val="000000"/>
              </w:rPr>
              <w:t>Lisaks tuleks muuta rangemaks seisundi läbivaatamise nõuded, et kaitse andmine oleks tagatud ainult neile, kes seda vajavad ja kuni see vajadus püsib.</w:t>
            </w:r>
            <w:r>
              <w:t xml:space="preserve"> Lisaks tuleks vältida elamislubade kehtivusaja suhtes erinevate tavade kujunemist ning täpsustada ja ühtlustada rahvusvahelise kaitse saajatele antud õigusi.</w:t>
            </w:r>
          </w:p>
        </w:tc>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vältida elamislubade kehtivusaja suhtes erinevate tavade kujunemist ning täpsustada ja ühtlustada rahvusvahelise kaitse saajatele antud õigusi</w:t>
            </w:r>
            <w:r>
              <w:rPr>
                <w:b/>
                <w:i/>
              </w:rPr>
              <w:t>, taga</w:t>
            </w:r>
            <w:r w:rsidR="00B45E23">
              <w:rPr>
                <w:b/>
                <w:i/>
              </w:rPr>
              <w:t>maks</w:t>
            </w:r>
            <w:r>
              <w:rPr>
                <w:b/>
                <w:i/>
              </w:rPr>
              <w:t>, et kõigis liikmesriikides saavutatakse sama kõrged kaitsestandardid.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125</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 ja ühtlustada rahvusvahelise kaitse saajatele antud õigusi.</w:t>
            </w:r>
          </w:p>
        </w:tc>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w:t>
            </w:r>
            <w:r>
              <w:rPr>
                <w:b/>
                <w:i/>
              </w:rPr>
              <w:t>, piirata</w:t>
            </w:r>
            <w:r>
              <w:t xml:space="preserve"> ja ühtlustada rahvusvahelise kaitse saajatele antud õigusi.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126</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5</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(5)</w:t>
            </w:r>
            <w:r w:rsidRPr="00781174">
              <w:tab/>
              <w:t xml:space="preserve">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w:t>
            </w:r>
            <w:r w:rsidRPr="00781174">
              <w:rPr>
                <w:b/>
                <w:i/>
              </w:rPr>
              <w:t>läbivaatamise</w:t>
            </w:r>
            <w:r w:rsidRPr="00781174">
              <w:t xml:space="preserve"> nõuded, et kaitse andmine oleks tagatud ainult neile, kes seda vajavad ja kuni see vajadus püsib. Lisaks tuleks vältida elamislubade kehtivusaja suhtes erinevate tavade kujunemist ning täpsustada ja ühtlustada rahvusvahelise kaitse saajatele antud õigusi.</w:t>
            </w:r>
          </w:p>
        </w:tc>
        <w:tc>
          <w:tcPr>
            <w:tcW w:w="4876" w:type="dxa"/>
          </w:tcPr>
          <w:p w:rsidR="002F3FB4" w:rsidRPr="00781174" w:rsidRDefault="002F3FB4" w:rsidP="00F37676">
            <w:pPr>
              <w:pStyle w:val="Normal6"/>
            </w:pPr>
            <w:r w:rsidRPr="00781174">
              <w:t>(5)</w:t>
            </w:r>
            <w:r w:rsidRPr="00781174">
              <w:tab/>
              <w:t xml:space="preserve">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w:t>
            </w:r>
            <w:r w:rsidRPr="00781174">
              <w:rPr>
                <w:b/>
                <w:i/>
              </w:rPr>
              <w:t>vältida piirkondlike valitsuste liigset sekkumist ja seega</w:t>
            </w:r>
            <w:r w:rsidRPr="00781174">
              <w:t xml:space="preserve"> muuta rangemaks seisundi nõuded, et kaitse andmine oleks tagatud ainult neile, kes seda vajavad ja kuni see vajadus püsib. Lisaks tuleks vältida elamislubade kehtivusaja suhtes erinevate tavade kujunemist ning täpsustada ja ühtlustada rahvusvahelise kaitse saajatele antud õigusi.</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127</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 </w:t>
            </w:r>
            <w:r>
              <w:rPr>
                <w:b/>
                <w:i/>
              </w:rPr>
              <w:t>ja ühtlustada</w:t>
            </w:r>
            <w:r>
              <w:t xml:space="preserve"> rahvusvahelise kaitse saajatele antud õigusi.</w:t>
            </w:r>
          </w:p>
        </w:tc>
        <w:tc>
          <w:tcPr>
            <w:tcW w:w="4876" w:type="dxa"/>
          </w:tcPr>
          <w:p w:rsidR="002F3FB4" w:rsidRDefault="002F3FB4" w:rsidP="00F37676">
            <w:pPr>
              <w:pStyle w:val="Normal6"/>
            </w:pPr>
            <w:r>
              <w:t>(5)</w:t>
            </w:r>
            <w:r>
              <w:tab/>
              <w:t>Selleks et Euroopa ühine varjupaigasüsteem, sh Dublini süsteem, toimiks hästi, on vaja riiklike varjupaigasüsteemide lähendamisel oluliselt edasi liikuda, pöörates erilist tähelepanu liikmesriikide erinevustele varjupaigataotluste rahuldamise määrades ja antava kaitseseisundi liikides. Lisaks tuleks muuta rangemaks seisundi läbivaatamise nõuded, et kaitse andmine oleks tagatud ainult neile, kes seda vajavad ja kuni see vajadus püsib</w:t>
            </w:r>
            <w:r>
              <w:rPr>
                <w:b/>
                <w:i/>
              </w:rPr>
              <w:t>.</w:t>
            </w:r>
            <w:r>
              <w:t xml:space="preserve"> Lisaks tuleks vältida elamislubade kehtivusaja suhtes erinevate tavade kujunemist ning täpsustada rahvusvahelise kaitse saajatele antud õigusi.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128</w:t>
      </w:r>
      <w:r>
        <w:rPr>
          <w:rStyle w:val="HideTWBExt"/>
          <w:b w:val="0"/>
          <w:noProof w:val="0"/>
        </w:rPr>
        <w:t>&lt;/NumAmB&gt;</w:t>
      </w:r>
    </w:p>
    <w:p w:rsidR="002F3FB4" w:rsidRDefault="002F3FB4" w:rsidP="002F3FB4">
      <w:pPr>
        <w:pStyle w:val="NormalBold"/>
      </w:pPr>
      <w:r>
        <w:rPr>
          <w:rStyle w:val="HideTWBExt"/>
          <w:b w:val="0"/>
          <w:noProof w:val="0"/>
        </w:rPr>
        <w:t>&lt;RepeatBlock-By&gt;&lt;Members&gt;</w:t>
      </w:r>
      <w:r>
        <w:t>Gérard Deprez, Louis Michel</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(5 a)</w:t>
            </w:r>
            <w:r>
              <w:tab/>
            </w:r>
            <w:r>
              <w:rPr>
                <w:b/>
                <w:i/>
                <w:color w:val="000000"/>
              </w:rPr>
              <w:t xml:space="preserve">Tuleb ühtlustada pagulastele ja täiendava kaitse saajatele antavate elamislubade kehtivusaega, et töötada välja Euroopa ühine varjupaigasüsteem ja et innustada rahvusvahelise kaitse saajaid jääma kaitset tagavasse liimesriiki. Seetõttu peaks elamislubade kehtivusaeg olema pagulaste puhul </w:t>
            </w:r>
            <w:r w:rsidR="00B45E23">
              <w:rPr>
                <w:b/>
                <w:i/>
                <w:color w:val="000000"/>
              </w:rPr>
              <w:t xml:space="preserve">viis </w:t>
            </w:r>
            <w:r>
              <w:rPr>
                <w:b/>
                <w:i/>
                <w:color w:val="000000"/>
              </w:rPr>
              <w:t xml:space="preserve">aastat ja täiendava kaitse saajate puhul </w:t>
            </w:r>
            <w:r w:rsidR="00B45E23">
              <w:rPr>
                <w:b/>
                <w:i/>
                <w:color w:val="000000"/>
              </w:rPr>
              <w:t xml:space="preserve">üks </w:t>
            </w:r>
            <w:r>
              <w:rPr>
                <w:b/>
                <w:i/>
                <w:color w:val="000000"/>
              </w:rPr>
              <w:t xml:space="preserve">aasta. Liikmesriigid, kes väljastavad juba pikema kehtivusajaga elamislubasid, võivad aga valida kehtivusajaks pagulaste puhul 10 aastat ja täiendava kaitse saajate puhul </w:t>
            </w:r>
            <w:r w:rsidR="00B45E23">
              <w:rPr>
                <w:b/>
                <w:i/>
                <w:color w:val="000000"/>
              </w:rPr>
              <w:t xml:space="preserve">viis </w:t>
            </w:r>
            <w:r>
              <w:rPr>
                <w:b/>
                <w:i/>
                <w:color w:val="000000"/>
              </w:rPr>
              <w:t>aastat.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{FR}</w:t>
      </w:r>
      <w:r>
        <w:rPr>
          <w:noProof w:val="0"/>
        </w:rPr>
        <w:t>fr</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Selle põhjenduse lisamisega soovitakse luua </w:t>
      </w:r>
      <w:r w:rsidR="0033271E">
        <w:rPr>
          <w:noProof w:val="0"/>
        </w:rPr>
        <w:t xml:space="preserve">artikli 26 kohaldamise </w:t>
      </w:r>
      <w:r>
        <w:rPr>
          <w:noProof w:val="0"/>
        </w:rPr>
        <w:t>raamistik.</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129</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(6)</w:t>
            </w:r>
            <w:r>
              <w:tab/>
            </w:r>
            <w:r>
              <w:rPr>
                <w:b/>
                <w:i/>
                <w:color w:val="000000"/>
              </w:rPr>
              <w:t>Seetõttu on vaja määrust, millega tagada kogu liidus kooskõlastatum ühtlustamise tase ning enam õiguskindlust ja läbipaistvust.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(6)</w:t>
            </w:r>
            <w:r>
              <w:tab/>
            </w:r>
            <w:r>
              <w:rPr>
                <w:b/>
                <w:i/>
                <w:color w:val="000000"/>
              </w:rPr>
              <w:t>Seetõttu on vaja määrust, millega tagada kogu liidus kooskõlastatum ühtlustamise tase ning enam õiguskindlust ja läbipaistvust.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131</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(6)</w:t>
            </w:r>
            <w:r>
              <w:tab/>
              <w:t xml:space="preserve">Seetõttu on vaja </w:t>
            </w:r>
            <w:r>
              <w:rPr>
                <w:b/>
                <w:i/>
              </w:rPr>
              <w:t>määrust</w:t>
            </w:r>
            <w:r>
              <w:t>, millega tagada kogu liidus kooskõlastatum ühtlustamise tase ning enam õiguskindlust ja läbipaistvust.</w:t>
            </w:r>
          </w:p>
        </w:tc>
        <w:tc>
          <w:tcPr>
            <w:tcW w:w="4876" w:type="dxa"/>
          </w:tcPr>
          <w:p w:rsidR="002F3FB4" w:rsidRDefault="002F3FB4" w:rsidP="00F37676">
            <w:pPr>
              <w:pStyle w:val="Normal6"/>
            </w:pPr>
            <w:r>
              <w:t>(6)</w:t>
            </w:r>
            <w:r>
              <w:tab/>
              <w:t xml:space="preserve">Seetõttu on vaja </w:t>
            </w:r>
            <w:r>
              <w:rPr>
                <w:b/>
                <w:i/>
              </w:rPr>
              <w:t>direktiivi</w:t>
            </w:r>
            <w:r>
              <w:t xml:space="preserve">, millega tagada kogu liidus </w:t>
            </w:r>
            <w:r>
              <w:rPr>
                <w:b/>
                <w:i/>
              </w:rPr>
              <w:t>sama kõrgete kaitsestandardite rakendamine ja</w:t>
            </w:r>
            <w:r>
              <w:t xml:space="preserve"> kooskõlastatum ühtlustamise tase ning enam õiguskindlust ja läbipaistvust.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132</w:t>
      </w:r>
      <w:r>
        <w:rPr>
          <w:rStyle w:val="HideTWBExt"/>
          <w:b w:val="0"/>
          <w:noProof w:val="0"/>
        </w:rPr>
        <w:t>&lt;/NumAmB&gt;</w:t>
      </w:r>
    </w:p>
    <w:p w:rsidR="002F3FB4" w:rsidRDefault="002F3FB4" w:rsidP="002F3FB4">
      <w:pPr>
        <w:pStyle w:val="NormalBold"/>
      </w:pPr>
      <w:r>
        <w:rPr>
          <w:rStyle w:val="HideTWBExt"/>
          <w:b w:val="0"/>
          <w:noProof w:val="0"/>
        </w:rPr>
        <w:t>&lt;RepeatBlock-By&gt;&lt;Members&gt;</w:t>
      </w:r>
      <w:r>
        <w:t>Nadine Morano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Käesoleva määruse põhieesmärk on tagada ühelt poolt, et liikmesriigid kohaldavad ühiseid kriteeriume nende isikute tuvastamiseks, kellel on tõeline vajadus rahvusvahelise kaitse järele, ja teiselt poolt, et kõnealustel isikutel on kõigis liikmesriikides ühised õigused.</w:t>
            </w:r>
          </w:p>
        </w:tc>
        <w:tc>
          <w:tcPr>
            <w:tcW w:w="4876" w:type="dxa"/>
          </w:tcPr>
          <w:p w:rsidR="002F3FB4" w:rsidRDefault="002F3FB4" w:rsidP="00F37676">
            <w:pPr>
              <w:pStyle w:val="Normal6"/>
            </w:pPr>
            <w:r>
              <w:t>(7)</w:t>
            </w:r>
            <w:r>
              <w:tab/>
              <w:t xml:space="preserve">Käesoleva määruse põhieesmärk on tagada ühelt poolt, et liikmesriigid kohaldavad ühiseid kriteeriume nende isikute tuvastamiseks, kellel on tõeline vajadus rahvusvahelise kaitse järele, ja teiselt poolt, et kõnealustel isikutel on kõigis liikmesriikides ühised õigused. </w:t>
            </w:r>
            <w:r>
              <w:rPr>
                <w:b/>
                <w:i/>
                <w:color w:val="000000"/>
              </w:rPr>
              <w:t>Nende isikute tuvastamise kriteeriumid, kellel on tõeline vajadus rahvusvahelise kaitse järele, peab võimaldama ka tõhusamalt ja süstemaatilisemalt edasi suunata isikud, kellel selleks õigust ei ole.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{FR}</w:t>
      </w:r>
      <w:r>
        <w:rPr>
          <w:noProof w:val="0"/>
        </w:rPr>
        <w:t>fr</w:t>
      </w:r>
      <w:r>
        <w:rPr>
          <w:rStyle w:val="HideTWBExt"/>
          <w:noProof w:val="0"/>
        </w:rPr>
        <w:t>&lt;/Original&gt;</w:t>
      </w:r>
    </w:p>
    <w:p w:rsidR="002F3FB4" w:rsidRPr="002F3FB4" w:rsidRDefault="002F3FB4" w:rsidP="002F3FB4">
      <w:pPr>
        <w:pStyle w:val="AMNumberTabs"/>
      </w:pPr>
      <w:r w:rsidRPr="002F3FB4">
        <w:rPr>
          <w:rStyle w:val="HideTWBExt"/>
          <w:b w:val="0"/>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Käesoleva määruse põhieesmärk on tagada ühelt poolt, et liikmesriigid kohaldavad ühiseid kriteeriume nende isikute tuvastamiseks, kellel on tõeline vajadus rahvusvahelise kaitse järele, ja teiselt poolt, et kõnealustel isikutel on kõigis liikmesriikides ühised õigused.</w:t>
            </w:r>
          </w:p>
        </w:tc>
        <w:tc>
          <w:tcPr>
            <w:tcW w:w="4876" w:type="dxa"/>
          </w:tcPr>
          <w:p w:rsidR="002F3FB4" w:rsidRDefault="002F3FB4" w:rsidP="00F37676">
            <w:pPr>
              <w:pStyle w:val="Normal6"/>
            </w:pPr>
            <w:r>
              <w:t>(7)</w:t>
            </w:r>
            <w:r>
              <w:tab/>
              <w:t xml:space="preserve">Käesoleva määruse põhieesmärk on tagada ühelt poolt, et liikmesriigid kohaldavad ühiseid kriteeriume nende isikute tuvastamiseks, kellel on tõeline vajadus rahvusvahelise kaitse järele, ja teiselt poolt, et kõnealustel isikutel on kõigis liikmesriikides ühised õigused. </w:t>
            </w:r>
            <w:r>
              <w:rPr>
                <w:b/>
                <w:i/>
                <w:color w:val="000000"/>
              </w:rPr>
              <w:t>Lisaks peaks käesoleva määruse peamiseks põhimõtteks olema liikmesriikide varjupaigasüsteemide kuritarvitamise ärahoidmine.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134</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József Nagy,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 xml:space="preserve">Käesoleva määruse põhieesmärk on tagada ühelt poolt, et liikmesriigid kohaldavad ühiseid kriteeriume nende isikute tuvastamiseks, kellel on tõeline vajadus rahvusvahelise kaitse järele, ja teiselt poolt, et </w:t>
            </w:r>
            <w:r>
              <w:rPr>
                <w:b/>
                <w:i/>
              </w:rPr>
              <w:t>kõnealustel isikutel</w:t>
            </w:r>
            <w:r>
              <w:t xml:space="preserve"> on kõigis liikmesriikides ühised õigused.</w:t>
            </w:r>
          </w:p>
        </w:tc>
        <w:tc>
          <w:tcPr>
            <w:tcW w:w="4876" w:type="dxa"/>
          </w:tcPr>
          <w:p w:rsidR="002F3FB4" w:rsidRDefault="002F3FB4" w:rsidP="00F37676">
            <w:pPr>
              <w:pStyle w:val="Normal6"/>
            </w:pPr>
            <w:r>
              <w:t>(7)</w:t>
            </w:r>
            <w:r>
              <w:tab/>
              <w:t xml:space="preserve">Käesoleva määruse põhieesmärk on tagada ühelt poolt, et liikmesriigid kohaldavad ühiseid kriteeriume nende isikute tuvastamiseks, kellel on tõeline vajadus rahvusvahelise kaitse järele, ja teiselt poolt, et </w:t>
            </w:r>
            <w:r>
              <w:rPr>
                <w:b/>
                <w:i/>
              </w:rPr>
              <w:t>pagulastel ja täiendava kaitse saajatel</w:t>
            </w:r>
            <w:r>
              <w:t xml:space="preserve"> on kõigis liikmesriikides ühised õigused.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Eris</w:t>
      </w:r>
      <w:r w:rsidR="0033271E">
        <w:rPr>
          <w:noProof w:val="0"/>
        </w:rPr>
        <w:t>tamisega</w:t>
      </w:r>
      <w:r>
        <w:rPr>
          <w:noProof w:val="0"/>
        </w:rPr>
        <w:t xml:space="preserve"> viidatakse artikli 34 lõikes 2 sätestatule.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 xml:space="preserve">Käesoleva </w:t>
            </w:r>
            <w:r>
              <w:rPr>
                <w:b/>
                <w:i/>
              </w:rPr>
              <w:t>määruse</w:t>
            </w:r>
            <w:r>
              <w:rPr>
                <w:b/>
              </w:rPr>
              <w:t xml:space="preserve"> </w:t>
            </w:r>
            <w:r>
              <w:t>põhieesmärk on tagada ühelt poolt, et liikmesriigid kohaldavad ühiseid kriteeriume nende isikute tuvastamiseks, kellel on</w:t>
            </w:r>
            <w:r>
              <w:rPr>
                <w:b/>
                <w:i/>
              </w:rPr>
              <w:t xml:space="preserve"> tõeline</w:t>
            </w:r>
            <w:r>
              <w:t xml:space="preserve"> vajadus rahvusvahelise kaitse järele, ja teiselt poolt, et </w:t>
            </w:r>
            <w:r>
              <w:rPr>
                <w:b/>
                <w:i/>
              </w:rPr>
              <w:t>kõnealustel</w:t>
            </w:r>
            <w:r>
              <w:t xml:space="preserve"> isikutel on kõigis liikmesriikides ühised õigused.</w:t>
            </w:r>
          </w:p>
        </w:tc>
        <w:tc>
          <w:tcPr>
            <w:tcW w:w="4876" w:type="dxa"/>
          </w:tcPr>
          <w:p w:rsidR="002F3FB4" w:rsidRDefault="002F3FB4" w:rsidP="00F37676">
            <w:pPr>
              <w:pStyle w:val="Normal6"/>
            </w:pPr>
            <w:r>
              <w:t>(7)</w:t>
            </w:r>
            <w:r>
              <w:tab/>
              <w:t xml:space="preserve">Käesoleva </w:t>
            </w:r>
            <w:r>
              <w:rPr>
                <w:b/>
                <w:i/>
              </w:rPr>
              <w:t xml:space="preserve">direktiivi </w:t>
            </w:r>
            <w:r>
              <w:t xml:space="preserve">põhieesmärk on tagada ühelt poolt, et liikmesriigid kohaldavad ühiseid kriteeriume nende isikute tuvastamiseks, kellel on vajadus rahvusvahelise kaitse järele, ja teiselt poolt, et </w:t>
            </w:r>
            <w:r>
              <w:rPr>
                <w:b/>
                <w:i/>
              </w:rPr>
              <w:t>kõigil rahvusvahelist kaitset vajavatel</w:t>
            </w:r>
            <w:r>
              <w:t xml:space="preserve"> isikutel on kõigis liikmesriikides ühised õigused.</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Italic"/>
            </w:pPr>
            <w:r>
              <w:t>(</w:t>
            </w:r>
            <w:r w:rsidRPr="006F55E6">
              <w:rPr>
                <w:lang w:val="et-EE"/>
              </w:rPr>
              <w:t>Muudatusettepanekut kohaldatakse kogu teksti ulatuses. Selle vastuvõtmise korral tehakse vastavad muudatused kogu tekstis</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136</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Käesoleva määruse põhieesmärk on tagada ühelt poolt, et liikmesriigid kohaldavad</w:t>
            </w:r>
            <w:r>
              <w:rPr>
                <w:b/>
                <w:i/>
              </w:rPr>
              <w:t xml:space="preserve"> ühiseid</w:t>
            </w:r>
            <w:r>
              <w:t xml:space="preserve"> </w:t>
            </w:r>
            <w:r>
              <w:rPr>
                <w:b/>
                <w:i/>
              </w:rPr>
              <w:t>kriteeriume</w:t>
            </w:r>
            <w:r>
              <w:rPr>
                <w:b/>
              </w:rPr>
              <w:t xml:space="preserve"> </w:t>
            </w:r>
            <w:r>
              <w:t xml:space="preserve">nende isikute tuvastamiseks, kellel on tõeline vajadus rahvusvahelise kaitse järele, ja teiselt poolt, et kõnealustel isikutel on kõigis liikmesriikides </w:t>
            </w:r>
            <w:r>
              <w:rPr>
                <w:b/>
                <w:i/>
              </w:rPr>
              <w:t>ühised</w:t>
            </w:r>
            <w:r>
              <w:rPr>
                <w:b/>
              </w:rPr>
              <w:t xml:space="preserve"> </w:t>
            </w:r>
            <w:r>
              <w:rPr>
                <w:b/>
                <w:i/>
              </w:rPr>
              <w:t>õigused</w:t>
            </w:r>
            <w:r>
              <w:t>.</w:t>
            </w:r>
          </w:p>
        </w:tc>
        <w:tc>
          <w:tcPr>
            <w:tcW w:w="4876" w:type="dxa"/>
          </w:tcPr>
          <w:p w:rsidR="002F3FB4" w:rsidRDefault="002F3FB4" w:rsidP="00F37676">
            <w:pPr>
              <w:pStyle w:val="Normal6"/>
            </w:pPr>
            <w:r>
              <w:t>(7)</w:t>
            </w:r>
            <w:r>
              <w:tab/>
              <w:t xml:space="preserve">Käesoleva määruse põhieesmärk on tagada ühelt poolt, et liikmesriigid kohaldavad </w:t>
            </w:r>
            <w:r>
              <w:rPr>
                <w:b/>
                <w:i/>
              </w:rPr>
              <w:t>põhikriteeriume</w:t>
            </w:r>
            <w:r>
              <w:t xml:space="preserve"> nende isikute tuvastamiseks, kellel on tõeline vajadus rahvusvahelise kaitse järele, ja teiselt poolt, et kõnealustel isikutel on kõigis liikmesriikides </w:t>
            </w:r>
            <w:r>
              <w:rPr>
                <w:b/>
                <w:i/>
              </w:rPr>
              <w:t>põhiõigused</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137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 xml:space="preserve">Käesoleva </w:t>
            </w:r>
            <w:r>
              <w:rPr>
                <w:b/>
                <w:i/>
              </w:rPr>
              <w:t>määruse</w:t>
            </w:r>
            <w:r>
              <w:rPr>
                <w:b/>
              </w:rPr>
              <w:t xml:space="preserve"> </w:t>
            </w:r>
            <w:r>
              <w:t>põhieesmärk on tagada ühelt poolt, et liikmesriigid kohaldavad ühiseid kriteeriume nende isikute tuvastamiseks, kellel on</w:t>
            </w:r>
            <w:r>
              <w:rPr>
                <w:b/>
                <w:i/>
              </w:rPr>
              <w:t xml:space="preserve"> tõeline</w:t>
            </w:r>
            <w:r>
              <w:t xml:space="preserve"> vajadus rahvusvahelise kaitse järele, ja teiselt poolt, et kõnealustel isikutel on kõigis liikmesriikides ühised õigused.</w:t>
            </w:r>
          </w:p>
        </w:tc>
        <w:tc>
          <w:tcPr>
            <w:tcW w:w="4876" w:type="dxa"/>
          </w:tcPr>
          <w:p w:rsidR="002F3FB4" w:rsidRDefault="002F3FB4" w:rsidP="00F37676">
            <w:pPr>
              <w:pStyle w:val="Normal6"/>
            </w:pPr>
            <w:r>
              <w:t>(7)</w:t>
            </w:r>
            <w:r>
              <w:tab/>
              <w:t xml:space="preserve">Käesoleva </w:t>
            </w:r>
            <w:r>
              <w:rPr>
                <w:b/>
                <w:i/>
              </w:rPr>
              <w:t>direktiivi</w:t>
            </w:r>
            <w:r>
              <w:t xml:space="preserve"> põhieesmärk on tagada ühelt poolt, et liikmesriigid kohaldavad ühiseid kriteeriume nende isikute tuvastamiseks, kellel on vajadus rahvusvahelise kaitse järele, ja teiselt poolt, et kõnealustel isikutel on kõigis liikmesriikides ühised õigused.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138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7</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(7)</w:t>
            </w:r>
            <w:r w:rsidRPr="00781174">
              <w:tab/>
              <w:t xml:space="preserve">Käesoleva määruse põhieesmärk on tagada ühelt poolt, et liikmesriigid kohaldavad ühiseid kriteeriume nende isikute tuvastamiseks, kellel on </w:t>
            </w:r>
            <w:r w:rsidRPr="00781174">
              <w:rPr>
                <w:b/>
                <w:i/>
              </w:rPr>
              <w:t>tõeline vajadus rahvusvahelise kaitse järele</w:t>
            </w:r>
            <w:r w:rsidRPr="00781174">
              <w:t>, ja teiselt poolt, et kõnealustel isikutel on kõigis liikmesriikides ühised õigused.</w:t>
            </w:r>
          </w:p>
        </w:tc>
        <w:tc>
          <w:tcPr>
            <w:tcW w:w="4876" w:type="dxa"/>
          </w:tcPr>
          <w:p w:rsidR="002F3FB4" w:rsidRPr="00781174" w:rsidRDefault="002F3FB4" w:rsidP="00F37676">
            <w:pPr>
              <w:pStyle w:val="Normal6"/>
            </w:pPr>
            <w:r w:rsidRPr="00781174">
              <w:t>(7)</w:t>
            </w:r>
            <w:r w:rsidRPr="00781174">
              <w:tab/>
              <w:t xml:space="preserve">Käesoleva määruse põhieesmärk on tagada ühelt poolt, et liikmesriigid kohaldavad ühiseid kriteeriume nende isikute tuvastamiseks, kellel on </w:t>
            </w:r>
            <w:r w:rsidRPr="00781174">
              <w:rPr>
                <w:b/>
                <w:i/>
              </w:rPr>
              <w:t>õigus saada rahvusvahelist kaitset</w:t>
            </w:r>
            <w:r w:rsidRPr="00781174">
              <w:t>, ja teiselt poolt, et kõnealustel isikutel on kõigis liikmesriikides ühised õigused.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139</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8</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rPr>
                <w:b/>
                <w:i/>
                <w:color w:val="000000"/>
              </w:rPr>
              <w:t>(8)</w:t>
            </w:r>
            <w:r w:rsidRPr="00781174">
              <w:tab/>
            </w:r>
            <w:r w:rsidRPr="00781174">
              <w:rPr>
                <w:b/>
                <w:i/>
              </w:rPr>
              <w:t>Pagulasseisundi ja täiendava kaitse seisundi tunnustamist ja sisu käsitlevate normide suurema ühtlustamise abil peaks lisaks olema võimalik piirata rahvusvahelise kaitse taotlejate ja rahvusvahelise kaitse saajate teisest rännet liikmesriikide vahel niivõrd, kuivõrd see võis olla tingitud erinevustest õigusmeetmetes, mille riigid võtsid käesoleva määrusega asendatava miinimumnõuete direktiivi ülevõtmiseks.</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(8)</w:t>
            </w:r>
            <w:r>
              <w:tab/>
            </w:r>
            <w:r>
              <w:rPr>
                <w:b/>
                <w:i/>
                <w:color w:val="000000"/>
              </w:rPr>
              <w:t>Pagulasseisundi ja täiendava kaitse seisundi tunnustamist ja sisu käsitlevate normide suurema ühtlustamise abil peaks lisaks olema võimalik piirata rahvusvahelise kaitse taotlejate ja rahvusvahelise kaitse saajate teisest rännet liikmesriikide vahel niivõrd, kuivõrd see võis olla tingitud erinevustest õigusmeetmetes, mille riigid võtsid käesoleva määrusega asendatava miinimumnõuete direktiivi ülevõtmiseks.</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141</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(8)</w:t>
            </w:r>
            <w:r>
              <w:tab/>
              <w:t xml:space="preserve">Pagulasseisundi ja täiendava kaitse seisundi tunnustamist ja sisu käsitlevate normide suurema ühtlustamise abil peaks lisaks olema võimalik </w:t>
            </w:r>
            <w:r>
              <w:rPr>
                <w:b/>
                <w:i/>
              </w:rPr>
              <w:t>piirata rahvusvahelise kaitse taotlejate ja rahvusvahelise kaitse saajate teisest rännet liikmesriikide vahel niivõrd, kuivõrd see võis olla tingitud erinevustest õigusmeetmetes, mille riigid võtsid käesoleva määrusega asendatava miinimumnõuete direktiivi ülevõtmiseks</w:t>
            </w:r>
            <w:r w:rsidRPr="006F55E6">
              <w:t>.</w:t>
            </w:r>
          </w:p>
        </w:tc>
        <w:tc>
          <w:tcPr>
            <w:tcW w:w="4876" w:type="dxa"/>
          </w:tcPr>
          <w:p w:rsidR="002F3FB4" w:rsidRDefault="002F3FB4" w:rsidP="00F37676">
            <w:pPr>
              <w:pStyle w:val="Normal6"/>
            </w:pPr>
            <w:r>
              <w:t>(8)</w:t>
            </w:r>
            <w:r>
              <w:tab/>
              <w:t xml:space="preserve">Pagulasseisundi ja täiendava kaitse seisundi tunnustamist ja sisu käsitlevate normide suurema ühtlustamise abil peaks lisaks olema võimalik </w:t>
            </w:r>
            <w:r>
              <w:rPr>
                <w:b/>
                <w:i/>
              </w:rPr>
              <w:t>saavutada kogu liidus kõrgetasemelised kaitsestandardid</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142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8</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(8)</w:t>
            </w:r>
            <w:r w:rsidRPr="00781174">
              <w:tab/>
              <w:t xml:space="preserve">Pagulasseisundi ja täiendava kaitse seisundi tunnustamist ja sisu käsitlevate normide suurema ühtlustamise abil </w:t>
            </w:r>
            <w:r w:rsidRPr="00781174">
              <w:rPr>
                <w:b/>
                <w:i/>
              </w:rPr>
              <w:t>peaks</w:t>
            </w:r>
            <w:r w:rsidRPr="00781174">
              <w:t xml:space="preserve"> lisaks </w:t>
            </w:r>
            <w:r w:rsidRPr="00781174">
              <w:rPr>
                <w:b/>
                <w:i/>
              </w:rPr>
              <w:t>olema</w:t>
            </w:r>
            <w:r w:rsidRPr="00781174">
              <w:t xml:space="preserve"> võimalik piirata rahvusvahelise kaitse taotlejate ja rahvusvahelise kaitse saajate teisest rännet liikmesriikide vahel niivõrd, kuivõrd see võis olla tingitud erinevustest õigusmeetmetes, mille riigid võtsid käesoleva määrusega asendatava miinimumnõuete direktiivi ülevõtmiseks.</w:t>
            </w:r>
          </w:p>
        </w:tc>
        <w:tc>
          <w:tcPr>
            <w:tcW w:w="4876" w:type="dxa"/>
          </w:tcPr>
          <w:p w:rsidR="002F3FB4" w:rsidRPr="00781174" w:rsidRDefault="002F3FB4" w:rsidP="00F37676">
            <w:pPr>
              <w:pStyle w:val="Normal6"/>
            </w:pPr>
            <w:r w:rsidRPr="00781174">
              <w:t>(8)</w:t>
            </w:r>
            <w:r w:rsidRPr="00781174">
              <w:tab/>
              <w:t xml:space="preserve">Pagulasseisundi ja täiendava kaitse seisundi tunnustamist ja sisu käsitlevate normide suurema ühtlustamise abil </w:t>
            </w:r>
            <w:r w:rsidRPr="00781174">
              <w:rPr>
                <w:b/>
                <w:i/>
              </w:rPr>
              <w:t xml:space="preserve">võiks </w:t>
            </w:r>
            <w:r w:rsidRPr="00781174">
              <w:t xml:space="preserve">lisaks </w:t>
            </w:r>
            <w:r w:rsidRPr="00781174">
              <w:rPr>
                <w:b/>
                <w:i/>
              </w:rPr>
              <w:t xml:space="preserve">olla </w:t>
            </w:r>
            <w:r w:rsidRPr="00781174">
              <w:t>võimalik piirata rahvusvahelise kaitse taotlejate ja rahvusvahelise kaitse saajate teisest rännet liikmesriikide vahel niivõrd, kuivõrd see võis olla tingitud erinevustest õigusmeetmetes, mille riigid võtsid käesoleva määrusega asendatava miinimumnõuete direktiivi ülevõtmiseks.</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(9)</w:t>
            </w:r>
            <w:r>
              <w:tab/>
              <w:t xml:space="preserve">Käesolevat </w:t>
            </w:r>
            <w:r>
              <w:rPr>
                <w:b/>
                <w:i/>
              </w:rPr>
              <w:t>määrust</w:t>
            </w:r>
            <w:r>
              <w:t xml:space="preserve"> ei kohaldata muude riiklike seisundite suhtes, mis liikmesriigid on siseriikliku õiguse kohaselt humanitaarsetel kaalutlustel andnud isikutele, kes pagulaseks või täiendava rahvusvahelise kaitse saajaks ei kvalifitseeru. </w:t>
            </w:r>
            <w:r>
              <w:rPr>
                <w:b/>
                <w:i/>
                <w:color w:val="000000"/>
              </w:rPr>
              <w:t>Kui selliseid seisundeid antakse, siis tuleb seda teha selliselt, et ei kaasneks oht nende segiajamiseks rahvusvahelise kaitsega.</w:t>
            </w:r>
          </w:p>
        </w:tc>
        <w:tc>
          <w:tcPr>
            <w:tcW w:w="4876" w:type="dxa"/>
          </w:tcPr>
          <w:p w:rsidR="002F3FB4" w:rsidRDefault="002F3FB4" w:rsidP="00F37676">
            <w:pPr>
              <w:pStyle w:val="Normal6"/>
            </w:pPr>
            <w:r>
              <w:t>(9)</w:t>
            </w:r>
            <w:r>
              <w:tab/>
              <w:t xml:space="preserve">Käesolevat </w:t>
            </w:r>
            <w:r>
              <w:rPr>
                <w:b/>
                <w:i/>
              </w:rPr>
              <w:t>direktiivi</w:t>
            </w:r>
            <w:r>
              <w:t xml:space="preserve"> ei kohaldata muude riiklike seisundite suhtes, mis liikmesriigid on siseriikliku õiguse kohaselt humanitaarsetel kaalutlustel andnud isikutele, kes pagulaseks või täiendava rahvusvahelise kaitse saajaks ei kvalifitseeru.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(9)</w:t>
            </w:r>
            <w:r>
              <w:tab/>
              <w:t xml:space="preserve">Käesolevat määrust ei kohaldata muude riiklike seisundite suhtes, mis liikmesriigid on siseriikliku õiguse kohaselt humanitaarsetel kaalutlustel andnud isikutele, kes pagulaseks või täiendava rahvusvahelise kaitse saajaks ei kvalifitseeru. </w:t>
            </w:r>
            <w:r>
              <w:rPr>
                <w:b/>
                <w:i/>
                <w:color w:val="000000"/>
              </w:rPr>
              <w:t xml:space="preserve">Kui selliseid seisundeid </w:t>
            </w:r>
            <w:r w:rsidRPr="00621F31">
              <w:rPr>
                <w:b/>
                <w:i/>
                <w:color w:val="000000"/>
              </w:rPr>
              <w:t>antakse</w:t>
            </w:r>
            <w:r w:rsidR="0033271E" w:rsidRPr="00402919">
              <w:rPr>
                <w:b/>
                <w:i/>
                <w:color w:val="000000"/>
              </w:rPr>
              <w:t>,</w:t>
            </w:r>
            <w:r w:rsidRPr="0033271E">
              <w:rPr>
                <w:b/>
                <w:i/>
                <w:color w:val="000000"/>
              </w:rPr>
              <w:t xml:space="preserve"> siis</w:t>
            </w:r>
            <w:r>
              <w:rPr>
                <w:b/>
                <w:i/>
                <w:color w:val="000000"/>
              </w:rPr>
              <w:t xml:space="preserve"> tuleb seda teha selliselt, et ei kaasneks oht nende segiajamiseks rahvusvahelise kaitsega.</w:t>
            </w:r>
          </w:p>
        </w:tc>
        <w:tc>
          <w:tcPr>
            <w:tcW w:w="4876" w:type="dxa"/>
          </w:tcPr>
          <w:p w:rsidR="002F3FB4" w:rsidRDefault="002F3FB4" w:rsidP="00F37676">
            <w:pPr>
              <w:pStyle w:val="Normal6"/>
            </w:pPr>
            <w:r>
              <w:t>(9)</w:t>
            </w:r>
            <w:r>
              <w:tab/>
              <w:t>Käesolevat määrust ei kohaldata muude riiklike seisundite suhtes, mis liikmesriigid on siseriikliku õiguse kohaselt humanitaarsetel kaalutlustel andnud isikutele, kes pagulaseks või täiendava rahvusvahelise kaitse saajaks ei kvalifitseeru.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seni</w:t>
      </w:r>
      <w:r w:rsidR="0033271E">
        <w:rPr>
          <w:noProof w:val="0"/>
        </w:rPr>
        <w:t>,</w:t>
      </w:r>
      <w:r>
        <w:rPr>
          <w:noProof w:val="0"/>
        </w:rPr>
        <w:t xml:space="preserve"> kuni on olemas riiklikud humanitaarkaitse seisundid, on raske uskuda, et ei tekiks pagulasseisundi ja täiendava kaitse seisundi segiajamise ohtu.</w:t>
      </w:r>
    </w:p>
    <w:p w:rsidR="002F3FB4" w:rsidRDefault="002F3FB4" w:rsidP="002F3FB4">
      <w:pPr>
        <w:pStyle w:val="Normal12Italic"/>
        <w:rPr>
          <w:noProof w:val="0"/>
        </w:rPr>
      </w:pPr>
      <w:r>
        <w:rPr>
          <w:noProof w:val="0"/>
        </w:rPr>
        <w:t>Muudatusettepanek on kooskõlas muudatusettepanekuga määruse artikli 3 kohta.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145</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(10)</w:t>
            </w:r>
            <w:r>
              <w:tab/>
            </w:r>
            <w:r>
              <w:rPr>
                <w:b/>
                <w:i/>
                <w:color w:val="000000"/>
              </w:rPr>
              <w:t>Edukatele ümberasustamiskandidaatidele tuleks anda rahvusvaheline kaitse. Sellest lähtuvalt tuleks kohaldada käesolevas määruses rahvusvahelise kaitse sisu kohta esitatud sätteid, sh teisese rände ärahoidmise reegleid.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(10)</w:t>
            </w:r>
            <w:r>
              <w:tab/>
            </w:r>
            <w:r>
              <w:rPr>
                <w:b/>
                <w:i/>
              </w:rPr>
              <w:t>Edukatele ümberasustamiskandidaatidele</w:t>
            </w:r>
            <w:r>
              <w:t xml:space="preserve"> tuleks anda rahvusvaheline kaitse. Sellest lähtuvalt tuleks</w:t>
            </w:r>
            <w:r>
              <w:rPr>
                <w:b/>
                <w:i/>
              </w:rPr>
              <w:t xml:space="preserve"> kohaldada</w:t>
            </w:r>
            <w:r>
              <w:t xml:space="preserve"> </w:t>
            </w:r>
            <w:r>
              <w:rPr>
                <w:b/>
                <w:i/>
              </w:rPr>
              <w:t>käesolevas määruses rahvusvahelise kaitse sisu kohta esitatud sätteid, sh teisese rände ärahoidmise reegleid</w:t>
            </w:r>
            <w:r w:rsidRPr="006F55E6">
              <w:t>.</w:t>
            </w:r>
          </w:p>
        </w:tc>
        <w:tc>
          <w:tcPr>
            <w:tcW w:w="4876" w:type="dxa"/>
          </w:tcPr>
          <w:p w:rsidR="002F3FB4" w:rsidRDefault="002F3FB4" w:rsidP="00F37676">
            <w:pPr>
              <w:pStyle w:val="Normal6"/>
            </w:pPr>
            <w:r>
              <w:t>(10)</w:t>
            </w:r>
            <w:r>
              <w:tab/>
            </w:r>
            <w:r>
              <w:rPr>
                <w:b/>
                <w:i/>
              </w:rPr>
              <w:t xml:space="preserve">Ümberasustatud isikutele </w:t>
            </w:r>
            <w:r>
              <w:t>tuleks anda rahvusvaheline kaitse</w:t>
            </w:r>
            <w:r>
              <w:rPr>
                <w:b/>
                <w:i/>
              </w:rPr>
              <w:t>, et pakkuda neile püsivat lahendust</w:t>
            </w:r>
            <w:r>
              <w:t xml:space="preserve">. Sellest lähtuvalt tuleks </w:t>
            </w:r>
            <w:r>
              <w:rPr>
                <w:b/>
                <w:i/>
              </w:rPr>
              <w:t>varjupaigaalases liidu õigustikus sisalduvaid rahvusvahelist kaitset käsitlevaid sätteid kohaldada alates sellest hetkest, kui ümberasustatud isikud liikmesriikide territooriumile saabuvad</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147</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10</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(10)</w:t>
            </w:r>
            <w:r w:rsidRPr="00781174">
              <w:tab/>
              <w:t>Edukatele ümberasustamiskandidaatidele tuleks anda rahvusvaheline kaitse. Sellest lähtuvalt tuleks kohaldada käesolevas määruses rahvusvahelise kaitse sisu kohta esitatud sätteid</w:t>
            </w:r>
            <w:r w:rsidRPr="00781174">
              <w:rPr>
                <w:b/>
                <w:i/>
              </w:rPr>
              <w:t>, sh teisese rände ärahoidmise reegleid</w:t>
            </w:r>
            <w:r w:rsidRPr="00781174">
              <w:t>.</w:t>
            </w:r>
          </w:p>
        </w:tc>
        <w:tc>
          <w:tcPr>
            <w:tcW w:w="4876" w:type="dxa"/>
          </w:tcPr>
          <w:p w:rsidR="002F3FB4" w:rsidRPr="00781174" w:rsidRDefault="002F3FB4" w:rsidP="00F37676">
            <w:pPr>
              <w:pStyle w:val="Normal6"/>
            </w:pPr>
            <w:r w:rsidRPr="00781174">
              <w:t>(10)</w:t>
            </w:r>
            <w:r w:rsidRPr="00781174">
              <w:tab/>
              <w:t>Edukatele ümberasustamiskandidaatidele tuleks anda rahvusvaheline kaitse. Sellest lähtuvalt tuleks kohaldada käesolevas määruses rahvusvahelise kaitse sisu kohta esitatud sätteid.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148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(10)</w:t>
            </w:r>
            <w:r>
              <w:tab/>
              <w:t xml:space="preserve">Edukatele ümberasustamiskandidaatidele tuleks anda rahvusvaheline kaitse. Sellest lähtuvalt tuleks kohaldada käesolevas </w:t>
            </w:r>
            <w:r>
              <w:rPr>
                <w:b/>
                <w:i/>
              </w:rPr>
              <w:t>määruses</w:t>
            </w:r>
            <w:r>
              <w:t xml:space="preserve"> rahvusvahelise kaitse sisu kohta esitatud sätteid</w:t>
            </w:r>
            <w:r w:rsidRPr="006F55E6">
              <w:rPr>
                <w:b/>
                <w:i/>
              </w:rPr>
              <w:t>,</w:t>
            </w:r>
            <w:r>
              <w:t xml:space="preserve"> </w:t>
            </w:r>
            <w:r>
              <w:rPr>
                <w:b/>
                <w:i/>
              </w:rPr>
              <w:t>sh teisese rände ärahoidmise reegleid</w:t>
            </w:r>
            <w:r w:rsidRPr="006F55E6">
              <w:t>.</w:t>
            </w:r>
          </w:p>
        </w:tc>
        <w:tc>
          <w:tcPr>
            <w:tcW w:w="4876" w:type="dxa"/>
          </w:tcPr>
          <w:p w:rsidR="002F3FB4" w:rsidRDefault="002F3FB4" w:rsidP="00F37676">
            <w:pPr>
              <w:pStyle w:val="Normal6"/>
            </w:pPr>
            <w:r>
              <w:t>(10)</w:t>
            </w:r>
            <w:r>
              <w:tab/>
              <w:t xml:space="preserve">Edukatele ümberasustamiskandidaatidele tuleks anda rahvusvaheline kaitse. Sellest lähtuvalt tuleks kohaldada käesolevas </w:t>
            </w:r>
            <w:r>
              <w:rPr>
                <w:b/>
                <w:i/>
              </w:rPr>
              <w:t>direktiivis</w:t>
            </w:r>
            <w:r>
              <w:t xml:space="preserve"> rahvusvahelise kaitse sisu kohta esitatud sätteid.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149</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(11)</w:t>
            </w:r>
            <w:r w:rsidRPr="00781174">
              <w:tab/>
              <w:t xml:space="preserve">Käesolevas määruses austatakse põhiõigusi </w:t>
            </w:r>
            <w:r w:rsidRPr="00781174">
              <w:rPr>
                <w:b/>
                <w:i/>
              </w:rPr>
              <w:t>ja järgitakse iseäranis Euroopa Liidu põhiõiguste hartas („harta“) tunnustatud põhimõtteid. Eelkõige soovitakse käesoleva määrusega tagada varjupaigataotlejate ja nendega kaasas olevate pereliikmete inimväärikuse ja varjupaigaõiguse austamine 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r w:rsidRPr="00781174">
              <w:t>.</w:t>
            </w:r>
          </w:p>
        </w:tc>
        <w:tc>
          <w:tcPr>
            <w:tcW w:w="4876" w:type="dxa"/>
          </w:tcPr>
          <w:p w:rsidR="002F3FB4" w:rsidRPr="00781174" w:rsidRDefault="002F3FB4" w:rsidP="00F37676">
            <w:pPr>
              <w:pStyle w:val="Normal6"/>
            </w:pPr>
            <w:r w:rsidRPr="00781174">
              <w:t>(11)</w:t>
            </w:r>
            <w:r w:rsidRPr="00781174">
              <w:tab/>
              <w:t>Käesolevas määruses austatakse põhiõigusi.</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150</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(11)</w:t>
            </w:r>
            <w:r>
              <w:tab/>
              <w:t xml:space="preserve">Käesolevas määruses austatakse põhiõigusi ja järgitakse iseäranis Euroopa Liidu põhiõiguste hartas („harta“) tunnustatud põhimõtteid. Eelkõige soovitakse käesoleva määrusega tagada varjupaigataotlejate ja nendega kaasas olevate pereliikmete inimväärikuse ja varjupaigaõiguse austamine </w:t>
            </w:r>
            <w:r>
              <w:rPr>
                <w:b/>
                <w:i/>
              </w:rPr>
              <w:t>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r w:rsidRPr="006F55E6">
              <w:t>.</w:t>
            </w:r>
          </w:p>
        </w:tc>
        <w:tc>
          <w:tcPr>
            <w:tcW w:w="4876" w:type="dxa"/>
          </w:tcPr>
          <w:p w:rsidR="002F3FB4" w:rsidRDefault="002F3FB4" w:rsidP="00F37676">
            <w:pPr>
              <w:pStyle w:val="Normal6"/>
            </w:pPr>
            <w:r>
              <w:t>(11)</w:t>
            </w:r>
            <w:r>
              <w:tab/>
              <w:t>Käesolevas määruses austatakse põhiõigusi ja järgitakse iseäranis Euroopa Liidu põhiõiguste hartas („harta“) tunnustatud põhimõtteid. Eelkõige soovitakse käesoleva määrusega tagada varjupaigataotlejate ja nendega kaasas olevate pereliikmete inimväärikuse ja varjupaigaõiguse austamine.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(11)</w:t>
            </w:r>
            <w:r>
              <w:tab/>
              <w:t>Käesolevas määruses austatakse põhiõigusi ja järgitakse iseäranis Euroopa Liidu põhiõiguste hartas („harta“) tunnustatud põhimõtteid. Eelkõige soovitakse käesoleva määrusega tagada varjupaigataotlejate ja nendega kaasas olevate pereliikmete inimväärikuse ja varjupaigaõiguse austamine 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p>
        </w:tc>
        <w:tc>
          <w:tcPr>
            <w:tcW w:w="4876" w:type="dxa"/>
          </w:tcPr>
          <w:p w:rsidR="002F3FB4" w:rsidRDefault="002F3FB4" w:rsidP="00F37676">
            <w:pPr>
              <w:pStyle w:val="Normal6"/>
            </w:pPr>
            <w:r>
              <w:t>(11)</w:t>
            </w:r>
            <w:r>
              <w:tab/>
              <w:t xml:space="preserve">Käesolevas määruses austatakse põhiõigusi ja järgitakse iseäranis Euroopa Liidu põhiõiguste hartas („harta“) </w:t>
            </w:r>
            <w:r>
              <w:rPr>
                <w:b/>
                <w:i/>
              </w:rPr>
              <w:t>ning Euroopa inimõiguste konventsioonis ja Euroopa sotsiaalhartas</w:t>
            </w:r>
            <w:r>
              <w:t xml:space="preserve"> tunnustatud põhimõtteid. Eelkõige soovitakse käesoleva määrusega tagada varjupaigataotlejate ja nendega kaasas olevate pereliikmete inimväärikuse ja varjupaigaõiguse austamine ning edendada inimväärikust, era- ja perekonnaelu austamist,</w:t>
            </w:r>
            <w:r>
              <w:rPr>
                <w:b/>
                <w:i/>
              </w:rPr>
              <w:t xml:space="preserve"> kaitset väljasaatmise ja väljaandmise korral,</w:t>
            </w:r>
            <w:r>
              <w:t xml:space="preserve"> sõna- ja teabevabadust, õigust haridusele, kutsevabadust ja õigust teha tööd, ettevõtlusvabadust, varjupaigaõigust, diskrimineerimiskeeldu, </w:t>
            </w:r>
            <w:r>
              <w:rPr>
                <w:b/>
                <w:i/>
              </w:rPr>
              <w:t xml:space="preserve">võrdsuse põhimõtet, </w:t>
            </w:r>
            <w:r>
              <w:t xml:space="preserve">lapse õigusi, </w:t>
            </w:r>
            <w:r>
              <w:rPr>
                <w:b/>
                <w:i/>
              </w:rPr>
              <w:t>sotsiaalsete õiguste kasutamist, sh</w:t>
            </w:r>
            <w:r>
              <w:rPr>
                <w:b/>
              </w:rPr>
              <w:t xml:space="preserve"> </w:t>
            </w:r>
            <w:r>
              <w:t>sotsiaalkindlustust ja sotsiaalabi ning tervishoidu käsitlevate harta</w:t>
            </w:r>
            <w:r>
              <w:rPr>
                <w:b/>
                <w:i/>
              </w:rPr>
              <w:t>, Euroopa inimõiguste konventsiooni ja Euroopa sotsiaalharta</w:t>
            </w:r>
            <w:r>
              <w:t xml:space="preserve"> artiklite kohaldamist, ning sellest tuleks lähtuda ka rakendamisel.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(11)</w:t>
            </w:r>
            <w:r>
              <w:tab/>
              <w:t xml:space="preserve">Käesolevas </w:t>
            </w:r>
            <w:r>
              <w:rPr>
                <w:b/>
                <w:i/>
              </w:rPr>
              <w:t>määruses</w:t>
            </w:r>
            <w:r>
              <w:t xml:space="preserve"> austatakse põhiõigusi ja järgitakse iseäranis Euroopa Liidu põhiõiguste hartas („harta“) tunnustatud põhimõtteid. Eelkõige soovitakse käesoleva </w:t>
            </w:r>
            <w:r>
              <w:rPr>
                <w:b/>
                <w:i/>
              </w:rPr>
              <w:t>määrusega</w:t>
            </w:r>
            <w:r>
              <w:t xml:space="preserve"> tagada varjupaigataotlejate ja nendega kaasas olevate pereliikmete inimväärikuse ja varjupaigaõiguse austamine 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p>
        </w:tc>
        <w:tc>
          <w:tcPr>
            <w:tcW w:w="4876" w:type="dxa"/>
          </w:tcPr>
          <w:p w:rsidR="002F3FB4" w:rsidRDefault="002F3FB4" w:rsidP="00F37676">
            <w:pPr>
              <w:pStyle w:val="Normal6"/>
            </w:pPr>
            <w:r>
              <w:t>(11)</w:t>
            </w:r>
            <w:r>
              <w:tab/>
              <w:t xml:space="preserve">Käesolevas </w:t>
            </w:r>
            <w:r>
              <w:rPr>
                <w:b/>
                <w:i/>
              </w:rPr>
              <w:t>direktiivis</w:t>
            </w:r>
            <w:r>
              <w:t xml:space="preserve"> austatakse põhiõigusi ja järgitakse iseäranis Euroopa Liidu põhiõiguste hartas (harta) tunnustatud põhimõtteid. Eelkõige soovitakse käesoleva </w:t>
            </w:r>
            <w:r>
              <w:rPr>
                <w:b/>
                <w:i/>
              </w:rPr>
              <w:t>direktiiviga</w:t>
            </w:r>
            <w:r>
              <w:t xml:space="preserve"> tagada varjupaigataotlejate ja nendega kaasas olevate pereliikmete inimväärikuse ja varjupaigaõiguse austamine 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(12)</w:t>
            </w:r>
            <w:r>
              <w:tab/>
              <w:t xml:space="preserve">Käesoleva </w:t>
            </w:r>
            <w:r>
              <w:rPr>
                <w:b/>
                <w:i/>
              </w:rPr>
              <w:t>määruse</w:t>
            </w:r>
            <w:r>
              <w:t xml:space="preserve"> kohaldamisalasse kuuluvate isikute kohtlemisel on liikmesriigid seotud kohustustega, mis tulenevad rahvusvahelise õiguse aktidest, millega nad on ühinenud, sh eeskätt nendest, millega keelustatakse diskrimineerimine.</w:t>
            </w:r>
          </w:p>
        </w:tc>
        <w:tc>
          <w:tcPr>
            <w:tcW w:w="4876" w:type="dxa"/>
          </w:tcPr>
          <w:p w:rsidR="002F3FB4" w:rsidRDefault="002F3FB4" w:rsidP="00F37676">
            <w:pPr>
              <w:pStyle w:val="Normal6"/>
            </w:pPr>
            <w:r>
              <w:t>(12)</w:t>
            </w:r>
            <w:r>
              <w:tab/>
              <w:t xml:space="preserve">Käesoleva </w:t>
            </w:r>
            <w:r>
              <w:rPr>
                <w:b/>
                <w:i/>
              </w:rPr>
              <w:t>direktiivi</w:t>
            </w:r>
            <w:r>
              <w:t xml:space="preserve"> kohaldamisalasse kuuluvate isikute kohtlemisel on liikmesriigid seotud kohustustega, mis tulenevad rahvusvahelise õiguse aktidest, millega nad on ühinenud, sh eeskätt nendest, millega keelustatakse diskrimineerimine.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(13)</w:t>
            </w:r>
            <w:r>
              <w:tab/>
              <w:t>Kasutada tuleks Varjupaiga-, Rände- ja Integratsioonifondi vahendeid, et asjakohaselt toetada liikmesriikide jõupingutusi määruses ette nähtud nõuete rakendamisel, ennekõike neis liikmesriikides, kelle varjupaigasüsteem on eelkõige riigi geograafilise asendi või demograafilise olukorra tõttu sattunud erilise ja ebaproportsionaalse surve alla.</w:t>
            </w:r>
          </w:p>
        </w:tc>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määruses ette nähtud nõuete rakendamisel, ennekõike neis liikmesriikides, kelle varjupaigasüsteem on eelkõige riigi geograafilise asendi või demograafilise olukorra tõttu sattunud erilise ja ebaproportsionaalse surve alla. </w:t>
            </w:r>
            <w:r>
              <w:rPr>
                <w:b/>
                <w:i/>
                <w:color w:val="000000"/>
              </w:rPr>
              <w:t>Lisaks peaksid liikmesriigid kõigil valitsemistasanditel täielikult ära kasutama nende fondide võimalusi, mis ei ole otseselt varjupaiga- ega rändepoliitikaga seotud, kuid mida võib kasutada selle valdkonna meetmete, näiteks integratsioonimeetmete rahastamiseks, nagu Euroopa Sotsiaalfond, Euroopa abifond enim puudust kannatavate isikute jaoks, programm „Horisont 2020“, Euroopa Regionaalarengu Fond ning õiguste, võrdõiguslikkuse ja kodakondsuse programm. Need fondid tuleks teha otse kättesaadavaks kohalikele ja piirkondlikele asutustele nende vastutusalasse kuuluvate meetmete jaoks.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w:t>
            </w:r>
            <w:r>
              <w:rPr>
                <w:b/>
                <w:i/>
              </w:rPr>
              <w:t>määruses</w:t>
            </w:r>
            <w:r>
              <w:rPr>
                <w:b/>
              </w:rPr>
              <w:t xml:space="preserve"> </w:t>
            </w:r>
            <w:r>
              <w:t xml:space="preserve">ette nähtud nõuete rakendamisel, ennekõike </w:t>
            </w:r>
            <w:r>
              <w:rPr>
                <w:b/>
                <w:i/>
              </w:rPr>
              <w:t>neis liikmesriikides, kelle varjupaigasüsteem on</w:t>
            </w:r>
            <w:r>
              <w:t xml:space="preserve"> eelkõige riigi geograafilise asendi või demograafilise olukorra tõttu </w:t>
            </w:r>
            <w:r>
              <w:rPr>
                <w:b/>
                <w:i/>
              </w:rPr>
              <w:t>sattunud erilise ja ebaproportsionaalse surve alla</w:t>
            </w:r>
            <w:r w:rsidRPr="006F55E6">
              <w:t>.</w:t>
            </w:r>
          </w:p>
        </w:tc>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w:t>
            </w:r>
            <w:r>
              <w:rPr>
                <w:b/>
                <w:i/>
              </w:rPr>
              <w:t>direktiivis</w:t>
            </w:r>
            <w:r>
              <w:t xml:space="preserve"> ette nähtud </w:t>
            </w:r>
            <w:r>
              <w:rPr>
                <w:b/>
                <w:i/>
              </w:rPr>
              <w:t>kõrget</w:t>
            </w:r>
            <w:r w:rsidR="00285D65">
              <w:rPr>
                <w:b/>
                <w:i/>
              </w:rPr>
              <w:t>asemeliste</w:t>
            </w:r>
            <w:r>
              <w:rPr>
                <w:b/>
              </w:rPr>
              <w:t xml:space="preserve"> </w:t>
            </w:r>
            <w:r>
              <w:t xml:space="preserve">nõuete rakendamisel, ennekõike </w:t>
            </w:r>
            <w:r>
              <w:rPr>
                <w:b/>
                <w:i/>
              </w:rPr>
              <w:t xml:space="preserve">seoses rahvusvahelise kaitse saajate </w:t>
            </w:r>
            <w:r w:rsidR="00285D65">
              <w:rPr>
                <w:b/>
                <w:i/>
              </w:rPr>
              <w:t xml:space="preserve">lõimimisega </w:t>
            </w:r>
            <w:r>
              <w:rPr>
                <w:b/>
                <w:i/>
              </w:rPr>
              <w:t>pikas p</w:t>
            </w:r>
            <w:r w:rsidR="00285D65">
              <w:rPr>
                <w:b/>
                <w:i/>
              </w:rPr>
              <w:t>laanis</w:t>
            </w:r>
            <w:r>
              <w:rPr>
                <w:b/>
                <w:i/>
              </w:rPr>
              <w:t xml:space="preserve"> ja nende liikmesriikide toetamisega</w:t>
            </w:r>
            <w:r w:rsidRPr="006F55E6">
              <w:rPr>
                <w:b/>
                <w:i/>
              </w:rPr>
              <w:t xml:space="preserve">, </w:t>
            </w:r>
            <w:r>
              <w:rPr>
                <w:b/>
                <w:i/>
              </w:rPr>
              <w:t>kes seisavad</w:t>
            </w:r>
            <w:r>
              <w:t xml:space="preserve"> eelkõige riigi geograafilise asendi või demograafilise olukorra tõttu </w:t>
            </w:r>
            <w:r>
              <w:rPr>
                <w:b/>
                <w:i/>
              </w:rPr>
              <w:t>silmitsi</w:t>
            </w:r>
            <w:r>
              <w:rPr>
                <w:b/>
              </w:rPr>
              <w:t xml:space="preserve"> </w:t>
            </w:r>
            <w:r w:rsidR="00285D65">
              <w:rPr>
                <w:b/>
                <w:i/>
              </w:rPr>
              <w:t xml:space="preserve">raskustega </w:t>
            </w:r>
            <w:r>
              <w:rPr>
                <w:b/>
                <w:i/>
              </w:rPr>
              <w:t>varjupaigasüsteemi raames kõrge</w:t>
            </w:r>
            <w:r w:rsidR="00285D65">
              <w:rPr>
                <w:b/>
                <w:i/>
              </w:rPr>
              <w:t>tasemeliste</w:t>
            </w:r>
            <w:r>
              <w:rPr>
                <w:b/>
                <w:i/>
              </w:rPr>
              <w:t xml:space="preserve"> nõuete tagamisel.</w:t>
            </w:r>
            <w:r>
              <w:t xml:space="preserve"> </w:t>
            </w:r>
            <w:r>
              <w:rPr>
                <w:b/>
                <w:i/>
                <w:color w:val="000000"/>
              </w:rPr>
              <w:t>Selleks tuleks kohalikele ja piirkondlikele ametiasutustele ning rahvusvahelistele ja kodanikuühiskonna organisatsioonidele teha kättesaadavaks piisav rahastus, sh kohalikele ja piirkondlikele ametiasutustele tagatud võimaluse kaudu kasutada otse Varjupaiga-, Rände- ja Integratsioonifondi</w:t>
            </w:r>
            <w:r w:rsidRPr="006F55E6">
              <w:rPr>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156</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Barbara Matera, Salvatore Domenico Pogliese</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määruses ette nähtud nõuete rakendamisel, </w:t>
            </w:r>
            <w:r w:rsidRPr="006F55E6">
              <w:rPr>
                <w:b/>
                <w:i/>
              </w:rPr>
              <w:t>ennekõike</w:t>
            </w:r>
            <w:r>
              <w:t xml:space="preserve"> neis liikmesriikides, kelle varjupaigasüsteem on eelkõige riigi geograafilise asendi või demograafilise olukorra tõttu sattunud erilise ja ebaproportsionaalse surve alla.</w:t>
            </w:r>
          </w:p>
        </w:tc>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määruses ette nähtud nõuete rakendamisel, </w:t>
            </w:r>
            <w:r w:rsidR="00285D65">
              <w:rPr>
                <w:b/>
                <w:i/>
              </w:rPr>
              <w:t>prioriteedina</w:t>
            </w:r>
            <w:r w:rsidR="00285D65">
              <w:t xml:space="preserve"> </w:t>
            </w:r>
            <w:r>
              <w:t xml:space="preserve">neis liikmesriikides, kelle varjupaigasüsteem on eelkõige riigi geograafilise asendi või demograafilise olukorra tõttu sattunud erilise ja ebaproportsionaalse surve alla. </w:t>
            </w:r>
            <w:r>
              <w:rPr>
                <w:b/>
                <w:i/>
                <w:color w:val="000000"/>
              </w:rPr>
              <w:t>Selline toetus peaks topelt</w:t>
            </w:r>
            <w:r w:rsidR="00285D65">
              <w:rPr>
                <w:b/>
                <w:i/>
                <w:color w:val="000000"/>
              </w:rPr>
              <w:t>rahastamise</w:t>
            </w:r>
            <w:r>
              <w:rPr>
                <w:b/>
                <w:i/>
                <w:color w:val="000000"/>
              </w:rPr>
              <w:t xml:space="preserve"> vältimise üldpõhimõt</w:t>
            </w:r>
            <w:r w:rsidR="00285D65">
              <w:rPr>
                <w:b/>
                <w:i/>
                <w:color w:val="000000"/>
              </w:rPr>
              <w:t>test</w:t>
            </w:r>
            <w:r>
              <w:rPr>
                <w:b/>
                <w:i/>
                <w:color w:val="000000"/>
              </w:rPr>
              <w:t xml:space="preserve"> tulenevalt piirduma Varjupaiga-, Rände- ja Integratsioonifondiga.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85D65" w:rsidP="002F3FB4">
      <w:pPr>
        <w:pStyle w:val="Normal12Italic"/>
        <w:rPr>
          <w:noProof w:val="0"/>
        </w:rPr>
      </w:pPr>
      <w:r>
        <w:rPr>
          <w:noProof w:val="0"/>
        </w:rPr>
        <w:t xml:space="preserve">Topeltrahastamise </w:t>
      </w:r>
      <w:r w:rsidR="002F3FB4">
        <w:rPr>
          <w:noProof w:val="0"/>
        </w:rPr>
        <w:t>keeld on üks Euroopa struktuuri- ja investeerimisfondide üldpõhimõtetest. Seega on oluline veenduda, et iga Euroopa fondi kasutatakse nende eesmärkide täitmiseks, mille jaoks see loodi.</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157</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(13)</w:t>
            </w:r>
            <w:r>
              <w:tab/>
              <w:t xml:space="preserve">Kasutada tuleks Varjupaiga-, Rände- ja Integratsioonifondi vahendeid, et asjakohaselt toetada liikmesriikide jõupingutusi määruses ette nähtud nõuete rakendamisel, ennekõike neis liikmesriikides, kelle varjupaigasüsteem on eelkõige riigi geograafilise asendi </w:t>
            </w:r>
            <w:r>
              <w:rPr>
                <w:b/>
                <w:i/>
              </w:rPr>
              <w:t>või demograafilise olukorra</w:t>
            </w:r>
            <w:r>
              <w:t xml:space="preserve"> tõttu sattunud erilise ja ebaproportsionaalse surve alla.</w:t>
            </w:r>
          </w:p>
        </w:tc>
        <w:tc>
          <w:tcPr>
            <w:tcW w:w="4876" w:type="dxa"/>
          </w:tcPr>
          <w:p w:rsidR="002F3FB4" w:rsidRDefault="002F3FB4" w:rsidP="00F37676">
            <w:pPr>
              <w:pStyle w:val="Normal6"/>
            </w:pPr>
            <w:r>
              <w:t>(13)</w:t>
            </w:r>
            <w:r>
              <w:tab/>
              <w:t>Kasutada tuleks Varjupaiga-, Rände- ja Integratsioonifondi vahendeid, et asjakohaselt toetada liikmesriikide jõupingutusi määruses ette nähtud nõuete rakendamisel, ennekõike neis liikmesriikides, kelle varjupaigasüsteem on eelkõige riigi geograafilise asendi tõttu sattunud erilise ja ebaproportsionaalse surve alla.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158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14</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(14)</w:t>
            </w:r>
            <w:r w:rsidRPr="00781174">
              <w:tab/>
              <w:t>Euroopa Liidu Varjupaigaamet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Euroopa Liidu Varjupaigaameti (ameti) koostatud tegevusstandardeid, soovituslikke suuniseid ja parimaid tavasid. Rahvusvahelise kaitse taotluste hindamisel peaksid liikmesriikide asutused eriti arvestama teabe, aruannete, ühiste analüüside ja suunistega, mis käsitlevad olukorda päritoluriikides ja mida amet ning päritoluriigi teabega tegelevad Euroopa võrgustikud koostavad liidu tasandil kooskõlas määruse</w:t>
            </w:r>
            <w:r w:rsidRPr="00781174">
              <w:rPr>
                <w:vertAlign w:val="superscript"/>
              </w:rPr>
              <w:t>34</w:t>
            </w:r>
            <w:r w:rsidRPr="00781174">
              <w:t xml:space="preserve"> artiklitega 8 ja 10.</w:t>
            </w:r>
          </w:p>
        </w:tc>
        <w:tc>
          <w:tcPr>
            <w:tcW w:w="4876" w:type="dxa"/>
          </w:tcPr>
          <w:p w:rsidR="002F3FB4" w:rsidRPr="00781174" w:rsidRDefault="002F3FB4" w:rsidP="00F37676">
            <w:pPr>
              <w:pStyle w:val="Normal6"/>
            </w:pPr>
            <w:r w:rsidRPr="00781174">
              <w:t>(14)</w:t>
            </w:r>
            <w:r w:rsidRPr="00781174">
              <w:tab/>
              <w:t>Euroopa Liidu Varjupaigaamet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Euroopa Liidu Varjupaigaameti (ameti) koostatud tegevusstandardeid, soovituslikke suuniseid ja parimaid tavasid. Rahvusvahelise kaitse taotluste hindamisel peaksid liikmesriikide asutused eriti arvestama teabe, aruannete, ühiste analüüside ja suunistega, mis käsitlevad olukorda päritoluriikides ja mida amet ning päritoluriigi teabega tegelevad Euroopa võrgustikud koostavad liidu tasandil kooskõlas määruse</w:t>
            </w:r>
            <w:r w:rsidRPr="00781174">
              <w:rPr>
                <w:vertAlign w:val="superscript"/>
              </w:rPr>
              <w:t>34</w:t>
            </w:r>
            <w:r w:rsidRPr="00781174">
              <w:t xml:space="preserve"> artiklitega 8 ja 10. </w:t>
            </w:r>
            <w:r w:rsidRPr="00781174">
              <w:rPr>
                <w:b/>
                <w:i/>
              </w:rPr>
              <w:t>Käesoleva määruse kohaldamiseks peaksid Euroopa Liidu amet ja liikmesriigid võtma arvesse ÜRO Pagulaste Ülemvoliniku Ametilt ja kohapeal tegutsevatelt valitsusvälistelt organisatsioonidelt saad</w:t>
            </w:r>
            <w:r w:rsidR="00EA7B98">
              <w:rPr>
                <w:b/>
                <w:i/>
              </w:rPr>
              <w:t>ud</w:t>
            </w:r>
            <w:r w:rsidRPr="00781174">
              <w:rPr>
                <w:b/>
                <w:i/>
              </w:rPr>
              <w:t xml:space="preserve"> teavet.</w:t>
            </w:r>
          </w:p>
        </w:tc>
      </w:tr>
      <w:tr w:rsidR="002F3FB4" w:rsidRPr="00781174" w:rsidTr="00F37676">
        <w:trPr>
          <w:jc w:val="center"/>
        </w:trPr>
        <w:tc>
          <w:tcPr>
            <w:tcW w:w="4876" w:type="dxa"/>
          </w:tcPr>
          <w:p w:rsidR="002F3FB4" w:rsidRPr="00781174" w:rsidRDefault="002F3FB4" w:rsidP="00F37676">
            <w:pPr>
              <w:pStyle w:val="Normal6"/>
            </w:pPr>
            <w:r w:rsidRPr="00781174">
              <w:t>_________________</w:t>
            </w:r>
          </w:p>
        </w:tc>
        <w:tc>
          <w:tcPr>
            <w:tcW w:w="4876" w:type="dxa"/>
          </w:tcPr>
          <w:p w:rsidR="002F3FB4" w:rsidRPr="00781174" w:rsidRDefault="002F3FB4" w:rsidP="00F37676">
            <w:pPr>
              <w:pStyle w:val="Normal6"/>
            </w:pPr>
            <w:r w:rsidRPr="00781174">
              <w:t>_________________</w:t>
            </w:r>
          </w:p>
        </w:tc>
      </w:tr>
      <w:tr w:rsidR="002F3FB4" w:rsidRPr="00781174" w:rsidTr="00F37676">
        <w:trPr>
          <w:jc w:val="center"/>
        </w:trPr>
        <w:tc>
          <w:tcPr>
            <w:tcW w:w="4876" w:type="dxa"/>
          </w:tcPr>
          <w:p w:rsidR="002F3FB4" w:rsidRPr="00781174" w:rsidRDefault="002F3FB4" w:rsidP="00F37676">
            <w:pPr>
              <w:pStyle w:val="Normal6"/>
            </w:pPr>
            <w:r w:rsidRPr="00781174">
              <w:rPr>
                <w:rStyle w:val="Sup"/>
              </w:rPr>
              <w:t>34</w:t>
            </w:r>
            <w:r w:rsidRPr="00781174">
              <w:t xml:space="preserve"> COM(2016) 271 (final).</w:t>
            </w:r>
          </w:p>
        </w:tc>
        <w:tc>
          <w:tcPr>
            <w:tcW w:w="4876" w:type="dxa"/>
          </w:tcPr>
          <w:p w:rsidR="002F3FB4" w:rsidRPr="00781174" w:rsidRDefault="002F3FB4" w:rsidP="00F37676">
            <w:pPr>
              <w:pStyle w:val="Normal6"/>
            </w:pPr>
            <w:r w:rsidRPr="00781174">
              <w:rPr>
                <w:rStyle w:val="Sup"/>
              </w:rPr>
              <w:t>34</w:t>
            </w:r>
            <w:r w:rsidRPr="00781174">
              <w:t xml:space="preserve"> COM(2016) 271 (final).</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159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(14)</w:t>
            </w:r>
            <w:r>
              <w:tab/>
              <w:t>Euroopa Liidu Varjupaigaamet peaks käesoleva määruse kohaldamisel pakkuma asjakohast tuge</w:t>
            </w:r>
            <w:r>
              <w:rPr>
                <w:b/>
                <w:i/>
              </w:rPr>
              <w:t>,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w:t>
            </w:r>
            <w:r w:rsidRPr="006F55E6">
              <w:t>.</w:t>
            </w:r>
            <w:r>
              <w:rPr>
                <w:b/>
                <w:i/>
                <w:color w:val="000000"/>
              </w:rPr>
              <w:t xml:space="preserve"> </w:t>
            </w:r>
            <w:r>
              <w:t xml:space="preserve">Käesoleva määruse </w:t>
            </w:r>
            <w:r>
              <w:rPr>
                <w:b/>
                <w:i/>
              </w:rPr>
              <w:t>kohaldamisel</w:t>
            </w:r>
            <w:r>
              <w:rPr>
                <w:b/>
              </w:rPr>
              <w:t xml:space="preserve"> </w:t>
            </w:r>
            <w:r>
              <w:rPr>
                <w:b/>
                <w:i/>
              </w:rPr>
              <w:t>peaksid</w:t>
            </w:r>
            <w:r>
              <w:t xml:space="preserve"> liikmesriikide ametiasutused </w:t>
            </w:r>
            <w:r>
              <w:rPr>
                <w:b/>
                <w:i/>
              </w:rPr>
              <w:t>arvestama</w:t>
            </w:r>
            <w:r>
              <w:t xml:space="preserve"> </w:t>
            </w:r>
            <w:r>
              <w:rPr>
                <w:b/>
                <w:i/>
              </w:rPr>
              <w:t>Euroopa Liidu Varjupaigaameti (</w:t>
            </w:r>
            <w:r w:rsidRPr="006F55E6">
              <w:t>ameti</w:t>
            </w:r>
            <w:r>
              <w:rPr>
                <w:b/>
                <w:i/>
              </w:rPr>
              <w:t>)</w:t>
            </w:r>
            <w:r>
              <w:t xml:space="preserve"> koostatud </w:t>
            </w:r>
            <w:r>
              <w:rPr>
                <w:b/>
                <w:i/>
              </w:rPr>
              <w:t>tegevusstandardeid</w:t>
            </w:r>
            <w:r w:rsidRPr="006F55E6">
              <w:rPr>
                <w:b/>
                <w:i/>
              </w:rPr>
              <w:t xml:space="preserve">, </w:t>
            </w:r>
            <w:r>
              <w:t xml:space="preserve">soovituslikke suuniseid ja parimaid tavasid. Rahvusvahelise kaitse taotluste hindamisel </w:t>
            </w:r>
            <w:r>
              <w:rPr>
                <w:b/>
                <w:i/>
              </w:rPr>
              <w:t>peaksid</w:t>
            </w:r>
            <w:r>
              <w:t xml:space="preserve"> liikmesriikide asutused </w:t>
            </w:r>
            <w:r>
              <w:rPr>
                <w:b/>
                <w:i/>
              </w:rPr>
              <w:t>eriti arvestama</w:t>
            </w:r>
            <w:r>
              <w:rPr>
                <w:b/>
              </w:rPr>
              <w:t xml:space="preserve"> </w:t>
            </w:r>
            <w:r>
              <w:t>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c>
          <w:tcPr>
            <w:tcW w:w="4876" w:type="dxa"/>
          </w:tcPr>
          <w:p w:rsidR="002F3FB4" w:rsidRDefault="002F3FB4" w:rsidP="00F37676">
            <w:pPr>
              <w:pStyle w:val="Normal6"/>
            </w:pPr>
            <w:r>
              <w:t>(14)</w:t>
            </w:r>
            <w:r>
              <w:tab/>
              <w:t>Euroopa Liidu Varjupaigaamet peaks käesoleva määruse kohaldamisel pakkuma asjakohast tuge.</w:t>
            </w:r>
            <w:r>
              <w:rPr>
                <w:b/>
                <w:i/>
                <w:color w:val="000000"/>
              </w:rPr>
              <w:t xml:space="preserve"> </w:t>
            </w:r>
            <w:r>
              <w:t xml:space="preserve">Käesoleva määruse </w:t>
            </w:r>
            <w:r>
              <w:rPr>
                <w:b/>
                <w:i/>
              </w:rPr>
              <w:t>rakendamisel</w:t>
            </w:r>
            <w:r>
              <w:t xml:space="preserve"> </w:t>
            </w:r>
            <w:r>
              <w:rPr>
                <w:b/>
                <w:i/>
              </w:rPr>
              <w:t>võivad</w:t>
            </w:r>
            <w:r>
              <w:rPr>
                <w:b/>
              </w:rPr>
              <w:t xml:space="preserve"> </w:t>
            </w:r>
            <w:r>
              <w:t xml:space="preserve">liikmesriikide ametiasutused </w:t>
            </w:r>
            <w:r>
              <w:rPr>
                <w:b/>
                <w:i/>
              </w:rPr>
              <w:t>arvestada</w:t>
            </w:r>
            <w:r>
              <w:t xml:space="preserve"> ameti koostatud soovituslikke suuniseid ja parimaid tavasid. Rahvusvahelise kaitse taotluste hindamisel </w:t>
            </w:r>
            <w:r>
              <w:rPr>
                <w:b/>
                <w:i/>
              </w:rPr>
              <w:t xml:space="preserve">võiksid </w:t>
            </w:r>
            <w:r>
              <w:t xml:space="preserve">liikmesriikide asutused </w:t>
            </w:r>
            <w:r>
              <w:rPr>
                <w:b/>
                <w:i/>
              </w:rPr>
              <w:t>arvestada</w:t>
            </w:r>
            <w:r>
              <w:t xml:space="preserve">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r>
              <w:rPr>
                <w:b/>
                <w:i/>
                <w:color w:val="000000"/>
              </w:rPr>
              <w:t xml:space="preserve"> Rahvusvahelise kaitse taotluste hindamisel võtavad liikmesriigid lisaks arvesse ÜRO Pagulaste Ülemvoliniku Ametilt ja kohapeal tegutsevatelt kodanikuühiskonna organisatsioonidelt saadud kogu asjakohast teavet.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34</w:t>
            </w:r>
            <w:r>
              <w:t xml:space="preserve"> </w:t>
            </w:r>
            <w:r w:rsidR="00EA7B98">
              <w:rPr>
                <w:lang w:val="pt-PT"/>
              </w:rPr>
              <w:t>COM(2016) 271 (final).</w:t>
            </w:r>
          </w:p>
        </w:tc>
        <w:tc>
          <w:tcPr>
            <w:tcW w:w="4876" w:type="dxa"/>
          </w:tcPr>
          <w:p w:rsidR="002F3FB4" w:rsidRDefault="002F3FB4" w:rsidP="00F37676">
            <w:pPr>
              <w:pStyle w:val="Normal6"/>
            </w:pPr>
            <w:r>
              <w:rPr>
                <w:rStyle w:val="Sup"/>
              </w:rPr>
              <w:t>34</w:t>
            </w:r>
            <w:r>
              <w:t xml:space="preserve"> </w:t>
            </w:r>
            <w:r w:rsidR="00EA7B98">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(14)</w:t>
            </w:r>
            <w:r>
              <w:tab/>
              <w:t xml:space="preserve">Euroopa Liidu Varjupaigaamet peaks käesoleva </w:t>
            </w:r>
            <w:r>
              <w:rPr>
                <w:b/>
                <w:i/>
              </w:rPr>
              <w:t>määruse</w:t>
            </w:r>
            <w:r>
              <w:t xml:space="preserv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w:t>
            </w:r>
            <w:r>
              <w:rPr>
                <w:b/>
                <w:i/>
              </w:rPr>
              <w:t>määruse kohaldamisel</w:t>
            </w:r>
            <w:r>
              <w:t xml:space="preserve"> peaksid liikmesriikide ametiasutused arvestama Euroopa Liidu Varjupaigaameti (ameti) koostatud tegevusstandardeid, soovituslikke suuniseid ja parimaid tavasid. Rahvusvahelise kaitse taotluste hindamisel peaksid liikmesriikide asutused eriti arvestama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c>
          <w:tcPr>
            <w:tcW w:w="4876" w:type="dxa"/>
          </w:tcPr>
          <w:p w:rsidR="002F3FB4" w:rsidRDefault="002F3FB4" w:rsidP="00F37676">
            <w:pPr>
              <w:pStyle w:val="Normal6"/>
            </w:pPr>
            <w:r>
              <w:t>(14)</w:t>
            </w:r>
            <w:r>
              <w:tab/>
              <w:t xml:space="preserve">Euroopa Liidu Varjupaigaamet peaks käesoleva </w:t>
            </w:r>
            <w:r>
              <w:rPr>
                <w:b/>
                <w:i/>
              </w:rPr>
              <w:t>direktiivi</w:t>
            </w:r>
            <w:r>
              <w:t xml:space="preserv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w:t>
            </w:r>
            <w:r>
              <w:rPr>
                <w:b/>
                <w:i/>
              </w:rPr>
              <w:t xml:space="preserve">direktiivi ülevõtmisel ja rakendamisel </w:t>
            </w:r>
            <w:r>
              <w:t>peaksid liikmesriikide ametiasutused arvestama Euroopa Liidu Varjupaigaameti (ameti) koostatud tegevusstandardeid, soovituslikke suuniseid ja parimaid tavasid. Rahvusvahelise kaitse taotluste hindamisel peaksid liikmesriikide asutused eriti arvestama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34</w:t>
            </w:r>
            <w:r>
              <w:t xml:space="preserve"> </w:t>
            </w:r>
            <w:r w:rsidR="00EA7B98">
              <w:rPr>
                <w:lang w:val="pt-PT"/>
              </w:rPr>
              <w:t>COM(2016) 271 (final).</w:t>
            </w:r>
          </w:p>
        </w:tc>
        <w:tc>
          <w:tcPr>
            <w:tcW w:w="4876" w:type="dxa"/>
          </w:tcPr>
          <w:p w:rsidR="002F3FB4" w:rsidRDefault="002F3FB4" w:rsidP="00F37676">
            <w:pPr>
              <w:pStyle w:val="Normal6"/>
            </w:pPr>
            <w:r>
              <w:rPr>
                <w:rStyle w:val="Sup"/>
              </w:rPr>
              <w:t>34</w:t>
            </w:r>
            <w:r>
              <w:t xml:space="preserve"> </w:t>
            </w:r>
            <w:r w:rsidR="00EA7B98">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161</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(14)</w:t>
            </w:r>
            <w:r>
              <w:tab/>
              <w:t xml:space="preserve">Euroopa Liidu Varjupaigaamet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Euroopa Liidu Varjupaigaameti (ameti) koostatud tegevusstandardeid, soovituslikke suuniseid ja parimaid tavasid. Rahvusvahelise kaitse taotluste hindamisel peaksid liikmesriikide asutused </w:t>
            </w:r>
            <w:r>
              <w:rPr>
                <w:b/>
                <w:i/>
              </w:rPr>
              <w:t>eriti</w:t>
            </w:r>
            <w:r>
              <w:t xml:space="preserve"> arvestama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c>
          <w:tcPr>
            <w:tcW w:w="4876" w:type="dxa"/>
          </w:tcPr>
          <w:p w:rsidR="002F3FB4" w:rsidRDefault="002F3FB4" w:rsidP="00F37676">
            <w:pPr>
              <w:pStyle w:val="Normal6"/>
            </w:pPr>
            <w:r>
              <w:t>(14)</w:t>
            </w:r>
            <w:r>
              <w:tab/>
              <w:t>Euroopa Liidu Varjupaigaamet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Euroopa Liidu Varjupaigaameti (ameti) koostatud tegevusstandardeid, soovituslikke suuniseid ja parimaid tavasid. Rahvusvahelise kaitse taotluste hindamisel peaksid liikmesriikide asutused arvestama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34</w:t>
            </w:r>
            <w:r>
              <w:t xml:space="preserve"> </w:t>
            </w:r>
            <w:r w:rsidR="00EA7B98">
              <w:rPr>
                <w:lang w:val="pt-PT"/>
              </w:rPr>
              <w:t>COM(2016) 271 (final).</w:t>
            </w:r>
          </w:p>
        </w:tc>
        <w:tc>
          <w:tcPr>
            <w:tcW w:w="4876" w:type="dxa"/>
          </w:tcPr>
          <w:p w:rsidR="002F3FB4" w:rsidRDefault="002F3FB4" w:rsidP="00F37676">
            <w:pPr>
              <w:pStyle w:val="Normal6"/>
            </w:pPr>
            <w:r>
              <w:rPr>
                <w:rStyle w:val="Sup"/>
              </w:rPr>
              <w:t>34</w:t>
            </w:r>
            <w:r>
              <w:t xml:space="preserve"> </w:t>
            </w:r>
            <w:r w:rsidR="00EA7B98">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162</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(14)</w:t>
            </w:r>
            <w:r>
              <w:tab/>
              <w:t>Euroopa Liidu Varjupaigaamet peaks käesoleva määruse kohaldamisel pakkuma asjakohast tuge, eelkõige seeläbi, et annab liikmesriikide asutustele abiks eksperte, et vastu võtta</w:t>
            </w:r>
            <w:r w:rsidRPr="006F55E6">
              <w:rPr>
                <w:b/>
                <w:i/>
              </w:rPr>
              <w:t xml:space="preserve">, </w:t>
            </w:r>
            <w:r>
              <w:t>registreerida</w:t>
            </w:r>
            <w:r>
              <w:rPr>
                <w:b/>
                <w:i/>
              </w:rPr>
              <w:t xml:space="preserve"> ja kontrollida</w:t>
            </w:r>
            <w:r>
              <w:t xml:space="preserve"> rahvusvahelise kaitse taotlusi, ning pakub ajakohastatud teavet kolmandate riikide kohta, sh päritoluriigi teavet, samuti muid asjakohaseid suuniseid ja töövahendeid. Käesoleva määruse kohaldamisel </w:t>
            </w:r>
            <w:r>
              <w:rPr>
                <w:b/>
                <w:i/>
              </w:rPr>
              <w:t>peaksid</w:t>
            </w:r>
            <w:r>
              <w:t xml:space="preserve"> liikmesriikide ametiasutused </w:t>
            </w:r>
            <w:r>
              <w:rPr>
                <w:b/>
                <w:i/>
              </w:rPr>
              <w:t>arvestama</w:t>
            </w:r>
            <w:r>
              <w:t xml:space="preserve"> Euroopa Liidu Varjupaigaameti (ameti) koostatud tegevusstandardeid, soovituslikke suuniseid ja parimaid tavasid. Rahvusvahelise kaitse taotluste hindamisel </w:t>
            </w:r>
            <w:r>
              <w:rPr>
                <w:b/>
                <w:i/>
              </w:rPr>
              <w:t>peaksid</w:t>
            </w:r>
            <w:r>
              <w:t xml:space="preserve"> liikmesriikide asutused eriti </w:t>
            </w:r>
            <w:r>
              <w:rPr>
                <w:b/>
                <w:i/>
              </w:rPr>
              <w:t>arvestama</w:t>
            </w:r>
            <w:r>
              <w:t xml:space="preserve">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c>
          <w:tcPr>
            <w:tcW w:w="4876" w:type="dxa"/>
          </w:tcPr>
          <w:p w:rsidR="002F3FB4" w:rsidRDefault="002F3FB4" w:rsidP="00F37676">
            <w:pPr>
              <w:pStyle w:val="Normal6"/>
            </w:pPr>
            <w:r>
              <w:t>(14)</w:t>
            </w:r>
            <w:r>
              <w:tab/>
              <w:t xml:space="preserve">Euroopa Liidu Varjupaigaamet peaks käesoleva määruse kohaldamisel pakkuma asjakohast tuge, eelkõige seeläbi, et annab liikmesriikide asutustele abiks eksperte, et vastu võtta </w:t>
            </w:r>
            <w:r>
              <w:rPr>
                <w:b/>
                <w:i/>
              </w:rPr>
              <w:t xml:space="preserve">ja </w:t>
            </w:r>
            <w:r>
              <w:t xml:space="preserve">registreerida rahvusvahelise kaitse taotlusi, ning pakub ajakohastatud teavet kolmandate riikide kohta, sh päritoluriigi teavet, samuti muid asjakohaseid suuniseid ja töövahendeid. Käesoleva määruse kohaldamisel </w:t>
            </w:r>
            <w:r>
              <w:rPr>
                <w:b/>
                <w:i/>
              </w:rPr>
              <w:t>võivad</w:t>
            </w:r>
            <w:r>
              <w:t xml:space="preserve"> liikmesriikide ametiasutused </w:t>
            </w:r>
            <w:r>
              <w:rPr>
                <w:b/>
                <w:i/>
              </w:rPr>
              <w:t>arvestada</w:t>
            </w:r>
            <w:r>
              <w:t xml:space="preserve"> Euroopa Liidu Varjupaigaameti (ameti) koostatud tegevusstandardeid, soovituslikke suuniseid ja parimaid tavasid. Rahvusvahelise kaitse taotluste hindamisel </w:t>
            </w:r>
            <w:r>
              <w:rPr>
                <w:b/>
                <w:i/>
              </w:rPr>
              <w:t>võivad</w:t>
            </w:r>
            <w:r>
              <w:t xml:space="preserve"> liikmesriikide asutused eriti </w:t>
            </w:r>
            <w:r>
              <w:rPr>
                <w:b/>
                <w:i/>
              </w:rPr>
              <w:t>arvestada</w:t>
            </w:r>
            <w:r>
              <w:t xml:space="preserve"> teabe, aruannete, ühiste analüüside ja suunistega, mis käsitlevad olukorda päritoluriikides ja mida amet ning päritoluriigi teabega tegelevad Euroopa võrgustikud koostavad liidu tasandil kooskõlas määruse</w:t>
            </w:r>
            <w:r>
              <w:rPr>
                <w:rStyle w:val="Sup"/>
              </w:rPr>
              <w:t>34</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34</w:t>
            </w:r>
            <w:r>
              <w:t xml:space="preserve"> </w:t>
            </w:r>
            <w:r w:rsidR="00EA7B98">
              <w:rPr>
                <w:lang w:val="pt-PT"/>
              </w:rPr>
              <w:t>COM(2016) 271 (final).</w:t>
            </w:r>
          </w:p>
        </w:tc>
        <w:tc>
          <w:tcPr>
            <w:tcW w:w="4876" w:type="dxa"/>
          </w:tcPr>
          <w:p w:rsidR="002F3FB4" w:rsidRDefault="002F3FB4" w:rsidP="00F37676">
            <w:pPr>
              <w:pStyle w:val="Normal6"/>
            </w:pPr>
            <w:r>
              <w:rPr>
                <w:rStyle w:val="Sup"/>
              </w:rPr>
              <w:t>34</w:t>
            </w:r>
            <w:r>
              <w:t xml:space="preserve"> </w:t>
            </w:r>
            <w:r w:rsidR="00EA7B98">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163</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(15)</w:t>
            </w:r>
            <w:r>
              <w:tab/>
              <w:t>Käesolevat määrust kohaldades tuleb eelkõige silmas pidada lapse parimaid huvisid kooskõlas 1989. aasta ÜRO lapse õiguste konventsiooniga. Lapse parimate huvide hindamisel peaksid liikmesriikide asutused eelkõige nõuetekohaselt arvestama perekonna ühtsuse, alaealise heaolu ja sotsiaalse arengu, ohutuse ja turvalisusega ning alaealise vanusest ja küpsusest lähtudes alaealise arvamusega.</w:t>
            </w:r>
          </w:p>
        </w:tc>
        <w:tc>
          <w:tcPr>
            <w:tcW w:w="4876" w:type="dxa"/>
          </w:tcPr>
          <w:p w:rsidR="002F3FB4" w:rsidRDefault="002F3FB4" w:rsidP="00F37676">
            <w:pPr>
              <w:pStyle w:val="Normal6"/>
            </w:pPr>
            <w:r>
              <w:t>(15)</w:t>
            </w:r>
            <w:r>
              <w:tab/>
              <w:t xml:space="preserve">Käesolevat määrust kohaldades tuleb eelkõige silmas pidada lapse parimaid huvisid kooskõlas 1989. aasta ÜRO lapse õiguste konventsiooniga. Lapse parimate huvide hindamisel peaksid liikmesriikide asutused eelkõige nõuetekohaselt arvestama perekonna ühtsuse, alaealise heaolu ja sotsiaalse arengu, ohutuse ja turvalisusega ning alaealise vanusest ja küpsusest lähtudes alaealise arvamusega. </w:t>
            </w:r>
            <w:r>
              <w:rPr>
                <w:b/>
                <w:i/>
                <w:color w:val="000000"/>
              </w:rPr>
              <w:t>Seega saaksid perekonna ühtsuse põhimõttest siiski kasu lapstaotlejad, kes saavad 18-aastaseks enne</w:t>
            </w:r>
            <w:r w:rsidR="00EA7B98">
              <w:rPr>
                <w:b/>
                <w:i/>
                <w:color w:val="000000"/>
              </w:rPr>
              <w:t>,</w:t>
            </w:r>
            <w:r>
              <w:rPr>
                <w:b/>
                <w:i/>
                <w:color w:val="000000"/>
              </w:rPr>
              <w:t xml:space="preserve"> kui nende taotluse kohta otsus langetakse.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(15)</w:t>
            </w:r>
            <w:r>
              <w:tab/>
              <w:t xml:space="preserve">Käesolevat </w:t>
            </w:r>
            <w:r>
              <w:rPr>
                <w:b/>
                <w:i/>
              </w:rPr>
              <w:t>määrust</w:t>
            </w:r>
            <w:r>
              <w:rPr>
                <w:b/>
              </w:rPr>
              <w:t xml:space="preserve"> </w:t>
            </w:r>
            <w:r>
              <w:t>kohaldades tuleb eelkõige silmas pidada lapse parimaid huvisid kooskõlas 1989. aasta ÜRO lapse õiguste konventsiooniga. Lapse parimate huvide hindamisel peaksid liikmesriikide asutused eelkõige nõuetekohaselt arvestama perekonna ühtsuse, alaealise heaolu ja sotsiaalse arengu, ohutuse ja turvalisusega ning alaealise vanusest ja küpsusest lähtudes alaealise arvamusega.</w:t>
            </w:r>
          </w:p>
        </w:tc>
        <w:tc>
          <w:tcPr>
            <w:tcW w:w="4876" w:type="dxa"/>
          </w:tcPr>
          <w:p w:rsidR="002F3FB4" w:rsidRDefault="002F3FB4" w:rsidP="00F37676">
            <w:pPr>
              <w:pStyle w:val="Normal6"/>
            </w:pPr>
            <w:r>
              <w:t>(15)</w:t>
            </w:r>
            <w:r>
              <w:tab/>
              <w:t xml:space="preserve">Käesolevat </w:t>
            </w:r>
            <w:r>
              <w:rPr>
                <w:b/>
                <w:i/>
              </w:rPr>
              <w:t>direktiivi</w:t>
            </w:r>
            <w:r>
              <w:t xml:space="preserve"> kohaldades tuleb eelkõige silmas pidada lapse parimaid huvisid kooskõlas 1989. aasta ÜRO lapse õiguste konventsiooniga. Lapse parimate huvide hindamisel peaksid liikmesriikide asutused eelkõige nõuetekohaselt arvestama perekonna ühtsuse, alaealise heaolu ja sotsiaalse arengu, ohutuse ja turvalisusega ning alaealise vanusest ja küpsusest lähtudes alaealise arvamusega.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165</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16</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(16)</w:t>
            </w:r>
            <w:r w:rsidRPr="00781174">
              <w:tab/>
              <w:t xml:space="preserve">Pereliikme määratlust tuleks </w:t>
            </w:r>
            <w:r w:rsidRPr="00781174">
              <w:rPr>
                <w:b/>
                <w:i/>
              </w:rPr>
              <w:t>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 kuid enne liikmesriigi territooriumile saabumist moodustunud perekonnad</w:t>
            </w:r>
            <w:r w:rsidRPr="00781174">
              <w:t>.</w:t>
            </w:r>
          </w:p>
        </w:tc>
        <w:tc>
          <w:tcPr>
            <w:tcW w:w="4876" w:type="dxa"/>
          </w:tcPr>
          <w:p w:rsidR="002F3FB4" w:rsidRPr="00781174" w:rsidRDefault="002F3FB4" w:rsidP="00F37676">
            <w:pPr>
              <w:pStyle w:val="Normal6"/>
            </w:pPr>
            <w:r w:rsidRPr="00781174">
              <w:t>(16)</w:t>
            </w:r>
            <w:r w:rsidRPr="00781174">
              <w:tab/>
              <w:t xml:space="preserve">Pereliikme määratlust tuleks </w:t>
            </w:r>
            <w:r w:rsidRPr="00781174">
              <w:rPr>
                <w:b/>
                <w:i/>
              </w:rPr>
              <w:t>käsitleda vastavalt vastuvõtva riigi õigussüsteemile</w:t>
            </w:r>
            <w:r w:rsidRPr="00781174">
              <w:t>.</w:t>
            </w:r>
          </w:p>
          <w:p w:rsidR="002F3FB4" w:rsidRPr="00781174" w:rsidRDefault="002F3FB4" w:rsidP="00F37676">
            <w:pPr>
              <w:pStyle w:val="Normal6"/>
            </w:pP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Cornelia Ernst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(16)</w:t>
            </w:r>
            <w:r>
              <w:tab/>
              <w:t>Pereliikme määratlust tuleks 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w:t>
            </w:r>
            <w:r w:rsidRPr="006F55E6">
              <w:rPr>
                <w:b/>
                <w:i/>
              </w:rPr>
              <w:t xml:space="preserve">, </w:t>
            </w:r>
            <w:r>
              <w:rPr>
                <w:b/>
                <w:i/>
              </w:rPr>
              <w:t>kuid enne</w:t>
            </w:r>
            <w:r>
              <w:rPr>
                <w:b/>
              </w:rPr>
              <w:t xml:space="preserve"> </w:t>
            </w:r>
            <w:r>
              <w:t xml:space="preserve">liikmesriigi territooriumile saabumist moodustunud </w:t>
            </w:r>
            <w:r>
              <w:rPr>
                <w:b/>
                <w:i/>
              </w:rPr>
              <w:t>perekonnad</w:t>
            </w:r>
            <w:r>
              <w:t>.</w:t>
            </w:r>
          </w:p>
        </w:tc>
        <w:tc>
          <w:tcPr>
            <w:tcW w:w="4876" w:type="dxa"/>
          </w:tcPr>
          <w:p w:rsidR="002F3FB4" w:rsidRDefault="002F3FB4" w:rsidP="00F37676">
            <w:pPr>
              <w:pStyle w:val="Normal6"/>
            </w:pPr>
            <w:r>
              <w:t>(16)</w:t>
            </w:r>
            <w:r>
              <w:tab/>
              <w:t xml:space="preserve">Pereliikme määratlust tuleks laiendada, et võtta arvesse </w:t>
            </w:r>
            <w:r>
              <w:rPr>
                <w:b/>
                <w:i/>
              </w:rPr>
              <w:t>perekondade mitmekesisust ja uut liiki perekondi</w:t>
            </w:r>
            <w:r>
              <w:t xml:space="preserv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w:t>
            </w:r>
            <w:r>
              <w:rPr>
                <w:b/>
                <w:i/>
              </w:rPr>
              <w:t>nii</w:t>
            </w:r>
            <w:r>
              <w:rPr>
                <w:b/>
              </w:rPr>
              <w:t xml:space="preserve"> </w:t>
            </w:r>
            <w:r>
              <w:t xml:space="preserve">väljaspool päritoluriiki </w:t>
            </w:r>
            <w:r>
              <w:rPr>
                <w:b/>
                <w:i/>
              </w:rPr>
              <w:t>kui ka pärast</w:t>
            </w:r>
            <w:r>
              <w:t xml:space="preserve"> liikmesriigi territooriumile saabumist moodustunud </w:t>
            </w:r>
            <w:r>
              <w:rPr>
                <w:b/>
                <w:i/>
              </w:rPr>
              <w:t>perekondi</w:t>
            </w:r>
            <w:r w:rsidRPr="006F55E6">
              <w:rPr>
                <w:b/>
                <w:i/>
              </w:rPr>
              <w:t xml:space="preserve">, </w:t>
            </w:r>
            <w:r>
              <w:rPr>
                <w:b/>
                <w:i/>
              </w:rPr>
              <w:t>välja arvatud sundabielud kõigil juhtudel.</w:t>
            </w:r>
            <w:r>
              <w:rPr>
                <w:b/>
                <w:i/>
                <w:color w:val="000000"/>
              </w:rPr>
              <w:t xml:space="preserve"> </w:t>
            </w:r>
            <w:r>
              <w:rPr>
                <w:b/>
                <w:i/>
              </w:rPr>
              <w:t>Abikaasadel ja vabaabielukaaslastel ei tohiks teha vahet soo alusel</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pereliikme mõiste peaks hõlmama perekondi, mis on moodustunud pärast liikmesriigi territooriumile saabumist. Variraportöör nõustub samuti raportööri arvamusega, et mõistest tuleks välja jätta sundabielud</w:t>
      </w:r>
      <w:r w:rsidR="00E303B9">
        <w:rPr>
          <w:noProof w:val="0"/>
        </w:rPr>
        <w:t>,</w:t>
      </w:r>
      <w:r>
        <w:rPr>
          <w:noProof w:val="0"/>
        </w:rPr>
        <w:t xml:space="preserve"> olenemata nende sõlmimise kohast.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167</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(16)</w:t>
            </w:r>
            <w:r>
              <w:tab/>
              <w:t>Pereliikme määratlust tuleks laiendada, et võtta arvesse konkreetseid erinevaid ülalpidamisolukordi ja</w:t>
            </w:r>
            <w:r>
              <w:rPr>
                <w:b/>
                <w:i/>
              </w:rPr>
              <w:t xml:space="preserve"> pöörata erilist tähelepanu </w:t>
            </w:r>
            <w:r>
              <w:t>lapse parimatele huvidele</w:t>
            </w:r>
            <w:r>
              <w:rPr>
                <w:b/>
                <w:i/>
              </w:rPr>
              <w:t>.</w:t>
            </w:r>
            <w:r>
              <w:rPr>
                <w:b/>
                <w:i/>
                <w:color w:val="000000"/>
              </w:rPr>
              <w:t xml:space="preserve"> </w:t>
            </w:r>
            <w:r>
              <w:rPr>
                <w:b/>
                <w:i/>
              </w:rPr>
              <w:t>Selles tuleks samuti arvestada praegu aset leidva rände tegelikke suundumusi, mis on näidanud, et taotlejad saabuvad liikmesriikide territooriumile tihti pärast pikaajalist teelolekut.</w:t>
            </w:r>
            <w:r>
              <w:rPr>
                <w:b/>
                <w:i/>
                <w:color w:val="000000"/>
              </w:rPr>
              <w:t xml:space="preserve"> </w:t>
            </w:r>
            <w:r>
              <w:rPr>
                <w:b/>
                <w:i/>
              </w:rPr>
              <w:t>Seega tuleks hõlmata väljaspool päritoluriiki, kuid enne liikmesriigi territooriumile saabumist moodustunud perekonnad</w:t>
            </w:r>
            <w:r w:rsidRPr="00621F31">
              <w:rPr>
                <w:b/>
                <w:i/>
              </w:rPr>
              <w:t>.</w:t>
            </w:r>
          </w:p>
        </w:tc>
        <w:tc>
          <w:tcPr>
            <w:tcW w:w="4876" w:type="dxa"/>
          </w:tcPr>
          <w:p w:rsidR="002F3FB4" w:rsidRDefault="002F3FB4" w:rsidP="00F37676">
            <w:pPr>
              <w:pStyle w:val="Normal6"/>
            </w:pPr>
            <w:r>
              <w:t>(16)</w:t>
            </w:r>
            <w:r>
              <w:tab/>
              <w:t xml:space="preserve">Pereliikme määratlust tuleks laiendada, et võtta arvesse </w:t>
            </w:r>
            <w:r>
              <w:rPr>
                <w:b/>
                <w:i/>
              </w:rPr>
              <w:t>nõukogu direktiivis 2003/86/EÜ</w:t>
            </w:r>
            <w:r>
              <w:rPr>
                <w:rStyle w:val="SupBoldItalic"/>
              </w:rPr>
              <w:t>1</w:t>
            </w:r>
            <w:r w:rsidR="00E303B9">
              <w:rPr>
                <w:rStyle w:val="SupBoldItalic"/>
              </w:rPr>
              <w:t xml:space="preserve"> </w:t>
            </w:r>
            <w:r>
              <w:rPr>
                <w:rStyle w:val="SupBoldItalic"/>
              </w:rPr>
              <w:t>a</w:t>
            </w:r>
            <w:r>
              <w:rPr>
                <w:b/>
                <w:i/>
              </w:rPr>
              <w:t xml:space="preserve"> sätestatud põhimõtteid, </w:t>
            </w:r>
            <w:r w:rsidR="00E303B9">
              <w:rPr>
                <w:b/>
                <w:i/>
              </w:rPr>
              <w:t xml:space="preserve">milles </w:t>
            </w:r>
            <w:r>
              <w:rPr>
                <w:b/>
                <w:i/>
              </w:rPr>
              <w:t>rõhutatakse perekondade</w:t>
            </w:r>
            <w:r>
              <w:rPr>
                <w:b/>
              </w:rPr>
              <w:t xml:space="preserve"> </w:t>
            </w:r>
            <w:r>
              <w:rPr>
                <w:b/>
                <w:i/>
              </w:rPr>
              <w:t>keskset üksust</w:t>
            </w:r>
            <w:r w:rsidRPr="006F55E6">
              <w:rPr>
                <w:b/>
                <w:i/>
              </w:rPr>
              <w:t xml:space="preserve">, </w:t>
            </w:r>
            <w:r>
              <w:t xml:space="preserve">konkreetseid erinevaid ülalpidamisolukordi ja </w:t>
            </w:r>
            <w:r>
              <w:rPr>
                <w:b/>
                <w:i/>
              </w:rPr>
              <w:t>et</w:t>
            </w:r>
            <w:r>
              <w:rPr>
                <w:b/>
              </w:rPr>
              <w:t xml:space="preserve"> </w:t>
            </w:r>
            <w:r>
              <w:t>lapse parimatele huvidele</w:t>
            </w:r>
            <w:r>
              <w:rPr>
                <w:b/>
                <w:i/>
              </w:rPr>
              <w:t xml:space="preserve"> tuleb pöörata erilist tähelepanu</w:t>
            </w:r>
            <w:r w:rsidRPr="006F55E6">
              <w:t>.</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rStyle w:val="SupBoldItalic"/>
              </w:rPr>
              <w:t>1</w:t>
            </w:r>
            <w:r w:rsidR="00922C8B">
              <w:rPr>
                <w:rStyle w:val="SupBoldItalic"/>
              </w:rPr>
              <w:t xml:space="preserve"> </w:t>
            </w:r>
            <w:r>
              <w:rPr>
                <w:rStyle w:val="SupBoldItalic"/>
              </w:rPr>
              <w:t>a</w:t>
            </w:r>
            <w:r>
              <w:t xml:space="preserve"> </w:t>
            </w:r>
            <w:r>
              <w:rPr>
                <w:b/>
                <w:i/>
              </w:rPr>
              <w:t>Nõukogu 22. septembri 2003. aasta direktiiv 2003/86/EÜ perekonna taasühinemise õiguse kohta (ELT L 251, 3.10.2003, lk 12</w:t>
            </w:r>
            <w:r w:rsidR="00E303B9">
              <w:rPr>
                <w:b/>
                <w:i/>
              </w:rPr>
              <w:t>–</w:t>
            </w:r>
            <w:r>
              <w:rPr>
                <w:b/>
                <w:i/>
              </w:rPr>
              <w:t>18).</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168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16</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(16)</w:t>
            </w:r>
            <w:r w:rsidRPr="00781174">
              <w:tab/>
              <w:t>Pereliikme määratlust tuleks 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w:t>
            </w:r>
            <w:r w:rsidRPr="00781174">
              <w:rPr>
                <w:b/>
                <w:i/>
              </w:rPr>
              <w:t>, kuid enne</w:t>
            </w:r>
            <w:r w:rsidRPr="00781174">
              <w:t xml:space="preserve"> liikmesriigi territooriumile saabumist moodustunud perekonnad.</w:t>
            </w:r>
          </w:p>
        </w:tc>
        <w:tc>
          <w:tcPr>
            <w:tcW w:w="4876" w:type="dxa"/>
          </w:tcPr>
          <w:p w:rsidR="002F3FB4" w:rsidRPr="00781174" w:rsidRDefault="002F3FB4" w:rsidP="00F37676">
            <w:pPr>
              <w:pStyle w:val="Normal6"/>
            </w:pPr>
            <w:r w:rsidRPr="00781174">
              <w:t>(16)</w:t>
            </w:r>
            <w:r w:rsidRPr="00781174">
              <w:tab/>
              <w:t xml:space="preserve">Pereliikme määratlust tuleks laiendada, et võtta arvesse </w:t>
            </w:r>
            <w:r w:rsidRPr="00781174">
              <w:rPr>
                <w:b/>
                <w:i/>
              </w:rPr>
              <w:t>olemasolevate perekondade eri liike,</w:t>
            </w:r>
            <w:r w:rsidRPr="00781174">
              <w:t xml:space="preserv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w:t>
            </w:r>
            <w:r w:rsidRPr="00781174">
              <w:rPr>
                <w:b/>
                <w:i/>
              </w:rPr>
              <w:t xml:space="preserve">nii </w:t>
            </w:r>
            <w:r w:rsidRPr="00781174">
              <w:t xml:space="preserve">väljaspool päritoluriiki </w:t>
            </w:r>
            <w:r w:rsidRPr="00781174">
              <w:rPr>
                <w:b/>
                <w:i/>
              </w:rPr>
              <w:t>kui ka pärast</w:t>
            </w:r>
            <w:r w:rsidRPr="00781174">
              <w:t xml:space="preserve"> liikmesriigi territooriumile saabumist moodustunud perekonnad. </w:t>
            </w:r>
            <w:r w:rsidRPr="00781174">
              <w:rPr>
                <w:b/>
                <w:i/>
              </w:rPr>
              <w:t>Määratlusest tuleks aga igal juhul välja jätta sundabielud.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169</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(16)</w:t>
            </w:r>
            <w:r>
              <w:tab/>
              <w:t xml:space="preserve">Pereliikme määratlust tuleks 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 </w:t>
            </w:r>
            <w:r>
              <w:rPr>
                <w:b/>
                <w:i/>
              </w:rPr>
              <w:t>kuid</w:t>
            </w:r>
            <w:r>
              <w:t xml:space="preserve"> enne liikmesriigi territooriumile saabumist moodustunud perekonnad.</w:t>
            </w:r>
          </w:p>
        </w:tc>
        <w:tc>
          <w:tcPr>
            <w:tcW w:w="4876" w:type="dxa"/>
          </w:tcPr>
          <w:p w:rsidR="002F3FB4" w:rsidRDefault="002F3FB4" w:rsidP="00F37676">
            <w:pPr>
              <w:pStyle w:val="Normal6"/>
            </w:pPr>
            <w:r>
              <w:t>(16)</w:t>
            </w:r>
            <w:r>
              <w:tab/>
              <w:t xml:space="preserve">Pereliikme määratlust tuleks 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 </w:t>
            </w:r>
            <w:r>
              <w:rPr>
                <w:b/>
                <w:i/>
              </w:rPr>
              <w:t>kas</w:t>
            </w:r>
            <w:r>
              <w:t xml:space="preserve"> enne </w:t>
            </w:r>
            <w:r>
              <w:rPr>
                <w:b/>
                <w:i/>
              </w:rPr>
              <w:t>või pärast</w:t>
            </w:r>
            <w:r>
              <w:t xml:space="preserve"> liikmesriigi territooriumile saabumist moodustunud perekonnad.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(17)</w:t>
            </w:r>
            <w:r>
              <w:tab/>
              <w:t xml:space="preserve">Käesolev </w:t>
            </w:r>
            <w:r>
              <w:rPr>
                <w:b/>
                <w:i/>
              </w:rPr>
              <w:t>määrus</w:t>
            </w:r>
            <w:r>
              <w:t xml:space="preserve"> ei piira protokolli Euroopa Liidu liikmesriikide kodanikele varjupaiga andmise kohta, mis on lisatud Euroopa Liidu lepingule (edaspidi „ELi leping“) ja Euroopa Liidu toimimise lepingule.</w:t>
            </w:r>
          </w:p>
        </w:tc>
        <w:tc>
          <w:tcPr>
            <w:tcW w:w="4876" w:type="dxa"/>
          </w:tcPr>
          <w:p w:rsidR="002F3FB4" w:rsidRDefault="002F3FB4" w:rsidP="00F37676">
            <w:pPr>
              <w:pStyle w:val="Normal6"/>
            </w:pPr>
            <w:r>
              <w:t>(17)</w:t>
            </w:r>
            <w:r>
              <w:tab/>
              <w:t xml:space="preserve">Käesolev </w:t>
            </w:r>
            <w:r>
              <w:rPr>
                <w:b/>
                <w:i/>
              </w:rPr>
              <w:t>direktiiv</w:t>
            </w:r>
            <w:r>
              <w:t xml:space="preserve"> ei piira protokolli Euroopa Liidu liikmesriikide kodanikele varjupaiga andmise kohta, mis on lisatud Euroopa Liidu lepingule (edaspidi „ELi leping</w:t>
            </w:r>
            <w:r w:rsidR="00E303B9">
              <w:t>“</w:t>
            </w:r>
            <w:r>
              <w:t>) ja Euroopa Liidu toimimise lepingule.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19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(19)</w:t>
            </w:r>
            <w:r>
              <w:tab/>
            </w:r>
            <w:r>
              <w:rPr>
                <w:b/>
                <w:i/>
                <w:color w:val="000000"/>
              </w:rPr>
              <w:t>ÜRO pagulaste ülemvolinikuga konsulteerimine võib liikmesriikide ametiasutustele anda väärtuslikke suuniseid pagulasseisundi määratlemiseks Genfi konventsiooni artikli 1 kohaselt.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172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20</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(20)</w:t>
            </w:r>
            <w:r w:rsidRPr="00781174">
              <w:tab/>
            </w:r>
            <w:r w:rsidRPr="00781174">
              <w:rPr>
                <w:b/>
                <w:i/>
              </w:rPr>
              <w:t>Tuleks sätestada</w:t>
            </w:r>
            <w:r w:rsidRPr="00781174">
              <w:t xml:space="preserve"> pagulasseisundi määratlemise </w:t>
            </w:r>
            <w:r w:rsidRPr="00781174">
              <w:rPr>
                <w:b/>
                <w:i/>
              </w:rPr>
              <w:t>ja sisu nõuded, millest liikmesriikide pädevad siseriiklikud asutused juhinduksid Genfi konventsiooni kohaldamisel</w:t>
            </w:r>
            <w:r w:rsidRPr="00781174">
              <w:t>.</w:t>
            </w:r>
          </w:p>
        </w:tc>
        <w:tc>
          <w:tcPr>
            <w:tcW w:w="4876" w:type="dxa"/>
          </w:tcPr>
          <w:p w:rsidR="002F3FB4" w:rsidRPr="00781174" w:rsidRDefault="002F3FB4" w:rsidP="00F37676">
            <w:pPr>
              <w:pStyle w:val="Normal6"/>
            </w:pPr>
            <w:r w:rsidRPr="00781174">
              <w:t>(20)</w:t>
            </w:r>
            <w:r w:rsidRPr="00781174">
              <w:tab/>
            </w:r>
            <w:r w:rsidRPr="00781174">
              <w:rPr>
                <w:b/>
                <w:i/>
              </w:rPr>
              <w:t>EL ja paljud liikmesriigid ei täida siiani tegelikkuses</w:t>
            </w:r>
            <w:r w:rsidRPr="00781174">
              <w:t xml:space="preserve"> pagulasseisundi määratlemise </w:t>
            </w:r>
            <w:r w:rsidR="00E303B9">
              <w:rPr>
                <w:b/>
                <w:i/>
              </w:rPr>
              <w:t>nõudeid</w:t>
            </w:r>
            <w:r w:rsidRPr="00781174">
              <w:rPr>
                <w:b/>
                <w:i/>
              </w:rPr>
              <w:t>, kuna Euroopas, nagu ilmnes empiiriliselt Itaalia juhtumist, ei ole enamik vastuvõetud inimesi pagulased, vaid majanduslikel põhjustel rändajad, kes hiljem jäävad Euroopa territooriumile elama, suurendades siinset sotsiaalset pinget</w:t>
            </w:r>
            <w:r w:rsidRPr="00781174">
              <w:t>.</w:t>
            </w:r>
          </w:p>
          <w:p w:rsidR="002F3FB4" w:rsidRPr="00781174" w:rsidRDefault="002F3FB4" w:rsidP="00F37676">
            <w:pPr>
              <w:pStyle w:val="Normal6"/>
            </w:pP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173</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rPr>
                <w:b/>
                <w:i/>
                <w:color w:val="000000"/>
              </w:rPr>
              <w:t>(21)</w:t>
            </w:r>
            <w:r w:rsidRPr="00781174">
              <w:tab/>
            </w:r>
            <w:r w:rsidRPr="00781174">
              <w:rPr>
                <w:b/>
                <w:i/>
              </w:rPr>
              <w:t>On vaja kehtestada ühised kriteeriumid varjupaigataotlejate tunnustamiseks pagulastena Genfi konventsiooni artikli 1 tähenduses.</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pPr>
        <w:pStyle w:val="JustificationTitle"/>
        <w:rPr>
          <w:noProof w:val="0"/>
        </w:rPr>
      </w:pPr>
      <w:r w:rsidRPr="00781174">
        <w:rPr>
          <w:rStyle w:val="HideTWBExt"/>
          <w:i w:val="0"/>
          <w:noProof w:val="0"/>
        </w:rPr>
        <w:t>&lt;TitreJust&gt;</w:t>
      </w:r>
      <w:r w:rsidRPr="00781174">
        <w:rPr>
          <w:noProof w:val="0"/>
        </w:rPr>
        <w:t>Selgitus</w:t>
      </w:r>
      <w:r w:rsidRPr="00781174">
        <w:rPr>
          <w:rStyle w:val="HideTWBExt"/>
          <w:i w:val="0"/>
          <w:noProof w:val="0"/>
        </w:rPr>
        <w:t>&lt;/TitreJust&gt;</w:t>
      </w:r>
    </w:p>
    <w:p w:rsidR="002F3FB4" w:rsidRPr="00781174" w:rsidRDefault="002F3FB4" w:rsidP="002F3FB4">
      <w:pPr>
        <w:pStyle w:val="Normal12Italic"/>
        <w:rPr>
          <w:noProof w:val="0"/>
        </w:rPr>
      </w:pPr>
      <w:r w:rsidRPr="00781174">
        <w:rPr>
          <w:noProof w:val="0"/>
        </w:rPr>
        <w:t>Varjupaika taotlev isik ei ole pagulane. Pagulane on isik, kellele antakse positiivse</w:t>
      </w:r>
      <w:r w:rsidR="00E303B9">
        <w:rPr>
          <w:noProof w:val="0"/>
        </w:rPr>
        <w:t xml:space="preserve"> otsusega</w:t>
      </w:r>
      <w:r w:rsidRPr="00781174">
        <w:rPr>
          <w:noProof w:val="0"/>
        </w:rPr>
        <w:t xml:space="preserve"> pagulasseisund pärast varjupaigataotluse läbivaatamist.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174</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(21)</w:t>
            </w:r>
            <w:r>
              <w:tab/>
              <w:t xml:space="preserve">On vaja kehtestada </w:t>
            </w:r>
            <w:r>
              <w:rPr>
                <w:b/>
                <w:i/>
              </w:rPr>
              <w:t>ühised kriteeriumid</w:t>
            </w:r>
            <w:r>
              <w:t xml:space="preserve"> varjupaigataotlejate tunnustamiseks pagulastena Genfi konventsiooni artikli 1 tähenduses.</w:t>
            </w:r>
          </w:p>
        </w:tc>
        <w:tc>
          <w:tcPr>
            <w:tcW w:w="4876" w:type="dxa"/>
          </w:tcPr>
          <w:p w:rsidR="002F3FB4" w:rsidRDefault="002F3FB4" w:rsidP="00F37676">
            <w:pPr>
              <w:pStyle w:val="Normal6"/>
            </w:pPr>
            <w:r>
              <w:t>(21)</w:t>
            </w:r>
            <w:r>
              <w:tab/>
              <w:t xml:space="preserve">On vaja kehtestada </w:t>
            </w:r>
            <w:r>
              <w:rPr>
                <w:b/>
                <w:i/>
              </w:rPr>
              <w:t>põhikriteeriumid</w:t>
            </w:r>
            <w:r>
              <w:t xml:space="preserve"> varjupaigataotlejate tunnustamiseks pagulastena Genfi konventsiooni artikli 1 tähenduses.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(21 a)</w:t>
            </w:r>
            <w:r>
              <w:tab/>
            </w:r>
            <w:r>
              <w:rPr>
                <w:b/>
                <w:i/>
                <w:color w:val="000000"/>
              </w:rPr>
              <w:t xml:space="preserve">Kuigi tõendamiskoormus </w:t>
            </w:r>
            <w:r w:rsidR="00E303B9">
              <w:rPr>
                <w:b/>
                <w:i/>
                <w:color w:val="000000"/>
              </w:rPr>
              <w:t xml:space="preserve">oma taotluse tõestamise eest </w:t>
            </w:r>
            <w:r>
              <w:rPr>
                <w:b/>
                <w:i/>
                <w:color w:val="000000"/>
              </w:rPr>
              <w:t>lasub põhimõtteliselt taotlejal, jagavad taotleja ja menetlev ametiasutus kohustust veenduda kõigis asjakohastes faktides ja neid hinnata. Kui taotleja väidete teatavate asjaolude toetuseks ei ole esitatud dokumentaalseid ega muid tõendeid, tuleks otsus teha siiski taotleja kasuks, kui ta on teinud märkimisväärseid jõupingutusi oma taotluse põhjendamiseks ning on esitanud kõik talle kättesaadavad asjakohased elemendid ning kui leitakse, et tema väited on loogilised ja usutavad.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Vt selgitus</w:t>
      </w:r>
      <w:r w:rsidR="00AA0DF6">
        <w:rPr>
          <w:noProof w:val="0"/>
        </w:rPr>
        <w:t xml:space="preserve"> </w:t>
      </w:r>
      <w:r>
        <w:rPr>
          <w:noProof w:val="0"/>
        </w:rPr>
        <w:t>artikli 4 lõike 5 kohta.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176</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(22)</w:t>
            </w:r>
            <w:r>
              <w:tab/>
              <w:t>Eelkõige on vaja kehtestada ühised määratlused järgmistele mõistetele: sur place ilmnev kaitsevajadus, kahju ja kaitse allikad</w:t>
            </w:r>
            <w:r>
              <w:rPr>
                <w:b/>
                <w:i/>
              </w:rPr>
              <w:t>, riigisisene kaitse</w:t>
            </w:r>
            <w:r>
              <w:t xml:space="preserve"> ning tagakiusamine, sh tagakiusamise põhjused.</w:t>
            </w:r>
          </w:p>
        </w:tc>
        <w:tc>
          <w:tcPr>
            <w:tcW w:w="4876" w:type="dxa"/>
          </w:tcPr>
          <w:p w:rsidR="002F3FB4" w:rsidRDefault="002F3FB4" w:rsidP="00F37676">
            <w:pPr>
              <w:pStyle w:val="Normal6"/>
            </w:pPr>
            <w:r>
              <w:t>(22)</w:t>
            </w:r>
            <w:r>
              <w:tab/>
              <w:t>Eelkõige on vaja kehtestada ühised määratlused järgmistele mõistetele: sur place ilmnev kaitsevajadus, kahju ja kaitse allikad ning tagakiusamine, sh tagakiusamise põhjused.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(22)</w:t>
            </w:r>
            <w:r>
              <w:tab/>
              <w:t>Eelkõige on vaja kehtestada ühised määratlused järgmistele mõistetele: sur place ilmnev kaitsevajadus, kahju ja kaitse allikad</w:t>
            </w:r>
            <w:r>
              <w:rPr>
                <w:b/>
                <w:i/>
              </w:rPr>
              <w:t>, riigisisene kaitse</w:t>
            </w:r>
            <w:r>
              <w:t xml:space="preserve"> ning tagakiusamine, sh tagakiusamise põhjused.</w:t>
            </w:r>
          </w:p>
        </w:tc>
        <w:tc>
          <w:tcPr>
            <w:tcW w:w="4876" w:type="dxa"/>
          </w:tcPr>
          <w:p w:rsidR="002F3FB4" w:rsidRDefault="002F3FB4" w:rsidP="00F37676">
            <w:pPr>
              <w:pStyle w:val="Normal6"/>
            </w:pPr>
            <w:r>
              <w:t>(22)</w:t>
            </w:r>
            <w:r>
              <w:tab/>
              <w:t>Eelkõige on vaja kehtestada ühised määratlused järgmistele mõistetele: sur place ilmnev kaitsevajadus, kahju ja kaitse allikad ning tagakiusamine, sealhulgas tagakiusamise põhjused.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rahvusvahelise kaitse kontseptsioon ei ole piisavalt hästi välja töötatud, piisavalt selge ega kindel, et kohaldada seda täiesti ühtsel viisil.</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178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(23)</w:t>
            </w:r>
            <w:r w:rsidRPr="00781174">
              <w:tab/>
              <w:t>Kaitset</w:t>
            </w:r>
            <w:r w:rsidRPr="00781174">
              <w:rPr>
                <w:b/>
                <w:i/>
              </w:rPr>
              <w:t>, kui seda tahetakse ja suudetakse anda,</w:t>
            </w:r>
            <w:r w:rsidRPr="00781174">
              <w:t xml:space="preserve"> võib pakkuda </w:t>
            </w:r>
            <w:r w:rsidRPr="00781174">
              <w:rPr>
                <w:b/>
                <w:i/>
              </w:rPr>
              <w:t>kas</w:t>
            </w:r>
            <w:r w:rsidRPr="00781174">
              <w:t xml:space="preserve"> riik </w:t>
            </w:r>
            <w:r w:rsidRPr="00781174">
              <w:rPr>
                <w:b/>
                <w:i/>
              </w:rPr>
              <w:t>või käesolevas määruses sätestatud tingimustele vastavad isikud või organisatsioonid, sh rahvusvahelised organisatsioonid</w:t>
            </w:r>
            <w:r w:rsidRPr="006F55E6">
              <w:rPr>
                <w:b/>
                <w:i/>
              </w:rPr>
              <w:t>,</w:t>
            </w:r>
            <w:r w:rsidRPr="00781174">
              <w:rPr>
                <w:b/>
                <w:i/>
              </w:rPr>
              <w:t xml:space="preserve"> kelle kontrolli all </w:t>
            </w:r>
            <w:r w:rsidRPr="006F55E6">
              <w:rPr>
                <w:b/>
                <w:i/>
              </w:rPr>
              <w:t>on</w:t>
            </w:r>
            <w:r w:rsidRPr="00781174">
              <w:t xml:space="preserve"> </w:t>
            </w:r>
            <w:r w:rsidRPr="00781174">
              <w:rPr>
                <w:b/>
                <w:i/>
              </w:rPr>
              <w:t>mõni piirkond või suurem ala riigi territooriumi piires</w:t>
            </w:r>
            <w:r w:rsidRPr="00781174">
              <w:t>. Selline kaitse peaks olema tõhus ja püsiv.</w:t>
            </w:r>
          </w:p>
        </w:tc>
        <w:tc>
          <w:tcPr>
            <w:tcW w:w="4876" w:type="dxa"/>
          </w:tcPr>
          <w:p w:rsidR="002F3FB4" w:rsidRPr="00781174" w:rsidRDefault="002F3FB4" w:rsidP="00F37676">
            <w:pPr>
              <w:pStyle w:val="Normal6"/>
            </w:pPr>
            <w:r w:rsidRPr="00781174">
              <w:t>(23)</w:t>
            </w:r>
            <w:r w:rsidRPr="00781174">
              <w:tab/>
              <w:t>Kaitset võib pakkuda riik</w:t>
            </w:r>
            <w:r w:rsidRPr="006F55E6">
              <w:rPr>
                <w:b/>
                <w:i/>
              </w:rPr>
              <w:t xml:space="preserve">, </w:t>
            </w:r>
            <w:r w:rsidRPr="00781174">
              <w:rPr>
                <w:b/>
                <w:i/>
              </w:rPr>
              <w:t>kellel</w:t>
            </w:r>
            <w:r w:rsidRPr="00781174">
              <w:t xml:space="preserve"> </w:t>
            </w:r>
            <w:r w:rsidRPr="006F55E6">
              <w:rPr>
                <w:b/>
                <w:i/>
              </w:rPr>
              <w:t>on</w:t>
            </w:r>
            <w:r w:rsidRPr="00781174">
              <w:t xml:space="preserve"> </w:t>
            </w:r>
            <w:r w:rsidRPr="00781174">
              <w:rPr>
                <w:b/>
                <w:i/>
              </w:rPr>
              <w:t>tahe ja võime kaitset tagada</w:t>
            </w:r>
            <w:r w:rsidRPr="00781174">
              <w:t>. Selline kaitse peaks olema tõhus ja püsiv.</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179</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(23)</w:t>
            </w:r>
            <w:r>
              <w:tab/>
              <w:t>Kaitset</w:t>
            </w:r>
            <w:r w:rsidRPr="006F55E6">
              <w:rPr>
                <w:b/>
                <w:i/>
              </w:rPr>
              <w:t xml:space="preserve">, </w:t>
            </w:r>
            <w:r>
              <w:rPr>
                <w:b/>
                <w:i/>
              </w:rPr>
              <w:t>kui seda tahetakse ja suudetakse anda, võib pakkuda kas</w:t>
            </w:r>
            <w:r>
              <w:t xml:space="preserve"> riik</w:t>
            </w:r>
            <w:r>
              <w:rPr>
                <w:b/>
                <w:i/>
              </w:rPr>
              <w:t xml:space="preserve"> või käesolevas määruses sätestatud tingimustele vastavad isikud või organisatsioonid, sh rahvusvahelised organisatsioonid, kelle kontrolli all on mõni piirkond või suurem ala riigi territooriumi piires</w:t>
            </w:r>
            <w:r w:rsidRPr="006F55E6">
              <w:t>.</w:t>
            </w:r>
            <w:r>
              <w:t xml:space="preserve"> Selline kaitse peaks olema tõhus ja püsiv.</w:t>
            </w:r>
          </w:p>
        </w:tc>
        <w:tc>
          <w:tcPr>
            <w:tcW w:w="4876" w:type="dxa"/>
          </w:tcPr>
          <w:p w:rsidR="002F3FB4" w:rsidRDefault="002F3FB4" w:rsidP="00F37676">
            <w:pPr>
              <w:pStyle w:val="Normal6"/>
            </w:pPr>
            <w:r>
              <w:t>(23)</w:t>
            </w:r>
            <w:r>
              <w:tab/>
              <w:t xml:space="preserve">Kaitset </w:t>
            </w:r>
            <w:r>
              <w:rPr>
                <w:b/>
                <w:i/>
              </w:rPr>
              <w:t>saab pakkuda ainult</w:t>
            </w:r>
            <w:r>
              <w:t xml:space="preserve"> riik</w:t>
            </w:r>
            <w:r w:rsidRPr="006F55E6">
              <w:rPr>
                <w:b/>
                <w:i/>
              </w:rPr>
              <w:t>,</w:t>
            </w:r>
            <w:r>
              <w:rPr>
                <w:b/>
                <w:i/>
              </w:rPr>
              <w:t xml:space="preserve"> kui riigiasutused tahavad ja suudavad seda anda</w:t>
            </w:r>
            <w:r>
              <w:t>. Selline kaitse peaks olema tõhus ja püsiv.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(23)</w:t>
            </w:r>
            <w:r>
              <w:tab/>
              <w:t>Kaitset, kui seda tahetakse ja suudetakse anda,</w:t>
            </w:r>
            <w:r>
              <w:rPr>
                <w:b/>
                <w:i/>
              </w:rPr>
              <w:t xml:space="preserve"> võib</w:t>
            </w:r>
            <w:r>
              <w:t xml:space="preserve"> pakkuda</w:t>
            </w:r>
            <w:r>
              <w:rPr>
                <w:b/>
                <w:i/>
              </w:rPr>
              <w:t xml:space="preserve"> kas riik või</w:t>
            </w:r>
            <w:r>
              <w:t xml:space="preserve"> käesolevas määruses sätestatud tingimustele vastavad </w:t>
            </w:r>
            <w:r>
              <w:rPr>
                <w:b/>
                <w:i/>
              </w:rPr>
              <w:t>isikud või organisatsioonid, sh rahvusvahelised organisatsioonid, kelle kontrolli all on mõni piirkond või suurem ala riigi territooriumi piires</w:t>
            </w:r>
            <w:r>
              <w:t>. Selline kaitse peaks olema tõhus ja püsiv.</w:t>
            </w:r>
          </w:p>
        </w:tc>
        <w:tc>
          <w:tcPr>
            <w:tcW w:w="4876" w:type="dxa"/>
          </w:tcPr>
          <w:p w:rsidR="002F3FB4" w:rsidRDefault="002F3FB4" w:rsidP="00F37676">
            <w:pPr>
              <w:pStyle w:val="Normal6"/>
            </w:pPr>
            <w:r>
              <w:t>(23)</w:t>
            </w:r>
            <w:r>
              <w:tab/>
              <w:t xml:space="preserve">Kaitset, kui seda tahetakse ja suudetakse anda, </w:t>
            </w:r>
            <w:r>
              <w:rPr>
                <w:b/>
                <w:i/>
              </w:rPr>
              <w:t>võivad</w:t>
            </w:r>
            <w:r>
              <w:rPr>
                <w:i/>
              </w:rPr>
              <w:t xml:space="preserve"> </w:t>
            </w:r>
            <w:r>
              <w:t xml:space="preserve">pakkuda </w:t>
            </w:r>
            <w:r>
              <w:rPr>
                <w:b/>
                <w:i/>
              </w:rPr>
              <w:t>ainult</w:t>
            </w:r>
            <w:r>
              <w:rPr>
                <w:b/>
              </w:rPr>
              <w:t xml:space="preserve"> </w:t>
            </w:r>
            <w:r>
              <w:t xml:space="preserve">käesolevas määruses sätestatud tingimustele vastavad </w:t>
            </w:r>
            <w:r>
              <w:rPr>
                <w:b/>
                <w:i/>
              </w:rPr>
              <w:t>riigid</w:t>
            </w:r>
            <w:r w:rsidRPr="006F55E6">
              <w:t>.</w:t>
            </w:r>
            <w:r>
              <w:t xml:space="preserve"> Selline kaitse peaks olema tõhus ja püsiv.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According to the 1951 refugee convention, as amended in 1967, the only protection actor is the State [Art. 1A(2)]:</w:t>
      </w:r>
    </w:p>
    <w:p w:rsidR="002F3FB4" w:rsidRDefault="002F3FB4" w:rsidP="002F3FB4">
      <w:pPr>
        <w:pStyle w:val="Normal12Italic"/>
        <w:rPr>
          <w:noProof w:val="0"/>
        </w:rPr>
      </w:pPr>
      <w:r>
        <w:rPr>
          <w:noProof w:val="0"/>
        </w:rPr>
        <w:t>“For the purposes of the present Convention, the term “refugee” shall apply to any person who:</w:t>
      </w:r>
    </w:p>
    <w:p w:rsidR="002F3FB4" w:rsidRDefault="002F3FB4" w:rsidP="002F3FB4">
      <w:pPr>
        <w:pStyle w:val="Normal12Italic"/>
        <w:rPr>
          <w:noProof w:val="0"/>
        </w:rPr>
      </w:pPr>
      <w:r>
        <w:rPr>
          <w:noProof w:val="0"/>
        </w:rPr>
        <w:t>…</w:t>
      </w:r>
    </w:p>
    <w:p w:rsidR="002F3FB4" w:rsidRDefault="002F3FB4" w:rsidP="002F3FB4">
      <w:pPr>
        <w:pStyle w:val="Normal12Italic"/>
        <w:rPr>
          <w:noProof w:val="0"/>
        </w:rPr>
      </w:pPr>
      <w:r>
        <w:rPr>
          <w:noProof w:val="0"/>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(23)</w:t>
            </w:r>
            <w:r>
              <w:tab/>
              <w:t xml:space="preserve">Kaitset, kui seda tahetakse ja suudetakse anda, võib pakkuda kas riik või käesolevas määruses sätestatud tingimustele vastavad isikud või organisatsioonid, sh rahvusvahelised organisatsioonid, kelle kontrolli all on mõni piirkond või suurem ala riigi territooriumi piires. Selline kaitse peaks olema tõhus </w:t>
            </w:r>
            <w:r>
              <w:rPr>
                <w:b/>
                <w:i/>
              </w:rPr>
              <w:t>ja püsiv</w:t>
            </w:r>
            <w:r>
              <w:t>.</w:t>
            </w:r>
          </w:p>
        </w:tc>
        <w:tc>
          <w:tcPr>
            <w:tcW w:w="4876" w:type="dxa"/>
          </w:tcPr>
          <w:p w:rsidR="002F3FB4" w:rsidRDefault="002F3FB4" w:rsidP="00F37676">
            <w:pPr>
              <w:pStyle w:val="Normal6"/>
            </w:pPr>
            <w:r>
              <w:t>(23)</w:t>
            </w:r>
            <w:r>
              <w:tab/>
              <w:t>Kaitset, kui seda tahetakse ja suudetakse anda, võib pakkuda kas riik või käesolevas määruses sätestatud tingimustele vastavad isikud või organisatsioonid, sh rahvusvahelised organisatsioonid, kelle kontrolli all on mõni piirkond või suurem ala riigi territooriumi piires. Selline kaitse peaks olema tõhus.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182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(23)</w:t>
            </w:r>
            <w:r w:rsidRPr="00781174">
              <w:tab/>
              <w:t xml:space="preserve">Kaitset, kui seda tahetakse ja suudetakse anda, võib pakkuda kas riik või käesolevas määruses sätestatud tingimustele vastavad </w:t>
            </w:r>
            <w:r w:rsidRPr="00781174">
              <w:rPr>
                <w:b/>
                <w:i/>
              </w:rPr>
              <w:t>isikud või</w:t>
            </w:r>
            <w:r w:rsidRPr="00781174">
              <w:t xml:space="preserve"> organisatsioonid, sh rahvusvahelised organisatsioonid, kelle kontrolli all on mõni piirkond või suurem ala riigi territooriumi piires. Selline kaitse peaks olema tõhus ja püsiv.</w:t>
            </w:r>
          </w:p>
        </w:tc>
        <w:tc>
          <w:tcPr>
            <w:tcW w:w="4876" w:type="dxa"/>
          </w:tcPr>
          <w:p w:rsidR="002F3FB4" w:rsidRPr="00781174" w:rsidRDefault="002F3FB4" w:rsidP="00F37676">
            <w:pPr>
              <w:pStyle w:val="Normal6"/>
            </w:pPr>
            <w:r w:rsidRPr="00781174">
              <w:t>(23)</w:t>
            </w:r>
            <w:r w:rsidRPr="00781174">
              <w:tab/>
              <w:t>Kaitset, kui seda tahetakse ja suudetakse anda, võib pakkuda kas riik või käesolevas määruses sätestatud tingimustele vastavad organisatsioonid, sh rahvusvahelised organisatsioonid, kelle kontrolli all on mõni piirkond või suurem ala riigi territooriumi piires. Selline kaitse peaks olema tõhus ja püsiv.</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183</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24</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rPr>
                <w:b/>
                <w:i/>
                <w:color w:val="000000"/>
              </w:rPr>
              <w:t>(24)</w:t>
            </w:r>
            <w:r w:rsidRPr="00781174">
              <w:tab/>
            </w:r>
            <w:r w:rsidRPr="00781174">
              <w:rPr>
                <w:b/>
                <w:i/>
              </w:rPr>
              <w:t>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pärast seda, kui menetlev ametiasutus on teinud kindlaks, et ülejäänud kvalifitseerumiskriteeriumid on täidetud. Riigisisese kaitse kättesaadavuse tõendamise koormus peaks lasuma menetleval ametiasutusel.</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(24)</w:t>
            </w:r>
            <w:r>
              <w:tab/>
            </w:r>
            <w:r>
              <w:rPr>
                <w:b/>
                <w:i/>
                <w:color w:val="000000"/>
              </w:rPr>
              <w:t>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pärast seda, kui menetlev ametiasutus on teinud kindlaks, et ülejäänud kvalifitseerumiskriteeriumid on täidetud. Riigisisese kaitse kättesaadavuse tõendamise koormus peaks lasuma menetleval ametiasutusel.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(24)</w:t>
            </w:r>
            <w:r>
              <w:tab/>
            </w:r>
            <w:r>
              <w:rPr>
                <w:b/>
                <w:i/>
                <w:color w:val="000000"/>
              </w:rPr>
              <w:t>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pärast seda, kui menetlev ametiasutus on teinud kindlaks, et ülejäänud kvalifitseerumiskriteeriumid on täidetud. Riigisisese kaitse kättesaadavuse tõendamise koormus peaks lasuma menetleval ametiasutusel.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Riigisisese kaitse mõiste ei tulene 1951. aasta pagulas</w:t>
      </w:r>
      <w:r w:rsidR="00AA0DF6">
        <w:rPr>
          <w:noProof w:val="0"/>
        </w:rPr>
        <w:t>seisundi</w:t>
      </w:r>
      <w:r>
        <w:rPr>
          <w:noProof w:val="0"/>
        </w:rPr>
        <w:t xml:space="preserve"> konventsioonist ning lisab pagulas</w:t>
      </w:r>
      <w:r w:rsidR="00AA0DF6">
        <w:rPr>
          <w:noProof w:val="0"/>
        </w:rPr>
        <w:t>seisundi</w:t>
      </w:r>
      <w:r>
        <w:rPr>
          <w:noProof w:val="0"/>
        </w:rPr>
        <w:t xml:space="preserve"> konventsiooni artikli 1</w:t>
      </w:r>
      <w:r w:rsidR="00AA0DF6">
        <w:rPr>
          <w:noProof w:val="0"/>
        </w:rPr>
        <w:t xml:space="preserve"> jaotises </w:t>
      </w:r>
      <w:r>
        <w:rPr>
          <w:noProof w:val="0"/>
        </w:rPr>
        <w:t xml:space="preserve">A sätestatud </w:t>
      </w:r>
      <w:r w:rsidR="00262B3E">
        <w:rPr>
          <w:noProof w:val="0"/>
        </w:rPr>
        <w:t>pagulasena tunnustamise</w:t>
      </w:r>
      <w:r>
        <w:rPr>
          <w:noProof w:val="0"/>
        </w:rPr>
        <w:t xml:space="preserve"> kriteeriumi</w:t>
      </w:r>
      <w:r w:rsidR="00262B3E">
        <w:rPr>
          <w:noProof w:val="0"/>
        </w:rPr>
        <w:t>d</w:t>
      </w:r>
      <w:r>
        <w:rPr>
          <w:noProof w:val="0"/>
        </w:rPr>
        <w:t xml:space="preserve">ele lisaks veel ühe pagulasseisundile kvalifitseerumise kriteeriumi, seega kaasneb sellega oht, et taotlejad, kellel on konventsioonist tulenevalt õigus kaitsele, jäävad sellest ELi õiguse </w:t>
      </w:r>
      <w:r w:rsidR="00262B3E">
        <w:rPr>
          <w:noProof w:val="0"/>
        </w:rPr>
        <w:t xml:space="preserve">kohaselt </w:t>
      </w:r>
      <w:r>
        <w:rPr>
          <w:noProof w:val="0"/>
        </w:rPr>
        <w:t>ilma.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186</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(24)</w:t>
            </w:r>
            <w:r>
              <w:tab/>
              <w:t xml:space="preserve">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w:t>
            </w:r>
            <w:r>
              <w:rPr>
                <w:b/>
                <w:i/>
              </w:rPr>
              <w:t>peaks alati olema</w:t>
            </w:r>
            <w:r>
              <w:rPr>
                <w:b/>
              </w:rPr>
              <w:t xml:space="preserve"> </w:t>
            </w:r>
            <w:r>
              <w:t>rahvusvahelise kaitse taotluse hindamise üks osa ning tuleks ette võtta pärast seda, kui menetlev ametiasutus on teinud kindlaks, et ülejäänud kvalifitseerumiskriteeriumid on täidetud. Riigisisese kaitse kättesaadavuse tõendamise koormus peaks lasuma menetleval ametiasutusel.</w:t>
            </w:r>
          </w:p>
        </w:tc>
        <w:tc>
          <w:tcPr>
            <w:tcW w:w="4876" w:type="dxa"/>
          </w:tcPr>
          <w:p w:rsidR="002F3FB4" w:rsidRDefault="002F3FB4" w:rsidP="00F37676">
            <w:pPr>
              <w:pStyle w:val="Normal6"/>
            </w:pPr>
            <w:r>
              <w:t>(24)</w:t>
            </w:r>
            <w:r>
              <w:tab/>
              <w:t xml:space="preserve">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w:t>
            </w:r>
            <w:r>
              <w:rPr>
                <w:b/>
                <w:i/>
              </w:rPr>
              <w:t>võib olla</w:t>
            </w:r>
            <w:r>
              <w:t xml:space="preserve"> rahvusvahelise kaitse taotluse hindamise üks osa ning tuleks ette võtta pärast seda, kui menetlev ametiasutus on teinud kindlaks, et ülejäänud kvalifitseerumiskriteeriumid on täidetud. Riigisisese kaitse kättesaadavuse tõendamise koormus peaks lasuma menetleval ametiasutusel. </w:t>
            </w:r>
            <w:r>
              <w:rPr>
                <w:b/>
                <w:i/>
                <w:color w:val="000000"/>
              </w:rPr>
              <w:t>Siiski peaks taotleja menetleva ametiasutusega koostööd tegema, et teha kindlaks, kas riigisisese kaitse tingimused on mõnes tema päritoluriigi osas täidetud.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Kuigi riigisisese kaitse kättesaadavuse tõendamise koormus peaks lasuma menetleval ametiasutusel, on samuti vajalik, et taotleja aitaks menetleval ametiasutusel jõuda otsuseni, kas riigisisese kaitse tingimused on täidetud</w:t>
      </w:r>
      <w:r w:rsidR="00262B3E">
        <w:rPr>
          <w:noProof w:val="0"/>
        </w:rPr>
        <w:t>. S</w:t>
      </w:r>
      <w:r>
        <w:rPr>
          <w:noProof w:val="0"/>
        </w:rPr>
        <w:t>elleks tuleb esitada oluline teave ning vastata kõigile esitatud küsimustele.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187</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(24)</w:t>
            </w:r>
            <w:r>
              <w:tab/>
              <w:t xml:space="preserve">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pärast seda, kui menetlev ametiasutus on teinud kindlaks, et ülejäänud kvalifitseerumiskriteeriumid on täidetud. </w:t>
            </w:r>
            <w:r>
              <w:rPr>
                <w:b/>
                <w:i/>
                <w:color w:val="000000"/>
              </w:rPr>
              <w:t>Riigisisese kaitse kättesaadavuse tõendamise koormus peaks lasuma menetleval ametiasutusel.</w:t>
            </w:r>
          </w:p>
        </w:tc>
        <w:tc>
          <w:tcPr>
            <w:tcW w:w="4876" w:type="dxa"/>
          </w:tcPr>
          <w:p w:rsidR="002F3FB4" w:rsidRDefault="002F3FB4" w:rsidP="00F37676">
            <w:pPr>
              <w:pStyle w:val="Normal6"/>
            </w:pPr>
            <w:r>
              <w:t>(24)</w:t>
            </w:r>
            <w:r>
              <w:tab/>
              <w:t>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pärast seda, kui menetlev ametiasutus on teinud kindlaks, et ülejäänud kvalifitseerumiskriteeriumid on täidetud.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188</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(24)</w:t>
            </w:r>
            <w:r>
              <w:tab/>
              <w:t>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w:t>
            </w:r>
            <w:r>
              <w:rPr>
                <w:b/>
                <w:i/>
              </w:rPr>
              <w:t xml:space="preserve"> pärast seda</w:t>
            </w:r>
            <w:r>
              <w:t>, kui menetlev ametiasutus on teinud kindlaks, et ülejäänud kvalifitseerumiskriteeriumid on täidetud. Riigisisese kaitse</w:t>
            </w:r>
            <w:r>
              <w:rPr>
                <w:b/>
                <w:i/>
              </w:rPr>
              <w:t xml:space="preserve"> kättesaadavuse</w:t>
            </w:r>
            <w:r>
              <w:t xml:space="preserve"> tõendamise koormus peaks lasuma </w:t>
            </w:r>
            <w:r>
              <w:rPr>
                <w:b/>
                <w:i/>
              </w:rPr>
              <w:t>menetleval ametiasutusel</w:t>
            </w:r>
            <w:r>
              <w:t>.</w:t>
            </w:r>
          </w:p>
        </w:tc>
        <w:tc>
          <w:tcPr>
            <w:tcW w:w="4876" w:type="dxa"/>
          </w:tcPr>
          <w:p w:rsidR="002F3FB4" w:rsidRDefault="002F3FB4" w:rsidP="00F37676">
            <w:pPr>
              <w:pStyle w:val="Normal6"/>
            </w:pPr>
            <w:r>
              <w:t>(24)</w:t>
            </w:r>
            <w:r>
              <w:tab/>
              <w:t xml:space="preserve">Riigisisene kaitse tagakiusamise või suure kahju tekitamise eest peaks olema taotlejale tegelikult kättesaadav päritoluriigi osas, kuhu ta võib turvaliselt ja seaduslikult reisida, millele tal on juurdepääs ja mille puhul on mõistlik eeldada, et ta sinna elama asub. Sellise riigisisese kaitse olemasolu hindamine peaks alati olema rahvusvahelise kaitse taotluse hindamise üks osa ning tuleks ette võtta </w:t>
            </w:r>
            <w:r>
              <w:rPr>
                <w:b/>
                <w:i/>
              </w:rPr>
              <w:t>hiljemalt siis</w:t>
            </w:r>
            <w:r>
              <w:t xml:space="preserve">, kui menetlev ametiasutus on teinud kindlaks, et ülejäänud kvalifitseerumiskriteeriumid on täidetud. Riigisisese kaitse </w:t>
            </w:r>
            <w:r>
              <w:rPr>
                <w:b/>
                <w:i/>
              </w:rPr>
              <w:t xml:space="preserve">kättesaadamatuse </w:t>
            </w:r>
            <w:r>
              <w:t xml:space="preserve">tõendamise koormus peaks lasuma </w:t>
            </w:r>
            <w:r>
              <w:rPr>
                <w:b/>
                <w:i/>
              </w:rPr>
              <w:t>taotlejal</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189</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József Nagy,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24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(24 a)</w:t>
            </w:r>
            <w:r>
              <w:tab/>
            </w:r>
            <w:r>
              <w:rPr>
                <w:b/>
                <w:i/>
                <w:color w:val="000000"/>
              </w:rPr>
              <w:t>Alaealiste riigisisese kaitse tingimusi hinnates peab asjaomane asutus pidama eelkõige silmas lapse parimate huvide hindamist.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Põhjendus on kooskõlas artikli 8 lõike 4 a (uus) kohta tehtud ettepanekuga.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(25)</w:t>
            </w:r>
            <w:r>
              <w:tab/>
            </w:r>
            <w:r>
              <w:rPr>
                <w:b/>
                <w:i/>
                <w:color w:val="000000"/>
              </w:rPr>
              <w:t>Kui tagakiusaja või suure kahju põhjustaja on riik või riigi esindaja, tuleks eeldada, et taotlejal ei ole võimalik saada tõhusat kaitset. Kui taotleja on saatjata alaealine, siis tuleks kaitse tegeliku kättesaadavuse hindamisel arvesse võtta saatjata alaealise parimatele huvidele vastava asjakohase hooldamise ja eestkoste korraldamise kättesaadavust.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Kooskõlas </w:t>
      </w:r>
      <w:r w:rsidR="00262B3E">
        <w:rPr>
          <w:noProof w:val="0"/>
        </w:rPr>
        <w:t xml:space="preserve">järgmiste </w:t>
      </w:r>
      <w:r>
        <w:rPr>
          <w:noProof w:val="0"/>
        </w:rPr>
        <w:t>muudatusettepaneku</w:t>
      </w:r>
      <w:r w:rsidR="00262B3E">
        <w:rPr>
          <w:noProof w:val="0"/>
        </w:rPr>
        <w:t>tega</w:t>
      </w:r>
      <w:r>
        <w:rPr>
          <w:noProof w:val="0"/>
        </w:rPr>
        <w:t xml:space="preserve"> artikli 8 </w:t>
      </w:r>
      <w:r w:rsidR="00262B3E">
        <w:rPr>
          <w:noProof w:val="0"/>
        </w:rPr>
        <w:t>väljajätmiseks</w:t>
      </w:r>
      <w:r>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(25)</w:t>
            </w:r>
            <w:r>
              <w:tab/>
              <w:t xml:space="preserve">Kui tagakiusaja või suure kahju põhjustaja on riik või riigi esindaja, tuleks eeldada, et taotlejal ei ole võimalik saada tõhusat kaitset. </w:t>
            </w:r>
            <w:r>
              <w:rPr>
                <w:b/>
                <w:i/>
                <w:color w:val="000000"/>
              </w:rPr>
              <w:t>Kui taotleja on saatjata alaealine, siis tuleks kaitse tegeliku kättesaadavuse hindamisel arvesse võtta saatjata alaealise parimatele huvidele vastava asjakohase hooldamise ja eestkoste korraldamise kättesaadavust.</w:t>
            </w:r>
          </w:p>
        </w:tc>
        <w:tc>
          <w:tcPr>
            <w:tcW w:w="4876" w:type="dxa"/>
          </w:tcPr>
          <w:p w:rsidR="002F3FB4" w:rsidRDefault="002F3FB4" w:rsidP="00F37676">
            <w:pPr>
              <w:pStyle w:val="Normal6"/>
            </w:pPr>
            <w:r>
              <w:t>(25)</w:t>
            </w:r>
            <w:r>
              <w:tab/>
              <w:t xml:space="preserve">Kui </w:t>
            </w:r>
            <w:r>
              <w:rPr>
                <w:b/>
                <w:i/>
              </w:rPr>
              <w:t xml:space="preserve">leitakse, et </w:t>
            </w:r>
            <w:r>
              <w:t>tagakiusaja või suure kahju põhjustaja on riik või riigi esindaja, tuleks eeldada, et taotlejal ei ole võimalik saada tõhusat kaitset.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(26)</w:t>
            </w:r>
            <w:r>
              <w:tab/>
              <w:t xml:space="preserve">Alaealiste rahvusvahelise kaitse taotluste hindamisel </w:t>
            </w:r>
            <w:r>
              <w:rPr>
                <w:b/>
                <w:i/>
              </w:rPr>
              <w:t>peaksid</w:t>
            </w:r>
            <w:r>
              <w:t xml:space="preserve"> menetlevad ametiasutused</w:t>
            </w:r>
            <w:r>
              <w:rPr>
                <w:b/>
                <w:i/>
              </w:rPr>
              <w:t xml:space="preserve"> võtma</w:t>
            </w:r>
            <w:r>
              <w:rPr>
                <w:b/>
              </w:rPr>
              <w:t xml:space="preserve"> </w:t>
            </w:r>
            <w:r>
              <w:t>arvesse lastele suunatud tagakiusamise vorme.</w:t>
            </w:r>
          </w:p>
        </w:tc>
        <w:tc>
          <w:tcPr>
            <w:tcW w:w="4876" w:type="dxa"/>
          </w:tcPr>
          <w:p w:rsidR="002F3FB4" w:rsidRDefault="002F3FB4" w:rsidP="00F37676">
            <w:pPr>
              <w:pStyle w:val="Normal6"/>
            </w:pPr>
            <w:r>
              <w:t>(26)</w:t>
            </w:r>
            <w:r>
              <w:tab/>
            </w:r>
            <w:r>
              <w:rPr>
                <w:b/>
                <w:i/>
              </w:rPr>
              <w:t>On vajalik, et</w:t>
            </w:r>
            <w:r>
              <w:t xml:space="preserve"> alaealiste rahvusvahelise kaitse taotluste hindamisel </w:t>
            </w:r>
            <w:r>
              <w:rPr>
                <w:b/>
                <w:i/>
              </w:rPr>
              <w:t>võtaksid</w:t>
            </w:r>
            <w:r>
              <w:rPr>
                <w:b/>
              </w:rPr>
              <w:t xml:space="preserve"> </w:t>
            </w:r>
            <w:r>
              <w:t>menetlevad ametiasutused arvesse lastele suunatud tagakiusamise vorme</w:t>
            </w:r>
            <w:r>
              <w:rPr>
                <w:b/>
                <w:i/>
              </w:rPr>
              <w:t>, inimkaubandust ja ärakasutamist või kaitse puudumist sellise tagakiusamise eest</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193</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t>Põhjendus</w:t>
      </w:r>
      <w:r w:rsidRPr="00781174">
        <w:t xml:space="preserve"> 26</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(26)</w:t>
            </w:r>
            <w:r w:rsidRPr="00781174">
              <w:tab/>
              <w:t>Alaealiste rahvusvahelise kaitse taotluste hindamisel peaksid menetlevad ametiasutused võtma arvesse lastele suunatud tagakiusamise vorme.</w:t>
            </w:r>
          </w:p>
        </w:tc>
        <w:tc>
          <w:tcPr>
            <w:tcW w:w="4876" w:type="dxa"/>
          </w:tcPr>
          <w:p w:rsidR="002F3FB4" w:rsidRPr="00781174" w:rsidRDefault="002F3FB4" w:rsidP="00F37676">
            <w:pPr>
              <w:pStyle w:val="Normal6"/>
            </w:pPr>
            <w:r w:rsidRPr="00781174">
              <w:t>(26)</w:t>
            </w:r>
            <w:r w:rsidRPr="00781174">
              <w:tab/>
              <w:t>Alaealiste rahvusvahelise kaitse taotluste hindamisel peaksid menetlevad ametiasutused võtma arvesse lastele suunatud tagakiusamise vorme</w:t>
            </w:r>
            <w:r w:rsidRPr="00781174">
              <w:rPr>
                <w:b/>
                <w:i/>
              </w:rPr>
              <w:t>, mis tahes liiki ärakasutamist või sellise kaitse puudumist</w:t>
            </w:r>
            <w:r w:rsidRPr="00781174">
              <w:t>.</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(27)</w:t>
            </w:r>
            <w:r>
              <w:tab/>
              <w:t>Üks tingimustest, et kvalifitseeruda Genfi konventsiooni artikli 1 punkti A kohasele pagulasseisundile, on põhjusliku seose olemasolu tagakiusamise põhjuste, nimelt rassi, usu, rahvuse, poliitiliste vaadete või teatavasse sotsiaalsesse rühma kuulumise, ning tagakiusamise või selle eest kaitse puudumise vahel.</w:t>
            </w:r>
          </w:p>
        </w:tc>
        <w:tc>
          <w:tcPr>
            <w:tcW w:w="4876" w:type="dxa"/>
          </w:tcPr>
          <w:p w:rsidR="002F3FB4" w:rsidRDefault="002F3FB4" w:rsidP="00F37676">
            <w:pPr>
              <w:pStyle w:val="Normal6"/>
            </w:pPr>
            <w:r>
              <w:t>(27)</w:t>
            </w:r>
            <w:r>
              <w:tab/>
              <w:t xml:space="preserve">Üks tingimustest, et kvalifitseeruda Genfi konventsiooni artikli 1 punkti A kohasele pagulasseisundile, on põhjusliku seose olemasolu tagakiusamise põhjuste, nimelt rassi, usu </w:t>
            </w:r>
            <w:r>
              <w:rPr>
                <w:b/>
                <w:i/>
              </w:rPr>
              <w:t>või veendumuste</w:t>
            </w:r>
            <w:r>
              <w:t xml:space="preserve">, rahvuse, poliitiliste vaadete või teatavasse sotsiaalsesse rühma kuulumise </w:t>
            </w:r>
            <w:r>
              <w:rPr>
                <w:b/>
                <w:i/>
              </w:rPr>
              <w:t>või poliitiliste vaadete</w:t>
            </w:r>
            <w:r>
              <w:t>, ning tagakiusamise või selle eest kaitse puudumise vahel.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195</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(28)</w:t>
            </w:r>
            <w:r>
              <w:tab/>
            </w:r>
            <w:r>
              <w:rPr>
                <w:b/>
                <w:i/>
                <w:color w:val="000000"/>
              </w:rPr>
              <w:t>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196</w:t>
      </w:r>
      <w:r>
        <w:rPr>
          <w:rStyle w:val="HideTWBExt"/>
          <w:b w:val="0"/>
          <w:noProof w:val="0"/>
        </w:rPr>
        <w:t>&lt;/NumAmB&gt;</w:t>
      </w:r>
    </w:p>
    <w:p w:rsidR="002F3FB4" w:rsidRDefault="002F3FB4" w:rsidP="002F3FB4">
      <w:pPr>
        <w:pStyle w:val="NormalBold"/>
      </w:pPr>
      <w:r>
        <w:rPr>
          <w:rStyle w:val="HideTWBExt"/>
          <w:b w:val="0"/>
          <w:noProof w:val="0"/>
        </w:rPr>
        <w:t>&lt;RepeatBlock-By&gt;&lt;Members&gt;</w:t>
      </w:r>
      <w:r>
        <w:t>Traian Ungureanu, Artis Pabriks,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(28)</w:t>
            </w:r>
            <w:r>
              <w:tab/>
            </w:r>
            <w:r>
              <w:rPr>
                <w:b/>
                <w:i/>
                <w:color w:val="000000"/>
              </w:rPr>
              <w:t>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197</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(28)</w:t>
            </w:r>
            <w:r>
              <w:tab/>
              <w:t xml:space="preserve">Sama vajalik on kehtestada mõiste „teatavasse sotsiaalsesse rühma kuulumine“ kui tagakiusamise põhjuse ühine määratlus. </w:t>
            </w:r>
            <w:r>
              <w:rPr>
                <w:b/>
                <w:i/>
                <w:color w:val="000000"/>
              </w:rPr>
              <w:t>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tcPr>
          <w:p w:rsidR="002F3FB4" w:rsidRDefault="002F3FB4" w:rsidP="00F37676">
            <w:pPr>
              <w:pStyle w:val="Normal6"/>
            </w:pPr>
            <w:r>
              <w:t>(28)</w:t>
            </w:r>
            <w:r>
              <w:tab/>
              <w:t>Sama vajalik on kehtestada mõiste „teatavasse sotsiaalsesse rühma kuulumine“ kui tagakiusamise põhjuse ühine määratlus.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(28)</w:t>
            </w:r>
            <w:r>
              <w:tab/>
              <w:t>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tcPr>
          <w:p w:rsidR="002F3FB4" w:rsidRDefault="002F3FB4" w:rsidP="00F37676">
            <w:pPr>
              <w:pStyle w:val="Normal6"/>
            </w:pPr>
            <w:r>
              <w:t>(28)</w:t>
            </w:r>
            <w:r>
              <w:tab/>
              <w:t xml:space="preserve">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 </w:t>
            </w:r>
            <w:r>
              <w:rPr>
                <w:b/>
                <w:i/>
                <w:color w:val="000000"/>
              </w:rPr>
              <w:t xml:space="preserve">Taotleja põhjendatud tagakiusamise kartuse põhjuseks võib olla ettekujutus, et </w:t>
            </w:r>
            <w:r w:rsidR="00262B3E">
              <w:rPr>
                <w:b/>
                <w:i/>
                <w:color w:val="000000"/>
              </w:rPr>
              <w:t xml:space="preserve">ta </w:t>
            </w:r>
            <w:r>
              <w:rPr>
                <w:b/>
                <w:i/>
                <w:color w:val="000000"/>
              </w:rPr>
              <w:t>kuulu</w:t>
            </w:r>
            <w:r w:rsidR="00262B3E">
              <w:rPr>
                <w:b/>
                <w:i/>
                <w:color w:val="000000"/>
              </w:rPr>
              <w:t>b</w:t>
            </w:r>
            <w:r>
              <w:rPr>
                <w:b/>
                <w:i/>
                <w:color w:val="000000"/>
              </w:rPr>
              <w:t xml:space="preserve"> teatavasse sotsiaalsesse rühma</w:t>
            </w:r>
            <w:r w:rsidR="00262B3E">
              <w:rPr>
                <w:b/>
                <w:i/>
                <w:color w:val="000000"/>
              </w:rPr>
              <w:t>,</w:t>
            </w:r>
            <w:r>
              <w:rPr>
                <w:b/>
                <w:i/>
                <w:color w:val="000000"/>
              </w:rPr>
              <w:t xml:space="preserve"> ükskõik, kas see on tegelikult nii või mitte.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199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Cornelia Ernst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(28)</w:t>
            </w:r>
            <w:r>
              <w:tab/>
              <w:t>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tcPr>
          <w:p w:rsidR="002F3FB4" w:rsidRDefault="002F3FB4" w:rsidP="00F37676">
            <w:pPr>
              <w:pStyle w:val="Normal6"/>
            </w:pPr>
            <w:r>
              <w:t>(28)</w:t>
            </w:r>
            <w:r>
              <w:tab/>
              <w:t>Sama vajalik on kehtestada mõiste „teatavasse sotsiaalsesse rühma kuulumine” kui tagakiusamise põhjuse ühine määratlus. Teatava sotsiaalse rühma määratlemisel tuleks piisavalt tähelepanu pöörata taotleja sooga seotud küsimustele, sh soolisele identiteedile</w:t>
            </w:r>
            <w:r w:rsidRPr="006F55E6">
              <w:rPr>
                <w:b/>
                <w:i/>
              </w:rPr>
              <w:t xml:space="preserve">, </w:t>
            </w:r>
            <w:r>
              <w:rPr>
                <w:b/>
                <w:i/>
              </w:rPr>
              <w:t>sooväljendusele, sootunnustele</w:t>
            </w:r>
            <w:r>
              <w:t xml:space="preserve"> ja seksuaalsele sättumusele, mis võivad olla seotud </w:t>
            </w:r>
            <w:r>
              <w:rPr>
                <w:b/>
                <w:i/>
              </w:rPr>
              <w:t xml:space="preserve">inimkaubanduse ja ärakasutamise, </w:t>
            </w:r>
            <w:r>
              <w:t>teatavate õigustraditsioonide ja tavadega, mille tagajärjeks on näiteks suguelundite moonutamine, sunniviisiline steriliseerimine või abort, kuivõrd need on seotud taotleja põhjendatud tagakiusamise kartusega.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Cornelia Ernst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(29)</w:t>
            </w:r>
            <w:r>
              <w:tab/>
              <w:t xml:space="preserve">Liikmesriikide pädevad asutused peaksid kooskõlas Euroopa Liidu Kohtu asjakohase kohtupraktikaga rahvusvahelise kaitse taotluste hindamisel kasutama taotleja usaldusväärsuse hindamise meetodeid viisil, mis ei rikuks </w:t>
            </w:r>
            <w:r w:rsidRPr="006F55E6">
              <w:rPr>
                <w:b/>
                <w:i/>
              </w:rPr>
              <w:t>hartaga</w:t>
            </w:r>
            <w:r>
              <w:t xml:space="preserve"> isikule tagatud õigusi, eelkõige õigust inimväärikusele ning era- ja perekonnaelu austamisele. Konkreetselt </w:t>
            </w:r>
            <w:r>
              <w:rPr>
                <w:b/>
                <w:i/>
              </w:rPr>
              <w:t>homoseksuaalsuse</w:t>
            </w:r>
            <w:r>
              <w:t xml:space="preserve"> puhul ei tohiks isiku usaldusväärsuse hindamisel tugineda </w:t>
            </w:r>
            <w:r>
              <w:rPr>
                <w:b/>
                <w:i/>
              </w:rPr>
              <w:t>homoseksuaalide</w:t>
            </w:r>
            <w:r>
              <w:t xml:space="preserve"> suhtes levinud stereotüüpidele ning taotlejale ei tohiks korraldada tema seksuaalkäitumise kohta üksikasjalikke küsitlusi ega teste.</w:t>
            </w:r>
          </w:p>
        </w:tc>
        <w:tc>
          <w:tcPr>
            <w:tcW w:w="4876" w:type="dxa"/>
          </w:tcPr>
          <w:p w:rsidR="002F3FB4" w:rsidRDefault="002F3FB4" w:rsidP="00F37676">
            <w:pPr>
              <w:pStyle w:val="Normal6"/>
            </w:pPr>
            <w:r>
              <w:t>(29)</w:t>
            </w:r>
            <w:r>
              <w:tab/>
              <w:t xml:space="preserve">Liikmesriikide pädevad asutused peaksid kooskõlas Euroopa Liidu Kohtu </w:t>
            </w:r>
            <w:r>
              <w:rPr>
                <w:b/>
                <w:i/>
              </w:rPr>
              <w:t xml:space="preserve">ja Euroopa Inimõiguste Kohtu </w:t>
            </w:r>
            <w:r>
              <w:t xml:space="preserve">asjakohase kohtupraktikaga rahvusvahelise kaitse taotluste hindamisel kasutama taotleja usaldusväärsuse hindamise meetodeid viisil, mis ei rikuks harta </w:t>
            </w:r>
            <w:r>
              <w:rPr>
                <w:b/>
                <w:i/>
              </w:rPr>
              <w:t>ja Euroopa inimõiguste konventsiooniga</w:t>
            </w:r>
            <w:r>
              <w:t xml:space="preserve"> isikule tagatud õigusi, eelkõige õigust inimväärikusele ning era- ja perekonnaelu austamisele. Konkreetselt </w:t>
            </w:r>
            <w:r>
              <w:rPr>
                <w:b/>
                <w:i/>
              </w:rPr>
              <w:t>seksuaalse sättumuse ja soolise identiteedi</w:t>
            </w:r>
            <w:r>
              <w:t xml:space="preserve"> puhul ei tohiks isiku usaldusväärsuse hindamisel tugineda </w:t>
            </w:r>
            <w:r>
              <w:rPr>
                <w:b/>
                <w:i/>
              </w:rPr>
              <w:t>seksuaalse sättumuse ja soolise identiteedi</w:t>
            </w:r>
            <w:r>
              <w:t xml:space="preserve"> suhtes levinud stereotüüpidele ning taotlejale ei tohiks korraldada tema seksuaalkäitumise kohta üksikasjalikke küsitlusi ega teste. </w:t>
            </w:r>
            <w:r>
              <w:rPr>
                <w:b/>
                <w:i/>
                <w:color w:val="000000"/>
              </w:rPr>
              <w:t>Lisaks ei tohiks pädevad riigiasutused otsustada, et taotleja ütlused ei ole usaldusväärsed</w:t>
            </w:r>
            <w:r w:rsidR="0017512B">
              <w:rPr>
                <w:b/>
                <w:i/>
                <w:color w:val="000000"/>
              </w:rPr>
              <w:t>, kuna</w:t>
            </w:r>
            <w:r>
              <w:rPr>
                <w:b/>
                <w:i/>
                <w:color w:val="000000"/>
              </w:rPr>
              <w:t xml:space="preserve"> taotleja ei viidanud oma seksuaalsele sättumusele, soolisele identiteedile, sooväljendusele või sootunnustele, kui ta</w:t>
            </w:r>
            <w:r w:rsidR="0017512B">
              <w:rPr>
                <w:b/>
                <w:i/>
                <w:color w:val="000000"/>
              </w:rPr>
              <w:t xml:space="preserve"> esitas esimest korda oma </w:t>
            </w:r>
            <w:r>
              <w:rPr>
                <w:b/>
                <w:i/>
                <w:color w:val="000000"/>
              </w:rPr>
              <w:t>tagakiusamise asjaolud.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arvamusega, et hiline teatamine on üks parameeter, millele viidati Euroopa Liidu Kohtu 2. detsembri 2014. aasta otsuses, mis tehti kohtuasjas A, B ja C vs. Staatssecretaris van Veiligheid en Justitie, kuid seda ei ole komisjoni ettepanekus nimetatud ja see tuleks lisada. Hirmu ja stigmade tõttu teatavad varjupaigataotlejad, kes on lesbid, geid, biseksuaalid, trans- ja intersoolised inimesed (LGBTI), oma seksuaalsest sättumusest, soolisest identiteedist, sooväljendusest või sootunnustest sageli hiljem. Nende taotlus ei tohiks kannatada hilise teatamise pärast.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201</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29</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(29)</w:t>
            </w:r>
            <w:r w:rsidRPr="00781174">
              <w:tab/>
              <w:t xml:space="preserve">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w:t>
            </w:r>
            <w:r w:rsidRPr="00781174">
              <w:rPr>
                <w:b/>
                <w:i/>
              </w:rPr>
              <w:t>homoseksuaalsuse</w:t>
            </w:r>
            <w:r w:rsidRPr="00781174">
              <w:t xml:space="preserve"> puhul ei tohiks isiku usaldusväärsuse hindamisel tugineda </w:t>
            </w:r>
            <w:r w:rsidRPr="006F55E6">
              <w:rPr>
                <w:b/>
                <w:i/>
              </w:rPr>
              <w:t xml:space="preserve">homoseksuaalide </w:t>
            </w:r>
            <w:r w:rsidRPr="00781174">
              <w:t>suhtes levinud stereotüüpidele ning taotlejale ei tohiks korraldada tema seksuaalkäitumise kohta üksikasjalikke küsitlusi ega teste.</w:t>
            </w:r>
          </w:p>
        </w:tc>
        <w:tc>
          <w:tcPr>
            <w:tcW w:w="4876" w:type="dxa"/>
          </w:tcPr>
          <w:p w:rsidR="002F3FB4" w:rsidRPr="00781174" w:rsidRDefault="002F3FB4" w:rsidP="00F37676">
            <w:pPr>
              <w:pStyle w:val="Normal6"/>
            </w:pPr>
            <w:r w:rsidRPr="00781174">
              <w:t>(29)</w:t>
            </w:r>
            <w:r w:rsidRPr="00781174">
              <w:tab/>
              <w:t xml:space="preserve">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w:t>
            </w:r>
            <w:r w:rsidRPr="00781174">
              <w:rPr>
                <w:b/>
                <w:i/>
              </w:rPr>
              <w:t>seksuaalse sättumuse ja sooidentiteedi</w:t>
            </w:r>
            <w:r w:rsidRPr="00781174">
              <w:t xml:space="preserve"> puhul ei tohiks isiku usaldusväärsuse hindamisel tugineda </w:t>
            </w:r>
            <w:r w:rsidRPr="00781174">
              <w:rPr>
                <w:b/>
                <w:i/>
              </w:rPr>
              <w:t>vastava</w:t>
            </w:r>
            <w:r w:rsidRPr="00781174">
              <w:t xml:space="preserve"> </w:t>
            </w:r>
            <w:r w:rsidRPr="00781174">
              <w:rPr>
                <w:b/>
                <w:i/>
              </w:rPr>
              <w:t>seksuaalse sättumuse ja sooidentiteedi</w:t>
            </w:r>
            <w:r w:rsidRPr="00781174">
              <w:t xml:space="preserve"> suhtes levinud stereotüüpidele ning taotlejale ei tohiks korraldada tema seksuaalkäitumise kohta üksikasjalikke küsitlusi ega teste.</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202</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29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(29)</w:t>
            </w:r>
            <w:r>
              <w:tab/>
              <w:t xml:space="preserve">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homoseksuaalsuse puhul ei tohiks isiku usaldusväärsuse hindamisel tugineda </w:t>
            </w:r>
            <w:r>
              <w:rPr>
                <w:b/>
                <w:i/>
              </w:rPr>
              <w:t>homoseksuaalide suhtes levinud</w:t>
            </w:r>
            <w:r>
              <w:t xml:space="preserve"> stereotüüpidele </w:t>
            </w:r>
            <w:r>
              <w:rPr>
                <w:b/>
                <w:i/>
              </w:rPr>
              <w:t>ning taotlejale ei tohiks korraldada tema seksuaalkäitumise kohta üksikasjalikke küsitlusi ega teste</w:t>
            </w:r>
            <w:r w:rsidRPr="006F55E6">
              <w:t>.</w:t>
            </w:r>
          </w:p>
        </w:tc>
        <w:tc>
          <w:tcPr>
            <w:tcW w:w="4876" w:type="dxa"/>
          </w:tcPr>
          <w:p w:rsidR="002F3FB4" w:rsidRDefault="002F3FB4" w:rsidP="00F37676">
            <w:pPr>
              <w:pStyle w:val="Normal6"/>
            </w:pPr>
            <w:r>
              <w:t>(29)</w:t>
            </w:r>
            <w:r>
              <w:tab/>
              <w:t>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homoseksuaalsuse puhul ei tohiks isiku usaldusväärsuse hindamisel tugineda stereotüüpidele</w:t>
            </w:r>
            <w:r>
              <w:rPr>
                <w:b/>
                <w:i/>
              </w:rPr>
              <w:t>, kuid pädev</w:t>
            </w:r>
            <w:r w:rsidR="0017512B">
              <w:rPr>
                <w:b/>
                <w:i/>
              </w:rPr>
              <w:t>ad asutused peaksid</w:t>
            </w:r>
            <w:r>
              <w:rPr>
                <w:b/>
                <w:i/>
              </w:rPr>
              <w:t xml:space="preserve"> kindlameelselt nõudma faktilisi tõendeid isiku homoseksuaalsuse kohta</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(30)</w:t>
            </w:r>
            <w:r>
              <w:tab/>
              <w:t>ÜRO eesmärkide ja põhimõtetega vastuolus olevad teod on sätestatud ÜRO põhikirja preambulis ning artiklites 1 ja 2 ning on muu hulgas kaasatud ÜRO terrorismi vastu võitlemise meetmeid käsitlevatesse resolutsioonidesse, milles deklareeritakse, et „terroristlikud aktid, meetodid ja tavad on vastuolus Ühinenud Rahvaste Organisatsiooni eesmärkide ja põhimõtetega“ ning et „terroristlike aktide teadlik rahastamine, kavandamine ja õhutamine on samuti vastuolus Ühinenud Rahvaste Organisatsiooni eesmärkide ja põhimõtetega“.</w:t>
            </w:r>
          </w:p>
        </w:tc>
        <w:tc>
          <w:tcPr>
            <w:tcW w:w="4876" w:type="dxa"/>
          </w:tcPr>
          <w:p w:rsidR="002F3FB4" w:rsidRDefault="002F3FB4" w:rsidP="00F37676">
            <w:pPr>
              <w:pStyle w:val="Normal6"/>
            </w:pPr>
            <w:r>
              <w:t>(30)</w:t>
            </w:r>
            <w:r>
              <w:tab/>
              <w:t xml:space="preserve">ÜRO eesmärkide ja põhimõtetega vastuolus olevad teod on sätestatud ÜRO põhikirja preambulis ning artiklites 1 ja 2 ning on muu hulgas kaasatud ÜRO terrorismi vastu võitlemise meetmeid käsitlevatesse resolutsioonidesse, milles deklareeritakse, et „terroristlikud aktid, meetodid ja tavad on vastuolus Ühinenud Rahvaste Organisatsiooni eesmärkide ja põhimõtetega“ ning et „terroristlike aktide teadlik rahastamine, kavandamine ja õhutamine on samuti vastuolus Ühinenud Rahvaste Organisatsiooni eesmärkide ja põhimõtetega“. </w:t>
            </w:r>
            <w:r>
              <w:rPr>
                <w:b/>
                <w:i/>
                <w:color w:val="000000"/>
              </w:rPr>
              <w:t>Need</w:t>
            </w:r>
            <w:r w:rsidR="0017512B">
              <w:rPr>
                <w:b/>
                <w:i/>
                <w:color w:val="000000"/>
              </w:rPr>
              <w:t>samad</w:t>
            </w:r>
            <w:r>
              <w:rPr>
                <w:b/>
                <w:i/>
                <w:color w:val="000000"/>
              </w:rPr>
              <w:t xml:space="preserve"> aktid, meetodid ja tavad peaksid samuti olema põhjuseks, et pagulasseisundit või täiendava kaitse seisundit mitte anda või see tühistada.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(31)</w:t>
            </w:r>
            <w:r>
              <w:tab/>
            </w:r>
            <w:r>
              <w:rPr>
                <w:b/>
                <w:i/>
                <w:color w:val="000000"/>
              </w:rPr>
              <w:t>Poliitilise kuriteo sooritamine ei ole põhimõtteliselt sobiv alus pagulasseisundi andmisest keeldumiseks. Kuid kooskõlas Euroopa Liidu Kohtu asjakohase kohtupraktikaga tuleks eriti julmade tegude korral, kui kõnealune tegu on väidetavat poliitilist eesmärki arvestades ebaproportsionaalne, ja terroriaktide puhul, mida iseloomustab tsiviilelanike vastane vägivald, isegi kui need sooritati väidetaval poliitilisel eesmärgil, neid käsitleda mittepoliitiliste kuritegudena ja seega võib nendele tuginedes keelduda pagulasseisundi andmisest.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205</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(31)</w:t>
            </w:r>
            <w:r>
              <w:tab/>
              <w:t xml:space="preserve">Poliitilise kuriteo sooritamine </w:t>
            </w:r>
            <w:r>
              <w:rPr>
                <w:b/>
                <w:i/>
              </w:rPr>
              <w:t>ei ole põhimõtteliselt sobiv alus</w:t>
            </w:r>
            <w:r>
              <w:t xml:space="preserve"> pagulasseisundi andmisest keeldumiseks. </w:t>
            </w:r>
            <w:r>
              <w:rPr>
                <w:b/>
                <w:i/>
                <w:color w:val="000000"/>
              </w:rPr>
              <w:t>Kuid kooskõlas Euroopa Liidu Kohtu asjakohase kohtupraktikaga tuleks eriti julmade tegude korral, kui kõnealune tegu on väidetavat poliitilist eesmärki arvestades ebaproportsionaalne, ja terroriaktide puhul, mida iseloomustab tsiviilelanike vastane vägivald, isegi kui need sooritati väidetaval poliitilisel eesmärgil, neid käsitleda mittepoliitiliste kuritegudena ja seega võib nendele tuginedes keelduda pagulasseisundi andmisest.</w:t>
            </w:r>
          </w:p>
        </w:tc>
        <w:tc>
          <w:tcPr>
            <w:tcW w:w="4876" w:type="dxa"/>
          </w:tcPr>
          <w:p w:rsidR="002F3FB4" w:rsidRDefault="002F3FB4" w:rsidP="00F37676">
            <w:pPr>
              <w:pStyle w:val="Normal6"/>
            </w:pPr>
            <w:r>
              <w:t>(31)</w:t>
            </w:r>
            <w:r>
              <w:tab/>
              <w:t>Poliitilise kuriteo sooritamine</w:t>
            </w:r>
            <w:r>
              <w:rPr>
                <w:b/>
              </w:rPr>
              <w:t xml:space="preserve"> </w:t>
            </w:r>
            <w:r>
              <w:rPr>
                <w:b/>
                <w:i/>
              </w:rPr>
              <w:t>võib olla aluseks</w:t>
            </w:r>
            <w:r>
              <w:t xml:space="preserve"> pagulasseisundi andmisest keeldumiseks.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206</w:t>
      </w:r>
      <w:r>
        <w:rPr>
          <w:rStyle w:val="HideTWBExt"/>
          <w:b w:val="0"/>
          <w:noProof w:val="0"/>
        </w:rPr>
        <w:t>&lt;/NumAmB&gt;</w:t>
      </w:r>
    </w:p>
    <w:p w:rsidR="002F3FB4" w:rsidRDefault="002F3FB4" w:rsidP="002F3FB4">
      <w:pPr>
        <w:pStyle w:val="NormalBold"/>
      </w:pPr>
      <w:r>
        <w:rPr>
          <w:rStyle w:val="HideTWBExt"/>
          <w:b w:val="0"/>
          <w:noProof w:val="0"/>
        </w:rPr>
        <w:t>&lt;RepeatBlock-By&gt;&lt;Members&gt;</w:t>
      </w:r>
      <w:r>
        <w:t>Jeroen Lenaers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(31)</w:t>
            </w:r>
            <w:r>
              <w:tab/>
              <w:t xml:space="preserve">Poliitilise kuriteo sooritamine ei ole põhimõtteliselt sobiv alus pagulasseisundi andmisest keeldumiseks. Kuid kooskõlas Euroopa Liidu Kohtu asjakohase kohtupraktikaga tuleks eriti julmade tegude korral, kui kõnealune tegu on väidetavat poliitilist eesmärki arvestades ebaproportsionaalne, ja terroriaktide puhul, mida iseloomustab tsiviilelanike vastane vägivald, isegi kui need sooritati väidetaval poliitilisel eesmärgil, neid käsitleda mittepoliitiliste kuritegudena ja seega </w:t>
            </w:r>
            <w:r>
              <w:rPr>
                <w:b/>
                <w:i/>
              </w:rPr>
              <w:t>võib</w:t>
            </w:r>
            <w:r>
              <w:t xml:space="preserve"> nendele tuginedes keelduda pagulasseisundi andmisest.</w:t>
            </w:r>
          </w:p>
        </w:tc>
        <w:tc>
          <w:tcPr>
            <w:tcW w:w="4876" w:type="dxa"/>
          </w:tcPr>
          <w:p w:rsidR="002F3FB4" w:rsidRDefault="002F3FB4" w:rsidP="00F37676">
            <w:pPr>
              <w:pStyle w:val="Normal6"/>
            </w:pPr>
            <w:r>
              <w:t>(31)</w:t>
            </w:r>
            <w:r>
              <w:tab/>
              <w:t xml:space="preserve">Poliitilise kuriteo sooritamine ei ole põhimõtteliselt sobiv alus pagulasseisundi andmisest keeldumiseks. Kuid kooskõlas Euroopa Liidu Kohtu asjakohase kohtupraktikaga tuleks eriti julmade tegude korral, kui kõnealune tegu on väidetavat poliitilist eesmärki arvestades ebaproportsionaalne, ja terroriaktide puhul, mida iseloomustab tsiviilelanike vastane vägivald, isegi kui need sooritati väidetaval poliitilisel eesmärgil, neid käsitleda mittepoliitiliste kuritegudena ja seega </w:t>
            </w:r>
            <w:r>
              <w:rPr>
                <w:b/>
                <w:i/>
              </w:rPr>
              <w:t xml:space="preserve">tuleks </w:t>
            </w:r>
            <w:r>
              <w:t>nendele tuginedes keelduda pagulasseisundi andmisest.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207</w:t>
      </w:r>
      <w:r>
        <w:rPr>
          <w:rStyle w:val="HideTWBExt"/>
          <w:b w:val="0"/>
          <w:noProof w:val="0"/>
        </w:rPr>
        <w:t>&lt;/NumAmB&gt;</w:t>
      </w:r>
    </w:p>
    <w:p w:rsidR="002F3FB4" w:rsidRDefault="002F3FB4" w:rsidP="002F3FB4">
      <w:pPr>
        <w:pStyle w:val="NormalBold"/>
      </w:pPr>
      <w:r>
        <w:rPr>
          <w:rStyle w:val="HideTWBExt"/>
          <w:b w:val="0"/>
          <w:noProof w:val="0"/>
        </w:rPr>
        <w:t>&lt;RepeatBlock-By&gt;&lt;Members&gt;</w:t>
      </w:r>
      <w:r>
        <w:t>Monika Hohlmeier</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(31 a)</w:t>
            </w:r>
            <w:r>
              <w:tab/>
            </w:r>
            <w:r>
              <w:rPr>
                <w:b/>
                <w:i/>
                <w:color w:val="000000"/>
              </w:rPr>
              <w:t>Euroopa Liidu Kohus sätestas oma otsuses</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Commissaire général aux réfugiés et aux apatrides /Mostafa Lounani</w:t>
            </w:r>
            <w:r>
              <w:rPr>
                <w:rStyle w:val="SupBoldItalic"/>
              </w:rPr>
              <w:t>1</w:t>
            </w:r>
            <w:r w:rsidR="0017512B">
              <w:rPr>
                <w:rStyle w:val="SupBoldItalic"/>
              </w:rPr>
              <w:t xml:space="preserve"> </w:t>
            </w:r>
            <w:r>
              <w:rPr>
                <w:rStyle w:val="SupBoldItalic"/>
              </w:rPr>
              <w:t>a</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selgelt, et terrorirühmituse toetamine või terroriakti toimepanek on piisav põhjus</w:t>
            </w:r>
            <w:r w:rsidR="0017512B">
              <w:rPr>
                <w:b/>
                <w:i/>
                <w:color w:val="000000"/>
              </w:rPr>
              <w:t>, et mitte anda</w:t>
            </w:r>
            <w:r>
              <w:rPr>
                <w:b/>
                <w:i/>
                <w:color w:val="000000"/>
              </w:rPr>
              <w:t xml:space="preserve"> rahvusvahelise kaitse taotlejale pagulasseisundi</w:t>
            </w:r>
            <w:r w:rsidR="0017512B">
              <w:rPr>
                <w:b/>
                <w:i/>
                <w:color w:val="000000"/>
              </w:rPr>
              <w:t>t</w:t>
            </w:r>
            <w:r>
              <w:rPr>
                <w:b/>
                <w:i/>
                <w:color w:val="000000"/>
              </w:rPr>
              <w:t xml:space="preserve"> või täiendava</w:t>
            </w:r>
            <w:r w:rsidR="0017512B">
              <w:rPr>
                <w:b/>
                <w:i/>
                <w:color w:val="000000"/>
              </w:rPr>
              <w:t>t</w:t>
            </w:r>
            <w:r>
              <w:rPr>
                <w:b/>
                <w:i/>
                <w:color w:val="000000"/>
              </w:rPr>
              <w:t xml:space="preserve"> kaitse</w:t>
            </w:r>
            <w:r w:rsidR="0017512B">
              <w:rPr>
                <w:b/>
                <w:i/>
                <w:color w:val="000000"/>
              </w:rPr>
              <w:t>t</w:t>
            </w:r>
            <w:r>
              <w:rPr>
                <w:b/>
                <w:i/>
                <w:color w:val="000000"/>
              </w:rPr>
              <w:t>.</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rStyle w:val="SupBoldItalic"/>
              </w:rPr>
              <w:t>1</w:t>
            </w:r>
            <w:r w:rsidR="0017512B">
              <w:rPr>
                <w:rStyle w:val="SupBoldItalic"/>
              </w:rPr>
              <w:t xml:space="preserve"> </w:t>
            </w:r>
            <w:r>
              <w:rPr>
                <w:rStyle w:val="SupBoldItalic"/>
              </w:rPr>
              <w:t>a</w:t>
            </w:r>
            <w:r>
              <w:t xml:space="preserve"> </w:t>
            </w:r>
            <w:r>
              <w:rPr>
                <w:b/>
                <w:i/>
                <w:color w:val="000000"/>
              </w:rPr>
              <w:t>C-573/14</w:t>
            </w:r>
            <w:r w:rsidR="0017512B">
              <w:rPr>
                <w:b/>
                <w:i/>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Kooskõlas artiklit 12 käsitleva muudatusettepanekuga.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208</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(31 a)</w:t>
            </w:r>
            <w:r>
              <w:tab/>
            </w:r>
            <w:r>
              <w:rPr>
                <w:b/>
                <w:i/>
                <w:color w:val="000000"/>
              </w:rPr>
              <w:t>Täiendava kaitse seisundi tunnustamine on deklaratiivne akt.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209</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(32)</w:t>
            </w:r>
            <w:r>
              <w:tab/>
            </w:r>
            <w:r>
              <w:rPr>
                <w:b/>
                <w:i/>
                <w:color w:val="000000"/>
              </w:rPr>
              <w:t>Samuti tuleks sätestada täiendava kaitse seisundi määratluse ja sisu nõuded. Täiendav kaitse peaks Genfi konventsioonis sätestatud pagulaste kaitsele lisanduma ja seda täiendama.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(32)</w:t>
            </w:r>
            <w:r>
              <w:tab/>
              <w:t>Samuti tuleks sätestada täiendava kaitse seisundi määratluse ja sisu nõuded. Täiendav kaitse peaks Genfi konventsioonis sätestatud pagulaste kaitsele lisanduma ja seda täiendama.</w:t>
            </w:r>
          </w:p>
        </w:tc>
        <w:tc>
          <w:tcPr>
            <w:tcW w:w="4876" w:type="dxa"/>
          </w:tcPr>
          <w:p w:rsidR="002F3FB4" w:rsidRDefault="002F3FB4" w:rsidP="00F37676">
            <w:pPr>
              <w:pStyle w:val="Normal6"/>
            </w:pPr>
            <w:r>
              <w:t>(32)</w:t>
            </w:r>
            <w:r>
              <w:tab/>
              <w:t xml:space="preserve">Samuti tuleks sätestada täiendava kaitse seisundi määratluse ja sisu nõuded. Täiendav kaitse peaks Genfi konventsioonis sätestatud pagulaste kaitsele lisanduma ja seda täiendama. </w:t>
            </w:r>
            <w:r>
              <w:rPr>
                <w:b/>
                <w:i/>
                <w:color w:val="000000"/>
              </w:rPr>
              <w:t>Kuigi kaitse andmise alus võib pagulaste ja täiendava kaitse korral erinev olla, võib jätkuva kaitsevajaduse kestus olla mõlema korral sarnase pikkusega.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(33)</w:t>
            </w:r>
            <w:r>
              <w:tab/>
            </w:r>
            <w:r>
              <w:rPr>
                <w:b/>
                <w:i/>
                <w:color w:val="000000"/>
              </w:rPr>
              <w:t>Tuleb kehtestada ühised kriteeriumid, mille alusel rahvusvahelise kaitse taotlejaid tunnustatakse täiendava kaitse kriteeriumidele vastavana. Need kriteeriumid tuleks koostada inimõigusi käsitlevatest õigusaktidest tulenevate rahvusvaheliste kohustuste ja liikmesriikide tavade põhjal.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212</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(34)</w:t>
            </w:r>
            <w:r>
              <w:tab/>
            </w:r>
            <w:r>
              <w:rPr>
                <w:b/>
                <w:i/>
                <w:color w:val="000000"/>
              </w:rPr>
              <w:t>Hindamisel, kas tegemist on suure kahjuga, mis võib olla piisav alus pagulasseisundi andmiseks, tuleks juhusliku vägivalla all kooskõlas Euroopa Liidu Kohtu asjakohase kohtupraktikaga hõlmata ka vägivald, mis võib tabada isikuid olenemata nende konkreetsetest asjaoludest.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(34)</w:t>
            </w:r>
            <w:r>
              <w:tab/>
              <w:t>Hindamisel, kas tegemist on suure kahjuga, mis võib olla piisav alus pagulasseisundi andmiseks, tuleks juhusliku vägivalla all kooskõlas Euroopa Liidu Kohtu asjakohase kohtupraktikaga hõlmata ka vägivald, mis võib tabada isikuid olenemata nende konkreetsetest asjaoludest.</w:t>
            </w:r>
          </w:p>
        </w:tc>
        <w:tc>
          <w:tcPr>
            <w:tcW w:w="4876" w:type="dxa"/>
          </w:tcPr>
          <w:p w:rsidR="002F3FB4" w:rsidRDefault="002F3FB4" w:rsidP="00F37676">
            <w:pPr>
              <w:pStyle w:val="Normal6"/>
            </w:pPr>
            <w:r>
              <w:t>(34)</w:t>
            </w:r>
            <w:r>
              <w:tab/>
              <w:t>Hindamisel, kas tegemist on suure kahjuga, mis võib olla piisav alus pagulasseisundi andmiseks, tuleks juhusliku vägivalla all kooskõlas Euroopa Liidu Kohtu</w:t>
            </w:r>
            <w:r>
              <w:rPr>
                <w:b/>
                <w:i/>
              </w:rPr>
              <w:t xml:space="preserve"> ja Euroopa Inimõiguste Kohtu </w:t>
            </w:r>
            <w:r>
              <w:t xml:space="preserve">asjakohase kohtupraktikaga hõlmata ka vägivald, mis võib tabada isikuid olenemata nende konkreetsetest asjaoludest. </w:t>
            </w:r>
            <w:r>
              <w:rPr>
                <w:b/>
                <w:i/>
                <w:color w:val="000000"/>
              </w:rPr>
              <w:t>Tegurid, mida tuleb arvesse võtta otsustamisel, kas tegemist on juhusliku vägivallaga, võiksid hõlmata välist agressiooni, okupatsiooni, välisvõimu, sisekonflikte, inimõiguste raskeid rikkumisi või juhtum</w:t>
            </w:r>
            <w:r w:rsidR="00CD43E4">
              <w:rPr>
                <w:b/>
                <w:i/>
                <w:color w:val="000000"/>
              </w:rPr>
              <w:t>eid</w:t>
            </w:r>
            <w:r>
              <w:rPr>
                <w:b/>
                <w:i/>
                <w:color w:val="000000"/>
              </w:rPr>
              <w:t>, mis häirivad tõsiselt avalikku korda päritoluriigis või selle osas.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(36)</w:t>
            </w:r>
            <w:r>
              <w:tab/>
              <w:t>Kooskõlas Euroopa Liidu Kohtu asjakohase kohtupraktikaga</w:t>
            </w:r>
            <w:r>
              <w:rPr>
                <w:rStyle w:val="Sup"/>
              </w:rPr>
              <w:t>36</w:t>
            </w:r>
            <w:r>
              <w:t xml:space="preserve"> </w:t>
            </w:r>
            <w:r>
              <w:rPr>
                <w:b/>
                <w:i/>
              </w:rPr>
              <w:t xml:space="preserve">ei tohiks menetlevad ametiasutused taotleja elu või isikupuutumatuse suhtes </w:t>
            </w:r>
            <w:r>
              <w:t xml:space="preserve">suure </w:t>
            </w:r>
            <w:r>
              <w:rPr>
                <w:b/>
                <w:i/>
              </w:rPr>
              <w:t xml:space="preserve">ja individuaalse </w:t>
            </w:r>
            <w:r>
              <w:t>ohu esinemise tõendamiseks</w:t>
            </w:r>
            <w:r>
              <w:rPr>
                <w:b/>
                <w:i/>
              </w:rPr>
              <w:t xml:space="preserve"> nõuda taotlejalt tõendite esitamist, et oht ähvardab konkreetselt talle omaste asjaolude tõttu just teda</w:t>
            </w:r>
            <w:r w:rsidRPr="006F55E6">
              <w:t>.</w:t>
            </w:r>
            <w:r w:rsidRPr="00621F31">
              <w:t xml:space="preserve"> </w:t>
            </w:r>
            <w:r>
              <w:t xml:space="preserve">Siiski on taotluse põhjendamisel nõutav juhusliku vägivalla tase madalam siis, kui taotleja suudab näidata, et ta on eriliselt puudutatud konkreetselt talle omaste asjaolude tõttu. Lisaks peaksid menetlevad ametiasutused erandkorras lugema suure </w:t>
            </w:r>
            <w:r>
              <w:rPr>
                <w:b/>
                <w:i/>
              </w:rPr>
              <w:t>ja individuaalse</w:t>
            </w:r>
            <w:r>
              <w:t xml:space="preserve"> ohu esinemise tõendatuks üksnes taotleja viibimisega päritoluriigi territooriumil või selle asjaomases osas siis, kui relvakonflikti iseloomustava juhusliku vägivalla tase on saavutanud sellise määra, et on põhjendatud alus arvata, et tsiviilisik seisaks asjaomasesse päritoluriiki või päritoluriigi asjaomasesse piirkonda tagasipöördumisel pelgalt selle riigi või piirkonna territooriumil viibimise tõttu silmitsi suure ohuga.</w:t>
            </w:r>
          </w:p>
        </w:tc>
        <w:tc>
          <w:tcPr>
            <w:tcW w:w="4876" w:type="dxa"/>
          </w:tcPr>
          <w:p w:rsidR="002F3FB4" w:rsidRDefault="002F3FB4" w:rsidP="00F37676">
            <w:pPr>
              <w:pStyle w:val="Normal6"/>
            </w:pPr>
            <w:r>
              <w:t>(36)</w:t>
            </w:r>
            <w:r>
              <w:tab/>
              <w:t xml:space="preserve">Kooskõlas Euroopa Liidu Kohtu </w:t>
            </w:r>
            <w:r>
              <w:rPr>
                <w:b/>
                <w:i/>
              </w:rPr>
              <w:t xml:space="preserve">ja Euroopa Inimõiguste Kohtu </w:t>
            </w:r>
            <w:r>
              <w:t>asjakohase kohtupraktikaga</w:t>
            </w:r>
            <w:r>
              <w:rPr>
                <w:rStyle w:val="Sup"/>
              </w:rPr>
              <w:t>36</w:t>
            </w:r>
            <w:r>
              <w:t xml:space="preserve"> </w:t>
            </w:r>
            <w:r>
              <w:rPr>
                <w:b/>
                <w:i/>
              </w:rPr>
              <w:t xml:space="preserve">ei pea </w:t>
            </w:r>
            <w:r>
              <w:t xml:space="preserve">suure ohu esinemise tõendamiseks </w:t>
            </w:r>
            <w:r>
              <w:rPr>
                <w:b/>
                <w:i/>
              </w:rPr>
              <w:t>olema nõutud kahjutase samaväärne piinamise või ebainimliku või väärikust alandava kohtlemise või karistamisega</w:t>
            </w:r>
            <w:r w:rsidRPr="006F55E6">
              <w:t>.</w:t>
            </w:r>
            <w:r w:rsidRPr="00621F31">
              <w:t xml:space="preserve"> </w:t>
            </w:r>
            <w:r>
              <w:t xml:space="preserve">Siiski on taotluse põhjendamisel nõutav juhusliku vägivalla tase madalam siis, kui taotleja suudab näidata, et ta on eriliselt puudutatud konkreetselt talle omaste asjaolude tõttu. Lisaks peaksid menetlevad ametiasutused erandkorras lugema suure ohu esinemise tõendatuks üksnes taotleja viibimisega päritoluriigi territooriumil või selle asjaomases osas siis, kui relvakonflikti iseloomustava juhusliku vägivalla tase on saavutanud sellise määra, et on põhjendatud alus arvata, et tsiviilisik seisaks asjaomasesse päritoluriiki või päritoluriigi asjaomasesse piirkonda tagasipöördumisel pelgalt selle riigi või piirkonna territooriumil viibimise tõttu silmitsi suure ohuga. </w:t>
            </w:r>
            <w:r>
              <w:rPr>
                <w:b/>
                <w:i/>
                <w:color w:val="000000"/>
              </w:rPr>
              <w:t xml:space="preserve">Kuigi Euroopa Liidus ei ole hetkel kokku lepitud keskkonna tõttu ümberasustatud isiku õiguslikus määratluses, et välista see, et liikmesriigid saaksid sellistele isikutele riikliku </w:t>
            </w:r>
            <w:r w:rsidR="00CD43E4">
              <w:rPr>
                <w:b/>
                <w:i/>
                <w:color w:val="000000"/>
              </w:rPr>
              <w:t>õiguse kohaselt</w:t>
            </w:r>
            <w:r>
              <w:rPr>
                <w:b/>
                <w:i/>
                <w:color w:val="000000"/>
              </w:rPr>
              <w:t xml:space="preserve"> kaitset pakkuda.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36</w:t>
            </w:r>
            <w:r>
              <w:t xml:space="preserve"> C-465/07.</w:t>
            </w:r>
          </w:p>
        </w:tc>
        <w:tc>
          <w:tcPr>
            <w:tcW w:w="4876" w:type="dxa"/>
          </w:tcPr>
          <w:p w:rsidR="002F3FB4" w:rsidRDefault="002F3FB4" w:rsidP="00F37676">
            <w:pPr>
              <w:pStyle w:val="Normal6"/>
            </w:pPr>
            <w:r>
              <w:rPr>
                <w:rStyle w:val="Sup"/>
              </w:rPr>
              <w:t>36</w:t>
            </w:r>
            <w:r>
              <w:t xml:space="preserve"> C-465/07.</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215</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36</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(36)</w:t>
            </w:r>
            <w:r w:rsidRPr="00781174">
              <w:tab/>
              <w:t>Kooskõlas Euroopa Liidu Kohtu asjakohase kohtupraktikaga</w:t>
            </w:r>
            <w:r w:rsidRPr="00781174">
              <w:rPr>
                <w:vertAlign w:val="superscript"/>
              </w:rPr>
              <w:t>36</w:t>
            </w:r>
            <w:r w:rsidRPr="00781174">
              <w:t xml:space="preserve"> ei tohiks menetlevad ametiasutused taotleja elu või isikupuutumatuse suhtes suure ja individuaalse ohu esinemise tõendamiseks nõuda taotlejalt tõendite esitamist, et oht ähvardab konkreetselt talle omaste asjaolude tõttu just teda. Siiski on taotluse põhjendamisel nõutav juhusliku vägivalla tase madalam siis, kui taotleja suudab näidata, et ta on eriliselt puudutatud konkreetselt talle omaste asjaolude tõttu. Lisaks peaksid menetlevad ametiasutused erandkorras lugema suure ja individuaalse ohu esinemise tõendatuks üksnes taotleja viibimisega </w:t>
            </w:r>
            <w:r w:rsidRPr="00781174">
              <w:rPr>
                <w:b/>
                <w:i/>
              </w:rPr>
              <w:t xml:space="preserve">päritoluriigi </w:t>
            </w:r>
            <w:r w:rsidRPr="00781174">
              <w:t xml:space="preserve">territooriumil </w:t>
            </w:r>
            <w:r w:rsidRPr="00781174">
              <w:rPr>
                <w:b/>
                <w:i/>
              </w:rPr>
              <w:t xml:space="preserve">või selle asjaomases osas </w:t>
            </w:r>
            <w:r w:rsidRPr="00781174">
              <w:t xml:space="preserve">siis, kui relvakonflikti iseloomustava juhusliku vägivalla tase on saavutanud sellise määra, et on põhjendatud alus arvata, et tsiviilisik seisaks asjaomasesse päritoluriiki </w:t>
            </w:r>
            <w:r w:rsidRPr="00781174">
              <w:rPr>
                <w:b/>
                <w:i/>
              </w:rPr>
              <w:t>või päritoluriigi asjaomasesse piirkonda</w:t>
            </w:r>
            <w:r w:rsidRPr="00781174">
              <w:t xml:space="preserve"> tagasipöördumisel pelgalt selle riigi või piirkonna territooriumil viibimise tõttu silmitsi suure ohuga.</w:t>
            </w:r>
          </w:p>
          <w:p w:rsidR="002F3FB4" w:rsidRPr="00781174" w:rsidRDefault="002F3FB4" w:rsidP="00F37676">
            <w:pPr>
              <w:pStyle w:val="Normal6"/>
            </w:pPr>
          </w:p>
        </w:tc>
        <w:tc>
          <w:tcPr>
            <w:tcW w:w="4876" w:type="dxa"/>
          </w:tcPr>
          <w:p w:rsidR="002F3FB4" w:rsidRPr="00781174" w:rsidRDefault="002F3FB4" w:rsidP="00F37676">
            <w:pPr>
              <w:pStyle w:val="Normal6"/>
              <w:rPr>
                <w:b/>
                <w:i/>
              </w:rPr>
            </w:pPr>
            <w:r w:rsidRPr="00781174">
              <w:t>(36)</w:t>
            </w:r>
            <w:r w:rsidRPr="00781174">
              <w:tab/>
              <w:t>Kooskõlas Euroopa Liidu Kohtu asjakohase kohtupraktikaga</w:t>
            </w:r>
            <w:r w:rsidRPr="00781174">
              <w:rPr>
                <w:vertAlign w:val="superscript"/>
              </w:rPr>
              <w:t>36</w:t>
            </w:r>
            <w:r w:rsidRPr="00781174">
              <w:t xml:space="preserve"> ei tohiks menetlevad ametiasutused taotleja elu või isikupuutumatuse suhtes suure ja individuaalse ohu esinemise tõendamiseks nõuda taotlejalt tõendite esitamist, et oht ähvardab konkreetselt talle omaste asjaolude tõttu just teda. Siiski on taotluse põhjendamisel nõutav juhusliku vägivalla tase madalam siis, kui taotleja suudab näidata, et ta on eriliselt puudutatud konkreetselt talle omaste asjaolude tõttu. Lisaks peaksid menetlevad ametiasutused erandkorras lugema suure ja individuaalse ohu esinemise tõendatuks üksnes taotleja viibimisega territooriumil siis, kui relvakonflikti iseloomustava juhusliku vägivalla tase on saavutanud sellise määra, et on põhjendatud alus arvata, et tsiviilisik seisaks asjaomasesse päritoluriiki tagasipöördumisel pelgalt selle riigi või piirkonna territooriumil viibimise tõttu silmitsi suure ohuga. </w:t>
            </w:r>
            <w:r w:rsidRPr="00781174">
              <w:rPr>
                <w:b/>
                <w:i/>
              </w:rPr>
              <w:t>Samuti tuleks käesoleva määruse kohaldamisel tagada rahvusvaheline kaitse isikutele, keda ähvardab suur loodusõnnetuste või inimtegevusest tingitud katastroofide oht.</w:t>
            </w:r>
          </w:p>
        </w:tc>
      </w:tr>
      <w:tr w:rsidR="002F3FB4" w:rsidRPr="00781174" w:rsidTr="00F37676">
        <w:trPr>
          <w:jc w:val="center"/>
        </w:trPr>
        <w:tc>
          <w:tcPr>
            <w:tcW w:w="4876" w:type="dxa"/>
          </w:tcPr>
          <w:p w:rsidR="002F3FB4" w:rsidRPr="00781174" w:rsidRDefault="002F3FB4" w:rsidP="00F37676">
            <w:pPr>
              <w:pStyle w:val="Normal6"/>
            </w:pPr>
            <w:r w:rsidRPr="00781174">
              <w:t>_________________</w:t>
            </w:r>
          </w:p>
        </w:tc>
        <w:tc>
          <w:tcPr>
            <w:tcW w:w="4876" w:type="dxa"/>
          </w:tcPr>
          <w:p w:rsidR="002F3FB4" w:rsidRPr="00781174" w:rsidRDefault="002F3FB4" w:rsidP="00F37676">
            <w:pPr>
              <w:pStyle w:val="Normal6"/>
            </w:pPr>
            <w:r w:rsidRPr="00781174">
              <w:t>_________________</w:t>
            </w:r>
          </w:p>
        </w:tc>
      </w:tr>
      <w:tr w:rsidR="002F3FB4" w:rsidRPr="00781174" w:rsidTr="00F37676">
        <w:trPr>
          <w:jc w:val="center"/>
        </w:trPr>
        <w:tc>
          <w:tcPr>
            <w:tcW w:w="4876" w:type="dxa"/>
          </w:tcPr>
          <w:p w:rsidR="002F3FB4" w:rsidRPr="00781174" w:rsidRDefault="002F3FB4" w:rsidP="00F37676">
            <w:pPr>
              <w:pStyle w:val="Normal6"/>
            </w:pPr>
            <w:r w:rsidRPr="00781174">
              <w:rPr>
                <w:rStyle w:val="Sup"/>
              </w:rPr>
              <w:t>36</w:t>
            </w:r>
            <w:r w:rsidRPr="00781174">
              <w:t xml:space="preserve"> C-465/07.</w:t>
            </w:r>
          </w:p>
        </w:tc>
        <w:tc>
          <w:tcPr>
            <w:tcW w:w="4876" w:type="dxa"/>
          </w:tcPr>
          <w:p w:rsidR="002F3FB4" w:rsidRPr="00781174" w:rsidRDefault="002F3FB4" w:rsidP="00F37676">
            <w:pPr>
              <w:pStyle w:val="Normal6"/>
            </w:pPr>
            <w:r w:rsidRPr="00781174">
              <w:rPr>
                <w:rStyle w:val="Sup"/>
              </w:rPr>
              <w:t>36</w:t>
            </w:r>
            <w:r w:rsidRPr="00781174">
              <w:t xml:space="preserve"> C-465/07.</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(36)</w:t>
            </w:r>
            <w:r>
              <w:tab/>
              <w:t>Kooskõlas Euroopa Liidu Kohtu asjakohase kohtupraktikaga</w:t>
            </w:r>
            <w:r>
              <w:rPr>
                <w:rStyle w:val="SupBoldItalic"/>
              </w:rPr>
              <w:t>36</w:t>
            </w:r>
            <w:r>
              <w:t xml:space="preserve"> </w:t>
            </w:r>
            <w:r>
              <w:rPr>
                <w:b/>
                <w:i/>
              </w:rPr>
              <w:t>ei tohiks menetlevad ametiasutused taotleja elu või isikupuutumatuse suhtes</w:t>
            </w:r>
            <w:r>
              <w:t xml:space="preserve"> suure </w:t>
            </w:r>
            <w:r>
              <w:rPr>
                <w:b/>
                <w:i/>
              </w:rPr>
              <w:t>ja individuaalse</w:t>
            </w:r>
            <w:r>
              <w:t xml:space="preserve"> ohu esinemise tõendamiseks </w:t>
            </w:r>
            <w:r>
              <w:rPr>
                <w:b/>
                <w:i/>
              </w:rPr>
              <w:t>nõuda taotlejalt tõendite esitamist, et oht ähvardab konkreetselt talle omaste asjaolude tõttu just teda.</w:t>
            </w:r>
            <w:r>
              <w:rPr>
                <w:b/>
                <w:i/>
                <w:color w:val="000000"/>
              </w:rPr>
              <w:t xml:space="preserve"> </w:t>
            </w:r>
            <w:r>
              <w:rPr>
                <w:b/>
                <w:i/>
              </w:rPr>
              <w:t>Siiski on</w:t>
            </w:r>
            <w:r>
              <w:t xml:space="preserve"> taotluse põhjendamisel nõutav juhusliku vägivalla tase madalam siis, kui taotleja suudab näidata, et ta on eriliselt puudutatud konkreetselt talle omaste asjaolude tõttu. Lisaks peaksid menetlevad ametiasutused </w:t>
            </w:r>
            <w:r>
              <w:rPr>
                <w:b/>
                <w:i/>
              </w:rPr>
              <w:t>erandkorras</w:t>
            </w:r>
            <w:r>
              <w:rPr>
                <w:b/>
              </w:rPr>
              <w:t xml:space="preserve"> </w:t>
            </w:r>
            <w:r>
              <w:t xml:space="preserve">lugema suure </w:t>
            </w:r>
            <w:r>
              <w:rPr>
                <w:b/>
                <w:i/>
              </w:rPr>
              <w:t>ja individuaalse</w:t>
            </w:r>
            <w:r>
              <w:t xml:space="preserve"> ohu esinemise tõendatuks üksnes taotleja viibimisega päritoluriigi territooriumil või selle asjaomases osas siis, kui relvakonflikti iseloomustava juhusliku vägivalla tase on saavutanud sellise määra, et on põhjendatud alus arvata, et tsiviilisik seisaks asjaomasesse päritoluriiki või päritoluriigi asjaomasesse piirkonda tagasipöördumisel pelgalt selle riigi või piirkonna territooriumil viibimise tõttu silmitsi suure ohuga.</w:t>
            </w:r>
          </w:p>
        </w:tc>
        <w:tc>
          <w:tcPr>
            <w:tcW w:w="4876" w:type="dxa"/>
          </w:tcPr>
          <w:p w:rsidR="002F3FB4" w:rsidRDefault="002F3FB4" w:rsidP="00F37676">
            <w:pPr>
              <w:pStyle w:val="Normal6"/>
            </w:pPr>
            <w:r>
              <w:t>(36)</w:t>
            </w:r>
            <w:r>
              <w:tab/>
              <w:t xml:space="preserve">Kooskõlas Euroopa Liidu Kohtu </w:t>
            </w:r>
            <w:r>
              <w:rPr>
                <w:b/>
                <w:i/>
              </w:rPr>
              <w:t xml:space="preserve">ja Euroopa Inimõiguste Kohtu </w:t>
            </w:r>
            <w:r>
              <w:t xml:space="preserve">asjakohase kohtupraktikaga </w:t>
            </w:r>
            <w:r>
              <w:rPr>
                <w:b/>
                <w:i/>
              </w:rPr>
              <w:t xml:space="preserve">ei pea </w:t>
            </w:r>
            <w:r>
              <w:t xml:space="preserve">suure ohu esinemise tõendamiseks </w:t>
            </w:r>
            <w:r>
              <w:rPr>
                <w:b/>
                <w:i/>
              </w:rPr>
              <w:t>olema nõutud kahjutase samaväärne piinamise või ebainimliku või väärikust alandava kohtlemise või karistamisega.</w:t>
            </w:r>
            <w:r>
              <w:t xml:space="preserve"> Taotluse põhjendamisel </w:t>
            </w:r>
            <w:r>
              <w:rPr>
                <w:b/>
                <w:i/>
              </w:rPr>
              <w:t xml:space="preserve">on </w:t>
            </w:r>
            <w:r>
              <w:t>nõutav juhusliku vägivalla tase madalam siis, kui taotleja suudab näidata, et ta on eriliselt puudutatud konkreetselt talle omaste asjaolude tõttu. Lisaks peaksid menetlevad ametiasutused lugema suure ohu esinemise tõendatuks üksnes taotleja viibimisega päritoluriigi territooriumil või selle asjaomases osas siis, kui relvakonflikti iseloomustava juhusliku vägivalla tase on saavutanud sellise määra, et on põhjendatud alus arvata, et tsiviilisik seisaks asjaomasesse päritoluriiki või päritoluriigi asjaomasesse piirkonda tagasipöördumisel pelgalt selle riigi või piirkonna territooriumil viibimise tõttu silmitsi suure ohuga.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36</w:t>
            </w:r>
            <w:r>
              <w:t xml:space="preserve"> </w:t>
            </w:r>
            <w:r w:rsidRPr="006F55E6">
              <w:rPr>
                <w:b/>
                <w:i/>
              </w:rPr>
              <w:t>C-465/07.</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217</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(36)</w:t>
            </w:r>
            <w:r>
              <w:tab/>
              <w:t>Kooskõlas Euroopa Liidu Kohtu asjakohase kohtupraktikaga</w:t>
            </w:r>
            <w:r>
              <w:rPr>
                <w:rStyle w:val="Sup"/>
              </w:rPr>
              <w:t>36</w:t>
            </w:r>
            <w:r>
              <w:t xml:space="preserve"> ei tohiks menetlevad ametiasutused taotleja elu või isikupuutumatuse suhtes suure ja individuaalse ohu esinemise tõendamiseks nõuda taotlejalt tõendite esitamist, et oht ähvardab konkreetselt talle omaste asjaolude tõttu just teda. Siiski on taotluse põhjendamisel nõutav juhusliku vägivalla tase madalam siis, kui taotleja suudab näidata, et ta on eriliselt puudutatud konkreetselt talle omaste asjaolude tõttu. Lisaks peaksid menetlevad ametiasutused erandkorras lugema suure ja individuaalse ohu esinemise tõendatuks üksnes taotleja viibimisega päritoluriigi territooriumil </w:t>
            </w:r>
            <w:r>
              <w:rPr>
                <w:b/>
                <w:i/>
              </w:rPr>
              <w:t>või selle asjaomases osas</w:t>
            </w:r>
            <w:r>
              <w:t xml:space="preserve"> siis, kui relvakonflikti iseloomustava juhusliku vägivalla tase on saavutanud sellise määra, et on põhjendatud alus arvata, et tsiviilisik seisaks </w:t>
            </w:r>
            <w:r>
              <w:rPr>
                <w:b/>
                <w:i/>
              </w:rPr>
              <w:t>asjaomasesse</w:t>
            </w:r>
            <w:r>
              <w:rPr>
                <w:b/>
              </w:rPr>
              <w:t xml:space="preserve"> </w:t>
            </w:r>
            <w:r>
              <w:rPr>
                <w:b/>
                <w:i/>
              </w:rPr>
              <w:t>päritoluriiki või</w:t>
            </w:r>
            <w:r>
              <w:t xml:space="preserve"> päritoluriigi </w:t>
            </w:r>
            <w:r>
              <w:rPr>
                <w:b/>
                <w:i/>
              </w:rPr>
              <w:t>asjaomasesse</w:t>
            </w:r>
            <w:r>
              <w:rPr>
                <w:b/>
              </w:rPr>
              <w:t xml:space="preserve"> </w:t>
            </w:r>
            <w:r>
              <w:t xml:space="preserve">piirkonda tagasipöördumisel pelgalt selle riigi </w:t>
            </w:r>
            <w:r>
              <w:rPr>
                <w:b/>
                <w:i/>
              </w:rPr>
              <w:t>või piirkonna</w:t>
            </w:r>
            <w:r>
              <w:t xml:space="preserve"> territooriumil viibimise tõttu silmitsi suure ohuga.</w:t>
            </w:r>
          </w:p>
        </w:tc>
        <w:tc>
          <w:tcPr>
            <w:tcW w:w="4876" w:type="dxa"/>
          </w:tcPr>
          <w:p w:rsidR="002F3FB4" w:rsidRDefault="002F3FB4" w:rsidP="00F37676">
            <w:pPr>
              <w:pStyle w:val="Normal6"/>
            </w:pPr>
            <w:r>
              <w:t>(36)</w:t>
            </w:r>
            <w:r>
              <w:tab/>
              <w:t>Kooskõlas Euroopa Liidu Kohtu asjakohase kohtupraktikaga</w:t>
            </w:r>
            <w:r>
              <w:rPr>
                <w:rStyle w:val="Sup"/>
              </w:rPr>
              <w:t>36</w:t>
            </w:r>
            <w:r>
              <w:t xml:space="preserve"> ei tohiks menetlevad ametiasutused taotleja elu või isikupuutumatuse suhtes suure ja individuaalse ohu esinemise tõendamiseks nõuda taotlejalt tõendite esitamist, et oht ähvardab konkreetselt talle omaste asjaolude tõttu just teda. Siiski on taotluse põhjendamisel nõutav juhusliku vägivalla tase madalam siis, kui taotleja suudab näidata, et ta on eriliselt puudutatud konkreetselt talle omaste asjaolude tõttu. Lisaks peaksid menetlevad ametiasutused erandkorras lugema suure ja individuaalse ohu esinemise tõendatuks üksnes taotleja viibimisega päritoluriigi territooriumil siis, kui relvakonflikti iseloomustava juhusliku vägivalla tase on saavutanud sellise määra, et on põhjendatud alus arvata, et tsiviilisik seisaks </w:t>
            </w:r>
            <w:r w:rsidRPr="006F55E6">
              <w:rPr>
                <w:b/>
                <w:i/>
              </w:rPr>
              <w:t>ükskõik millisesse</w:t>
            </w:r>
            <w:r>
              <w:t xml:space="preserve"> päritoluriigi piirkonda tagasipöördumisel pelgalt selle riigi territooriumil viibimise tõttu silmitsi suure ohuga.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36</w:t>
            </w:r>
            <w:r>
              <w:t xml:space="preserve"> C-465/07.</w:t>
            </w:r>
          </w:p>
        </w:tc>
        <w:tc>
          <w:tcPr>
            <w:tcW w:w="4876" w:type="dxa"/>
          </w:tcPr>
          <w:p w:rsidR="002F3FB4" w:rsidRDefault="002F3FB4" w:rsidP="00F37676">
            <w:pPr>
              <w:pStyle w:val="Normal6"/>
            </w:pPr>
            <w:r>
              <w:rPr>
                <w:rStyle w:val="Sup"/>
              </w:rPr>
              <w:t>36</w:t>
            </w:r>
            <w:r>
              <w:t xml:space="preserve"> C-465/07.</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Põhjendust muudetakse, võttes arvesse riigisisese kaitse võimaluse hindamise ettepanekut.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218</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36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(36 a)</w:t>
            </w:r>
            <w:r>
              <w:tab/>
            </w:r>
            <w:r>
              <w:rPr>
                <w:b/>
                <w:i/>
                <w:color w:val="000000"/>
              </w:rPr>
              <w:t xml:space="preserve">Isik, kes vajab kaitset, sest ta ei saa pöörduda tagasi oma päritoluriiki inimtegevusest tingitud või loodusõnnetuse tõttu, peaks </w:t>
            </w:r>
            <w:r w:rsidR="00CD43E4">
              <w:rPr>
                <w:b/>
                <w:i/>
                <w:color w:val="000000"/>
              </w:rPr>
              <w:t xml:space="preserve">käesoleva määruse alusel </w:t>
            </w:r>
            <w:r>
              <w:rPr>
                <w:b/>
                <w:i/>
                <w:color w:val="000000"/>
              </w:rPr>
              <w:t xml:space="preserve">samuti </w:t>
            </w:r>
            <w:r w:rsidR="00CD43E4">
              <w:rPr>
                <w:b/>
                <w:i/>
                <w:color w:val="000000"/>
              </w:rPr>
              <w:t xml:space="preserve">kaitse saajaks </w:t>
            </w:r>
            <w:r>
              <w:rPr>
                <w:b/>
                <w:i/>
                <w:color w:val="000000"/>
              </w:rPr>
              <w:t>kvalifitseeruma.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219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36 b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(36 b)</w:t>
            </w:r>
            <w:r>
              <w:tab/>
            </w:r>
            <w:r>
              <w:rPr>
                <w:b/>
                <w:i/>
                <w:color w:val="000000"/>
              </w:rPr>
              <w:t>Loodusõnnetused või inimtegevusest tingitud katastroofid on järgmised: kliimamuutus</w:t>
            </w:r>
            <w:r w:rsidR="00CD43E4">
              <w:rPr>
                <w:b/>
                <w:i/>
                <w:color w:val="000000"/>
              </w:rPr>
              <w:t>t</w:t>
            </w:r>
            <w:r>
              <w:rPr>
                <w:b/>
                <w:i/>
                <w:color w:val="000000"/>
              </w:rPr>
              <w:t>e mõju, maa hõivamine, vee hõivamine, elupaiga kõrbestumine, sun</w:t>
            </w:r>
            <w:r w:rsidR="001D7A6E">
              <w:rPr>
                <w:b/>
                <w:i/>
                <w:color w:val="000000"/>
              </w:rPr>
              <w:t>niviisiline külade moodustamine</w:t>
            </w:r>
            <w:r>
              <w:rPr>
                <w:b/>
                <w:i/>
                <w:color w:val="000000"/>
              </w:rPr>
              <w:t>, samuti keskkonnakatastroofid ja sõjast tulenev saaste.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Hetkel ei kaitse rahvusvaheline õigus keskkonnapagulasi. Kui keskkonnapagulased saadetakse kodumaale tagasi, lähevad nad erinevalt ÜRO 1951. aasta pagulas</w:t>
      </w:r>
      <w:r w:rsidR="009378AE">
        <w:rPr>
          <w:noProof w:val="0"/>
        </w:rPr>
        <w:t>seisundi</w:t>
      </w:r>
      <w:r>
        <w:rPr>
          <w:noProof w:val="0"/>
        </w:rPr>
        <w:t xml:space="preserve"> konventsiooni kohaldamisalasse kuuluvatest pagulastest tagasi laastatud riiki või sunnitakse nad põgenikelaagritesse </w:t>
      </w:r>
      <w:r w:rsidR="009378AE">
        <w:rPr>
          <w:noProof w:val="0"/>
        </w:rPr>
        <w:t>minema</w:t>
      </w:r>
      <w:r>
        <w:rPr>
          <w:noProof w:val="0"/>
        </w:rPr>
        <w:t>. Kliimamuutus ei mõjuta mitte ainult keskkonda</w:t>
      </w:r>
      <w:r w:rsidR="009378AE">
        <w:rPr>
          <w:noProof w:val="0"/>
        </w:rPr>
        <w:t>,</w:t>
      </w:r>
      <w:r>
        <w:rPr>
          <w:noProof w:val="0"/>
        </w:rPr>
        <w:t xml:space="preserve"> vaid ka inimeste elu kõiki aspekte,</w:t>
      </w:r>
      <w:r w:rsidR="009378AE">
        <w:rPr>
          <w:noProof w:val="0"/>
        </w:rPr>
        <w:t xml:space="preserve"> </w:t>
      </w:r>
      <w:r>
        <w:rPr>
          <w:noProof w:val="0"/>
        </w:rPr>
        <w:t>alates valitsuste ja majanduse stabiilsusest kuni terviseni.</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(37)</w:t>
            </w:r>
            <w:r>
              <w:tab/>
              <w:t xml:space="preserve">Elamisload või reisidokumendid, mis antakse rahvusvahelise kaitse saajatele välja esimest korda või mida pikendatakse pärast käesoleva </w:t>
            </w:r>
            <w:r>
              <w:rPr>
                <w:b/>
                <w:i/>
              </w:rPr>
              <w:t>määruse</w:t>
            </w:r>
            <w:r>
              <w:t xml:space="preserve"> jõustumist, peavad vastama nõuetele, mis on sätestatud vastavalt määruses (EÜ) nr 1030/2002 ja nõukogu määruses (EÜ) nr 2252/2004.</w:t>
            </w:r>
          </w:p>
        </w:tc>
        <w:tc>
          <w:tcPr>
            <w:tcW w:w="4876" w:type="dxa"/>
          </w:tcPr>
          <w:p w:rsidR="002F3FB4" w:rsidRDefault="002F3FB4" w:rsidP="00F37676">
            <w:pPr>
              <w:pStyle w:val="Normal6"/>
            </w:pPr>
            <w:r>
              <w:t>(37)</w:t>
            </w:r>
            <w:r>
              <w:tab/>
              <w:t xml:space="preserve">Elamisload või reisidokumendid, mis antakse rahvusvahelise kaitse saajatele välja esimest korda või mida pikendatakse pärast käesoleva </w:t>
            </w:r>
            <w:r>
              <w:rPr>
                <w:b/>
                <w:i/>
              </w:rPr>
              <w:t xml:space="preserve">direktiivi </w:t>
            </w:r>
            <w:r>
              <w:t>jõustumist, peavad vastama nõuetele, mis on sätestatud vastavalt määruses (EÜ) nr 1030/2002 ja nõukogu määruses (EÜ) nr 2252/2004.</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(37)</w:t>
            </w:r>
            <w:r>
              <w:tab/>
              <w:t xml:space="preserve">Elamisload või reisidokumendid, mis antakse rahvusvahelise kaitse saajatele välja </w:t>
            </w:r>
            <w:r>
              <w:rPr>
                <w:b/>
                <w:i/>
              </w:rPr>
              <w:t>esimest korda või mida pikendatakse</w:t>
            </w:r>
            <w:r>
              <w:t xml:space="preserve"> pärast käesoleva määruse jõustumist, peavad vastama nõuetele, mis on sätestatud vastavalt määruses (EÜ) nr 1030/2002 ja nõukogu määruses (EÜ) nr 2252/2004.</w:t>
            </w:r>
          </w:p>
        </w:tc>
        <w:tc>
          <w:tcPr>
            <w:tcW w:w="4876" w:type="dxa"/>
          </w:tcPr>
          <w:p w:rsidR="002F3FB4" w:rsidRDefault="002F3FB4" w:rsidP="00F37676">
            <w:pPr>
              <w:pStyle w:val="Normal6"/>
            </w:pPr>
            <w:r>
              <w:t>(37)</w:t>
            </w:r>
            <w:r>
              <w:tab/>
              <w:t>Elamisload või reisidokumendid, mis antakse rahvusvahelise kaitse saajatele välja pärast käesoleva määruse jõustumist, peavad vastama nõuetele, mis on sätestatud vastavalt määruses (EÜ) nr 1030/2002 ja nõukogu määruses (EÜ) nr 2252/2004.</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222</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(38)</w:t>
            </w:r>
            <w:r>
              <w:tab/>
            </w:r>
            <w:r>
              <w:rPr>
                <w:b/>
                <w:i/>
              </w:rPr>
              <w:t>Pereliikmete suhtes valitseb üldjuhul neid ja pagulast ühendavate lähisidemete tõttu selline tagakiusamise oht, mis võib olla alus rahvusvahelise kaitse</w:t>
            </w:r>
            <w:r>
              <w:rPr>
                <w:i/>
              </w:rPr>
              <w:t xml:space="preserve"> </w:t>
            </w:r>
            <w:r>
              <w:rPr>
                <w:b/>
                <w:i/>
              </w:rPr>
              <w:t>andmiseks.</w:t>
            </w:r>
            <w:r>
              <w:rPr>
                <w:b/>
                <w:i/>
                <w:color w:val="000000"/>
              </w:rPr>
              <w:t xml:space="preserve"> </w:t>
            </w:r>
            <w:r>
              <w:rPr>
                <w:b/>
                <w:i/>
              </w:rPr>
              <w:t xml:space="preserve">Juhul kui nad ei kvalifitseeru rahvusvahelise kaitse saamiseks, </w:t>
            </w:r>
            <w:r>
              <w:t xml:space="preserve">on </w:t>
            </w:r>
            <w:r>
              <w:rPr>
                <w:b/>
                <w:i/>
              </w:rPr>
              <w:t>neil</w:t>
            </w:r>
            <w:r>
              <w:rPr>
                <w:b/>
              </w:rPr>
              <w:t xml:space="preserve"> </w:t>
            </w:r>
            <w:r>
              <w:t xml:space="preserve">perekonna ühtsuse säilitamiseks õigus taotleda elamisluba </w:t>
            </w:r>
            <w:r>
              <w:rPr>
                <w:b/>
                <w:i/>
              </w:rPr>
              <w:t>ja samu õigusi nagu võimaldatakse</w:t>
            </w:r>
            <w:r>
              <w:t xml:space="preserve"> rahvusvahelise kaitse </w:t>
            </w:r>
            <w:r>
              <w:rPr>
                <w:b/>
                <w:i/>
              </w:rPr>
              <w:t>saajatele</w:t>
            </w:r>
            <w:r w:rsidRPr="006F55E6">
              <w:t>.</w:t>
            </w:r>
            <w:r w:rsidRPr="00621F31">
              <w:t xml:space="preserve"> </w:t>
            </w:r>
            <w:r>
              <w:t>Piiramata käesolevas määruses perekonna ühtsuse säilitamise kohta sätestatut, tuleks juhul, kui olukord kuulub 2003/86/EÜ (perekonna taasühinemise õiguse kohta) kohaldamisalasse ja selles sätestatud taasühinemise tingimused on täidetud, anda rahvusvahelise kaitse saaja pereliikmetele, kes individuaalselt ei kvalifitseeru sellisele kaitsele, kõnealuse direktiivi kohaselt elamisload ja õigused. Käesoleva määruse kohaldamisega ei piirata direktiivi 2004/38/EÜ.</w:t>
            </w:r>
          </w:p>
        </w:tc>
        <w:tc>
          <w:tcPr>
            <w:tcW w:w="4876" w:type="dxa"/>
          </w:tcPr>
          <w:p w:rsidR="002F3FB4" w:rsidRDefault="002F3FB4" w:rsidP="00F37676">
            <w:pPr>
              <w:pStyle w:val="Normal6"/>
            </w:pPr>
            <w:r>
              <w:t>(38)</w:t>
            </w:r>
            <w:r>
              <w:tab/>
            </w:r>
            <w:r>
              <w:rPr>
                <w:b/>
                <w:i/>
              </w:rPr>
              <w:t>Pereliikmetel</w:t>
            </w:r>
            <w:r>
              <w:rPr>
                <w:b/>
              </w:rPr>
              <w:t xml:space="preserve"> </w:t>
            </w:r>
            <w:r>
              <w:t>on perekonna ühtsuse säilitamiseks õigus taotleda elamisluba</w:t>
            </w:r>
            <w:r w:rsidRPr="006F55E6">
              <w:rPr>
                <w:b/>
                <w:i/>
              </w:rPr>
              <w:t>,</w:t>
            </w:r>
            <w:r w:rsidRPr="00621F31">
              <w:rPr>
                <w:b/>
                <w:i/>
              </w:rPr>
              <w:t xml:space="preserve"> </w:t>
            </w:r>
            <w:r>
              <w:rPr>
                <w:b/>
                <w:i/>
              </w:rPr>
              <w:t xml:space="preserve">mille kehtivusaeg ei ületa </w:t>
            </w:r>
            <w:r>
              <w:t>rahvusvahelise kaitse</w:t>
            </w:r>
            <w:r>
              <w:rPr>
                <w:b/>
                <w:i/>
              </w:rPr>
              <w:t xml:space="preserve"> saaja elamisloa kehtivusaega</w:t>
            </w:r>
            <w:r w:rsidRPr="006F55E6">
              <w:t>.</w:t>
            </w:r>
            <w:r>
              <w:t xml:space="preserve"> Piiramata käesolevas määruses perekonna ühtsuse säilitamise kohta sätestatut, tuleks juhul, kui olukord kuulub 2003/86/EÜ (perekonna taasühinemise õiguse kohta) kohaldamisalasse ja selles sätestatud taasühinemise tingimused on täidetud, anda rahvusvahelise kaitse saaja pereliikmetele, kes individuaalselt ei kvalifitseeru sellisele kaitsele, kõnealuse direktiivi kohaselt elamisload ja õigused. Käesoleva määruse kohaldamisega ei piirata direktiivi 2004/38/EÜ.</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(38)</w:t>
            </w:r>
            <w:r>
              <w:tab/>
              <w:t xml:space="preserve">Pereliikmete suhtes valitseb üldjuhul neid ja </w:t>
            </w:r>
            <w:r>
              <w:rPr>
                <w:b/>
                <w:i/>
              </w:rPr>
              <w:t>pagulast</w:t>
            </w:r>
            <w:r>
              <w:rPr>
                <w:b/>
              </w:rPr>
              <w:t xml:space="preserve"> </w:t>
            </w:r>
            <w:r>
              <w:t xml:space="preserve">ühendavate lähisidemete tõttu selline tagakiusamise oht, mis võib olla alus rahvusvahelise kaitse andmiseks. Juhul kui nad ei kvalifitseeru rahvusvahelise kaitse saamiseks, on neil perekonna ühtsuse säilitamiseks õigus taotleda elamisluba ja samu õigusi nagu võimaldatakse rahvusvahelise kaitse saajatele. Piiramata käesolevas </w:t>
            </w:r>
            <w:r>
              <w:rPr>
                <w:b/>
                <w:i/>
              </w:rPr>
              <w:t>määruses</w:t>
            </w:r>
            <w:r>
              <w:t xml:space="preserve"> perekonna ühtsuse säilitamise kohta sätestatut, tuleks juhul, kui olukord kuulub 2003/86/EÜ (perekonna taasühinemise õiguse kohta) kohaldamisalasse ja selles sätestatud taasühinemise tingimused on täidetud, anda rahvusvahelise kaitse saaja pereliikmetele, kes individuaalselt ei kvalifitseeru sellisele kaitsele, kõnealuse direktiivi kohaselt elamisload ja õigused. Käesoleva </w:t>
            </w:r>
            <w:r>
              <w:rPr>
                <w:b/>
                <w:i/>
              </w:rPr>
              <w:t>määruse</w:t>
            </w:r>
            <w:r>
              <w:t xml:space="preserve"> kohaldamisega ei piirata direktiivi 2004/38/EÜ.</w:t>
            </w:r>
          </w:p>
        </w:tc>
        <w:tc>
          <w:tcPr>
            <w:tcW w:w="4876" w:type="dxa"/>
          </w:tcPr>
          <w:p w:rsidR="002F3FB4" w:rsidRDefault="002F3FB4" w:rsidP="00F37676">
            <w:pPr>
              <w:pStyle w:val="Normal6"/>
            </w:pPr>
            <w:r>
              <w:t>(38)</w:t>
            </w:r>
            <w:r>
              <w:tab/>
              <w:t xml:space="preserve">Pereliikmete suhtes valitseb üldjuhul neid ja </w:t>
            </w:r>
            <w:r>
              <w:rPr>
                <w:b/>
                <w:i/>
              </w:rPr>
              <w:t>rahvusvahelise kaitse saajat</w:t>
            </w:r>
            <w:r>
              <w:t xml:space="preserve"> ühendavate lähisidemete tõttu selline tagakiusamise oht, mis võib olla alus rahvusvahelise kaitse andmiseks. Juhul kui nad ei kvalifitseeru rahvusvahelise kaitse saamiseks, on neil perekonna ühtsuse säilitamiseks õigus taotleda elamisluba ja samu õigusi nagu võimaldatakse rahvusvahelise kaitse saajatele. Piiramata käesolevas </w:t>
            </w:r>
            <w:r>
              <w:rPr>
                <w:b/>
                <w:i/>
              </w:rPr>
              <w:t>direktiivis</w:t>
            </w:r>
            <w:r>
              <w:t xml:space="preserve"> perekonna ühtsuse säilitamise kohta sätestatut, tuleks juhul, kui olukord kuulub 2003/86/EÜ (perekonna taasühinemise õiguse kohta) kohaldamisalasse ja selles sätestatud taasühinemise tingimused on täidetud, anda rahvusvahelise kaitse saaja pereliikmetele, kes individuaalselt ei kvalifitseeru sellisele kaitsele, kõnealuse direktiivi kohaselt elamisload ja õigused. Käesoleva </w:t>
            </w:r>
            <w:r>
              <w:rPr>
                <w:b/>
                <w:i/>
              </w:rPr>
              <w:t>direktiivi</w:t>
            </w:r>
            <w:r>
              <w:t xml:space="preserve"> kohaldamisega ei piirata direktiivi 2004/38/EÜ.</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224</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38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(38 a)</w:t>
            </w:r>
            <w:r>
              <w:tab/>
            </w:r>
            <w:r>
              <w:rPr>
                <w:b/>
                <w:i/>
                <w:color w:val="000000"/>
              </w:rPr>
              <w:t>Et hoida ära süsteemi kuritarvitamist, peaksid liikmesriigid hindama, kas rahvusvahelise kaitse saaja ja tema abikaasa vaheline abielu on sõlmitud tõelise suhte tulemusena.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Põhjendus on kooskõlas artikli 25 lõike 3 a (uus) kohta tehtud ettepanekuga.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(39)</w:t>
            </w:r>
            <w:r>
              <w:tab/>
            </w:r>
            <w:r>
              <w:rPr>
                <w:b/>
                <w:i/>
              </w:rPr>
              <w:t>Selleks et hinnata, kas rahvusvahelise kaitse saajad seda kaitset endiselt vajavad, peaksid menetlevad ametiasutused antud seisundi läbi vaatama siis, kui nad pikendavad elamisluba pagulaste puhul esimest korda ning täiendava kaitse saajate puhul esimest ja teist korda,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BoldItalic"/>
              </w:rPr>
              <w:t>37</w:t>
            </w:r>
            <w:r>
              <w:rPr>
                <w:b/>
                <w:i/>
              </w:rPr>
              <w:t xml:space="preserve"> artiklitega 8 ja 10.</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37</w:t>
            </w:r>
            <w:r>
              <w:t xml:space="preserve"> </w:t>
            </w:r>
            <w:r w:rsidR="005C38F5" w:rsidRPr="006F55E6">
              <w:rPr>
                <w:b/>
                <w:i/>
                <w:lang w:val="pt-PT"/>
              </w:rPr>
              <w:t>COM(2016) 271 (final).</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Pr="006E092A"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226</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(39)</w:t>
            </w:r>
            <w:r>
              <w:tab/>
              <w:t xml:space="preserve">Selleks et hinnata, kas rahvusvahelise kaitse saajad seda kaitset endiselt vajavad, </w:t>
            </w:r>
            <w:r>
              <w:rPr>
                <w:b/>
                <w:i/>
              </w:rPr>
              <w:t>peaksid</w:t>
            </w:r>
            <w:r>
              <w:t xml:space="preserve"> menetlevad ametiasutused antud seisundi läbi </w:t>
            </w:r>
            <w:r>
              <w:rPr>
                <w:b/>
                <w:i/>
              </w:rPr>
              <w:t>vaatama</w:t>
            </w:r>
            <w:r>
              <w:t xml:space="preserve"> siis, </w:t>
            </w:r>
            <w:r w:rsidRPr="006F55E6">
              <w:t xml:space="preserve">kui </w:t>
            </w:r>
            <w:r>
              <w:rPr>
                <w:b/>
                <w:i/>
              </w:rPr>
              <w:t>nad pikendavad elamisluba pagulaste puhul esimest korda ning täiendava kaitse saajate puhul esimest ja teist korda, samuti siis</w:t>
            </w:r>
            <w:r>
              <w:t xml:space="preserve"> </w:t>
            </w:r>
            <w:r w:rsidRPr="006F55E6">
              <w:rPr>
                <w:b/>
                <w:i/>
              </w:rPr>
              <w:t>kui</w:t>
            </w:r>
            <w:r>
              <w:t xml:space="preserve">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c>
          <w:tcPr>
            <w:tcW w:w="4876" w:type="dxa"/>
          </w:tcPr>
          <w:p w:rsidR="002F3FB4" w:rsidRDefault="002F3FB4" w:rsidP="00F37676">
            <w:pPr>
              <w:pStyle w:val="Normal6"/>
            </w:pPr>
            <w:r>
              <w:t>(39)</w:t>
            </w:r>
            <w:r>
              <w:tab/>
              <w:t xml:space="preserve">Selleks et hinnata, kas rahvusvahelise kaitse saajad seda kaitset endiselt vajavad, </w:t>
            </w:r>
            <w:r>
              <w:rPr>
                <w:b/>
                <w:i/>
              </w:rPr>
              <w:t>võivad</w:t>
            </w:r>
            <w:r>
              <w:t xml:space="preserve"> menetlevad ametiasutused antud seisundi läbi </w:t>
            </w:r>
            <w:r>
              <w:rPr>
                <w:b/>
                <w:i/>
              </w:rPr>
              <w:t>vaadata</w:t>
            </w:r>
            <w:r>
              <w:t xml:space="preserve">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37</w:t>
            </w:r>
            <w:r>
              <w:t xml:space="preserve"> </w:t>
            </w:r>
            <w:r w:rsidR="005C38F5">
              <w:rPr>
                <w:lang w:val="pt-PT"/>
              </w:rPr>
              <w:t>COM(2016) 271 (final).</w:t>
            </w:r>
          </w:p>
        </w:tc>
        <w:tc>
          <w:tcPr>
            <w:tcW w:w="4876" w:type="dxa"/>
          </w:tcPr>
          <w:p w:rsidR="002F3FB4" w:rsidRDefault="002F3FB4" w:rsidP="00F37676">
            <w:pPr>
              <w:pStyle w:val="Normal6"/>
            </w:pPr>
            <w:r>
              <w:rPr>
                <w:rStyle w:val="Sup"/>
              </w:rPr>
              <w:t>37</w:t>
            </w:r>
            <w:r>
              <w:t xml:space="preserve"> </w:t>
            </w:r>
            <w:r w:rsidR="005C38F5">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227</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(39)</w:t>
            </w:r>
            <w:r>
              <w:tab/>
              <w:t xml:space="preserve">Selleks et hinnata, kas rahvusvahelise kaitse saajad seda kaitset endiselt vajavad, peaksid menetlevad ametiasutused antud seisundi läbi vaatama siis, </w:t>
            </w:r>
            <w:r w:rsidRPr="006F55E6">
              <w:t>kui</w:t>
            </w:r>
            <w:r>
              <w:rPr>
                <w:b/>
                <w:i/>
              </w:rPr>
              <w:t xml:space="preserve"> nad pikendavad elamisluba pagulaste puhul esimest korda ning täiendava kaitse saajate puhul esimest ja teist korda, samuti siis</w:t>
            </w:r>
            <w:r>
              <w:t xml:space="preserve"> </w:t>
            </w:r>
            <w:r w:rsidRPr="006F55E6">
              <w:rPr>
                <w:b/>
                <w:i/>
              </w:rPr>
              <w:t>kui</w:t>
            </w:r>
            <w:r>
              <w:t xml:space="preserve">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c>
          <w:tcPr>
            <w:tcW w:w="4876" w:type="dxa"/>
          </w:tcPr>
          <w:p w:rsidR="002F3FB4" w:rsidRDefault="002F3FB4" w:rsidP="00F37676">
            <w:pPr>
              <w:pStyle w:val="Normal6"/>
            </w:pPr>
            <w:r>
              <w:t>(39)</w:t>
            </w:r>
            <w:r>
              <w:tab/>
              <w:t>Selleks et hinnata, kas rahvusvahelise kaitse saajad seda kaitset endiselt vajavad, peaksid menetlevad ametiasutused antud seisundi läbi vaatama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37</w:t>
            </w:r>
            <w:r>
              <w:t xml:space="preserve"> </w:t>
            </w:r>
            <w:r w:rsidR="005C38F5">
              <w:rPr>
                <w:lang w:val="pt-PT"/>
              </w:rPr>
              <w:t>COM(2016) 271 (final).</w:t>
            </w:r>
          </w:p>
        </w:tc>
        <w:tc>
          <w:tcPr>
            <w:tcW w:w="4876" w:type="dxa"/>
          </w:tcPr>
          <w:p w:rsidR="002F3FB4" w:rsidRDefault="002F3FB4" w:rsidP="00F37676">
            <w:pPr>
              <w:pStyle w:val="Normal6"/>
            </w:pPr>
            <w:r>
              <w:rPr>
                <w:rStyle w:val="Sup"/>
              </w:rPr>
              <w:t>37</w:t>
            </w:r>
            <w:r>
              <w:t xml:space="preserve"> </w:t>
            </w:r>
            <w:r w:rsidR="005C38F5">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Kaitsevajaduste läbivaatamine oleks elamisloa läbivaatamise ajal liikmesriikide menetlevate ametiasutuste jaoks äärmiselt ressursimahukas. Hoolimata sellest peaksid liikmesriikide menetlevad ametiasutused vaatama läbi rahvusvahelise kaitse staatuse, kui Euroopa Liidu Varjupaigaamet täheldab olulist asjaomast muutust kaitse saajate päritoluriigis.</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228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39</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(39)</w:t>
            </w:r>
            <w:r w:rsidRPr="00781174">
              <w:tab/>
              <w:t xml:space="preserve">Selleks et hinnata, kas rahvusvahelise kaitse saajad seda kaitset endiselt vajavad, </w:t>
            </w:r>
            <w:r w:rsidRPr="00781174">
              <w:rPr>
                <w:b/>
                <w:i/>
              </w:rPr>
              <w:t>peaksid</w:t>
            </w:r>
            <w:r w:rsidRPr="00781174">
              <w:t xml:space="preserve"> menetlevad ametiasutused antud seisundi läbi </w:t>
            </w:r>
            <w:r w:rsidRPr="00781174">
              <w:rPr>
                <w:b/>
                <w:i/>
              </w:rPr>
              <w:t>vaatama</w:t>
            </w:r>
            <w:r w:rsidRPr="00781174">
              <w:t xml:space="preserve"> siis, kui </w:t>
            </w:r>
            <w:r w:rsidRPr="00781174">
              <w:rPr>
                <w:b/>
                <w:i/>
              </w:rPr>
              <w:t>nad pikendavad elamisluba pagulaste puhul esimest korda ning täiendava kaitse saajate puhul esimest ja teist korda, samuti siis kui</w:t>
            </w:r>
            <w:r w:rsidRPr="00781174">
              <w:t xml:space="preserve">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sidRPr="00781174">
              <w:rPr>
                <w:vertAlign w:val="superscript"/>
              </w:rPr>
              <w:t>37</w:t>
            </w:r>
            <w:r w:rsidRPr="00781174">
              <w:t xml:space="preserve"> artiklitega 8 ja 10.</w:t>
            </w:r>
          </w:p>
        </w:tc>
        <w:tc>
          <w:tcPr>
            <w:tcW w:w="4876" w:type="dxa"/>
          </w:tcPr>
          <w:p w:rsidR="002F3FB4" w:rsidRPr="00781174" w:rsidRDefault="002F3FB4" w:rsidP="00F37676">
            <w:pPr>
              <w:pStyle w:val="Normal6"/>
            </w:pPr>
            <w:r w:rsidRPr="00781174">
              <w:t>(39)</w:t>
            </w:r>
            <w:r w:rsidRPr="00781174">
              <w:tab/>
              <w:t xml:space="preserve">Selleks et hinnata, kas rahvusvahelise kaitse saajad seda kaitset endiselt vajavad, </w:t>
            </w:r>
            <w:r w:rsidRPr="00781174">
              <w:rPr>
                <w:b/>
                <w:i/>
              </w:rPr>
              <w:t>võivad</w:t>
            </w:r>
            <w:r w:rsidRPr="00781174">
              <w:t xml:space="preserve"> menetlevad ametiasutused antud seisundi läbi </w:t>
            </w:r>
            <w:r w:rsidRPr="00781174">
              <w:rPr>
                <w:b/>
                <w:i/>
              </w:rPr>
              <w:t xml:space="preserve">vaadata </w:t>
            </w:r>
            <w:r w:rsidRPr="00781174">
              <w:t>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sidRPr="00781174">
              <w:rPr>
                <w:vertAlign w:val="superscript"/>
              </w:rPr>
              <w:t>37</w:t>
            </w:r>
            <w:r w:rsidRPr="00781174">
              <w:t xml:space="preserve"> artiklitega 8 ja 10.</w:t>
            </w:r>
          </w:p>
        </w:tc>
      </w:tr>
      <w:tr w:rsidR="002F3FB4" w:rsidRPr="00781174" w:rsidTr="00F37676">
        <w:trPr>
          <w:jc w:val="center"/>
        </w:trPr>
        <w:tc>
          <w:tcPr>
            <w:tcW w:w="4876" w:type="dxa"/>
          </w:tcPr>
          <w:p w:rsidR="002F3FB4" w:rsidRPr="00781174" w:rsidRDefault="002F3FB4" w:rsidP="00F37676">
            <w:pPr>
              <w:pStyle w:val="Normal6"/>
            </w:pPr>
            <w:r w:rsidRPr="00781174">
              <w:t>_________________</w:t>
            </w:r>
          </w:p>
        </w:tc>
        <w:tc>
          <w:tcPr>
            <w:tcW w:w="4876" w:type="dxa"/>
          </w:tcPr>
          <w:p w:rsidR="002F3FB4" w:rsidRPr="00781174" w:rsidRDefault="002F3FB4" w:rsidP="00F37676">
            <w:pPr>
              <w:pStyle w:val="Normal6"/>
            </w:pPr>
            <w:r w:rsidRPr="00781174">
              <w:t>_________________</w:t>
            </w:r>
          </w:p>
        </w:tc>
      </w:tr>
      <w:tr w:rsidR="002F3FB4" w:rsidRPr="00781174" w:rsidTr="00F37676">
        <w:trPr>
          <w:jc w:val="center"/>
        </w:trPr>
        <w:tc>
          <w:tcPr>
            <w:tcW w:w="4876" w:type="dxa"/>
          </w:tcPr>
          <w:p w:rsidR="002F3FB4" w:rsidRPr="00781174" w:rsidRDefault="002F3FB4" w:rsidP="00F37676">
            <w:pPr>
              <w:pStyle w:val="Normal6"/>
            </w:pPr>
            <w:r w:rsidRPr="00781174">
              <w:rPr>
                <w:rStyle w:val="Sup"/>
              </w:rPr>
              <w:t>37</w:t>
            </w:r>
            <w:r w:rsidRPr="00781174">
              <w:t xml:space="preserve"> COM(2016) 271 (final).</w:t>
            </w:r>
          </w:p>
        </w:tc>
        <w:tc>
          <w:tcPr>
            <w:tcW w:w="4876" w:type="dxa"/>
          </w:tcPr>
          <w:p w:rsidR="002F3FB4" w:rsidRPr="00781174" w:rsidRDefault="002F3FB4" w:rsidP="00F37676">
            <w:pPr>
              <w:pStyle w:val="Normal6"/>
            </w:pPr>
            <w:r w:rsidRPr="00781174">
              <w:rPr>
                <w:rStyle w:val="Sup"/>
              </w:rPr>
              <w:t>37</w:t>
            </w:r>
            <w:r w:rsidRPr="00781174">
              <w:t xml:space="preserve"> COM(2016) 271 (final).</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229</w:t>
      </w:r>
      <w:r>
        <w:rPr>
          <w:rStyle w:val="HideTWBExt"/>
          <w:b w:val="0"/>
          <w:noProof w:val="0"/>
        </w:rPr>
        <w:t>&lt;/NumAmB&gt;</w:t>
      </w:r>
    </w:p>
    <w:p w:rsidR="002F3FB4" w:rsidRDefault="002F3FB4" w:rsidP="002F3FB4">
      <w:pPr>
        <w:pStyle w:val="NormalBold"/>
      </w:pPr>
      <w:r>
        <w:rPr>
          <w:rStyle w:val="HideTWBExt"/>
          <w:b w:val="0"/>
          <w:noProof w:val="0"/>
        </w:rPr>
        <w:t>&lt;RepeatBlock-By&gt;&lt;Members&gt;</w:t>
      </w:r>
      <w:r>
        <w:t>Jeroen Lenaers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(39)</w:t>
            </w:r>
            <w:r>
              <w:tab/>
              <w:t xml:space="preserve">Selleks et hinnata, kas rahvusvahelise kaitse saajad seda kaitset endiselt vajavad, peaksid menetlevad ametiasutused antud seisundi läbi vaatama siis, kui nad pikendavad elamisluba </w:t>
            </w:r>
            <w:r>
              <w:rPr>
                <w:b/>
                <w:i/>
              </w:rPr>
              <w:t>pagulaste puhul esimest korda ning täiendava kaitse saajate puhul esimest ja teist korda</w:t>
            </w:r>
            <w:r>
              <w:t>,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c>
          <w:tcPr>
            <w:tcW w:w="4876" w:type="dxa"/>
          </w:tcPr>
          <w:p w:rsidR="002F3FB4" w:rsidRDefault="002F3FB4" w:rsidP="00F37676">
            <w:pPr>
              <w:pStyle w:val="Normal6"/>
            </w:pPr>
            <w:r>
              <w:t>(39)</w:t>
            </w:r>
            <w:r>
              <w:tab/>
              <w:t xml:space="preserve">Selleks et hinnata, kas rahvusvahelise kaitse saajad seda kaitset endiselt vajavad, peaksid menetlevad ametiasutused antud seisundi läbi vaatama </w:t>
            </w:r>
            <w:r>
              <w:rPr>
                <w:b/>
                <w:i/>
              </w:rPr>
              <w:t>hiljemalt</w:t>
            </w:r>
            <w:r>
              <w:t xml:space="preserve"> siis, kui nad pikendavad elamisluba,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37</w:t>
            </w:r>
            <w:r>
              <w:t xml:space="preserve"> </w:t>
            </w:r>
            <w:r w:rsidR="005C38F5">
              <w:rPr>
                <w:lang w:val="pt-PT"/>
              </w:rPr>
              <w:t>COM(2016) 271 (final).</w:t>
            </w:r>
          </w:p>
        </w:tc>
        <w:tc>
          <w:tcPr>
            <w:tcW w:w="4876" w:type="dxa"/>
          </w:tcPr>
          <w:p w:rsidR="002F3FB4" w:rsidRDefault="002F3FB4" w:rsidP="00F37676">
            <w:pPr>
              <w:pStyle w:val="Normal6"/>
            </w:pPr>
            <w:r>
              <w:rPr>
                <w:rStyle w:val="Sup"/>
              </w:rPr>
              <w:t>37</w:t>
            </w:r>
            <w:r>
              <w:t xml:space="preserve"> </w:t>
            </w:r>
            <w:r w:rsidR="005C38F5">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230</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(39)</w:t>
            </w:r>
            <w:r>
              <w:tab/>
              <w:t>Selleks et hinnata, kas rahvusvahelise kaitse saajad seda kaitset endiselt vajavad, peaksid menetlevad ametiasutused antud seisundi läbi vaatama siis, kui nad pikendavad elamisluba pagulaste puhul esimest korda</w:t>
            </w:r>
            <w:r>
              <w:rPr>
                <w:b/>
                <w:i/>
              </w:rPr>
              <w:t xml:space="preserve"> ning täiendava kaitse saajate puhul esimest ja teist korda</w:t>
            </w:r>
            <w:r>
              <w:t>,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c>
          <w:tcPr>
            <w:tcW w:w="4876" w:type="dxa"/>
          </w:tcPr>
          <w:p w:rsidR="002F3FB4" w:rsidRDefault="002F3FB4" w:rsidP="00F37676">
            <w:pPr>
              <w:pStyle w:val="Normal6"/>
            </w:pPr>
            <w:r>
              <w:t>(39)</w:t>
            </w:r>
            <w:r>
              <w:tab/>
              <w:t>Selleks et hinnata, kas rahvusvahelise kaitse saajad seda kaitset endiselt vajavad, peaksid menetlevad ametiasutused antud seisundi läbi vaatama siis, kui nad pikendavad elamisluba pagulaste puhul esimest korda,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37</w:t>
            </w:r>
            <w:r>
              <w:t xml:space="preserve"> </w:t>
            </w:r>
            <w:r w:rsidR="005C38F5">
              <w:rPr>
                <w:lang w:val="pt-PT"/>
              </w:rPr>
              <w:t>COM(2016) 271 (final).</w:t>
            </w:r>
          </w:p>
        </w:tc>
        <w:tc>
          <w:tcPr>
            <w:tcW w:w="4876" w:type="dxa"/>
          </w:tcPr>
          <w:p w:rsidR="002F3FB4" w:rsidRDefault="002F3FB4" w:rsidP="00F37676">
            <w:pPr>
              <w:pStyle w:val="Normal6"/>
            </w:pPr>
            <w:r>
              <w:rPr>
                <w:rStyle w:val="Sup"/>
              </w:rPr>
              <w:t>37</w:t>
            </w:r>
            <w:r>
              <w:t xml:space="preserve"> </w:t>
            </w:r>
            <w:r w:rsidR="005C38F5">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39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(39)</w:t>
            </w:r>
            <w:r>
              <w:tab/>
              <w:t xml:space="preserve">Selleks et hinnata, kas rahvusvahelise kaitse saajad seda kaitset endiselt vajavad, peaksid menetlevad ametiasutused antud seisundi läbi vaatama siis, kui nad pikendavad elamisluba pagulaste puhul esimest korda ning täiendava kaitse saajate puhul esimest </w:t>
            </w:r>
            <w:r>
              <w:rPr>
                <w:b/>
                <w:i/>
              </w:rPr>
              <w:t xml:space="preserve">ja </w:t>
            </w:r>
            <w:r w:rsidRPr="006F55E6">
              <w:t>teist</w:t>
            </w:r>
            <w:r w:rsidRPr="00621F31">
              <w:t xml:space="preserve"> </w:t>
            </w:r>
            <w:r>
              <w:t>korda,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c>
          <w:tcPr>
            <w:tcW w:w="4876" w:type="dxa"/>
          </w:tcPr>
          <w:p w:rsidR="002F3FB4" w:rsidRDefault="002F3FB4" w:rsidP="00F37676">
            <w:pPr>
              <w:pStyle w:val="Normal6"/>
            </w:pPr>
            <w:r>
              <w:t>(39)</w:t>
            </w:r>
            <w:r>
              <w:tab/>
              <w:t xml:space="preserve">Selleks et hinnata, kas rahvusvahelise kaitse saajad seda kaitset endiselt vajavad, peaksid menetlevad ametiasutused antud seisundi läbi vaatama siis, kui nad pikendavad elamisluba pagulaste puhul esimest </w:t>
            </w:r>
            <w:r>
              <w:rPr>
                <w:b/>
                <w:i/>
              </w:rPr>
              <w:t>ja teist</w:t>
            </w:r>
            <w:r>
              <w:t xml:space="preserve"> korda ning täiendava kaitse saajate puhul esimest</w:t>
            </w:r>
            <w:r>
              <w:rPr>
                <w:b/>
                <w:i/>
              </w:rPr>
              <w:t xml:space="preserve">, </w:t>
            </w:r>
            <w:r w:rsidRPr="006F55E6">
              <w:t>teist</w:t>
            </w:r>
            <w:r>
              <w:t xml:space="preserve"> </w:t>
            </w:r>
            <w:r>
              <w:rPr>
                <w:b/>
                <w:i/>
              </w:rPr>
              <w:t>ja kolmandat</w:t>
            </w:r>
            <w:r>
              <w:t xml:space="preserve"> korda, samuti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Pr>
                <w:rStyle w:val="Sup"/>
              </w:rPr>
              <w:t>37</w:t>
            </w:r>
            <w:r>
              <w:t xml:space="preserve"> artiklitega 8 ja 10.</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37</w:t>
            </w:r>
            <w:r>
              <w:t xml:space="preserve"> </w:t>
            </w:r>
            <w:r w:rsidR="005C38F5">
              <w:rPr>
                <w:lang w:val="pt-PT"/>
              </w:rPr>
              <w:t>COM(2016) 271 (final).</w:t>
            </w:r>
          </w:p>
        </w:tc>
        <w:tc>
          <w:tcPr>
            <w:tcW w:w="4876" w:type="dxa"/>
          </w:tcPr>
          <w:p w:rsidR="002F3FB4" w:rsidRDefault="002F3FB4" w:rsidP="00F37676">
            <w:pPr>
              <w:pStyle w:val="Normal6"/>
            </w:pPr>
            <w:r>
              <w:rPr>
                <w:rStyle w:val="Sup"/>
              </w:rPr>
              <w:t>37</w:t>
            </w:r>
            <w:r>
              <w:t xml:space="preserve"> </w:t>
            </w:r>
            <w:r w:rsidR="005C38F5">
              <w:rPr>
                <w:lang w:val="pt-PT"/>
              </w:rPr>
              <w:t>COM(2016) 271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(40)</w:t>
            </w:r>
            <w:r>
              <w:tab/>
              <w:t xml:space="preserve">Asjaomases kolmandas riigis valitseva olukorra muutumise hindamisel kontrollivad liikmesriikide pädevad asutused </w:t>
            </w:r>
            <w:r>
              <w:rPr>
                <w:b/>
                <w:i/>
              </w:rPr>
              <w:t>pagulase</w:t>
            </w:r>
            <w:r>
              <w:t xml:space="preserve"> isiklikku olukorda arvestades, kas nimetatud riigis on kaitse pakkuja või pakkujad astunud </w:t>
            </w:r>
            <w:r>
              <w:rPr>
                <w:b/>
                <w:i/>
              </w:rPr>
              <w:t>mõistlikke</w:t>
            </w:r>
            <w:r>
              <w:t xml:space="preserve"> samme, et tagakiusamist ära hoida, rakendades muu hulgas tõhusat õigussüsteemi tagakiusamisena käsitatavate tegude avastamiseks, nende eest vastutusele võtmiseks ja karistuse määramiseks, ning kas selline kaitse on kõnealusele kodanikule pärast pagulasseisundi kaotamist kättesaadav.</w:t>
            </w:r>
          </w:p>
        </w:tc>
        <w:tc>
          <w:tcPr>
            <w:tcW w:w="4876" w:type="dxa"/>
          </w:tcPr>
          <w:p w:rsidR="002F3FB4" w:rsidRDefault="002F3FB4" w:rsidP="00F37676">
            <w:pPr>
              <w:pStyle w:val="Normal6"/>
            </w:pPr>
            <w:r>
              <w:t>(40)</w:t>
            </w:r>
            <w:r>
              <w:tab/>
              <w:t xml:space="preserve">Asjaomases kolmandas riigis valitseva olukorra muutumise hindamisel kontrollivad liikmesriikide pädevad asutused </w:t>
            </w:r>
            <w:r>
              <w:rPr>
                <w:b/>
                <w:i/>
              </w:rPr>
              <w:t>rahvusvahelise kaitse saaja</w:t>
            </w:r>
            <w:r>
              <w:t xml:space="preserve"> isiklikku olukorda arvestades, kas nimetatud riigis on kaitse pakkuja või pakkujad astunud samme, et tagakiusamist ära hoida, rakendades muu hulgas tõhusat õigussüsteemi tagakiusamisena käsitatavate tegude avastamiseks, nende eest vastutusele võtmiseks ja karistuse määramiseks, ning kas selline kaitse on kõnealusele kodanikule pärast pagulasseisundi kaotamist kättesaadav</w:t>
            </w:r>
            <w:r>
              <w:rPr>
                <w:b/>
                <w:i/>
              </w:rPr>
              <w:t>, ta saab turvaliselt juurdepääsu riigile ja võib sinna elama asuda</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233</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(41)</w:t>
            </w:r>
            <w:r>
              <w:tab/>
            </w:r>
            <w:r>
              <w:rPr>
                <w:b/>
                <w:i/>
                <w:color w:val="000000"/>
              </w:rPr>
              <w:t>Pagulasseisundi või täiendava kaitse 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(41)</w:t>
            </w:r>
            <w:r>
              <w:tab/>
            </w:r>
            <w:r>
              <w:rPr>
                <w:b/>
                <w:i/>
              </w:rPr>
              <w:t xml:space="preserve">Pagulasseisundi või täiendava </w:t>
            </w:r>
            <w:r w:rsidRPr="006F55E6">
              <w:t>kaitse</w:t>
            </w:r>
            <w:r w:rsidRPr="00621F31">
              <w:t xml:space="preserve"> </w:t>
            </w:r>
            <w:r>
              <w:t xml:space="preserve">seisundi lõppemise korral tuleks selle otsuse kohaldamine, millega liikmesriigi menetlev ametiasutus seisundi </w:t>
            </w:r>
            <w:r>
              <w:rPr>
                <w:b/>
                <w:i/>
              </w:rPr>
              <w:t>kehtetuks tunnistab, lõpetab või seda ei pikenda</w:t>
            </w:r>
            <w:r>
              <w:t xml:space="preserve">, pärast vastuvõtmist mõistlikuks ajaks edasi lükata, et asjaomasel kolmanda riigi kodanikul või kodakondsuseta isikul oleks võimalik kooskõlas asjaomase liidu ja siseriikliku õigusega taotleda elamisluba </w:t>
            </w:r>
            <w:r>
              <w:rPr>
                <w:b/>
                <w:i/>
              </w:rPr>
              <w:t>muudel kui rahvusvahelise kaitse andmise eelduseks olevatel alustel, nt perekondlikel põhjustel või tööhõive või haridusega seotud põhjustel</w:t>
            </w:r>
            <w:r>
              <w:t>.</w:t>
            </w:r>
          </w:p>
        </w:tc>
        <w:tc>
          <w:tcPr>
            <w:tcW w:w="4876" w:type="dxa"/>
          </w:tcPr>
          <w:p w:rsidR="002F3FB4" w:rsidRDefault="002F3FB4" w:rsidP="00F37676">
            <w:pPr>
              <w:pStyle w:val="Normal6"/>
            </w:pPr>
            <w:r>
              <w:t>(41)</w:t>
            </w:r>
            <w:r>
              <w:tab/>
            </w:r>
            <w:r>
              <w:rPr>
                <w:b/>
                <w:i/>
              </w:rPr>
              <w:t xml:space="preserve">Rahvusvahelise </w:t>
            </w:r>
            <w:r w:rsidRPr="006F55E6">
              <w:t>kaitse</w:t>
            </w:r>
            <w:r>
              <w:rPr>
                <w:b/>
                <w:i/>
              </w:rPr>
              <w:t xml:space="preserve"> saaja</w:t>
            </w:r>
            <w:r>
              <w:t xml:space="preserve"> seisundi lõppemise korral tuleks selle otsuse kohaldamine, millega liikmesriigi menetlev ametiasutus seisundi </w:t>
            </w:r>
            <w:r>
              <w:rPr>
                <w:b/>
                <w:i/>
              </w:rPr>
              <w:t>ära võtab</w:t>
            </w:r>
            <w:r>
              <w:t>, pärast vastuvõtmist mõistlikuks ajaks edasi lükata, et asjaomasel kolmanda riigi kodanikul või kodakondsuseta isikul oleks võimalik kooskõlas asjaomase liidu ja siseriikliku õigusega taotleda elamisluba.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235</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(41)</w:t>
            </w:r>
            <w:r>
              <w:tab/>
              <w:t>Pagulasseisundi või täiendava kaitse 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w:t>
            </w:r>
            <w:r>
              <w:rPr>
                <w:b/>
                <w:i/>
              </w:rPr>
              <w:t xml:space="preserve"> nt perekondlikel põhjustel või tööhõive või haridusega seotud põhjustel</w:t>
            </w:r>
            <w:r>
              <w:t>.</w:t>
            </w:r>
          </w:p>
        </w:tc>
        <w:tc>
          <w:tcPr>
            <w:tcW w:w="4876" w:type="dxa"/>
          </w:tcPr>
          <w:p w:rsidR="002F3FB4" w:rsidRDefault="002F3FB4" w:rsidP="00F37676">
            <w:pPr>
              <w:pStyle w:val="Normal6"/>
            </w:pPr>
            <w:r>
              <w:t>(41)</w:t>
            </w:r>
            <w:r>
              <w:tab/>
              <w:t xml:space="preserve">Pagulasseisundi või täiendava kaitse 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w:t>
            </w:r>
            <w:r>
              <w:rPr>
                <w:b/>
                <w:i/>
              </w:rPr>
              <w:t>eelkõige tööga seotud põhjustel</w:t>
            </w:r>
            <w:r w:rsidRPr="006F55E6">
              <w:rPr>
                <w:b/>
                <w:i/>
              </w:rPr>
              <w:t xml:space="preserve">. </w:t>
            </w:r>
            <w:r>
              <w:rPr>
                <w:b/>
                <w:i/>
                <w:color w:val="000000"/>
              </w:rPr>
              <w:t>See ei tohiks siiski viia siseriiklikest sisserännet reguleerivatest eeskirjadest kõrvalehoidmiseni</w:t>
            </w:r>
            <w:r w:rsidRPr="006F55E6">
              <w:rPr>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236</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(41)</w:t>
            </w:r>
            <w:r>
              <w:tab/>
              <w:t xml:space="preserve">Pagulasseisundi </w:t>
            </w:r>
            <w:r>
              <w:rPr>
                <w:b/>
                <w:i/>
              </w:rPr>
              <w:t>või täiendava kaitse seisundi</w:t>
            </w:r>
            <w:r>
              <w:t xml:space="preserve">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c>
          <w:tcPr>
            <w:tcW w:w="4876" w:type="dxa"/>
          </w:tcPr>
          <w:p w:rsidR="002F3FB4" w:rsidRDefault="002F3FB4" w:rsidP="00F37676">
            <w:pPr>
              <w:pStyle w:val="Normal6"/>
            </w:pPr>
            <w:r>
              <w:t>(41)</w:t>
            </w:r>
            <w:r>
              <w:tab/>
              <w:t>Pagulasseisundi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237</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41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(41)</w:t>
            </w:r>
            <w:r w:rsidRPr="00781174">
              <w:tab/>
            </w:r>
            <w:r w:rsidRPr="00781174">
              <w:rPr>
                <w:b/>
                <w:i/>
              </w:rPr>
              <w:t>Pagulasseisundi või täiendava</w:t>
            </w:r>
            <w:r w:rsidRPr="00781174">
              <w:t xml:space="preserve"> kaitse 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c>
          <w:tcPr>
            <w:tcW w:w="4876" w:type="dxa"/>
          </w:tcPr>
          <w:p w:rsidR="002F3FB4" w:rsidRPr="00781174" w:rsidRDefault="002F3FB4" w:rsidP="00F37676">
            <w:pPr>
              <w:pStyle w:val="Normal6"/>
            </w:pPr>
            <w:r w:rsidRPr="00781174">
              <w:t>(41)</w:t>
            </w:r>
            <w:r w:rsidRPr="00781174">
              <w:tab/>
            </w:r>
            <w:r w:rsidRPr="00781174">
              <w:rPr>
                <w:b/>
                <w:i/>
              </w:rPr>
              <w:t>Rahvusvahelise</w:t>
            </w:r>
            <w:r w:rsidRPr="00781174">
              <w:t xml:space="preserve"> kaitse </w:t>
            </w:r>
            <w:r w:rsidRPr="00781174">
              <w:rPr>
                <w:b/>
                <w:i/>
              </w:rPr>
              <w:t>saaja</w:t>
            </w:r>
            <w:r w:rsidRPr="00781174">
              <w:t xml:space="preserve"> seisundi lõppemise korral tuleks selle otsuse kohaldamine, millega liikmesriigi menetlev ametiasutus seisundi kehtetuks tunnistab, lõpetab või seda ei pikenda,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238</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(41 a)</w:t>
            </w:r>
            <w:r>
              <w:tab/>
            </w:r>
            <w:r w:rsidR="0081277E">
              <w:rPr>
                <w:b/>
                <w:i/>
                <w:color w:val="000000"/>
              </w:rPr>
              <w:t>P</w:t>
            </w:r>
            <w:r>
              <w:rPr>
                <w:b/>
                <w:i/>
                <w:color w:val="000000"/>
              </w:rPr>
              <w:t>õhimõte, et vastupidiste tõendite puudumisel tehakse otsus taotleja kasuks, kajastab märkimisväärseid raskusi, millega taotlejad seisavad silmitsi oma nõude toestamise jaoks tõendite saamisel ja esitamisel. Õiguse üldpõhimõte on, et tõendamiskoormus lasub rahvusvahelise kaitse taotlejal ning et kohustus tuvastada kõik asjakohased asjaolud ja neid hinnata jaotub taotleja ja menetleva ametiasutuse vahel. Taotleja puhul tuleks siiski teha otsus tema kasuks, kui tema väidete aspekte ei toeta dokumendid või muud tõendid, kui ta on teinud tõsiseid jõupingutusi, et oma taotlust põhjendada ning esitanud kõik tema käsutuses olevad asjakohased asjaolud, ning kui leitakse, et tema väited on loogilised ja usutavad.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239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Jean Lambert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(42)</w:t>
            </w:r>
            <w:r>
              <w:tab/>
            </w:r>
            <w:r>
              <w:rPr>
                <w:b/>
                <w:i/>
                <w:color w:val="000000"/>
              </w:rPr>
              <w:t xml:space="preserve">Rahvusvahelise kaitse saajad peaksid elama neile kaitse andnud liikmesriigis. </w:t>
            </w:r>
            <w:r>
              <w:rPr>
                <w:b/>
                <w:i/>
              </w:rPr>
              <w:t>Rahvusvahelise kaitse saajad peaksid elama neile kaitse andnud liikmesriigis. Sellistel kaitse saajatel, kellel on kehtiv reisidokument ja elamisluba, mille on välja andnud täielikult Schengeni acquis’d kohaldav liikmesriik, tuleks lubada sisenemine täielikult Schengeni acquis’d kohaldavate liikmesriikide territooriumile ja seal vabalt liikumine kuni 90 päevaks mis tahes 180-päevase ajavahemiku jooksul kooskõlas Schengeni piirieeskirjade</w:t>
            </w:r>
            <w:r>
              <w:rPr>
                <w:rStyle w:val="SupBoldItalic"/>
              </w:rPr>
              <w:t>38</w:t>
            </w:r>
            <w:r>
              <w:rPr>
                <w:b/>
                <w:i/>
              </w:rPr>
              <w:t xml:space="preserve"> ja Schengeni lepingu rakendamise konventsiooni</w:t>
            </w:r>
            <w:r>
              <w:rPr>
                <w:rStyle w:val="SupBoldItalic"/>
              </w:rPr>
              <w:t>39</w:t>
            </w:r>
            <w:r>
              <w:rPr>
                <w:b/>
                <w:i/>
              </w:rPr>
              <w:t xml:space="preserve"> artikliga 21</w:t>
            </w:r>
            <w:r>
              <w:t>.</w:t>
            </w:r>
            <w:r>
              <w:rPr>
                <w:b/>
                <w:i/>
                <w:color w:val="000000"/>
              </w:rPr>
              <w:t xml:space="preserve"> </w:t>
            </w:r>
            <w:r>
              <w:rPr>
                <w:b/>
                <w:i/>
              </w:rPr>
              <w:t>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Pr>
                <w:rStyle w:val="SupBoldItalic"/>
              </w:rPr>
              <w:t>40</w:t>
            </w:r>
            <w:r>
              <w:rPr>
                <w:b/>
                <w:i/>
              </w:rPr>
              <w:t xml:space="preserve"> käsitlevate ELi normidega ja siseriiklike õigusnormidega;</w:t>
            </w:r>
            <w:r>
              <w:rPr>
                <w:b/>
                <w:i/>
                <w:color w:val="000000"/>
              </w:rPr>
              <w:t xml:space="preserve"> siiski ei tähenda see rahvusvahelise kaitse ja seonduvate õiguste ülekandumist.</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38</w:t>
            </w:r>
            <w:r>
              <w:t xml:space="preserve"> </w:t>
            </w:r>
            <w:r>
              <w:rPr>
                <w:b/>
                <w:i/>
                <w:color w:val="000000"/>
              </w:rPr>
              <w:t>Euroopa Parlamendi ja nõukogu 9. märtsi 2016. aasta määrus (EL) 2016/399, mis käsitleb isikute üle piiri liikumist reguleerivaid liidu eeskirju.</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39</w:t>
            </w:r>
            <w:r>
              <w:t xml:space="preserve"> </w:t>
            </w:r>
            <w:r>
              <w:rPr>
                <w:b/>
                <w:i/>
                <w:color w:val="000000"/>
              </w:rPr>
              <w:t>14. juuni 1985. aasta Schengeni leping Beneluxi Majandusliidu riikide, Saksamaa Liitvabariigi ja Prantsuse Vabariigi valitsuste vahel nende ühispiiridel kontrolli järkjärgulise kaotamise kohta.</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40</w:t>
            </w:r>
            <w:r>
              <w:t xml:space="preserve"> </w:t>
            </w:r>
            <w:r w:rsidR="0081277E" w:rsidRPr="006F55E6">
              <w:rPr>
                <w:b/>
                <w:i/>
              </w:rPr>
              <w:t>COM (2016) 378 (final).</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Välja jäetud</w:t>
      </w:r>
      <w:r w:rsidR="0081277E">
        <w:rPr>
          <w:noProof w:val="0"/>
        </w:rPr>
        <w:t>, et tagada</w:t>
      </w:r>
      <w:r>
        <w:rPr>
          <w:noProof w:val="0"/>
        </w:rPr>
        <w:t xml:space="preserve"> kooskõla lisaga, mis käsitleb varjupaigaotsuste vastastikust tunnustamist</w:t>
      </w:r>
      <w:r w:rsidR="0081277E">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(42)</w:t>
            </w:r>
            <w:r>
              <w:tab/>
              <w:t xml:space="preserve">Rahvusvahelise kaitse saajad peaksid elama neile kaitse andnud liikmesriigis. Sellistel kaitse saajatel, kellel on kehtiv reisidokument ja elamisluba, mille on välja andnud täielikult Schengeni </w:t>
            </w:r>
            <w:r>
              <w:rPr>
                <w:i/>
              </w:rPr>
              <w:t>acquis</w:t>
            </w:r>
            <w:r>
              <w:t xml:space="preserve">’d kohaldav liikmesriik, tuleks lubada sisenemine täielikult Schengeni </w:t>
            </w:r>
            <w:r>
              <w:rPr>
                <w:i/>
              </w:rPr>
              <w:t>acquis</w:t>
            </w:r>
            <w:r>
              <w:t>’d kohaldavate liikmesriikide territooriumile ja seal vabalt liikumine kuni 90 päevaks mis tahes 180-päevase ajavahemiku jooksul kooskõlas Schengeni piirieeskirjade</w:t>
            </w:r>
            <w:r>
              <w:rPr>
                <w:rStyle w:val="Sup"/>
              </w:rPr>
              <w:t>38</w:t>
            </w:r>
            <w:r>
              <w:t xml:space="preserve"> ja Schengeni lepingu rakendamise konventsiooni</w:t>
            </w:r>
            <w:r>
              <w:rPr>
                <w:rStyle w:val="Sup"/>
              </w:rPr>
              <w:t>39</w:t>
            </w:r>
            <w:r>
              <w:t xml:space="preserve"> artikliga 21.</w:t>
            </w:r>
            <w:r>
              <w:rPr>
                <w:b/>
                <w:i/>
                <w:color w:val="000000"/>
              </w:rPr>
              <w:t xml:space="preserve"> </w:t>
            </w:r>
            <w:r>
              <w:rPr>
                <w:b/>
                <w:i/>
              </w:rPr>
              <w:t>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Pr>
                <w:rStyle w:val="SupBoldItalic"/>
              </w:rPr>
              <w:t>40</w:t>
            </w:r>
            <w:r>
              <w:rPr>
                <w:b/>
                <w:i/>
              </w:rPr>
              <w:t xml:space="preserve"> käsitlevate ELi normidega ja siseriiklike õigusnormidega;</w:t>
            </w:r>
            <w:r>
              <w:rPr>
                <w:b/>
                <w:i/>
                <w:color w:val="000000"/>
              </w:rPr>
              <w:t xml:space="preserve"> </w:t>
            </w:r>
            <w:r>
              <w:rPr>
                <w:b/>
                <w:i/>
              </w:rPr>
              <w:t>siiski ei tähenda see rahvusvahelise kaitse ja seonduvate õiguste ülekandumist</w:t>
            </w:r>
            <w:r w:rsidRPr="006F55E6">
              <w:rPr>
                <w:b/>
                <w:i/>
              </w:rPr>
              <w:t>.</w:t>
            </w:r>
          </w:p>
        </w:tc>
        <w:tc>
          <w:tcPr>
            <w:tcW w:w="4876" w:type="dxa"/>
          </w:tcPr>
          <w:p w:rsidR="002F3FB4" w:rsidRDefault="002F3FB4" w:rsidP="00F37676">
            <w:pPr>
              <w:pStyle w:val="Normal6"/>
            </w:pPr>
            <w:r>
              <w:t>(42)</w:t>
            </w:r>
            <w:r>
              <w:tab/>
              <w:t xml:space="preserve">Rahvusvahelise kaitse saajad peaksid elama neile kaitse andnud liikmesriigis. Sellistel kaitse saajatel, kellel on kehtiv reisidokument ja elamisluba, mille on välja andnud täielikult Schengeni </w:t>
            </w:r>
            <w:r>
              <w:rPr>
                <w:i/>
              </w:rPr>
              <w:t>acquis</w:t>
            </w:r>
            <w:r>
              <w:t xml:space="preserve">’d kohaldav liikmesriik, tuleks lubada sisenemine täielikult Schengeni </w:t>
            </w:r>
            <w:r>
              <w:rPr>
                <w:i/>
              </w:rPr>
              <w:t>acquis</w:t>
            </w:r>
            <w:r>
              <w:t>’d kohaldavate liikmesriikide territooriumile ja seal vabalt liikumine kuni 90 päevaks mis tahes 180-päevase ajavahemiku jooksul kooskõlas Schengeni piirieeskirjade</w:t>
            </w:r>
            <w:r>
              <w:rPr>
                <w:rStyle w:val="Sup"/>
              </w:rPr>
              <w:t>38</w:t>
            </w:r>
            <w:r>
              <w:t xml:space="preserve"> ja Schengeni lepingu rakendamise konventsiooni</w:t>
            </w:r>
            <w:r>
              <w:rPr>
                <w:rStyle w:val="Sup"/>
              </w:rPr>
              <w:t>39</w:t>
            </w:r>
            <w:r>
              <w:t xml:space="preserve"> artikliga 21.</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38</w:t>
            </w:r>
            <w:r>
              <w:t xml:space="preserve"> Euroopa Parlamendi ja nõukogu 9. märtsi 2016. aasta määrus (EL) 2016/399, mis käsitleb isikute üle piiri liikumist reguleerivaid liidu eeskirju.</w:t>
            </w:r>
          </w:p>
        </w:tc>
        <w:tc>
          <w:tcPr>
            <w:tcW w:w="4876" w:type="dxa"/>
          </w:tcPr>
          <w:p w:rsidR="002F3FB4" w:rsidRDefault="002F3FB4" w:rsidP="00F37676">
            <w:pPr>
              <w:pStyle w:val="Normal6"/>
            </w:pPr>
            <w:r>
              <w:rPr>
                <w:rStyle w:val="Sup"/>
              </w:rPr>
              <w:t>38</w:t>
            </w:r>
            <w:r>
              <w:t xml:space="preserve"> Euroopa Parlamendi ja nõukogu 9. märtsi 2016. aasta määrus (EL) 2016/399, mis käsitleb isikute üle piiri liikumist reguleerivaid liidu eeskirju.</w:t>
            </w:r>
          </w:p>
        </w:tc>
      </w:tr>
      <w:tr w:rsidR="002F3FB4" w:rsidTr="00F37676">
        <w:trPr>
          <w:jc w:val="center"/>
        </w:trPr>
        <w:tc>
          <w:tcPr>
            <w:tcW w:w="4876" w:type="dxa"/>
          </w:tcPr>
          <w:p w:rsidR="002F3FB4" w:rsidRDefault="002F3FB4" w:rsidP="00F37676">
            <w:pPr>
              <w:pStyle w:val="Normal6"/>
            </w:pPr>
            <w:r>
              <w:rPr>
                <w:rStyle w:val="Sup"/>
              </w:rPr>
              <w:t>39</w:t>
            </w:r>
            <w:r>
              <w:t xml:space="preserve"> 14. juuni 1985. aasta Schengeni leping Beneluxi Majandusliidu riikide, Saksamaa Liitvabariigi ja Prantsuse Vabariigi valitsuste vahel nende ühispiiridel kontrolli järkjärgulise kaotamise kohta.</w:t>
            </w:r>
          </w:p>
        </w:tc>
        <w:tc>
          <w:tcPr>
            <w:tcW w:w="4876" w:type="dxa"/>
          </w:tcPr>
          <w:p w:rsidR="002F3FB4" w:rsidRDefault="002F3FB4" w:rsidP="00F37676">
            <w:pPr>
              <w:pStyle w:val="Normal6"/>
            </w:pPr>
            <w:r>
              <w:rPr>
                <w:rStyle w:val="Sup"/>
              </w:rPr>
              <w:t>39</w:t>
            </w:r>
            <w:r>
              <w:t xml:space="preserve"> 14. juuni 1985. aasta Schengeni leping Beneluxi Majandusliidu riikide, Saksamaa Liitvabariigi ja Prantsuse Vabariigi valitsuste vahel nende ühispiiridel kontrolli järkjärgulise kaotamise kohta.</w:t>
            </w:r>
          </w:p>
        </w:tc>
      </w:tr>
      <w:tr w:rsidR="002F3FB4" w:rsidTr="00F37676">
        <w:trPr>
          <w:jc w:val="center"/>
        </w:trPr>
        <w:tc>
          <w:tcPr>
            <w:tcW w:w="4876" w:type="dxa"/>
          </w:tcPr>
          <w:p w:rsidR="002F3FB4" w:rsidRDefault="002F3FB4" w:rsidP="00F37676">
            <w:pPr>
              <w:pStyle w:val="Normal6"/>
            </w:pPr>
            <w:r>
              <w:rPr>
                <w:rStyle w:val="SupBoldItalic"/>
              </w:rPr>
              <w:t>40</w:t>
            </w:r>
            <w:r>
              <w:t xml:space="preserve"> </w:t>
            </w:r>
            <w:r w:rsidR="0081277E" w:rsidRPr="006F55E6">
              <w:rPr>
                <w:b/>
                <w:i/>
              </w:rPr>
              <w:t>COM (2016) 378 (final).</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241</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(42)</w:t>
            </w:r>
            <w:r>
              <w:tab/>
              <w:t xml:space="preserve">Rahvusvahelise kaitse saajad peaksid elama neile kaitse andnud liikmesriigis. Sellistel kaitse saajatel, kellel on kehtiv reisidokument ja elamisluba, mille on välja andnud täielikult Schengeni </w:t>
            </w:r>
            <w:r>
              <w:rPr>
                <w:i/>
              </w:rPr>
              <w:t>acquis</w:t>
            </w:r>
            <w:r>
              <w:t xml:space="preserve">’d kohaldav liikmesriik, tuleks lubada sisenemine täielikult Schengeni </w:t>
            </w:r>
            <w:r>
              <w:rPr>
                <w:i/>
              </w:rPr>
              <w:t>acquis</w:t>
            </w:r>
            <w:r>
              <w:t xml:space="preserve">’d kohaldavate liikmesriikide territooriumile ja seal vabalt liikumine </w:t>
            </w:r>
            <w:r>
              <w:rPr>
                <w:b/>
                <w:i/>
              </w:rPr>
              <w:t>kuni 90 päevaks mis tahes 180-päevase ajavahemiku jooksul</w:t>
            </w:r>
            <w:r>
              <w:t xml:space="preserve"> kooskõlas Schengeni piirieeskirjade</w:t>
            </w:r>
            <w:r>
              <w:rPr>
                <w:rStyle w:val="Sup"/>
              </w:rPr>
              <w:t>38</w:t>
            </w:r>
            <w:r>
              <w:t xml:space="preserve"> ja Schengeni lepingu rakendamise konventsiooni</w:t>
            </w:r>
            <w:r>
              <w:rPr>
                <w:rStyle w:val="Sup"/>
              </w:rPr>
              <w:t>39</w:t>
            </w:r>
            <w:r>
              <w:t xml:space="preserve"> artikliga 21 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Pr>
                <w:rStyle w:val="Sup"/>
              </w:rPr>
              <w:t>40</w:t>
            </w:r>
            <w:r>
              <w:t xml:space="preserve"> käsitlevate ELi normidega ja siseriiklike õigusnormidega; siiski ei tähenda see rahvusvahelise kaitse ja seonduvate õiguste ülekandumist.</w:t>
            </w:r>
          </w:p>
        </w:tc>
        <w:tc>
          <w:tcPr>
            <w:tcW w:w="4876" w:type="dxa"/>
          </w:tcPr>
          <w:p w:rsidR="002F3FB4" w:rsidRDefault="002F3FB4" w:rsidP="00F37676">
            <w:pPr>
              <w:pStyle w:val="Normal6"/>
            </w:pPr>
            <w:r>
              <w:t>(42)</w:t>
            </w:r>
            <w:r>
              <w:tab/>
              <w:t xml:space="preserve">Rahvusvahelise kaitse saajad peaksid elama neile kaitse andnud liikmesriigis. Sellistel kaitse saajatel, kellel on kehtiv reisidokument ja elamisluba, mille on välja andnud täielikult Schengeni </w:t>
            </w:r>
            <w:r>
              <w:rPr>
                <w:i/>
              </w:rPr>
              <w:t>acquis</w:t>
            </w:r>
            <w:r>
              <w:t xml:space="preserve">’d kohaldav liikmesriik, tuleks lubada sisenemine täielikult Schengeni </w:t>
            </w:r>
            <w:r>
              <w:rPr>
                <w:i/>
              </w:rPr>
              <w:t>acquis</w:t>
            </w:r>
            <w:r>
              <w:t>’d kohaldavate liikmesriikide territooriumile ja seal vabalt liikumine kooskõlas Schengeni piirieeskirjade</w:t>
            </w:r>
            <w:r>
              <w:rPr>
                <w:rStyle w:val="Sup"/>
              </w:rPr>
              <w:t>38</w:t>
            </w:r>
            <w:r>
              <w:t xml:space="preserve"> ja Schengeni lepingu rakendamise konventsiooni</w:t>
            </w:r>
            <w:r>
              <w:rPr>
                <w:rStyle w:val="Sup"/>
              </w:rPr>
              <w:t>39</w:t>
            </w:r>
            <w:r>
              <w:t xml:space="preserve"> artikliga 21. 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Pr>
                <w:rStyle w:val="Sup"/>
              </w:rPr>
              <w:t>40</w:t>
            </w:r>
            <w:r>
              <w:t xml:space="preserve"> käsitlevate ELi normidega</w:t>
            </w:r>
            <w:r>
              <w:rPr>
                <w:b/>
                <w:i/>
              </w:rPr>
              <w:t>, samuti kooskõlas Euroopa Parlamendi ja nõukogu direktiiviga (EL) 2016/801</w:t>
            </w:r>
            <w:r>
              <w:rPr>
                <w:rStyle w:val="SupBoldItalic"/>
              </w:rPr>
              <w:t>1</w:t>
            </w:r>
            <w:r w:rsidR="0081277E">
              <w:rPr>
                <w:rStyle w:val="SupBoldItalic"/>
              </w:rPr>
              <w:t xml:space="preserve"> </w:t>
            </w:r>
            <w:r>
              <w:rPr>
                <w:rStyle w:val="SupBoldItalic"/>
              </w:rPr>
              <w:t>a</w:t>
            </w:r>
            <w:r>
              <w:t xml:space="preserve"> ja siseriiklike õigusnormidega; siiski ei tähenda see rahvusvahelise kaitse ja seonduvate õiguste ülekandumist.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rStyle w:val="SupBoldItalic"/>
              </w:rPr>
              <w:t>1</w:t>
            </w:r>
            <w:r w:rsidR="0081277E">
              <w:rPr>
                <w:rStyle w:val="SupBoldItalic"/>
              </w:rPr>
              <w:t xml:space="preserve"> </w:t>
            </w:r>
            <w:r>
              <w:rPr>
                <w:rStyle w:val="SupBoldItalic"/>
              </w:rPr>
              <w:t>a</w:t>
            </w:r>
            <w:r>
              <w:t xml:space="preserve"> </w:t>
            </w:r>
            <w:r>
              <w:rPr>
                <w:b/>
                <w:i/>
                <w:color w:val="000000"/>
              </w:rPr>
              <w:t>Euroopa Parlamendi ja nõukogu 11. mai 2016. aasta direktiiv (EL) 2016/801 kolmandate riikide kodanike teadustegevuse, õpingute, praktika, vabatahtliku teenistuse, õpilasvahetusprogrammides või haridusprojektides osalemise ja au pair’ina töötamise eesmärgil riiki sisenemise ja seal elamise tingimuste kohta (ELT L 132, 21.5.2016, lk 21</w:t>
            </w:r>
            <w:r w:rsidR="00F3436B">
              <w:rPr>
                <w:b/>
                <w:i/>
                <w:color w:val="000000"/>
              </w:rPr>
              <w:t>–</w:t>
            </w:r>
            <w:r>
              <w:rPr>
                <w:b/>
                <w:i/>
                <w:color w:val="000000"/>
              </w:rPr>
              <w:t xml:space="preserve">57). </w:t>
            </w:r>
          </w:p>
        </w:tc>
      </w:tr>
      <w:tr w:rsidR="002F3FB4" w:rsidTr="00F37676">
        <w:trPr>
          <w:jc w:val="center"/>
        </w:trPr>
        <w:tc>
          <w:tcPr>
            <w:tcW w:w="4876" w:type="dxa"/>
          </w:tcPr>
          <w:p w:rsidR="002F3FB4" w:rsidRDefault="002F3FB4" w:rsidP="00F37676">
            <w:pPr>
              <w:pStyle w:val="Normal6"/>
            </w:pPr>
            <w:r>
              <w:rPr>
                <w:rStyle w:val="Sup"/>
              </w:rPr>
              <w:t>38</w:t>
            </w:r>
            <w:r>
              <w:t xml:space="preserve"> Euroopa Parlamendi ja nõukogu 9. märtsi 2016. aasta määrus (EL) 2016/399, mis käsitleb isikute üle piiri liikumist reguleerivaid liidu eeskirju.</w:t>
            </w:r>
          </w:p>
        </w:tc>
        <w:tc>
          <w:tcPr>
            <w:tcW w:w="4876" w:type="dxa"/>
          </w:tcPr>
          <w:p w:rsidR="002F3FB4" w:rsidRDefault="002F3FB4" w:rsidP="00F37676">
            <w:pPr>
              <w:pStyle w:val="Normal6"/>
            </w:pPr>
            <w:r>
              <w:rPr>
                <w:rStyle w:val="Sup"/>
              </w:rPr>
              <w:t>38</w:t>
            </w:r>
            <w:r>
              <w:t xml:space="preserve"> Euroopa Parlamendi ja nõukogu 9. märtsi 2016. aasta määrus (EL) 2016/399, mis käsitleb isikute üle piiri liikumist reguleerivaid liidu eeskirju.</w:t>
            </w:r>
          </w:p>
        </w:tc>
      </w:tr>
      <w:tr w:rsidR="002F3FB4" w:rsidTr="00F37676">
        <w:trPr>
          <w:jc w:val="center"/>
        </w:trPr>
        <w:tc>
          <w:tcPr>
            <w:tcW w:w="4876" w:type="dxa"/>
          </w:tcPr>
          <w:p w:rsidR="002F3FB4" w:rsidRDefault="002F3FB4" w:rsidP="00F37676">
            <w:pPr>
              <w:pStyle w:val="Normal6"/>
            </w:pPr>
            <w:r>
              <w:rPr>
                <w:rStyle w:val="Sup"/>
              </w:rPr>
              <w:t>39</w:t>
            </w:r>
            <w:r>
              <w:t xml:space="preserve"> 14. juuni 1985. aasta Schengeni leping Beneluxi Majandusliidu riikide, Saksamaa Liitvabariigi ja Prantsuse Vabariigi valitsuste vahel nende ühispiiridel kontrolli järkjärgulise kaotamise kohta.</w:t>
            </w:r>
          </w:p>
        </w:tc>
        <w:tc>
          <w:tcPr>
            <w:tcW w:w="4876" w:type="dxa"/>
          </w:tcPr>
          <w:p w:rsidR="002F3FB4" w:rsidRDefault="002F3FB4" w:rsidP="00F37676">
            <w:pPr>
              <w:pStyle w:val="Normal6"/>
            </w:pPr>
            <w:r>
              <w:rPr>
                <w:rStyle w:val="Sup"/>
              </w:rPr>
              <w:t>39</w:t>
            </w:r>
            <w:r>
              <w:t xml:space="preserve"> 14. juuni 1985. aasta Schengeni leping Beneluxi Majandusliidu riikide, Saksamaa Liitvabariigi ja Prantsuse Vabariigi valitsuste vahel nende ühispiiridel kontrolli järkjärgulise kaotamise kohta.</w:t>
            </w:r>
          </w:p>
        </w:tc>
      </w:tr>
      <w:tr w:rsidR="002F3FB4" w:rsidTr="00F37676">
        <w:trPr>
          <w:jc w:val="center"/>
        </w:trPr>
        <w:tc>
          <w:tcPr>
            <w:tcW w:w="4876" w:type="dxa"/>
          </w:tcPr>
          <w:p w:rsidR="002F3FB4" w:rsidRDefault="002F3FB4" w:rsidP="00F37676">
            <w:pPr>
              <w:pStyle w:val="Normal6"/>
            </w:pPr>
            <w:r>
              <w:rPr>
                <w:rStyle w:val="Sup"/>
              </w:rPr>
              <w:t>40</w:t>
            </w:r>
            <w:r>
              <w:t xml:space="preserve"> </w:t>
            </w:r>
            <w:r w:rsidR="0081277E">
              <w:t>COM (2016) 378 (final).</w:t>
            </w:r>
          </w:p>
        </w:tc>
        <w:tc>
          <w:tcPr>
            <w:tcW w:w="4876" w:type="dxa"/>
          </w:tcPr>
          <w:p w:rsidR="002F3FB4" w:rsidRDefault="002F3FB4" w:rsidP="00F37676">
            <w:pPr>
              <w:pStyle w:val="Normal6"/>
            </w:pPr>
            <w:r>
              <w:rPr>
                <w:rStyle w:val="Sup"/>
              </w:rPr>
              <w:t>40</w:t>
            </w:r>
            <w:r>
              <w:t xml:space="preserve"> </w:t>
            </w:r>
            <w:r w:rsidR="0081277E">
              <w:t>COM (2016) 378 (final).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7320A"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242</w:t>
      </w:r>
      <w:r>
        <w:rPr>
          <w:rStyle w:val="HideTWBExt"/>
          <w:b w:val="0"/>
          <w:noProof w:val="0"/>
        </w:rPr>
        <w:t>&lt;/NumAmB&gt;</w:t>
      </w:r>
    </w:p>
    <w:p w:rsidR="002F3FB4" w:rsidRPr="0077320A" w:rsidRDefault="002F3FB4" w:rsidP="002F3FB4">
      <w:pPr>
        <w:pStyle w:val="NormalBold"/>
      </w:pPr>
      <w:r>
        <w:rPr>
          <w:rStyle w:val="HideTWBExt"/>
          <w:b w:val="0"/>
          <w:noProof w:val="0"/>
        </w:rPr>
        <w:t>&lt;RepeatBlock-By&gt;&lt;Members&gt;</w:t>
      </w:r>
      <w:r>
        <w:t>Emil Radev</w:t>
      </w:r>
      <w:r>
        <w:rPr>
          <w:rStyle w:val="HideTWBExt"/>
          <w:b w:val="0"/>
          <w:noProof w:val="0"/>
        </w:rPr>
        <w:t>&lt;/Members&gt;</w:t>
      </w:r>
    </w:p>
    <w:p w:rsidR="002F3FB4" w:rsidRPr="0077320A" w:rsidRDefault="002F3FB4" w:rsidP="002F3FB4">
      <w:pPr>
        <w:pStyle w:val="NormalBold"/>
      </w:pPr>
      <w:r>
        <w:rPr>
          <w:rStyle w:val="HideTWBExt"/>
          <w:b w:val="0"/>
          <w:noProof w:val="0"/>
        </w:rPr>
        <w:t>&lt;/RepeatBlock-By&gt;</w:t>
      </w:r>
    </w:p>
    <w:p w:rsidR="002F3FB4" w:rsidRPr="0077320A"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Pr="0077320A" w:rsidRDefault="002F3FB4" w:rsidP="002F3FB4">
      <w:pPr>
        <w:pStyle w:val="NormalBold"/>
      </w:pPr>
      <w:r>
        <w:rPr>
          <w:rStyle w:val="HideTWBExt"/>
          <w:b w:val="0"/>
          <w:noProof w:val="0"/>
        </w:rPr>
        <w:t>&lt;Article&gt;</w:t>
      </w:r>
      <w:r>
        <w:t>Põhjendus 43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7320A" w:rsidTr="00F37676">
        <w:trPr>
          <w:trHeight w:hRule="exact" w:val="240"/>
          <w:jc w:val="center"/>
        </w:trPr>
        <w:tc>
          <w:tcPr>
            <w:tcW w:w="9752" w:type="dxa"/>
            <w:gridSpan w:val="2"/>
          </w:tcPr>
          <w:p w:rsidR="002F3FB4" w:rsidRPr="0077320A" w:rsidRDefault="002F3FB4" w:rsidP="00F37676"/>
        </w:tc>
      </w:tr>
      <w:tr w:rsidR="002F3FB4" w:rsidRPr="0077320A" w:rsidTr="00F37676">
        <w:trPr>
          <w:trHeight w:val="240"/>
          <w:jc w:val="center"/>
        </w:trPr>
        <w:tc>
          <w:tcPr>
            <w:tcW w:w="4876" w:type="dxa"/>
          </w:tcPr>
          <w:p w:rsidR="002F3FB4" w:rsidRPr="0077320A" w:rsidRDefault="002F3FB4" w:rsidP="00F37676">
            <w:pPr>
              <w:pStyle w:val="ColumnHeading"/>
            </w:pPr>
            <w:r>
              <w:t>Komisjoni ettepanek</w:t>
            </w:r>
          </w:p>
        </w:tc>
        <w:tc>
          <w:tcPr>
            <w:tcW w:w="4876" w:type="dxa"/>
          </w:tcPr>
          <w:p w:rsidR="002F3FB4" w:rsidRPr="0077320A" w:rsidRDefault="002F3FB4" w:rsidP="00F37676">
            <w:pPr>
              <w:pStyle w:val="ColumnHeading"/>
            </w:pPr>
            <w:r>
              <w:t>Muudatusettepanek</w:t>
            </w:r>
          </w:p>
        </w:tc>
      </w:tr>
      <w:tr w:rsidR="002F3FB4" w:rsidRPr="0077320A" w:rsidTr="00F37676">
        <w:trPr>
          <w:jc w:val="center"/>
        </w:trPr>
        <w:tc>
          <w:tcPr>
            <w:tcW w:w="4876" w:type="dxa"/>
          </w:tcPr>
          <w:p w:rsidR="002F3FB4" w:rsidRPr="0077320A" w:rsidRDefault="002F3FB4" w:rsidP="00F37676">
            <w:pPr>
              <w:pStyle w:val="Normal6"/>
            </w:pPr>
            <w:r>
              <w:rPr>
                <w:b/>
                <w:i/>
              </w:rPr>
              <w:t>43.</w:t>
            </w:r>
            <w:r>
              <w:tab/>
            </w:r>
            <w:r>
              <w:rPr>
                <w:b/>
                <w:i/>
              </w:rPr>
              <w:t>ELi sisese teisese rände ärahoidmiseks peaksid rahvusvahelise kaitse saajad, kes tabatakse muus kui neile kaitse andnud liikmesriigis ja kes seejuures ei vasta viibimise või elamise tingimustele, tagasi võtma nende eest vastutav liikmesriik kooskõlas Dublini määruses</w:t>
            </w:r>
            <w:r w:rsidR="00F3436B" w:rsidRPr="006F55E6">
              <w:rPr>
                <w:rStyle w:val="SupBoldItalic"/>
                <w:i w:val="0"/>
              </w:rPr>
              <w:t>41</w:t>
            </w:r>
            <w:r w:rsidR="00F3436B">
              <w:rPr>
                <w:rStyle w:val="SupBoldItalic"/>
                <w:b w:val="0"/>
                <w:i w:val="0"/>
              </w:rPr>
              <w:t xml:space="preserve"> </w:t>
            </w:r>
            <w:r>
              <w:rPr>
                <w:b/>
                <w:i/>
              </w:rPr>
              <w:t>sätestatud menetlusega.</w:t>
            </w:r>
          </w:p>
        </w:tc>
        <w:tc>
          <w:tcPr>
            <w:tcW w:w="4876" w:type="dxa"/>
          </w:tcPr>
          <w:p w:rsidR="002F3FB4" w:rsidRPr="0077320A" w:rsidRDefault="002F3FB4" w:rsidP="00F37676">
            <w:pPr>
              <w:pStyle w:val="Normal6"/>
            </w:pPr>
            <w:r>
              <w:rPr>
                <w:b/>
                <w:i/>
              </w:rPr>
              <w:t>välja jäetud</w:t>
            </w:r>
          </w:p>
        </w:tc>
      </w:tr>
      <w:tr w:rsidR="002F3FB4" w:rsidRPr="0077320A" w:rsidTr="00F37676">
        <w:trPr>
          <w:jc w:val="center"/>
        </w:trPr>
        <w:tc>
          <w:tcPr>
            <w:tcW w:w="4876" w:type="dxa"/>
          </w:tcPr>
          <w:p w:rsidR="002F3FB4" w:rsidRPr="0077320A" w:rsidRDefault="002F3FB4" w:rsidP="00F37676">
            <w:pPr>
              <w:pStyle w:val="Normal6"/>
            </w:pPr>
            <w:r>
              <w:t>_________________</w:t>
            </w:r>
          </w:p>
        </w:tc>
        <w:tc>
          <w:tcPr>
            <w:tcW w:w="4876" w:type="dxa"/>
          </w:tcPr>
          <w:p w:rsidR="002F3FB4" w:rsidRPr="0077320A" w:rsidRDefault="002F3FB4" w:rsidP="00F37676">
            <w:pPr>
              <w:pStyle w:val="Normal6"/>
            </w:pPr>
          </w:p>
        </w:tc>
      </w:tr>
      <w:tr w:rsidR="002F3FB4" w:rsidRPr="0077320A" w:rsidTr="00F37676">
        <w:trPr>
          <w:jc w:val="center"/>
        </w:trPr>
        <w:tc>
          <w:tcPr>
            <w:tcW w:w="4876" w:type="dxa"/>
          </w:tcPr>
          <w:p w:rsidR="002F3FB4" w:rsidRPr="0077320A" w:rsidRDefault="002F3FB4" w:rsidP="00F37676">
            <w:pPr>
              <w:pStyle w:val="Normal6"/>
            </w:pPr>
            <w:r w:rsidRPr="006F55E6">
              <w:rPr>
                <w:rStyle w:val="SupBoldItalic"/>
              </w:rPr>
              <w:t>41</w:t>
            </w:r>
            <w:r>
              <w:rPr>
                <w:b/>
                <w:i/>
              </w:rPr>
              <w:t xml:space="preserve"> (EL) nr [xxx/xxxx uus Dublini määrus].</w:t>
            </w:r>
          </w:p>
        </w:tc>
        <w:tc>
          <w:tcPr>
            <w:tcW w:w="4876" w:type="dxa"/>
          </w:tcPr>
          <w:p w:rsidR="002F3FB4" w:rsidRPr="0077320A" w:rsidRDefault="002F3FB4" w:rsidP="00F37676">
            <w:pPr>
              <w:pStyle w:val="Normal6"/>
            </w:pPr>
          </w:p>
        </w:tc>
      </w:tr>
    </w:tbl>
    <w:p w:rsidR="002F3FB4" w:rsidRPr="0077320A" w:rsidRDefault="002F3FB4" w:rsidP="002F3FB4">
      <w:pPr>
        <w:pStyle w:val="Olang"/>
        <w:rPr>
          <w:noProof w:val="0"/>
        </w:rPr>
      </w:pPr>
      <w:r>
        <w:rPr>
          <w:noProof w:val="0"/>
        </w:rPr>
        <w:t xml:space="preserve">Or. </w:t>
      </w:r>
      <w:r>
        <w:rPr>
          <w:rStyle w:val="HideTWBExt"/>
          <w:noProof w:val="0"/>
        </w:rPr>
        <w:t>&lt;Original&gt;</w:t>
      </w:r>
      <w:r>
        <w:rPr>
          <w:rStyle w:val="HideTWBInt"/>
          <w:noProof w:val="0"/>
        </w:rPr>
        <w:t>{BG}</w:t>
      </w:r>
      <w:r>
        <w:rPr>
          <w:noProof w:val="0"/>
        </w:rPr>
        <w:t>bg</w:t>
      </w:r>
      <w:r>
        <w:rPr>
          <w:rStyle w:val="HideTWBExt"/>
          <w:noProof w:val="0"/>
        </w:rPr>
        <w:t>&lt;/Original&gt;</w:t>
      </w:r>
    </w:p>
    <w:p w:rsidR="002F3FB4" w:rsidRPr="0077320A"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Pr="0077320A" w:rsidRDefault="002F3FB4" w:rsidP="002F3FB4">
      <w:pPr>
        <w:pStyle w:val="Normal12Italic"/>
        <w:rPr>
          <w:noProof w:val="0"/>
        </w:rPr>
      </w:pPr>
      <w:r>
        <w:rPr>
          <w:noProof w:val="0"/>
        </w:rPr>
        <w:t xml:space="preserve">ELi välispiiril asuvaid riike ei saa sundida rahvusvahelise kaitse saajate eest </w:t>
      </w:r>
      <w:r w:rsidR="00F3436B">
        <w:rPr>
          <w:noProof w:val="0"/>
        </w:rPr>
        <w:t xml:space="preserve">alaliselt </w:t>
      </w:r>
      <w:r>
        <w:rPr>
          <w:noProof w:val="0"/>
        </w:rPr>
        <w:t>vastutama.</w:t>
      </w:r>
    </w:p>
    <w:p w:rsidR="002F3FB4" w:rsidRPr="002F3FB4" w:rsidRDefault="002F3FB4" w:rsidP="002F3FB4">
      <w:pPr>
        <w:pStyle w:val="AMNumberTabs"/>
      </w:pPr>
      <w:r w:rsidRPr="002F3FB4">
        <w:rPr>
          <w:rStyle w:val="HideTWBExt"/>
          <w:b w:val="0"/>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Jean Lambert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(43)</w:t>
            </w:r>
            <w:r>
              <w:tab/>
            </w:r>
            <w:r>
              <w:rPr>
                <w:b/>
                <w:i/>
              </w:rPr>
              <w:t>ELi sisese teisese rände ärahoidmiseks peaksid rahvusvahelise kaitse saajad, kes tabatakse muus kui neile kaitse andnud liikmesriigis ja kes seejuures ei vasta viibimise või elamise tingimustele, tagasi võtma nende eest vastutav liikmesriik kooskõlas Dublini määruses</w:t>
            </w:r>
            <w:r>
              <w:rPr>
                <w:rStyle w:val="SupBoldItalic"/>
              </w:rPr>
              <w:t>41</w:t>
            </w:r>
            <w:r>
              <w:rPr>
                <w:b/>
                <w:i/>
              </w:rPr>
              <w:t xml:space="preserve"> sätestatud menetlusega.</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41</w:t>
            </w:r>
            <w:r>
              <w:t xml:space="preserve"> </w:t>
            </w:r>
            <w:r>
              <w:rPr>
                <w:b/>
                <w:i/>
                <w:color w:val="000000"/>
              </w:rPr>
              <w:t>(EL) nr [xxx/xxxx uus Dublini määrus].</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Välja jäetud</w:t>
      </w:r>
      <w:r w:rsidR="00F3436B">
        <w:rPr>
          <w:noProof w:val="0"/>
        </w:rPr>
        <w:t>, et tagada kooskõla</w:t>
      </w:r>
      <w:r>
        <w:rPr>
          <w:noProof w:val="0"/>
        </w:rPr>
        <w:t xml:space="preserve"> lisaga, mis käsitleb varjupaigaotsuste vastastikust tunnustamist</w:t>
      </w:r>
      <w:r w:rsidR="00F3436B">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(43)</w:t>
            </w:r>
            <w:r>
              <w:tab/>
            </w:r>
            <w:r>
              <w:rPr>
                <w:b/>
                <w:i/>
              </w:rPr>
              <w:t>ELi sisese teisese rände ärahoidmiseks peaksid</w:t>
            </w:r>
            <w:r>
              <w:t xml:space="preserve"> </w:t>
            </w:r>
            <w:r>
              <w:rPr>
                <w:b/>
                <w:i/>
              </w:rPr>
              <w:t>rahvusvahelise</w:t>
            </w:r>
            <w:r>
              <w:t xml:space="preserve"> kaitse saajad, kes tabatakse muus kui neile kaitse andnud liikmesriigis ja kes seejuures ei vasta viibimise või elamise tingimustele, tagasi võtma nende eest vastutav liikmesriik kooskõlas Dublini määruses</w:t>
            </w:r>
            <w:r w:rsidRPr="006F55E6">
              <w:rPr>
                <w:rStyle w:val="SupBoldItalic"/>
                <w:b w:val="0"/>
                <w:i w:val="0"/>
              </w:rPr>
              <w:t>41</w:t>
            </w:r>
            <w:r w:rsidRPr="006F55E6">
              <w:rPr>
                <w:i/>
              </w:rPr>
              <w:t xml:space="preserve"> </w:t>
            </w:r>
            <w:r>
              <w:t>sätestatud menetlusega.</w:t>
            </w:r>
          </w:p>
        </w:tc>
        <w:tc>
          <w:tcPr>
            <w:tcW w:w="4876" w:type="dxa"/>
          </w:tcPr>
          <w:p w:rsidR="002F3FB4" w:rsidRDefault="002F3FB4" w:rsidP="00F37676">
            <w:pPr>
              <w:pStyle w:val="Normal6"/>
            </w:pPr>
            <w:r>
              <w:t>(43)</w:t>
            </w:r>
            <w:r>
              <w:tab/>
            </w:r>
            <w:r>
              <w:rPr>
                <w:b/>
                <w:i/>
              </w:rPr>
              <w:t>Rahvusvahelise</w:t>
            </w:r>
            <w:r>
              <w:t xml:space="preserve"> kaitse saajad, kes tabatakse muus kui neile kaitse andnud liikmesriigis ja kes seejuures ei vasta viibimise või elamise tingimustele, </w:t>
            </w:r>
            <w:r>
              <w:rPr>
                <w:b/>
                <w:i/>
              </w:rPr>
              <w:t>peaks</w:t>
            </w:r>
            <w:r>
              <w:t xml:space="preserve"> tagasi võtma nende eest vastutav liikmesriik kooskõlas Dublini määruses</w:t>
            </w:r>
            <w:r w:rsidRPr="006F55E6">
              <w:rPr>
                <w:rStyle w:val="SupBoldItalic"/>
                <w:b w:val="0"/>
                <w:i w:val="0"/>
              </w:rPr>
              <w:t>41</w:t>
            </w:r>
            <w:r w:rsidRPr="00621F31">
              <w:t xml:space="preserve"> </w:t>
            </w:r>
            <w:r>
              <w:t>sätestatud menetlusega</w:t>
            </w:r>
            <w:r w:rsidRPr="006F55E6">
              <w:rPr>
                <w:color w:val="000000"/>
              </w:rPr>
              <w:t>.</w:t>
            </w:r>
            <w:r>
              <w:rPr>
                <w:b/>
                <w:i/>
                <w:color w:val="000000"/>
              </w:rPr>
              <w:t xml:space="preserve"> Saatjata alaealisi, kes on rahvusvahelise kaitse saajad, võib tagasi võtta üksnes nende eest vastutav liikmesriik kooskõlas määruses [Dublini määrus] sätestatud menetlusega eeldusel, et lapse parimate huvide multidistsiplinaarse hinnangu põhjal näidatakse, et see oleks lapse parimates huvides</w:t>
            </w:r>
            <w:r w:rsidRPr="006F55E6">
              <w:rPr>
                <w:rFonts w:ascii="AWLUnicode" w:hAnsi="AWLUnicode"/>
                <w:b/>
                <w:i/>
                <w:color w:val="000000"/>
              </w:rPr>
              <w: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sidRPr="006F55E6">
              <w:rPr>
                <w:rStyle w:val="SupBoldItalic"/>
                <w:b w:val="0"/>
                <w:i w:val="0"/>
              </w:rPr>
              <w:t>41</w:t>
            </w:r>
            <w:r>
              <w:t xml:space="preserve"> (EL) nr [xxx/xxxx uus Dublini määrus].</w:t>
            </w:r>
          </w:p>
        </w:tc>
        <w:tc>
          <w:tcPr>
            <w:tcW w:w="4876" w:type="dxa"/>
          </w:tcPr>
          <w:p w:rsidR="002F3FB4" w:rsidRDefault="002F3FB4" w:rsidP="00F37676">
            <w:pPr>
              <w:pStyle w:val="Normal6"/>
            </w:pPr>
            <w:r w:rsidRPr="006F55E6">
              <w:rPr>
                <w:rStyle w:val="SupBoldItalic"/>
                <w:b w:val="0"/>
                <w:i w:val="0"/>
              </w:rPr>
              <w:t>41</w:t>
            </w:r>
            <w:r>
              <w:t xml:space="preserve"> (EL) nr [xxx/xxxx uus Dublini määrus].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245</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(43)</w:t>
            </w:r>
            <w:r>
              <w:tab/>
            </w:r>
            <w:r w:rsidRPr="006F55E6">
              <w:rPr>
                <w:b/>
                <w:i/>
              </w:rPr>
              <w:t>ELi sisese</w:t>
            </w:r>
            <w:r>
              <w:t xml:space="preserve"> teisese rände ärahoidmiseks </w:t>
            </w:r>
            <w:r w:rsidRPr="006F55E6">
              <w:rPr>
                <w:b/>
                <w:i/>
              </w:rPr>
              <w:t>peaksid</w:t>
            </w:r>
            <w:r>
              <w:t xml:space="preserve"> rahvusvahelise kaitse saajad, kes tabatakse muus kui neile kaitse andnud liikmesriigis ja kes seejuures ei vasta viibimise või elamise tingimustele, tagasi võtma nende eest vastutav liikmesriik kooskõlas Dublini määruses</w:t>
            </w:r>
            <w:r>
              <w:rPr>
                <w:rStyle w:val="SupBoldItalic"/>
              </w:rPr>
              <w:t>41</w:t>
            </w:r>
            <w:r>
              <w:t xml:space="preserve"> sätestatud menetlusega.</w:t>
            </w:r>
          </w:p>
        </w:tc>
        <w:tc>
          <w:tcPr>
            <w:tcW w:w="4876" w:type="dxa"/>
          </w:tcPr>
          <w:p w:rsidR="002F3FB4" w:rsidRDefault="002F3FB4" w:rsidP="00F37676">
            <w:pPr>
              <w:pStyle w:val="Normal6"/>
            </w:pPr>
            <w:r>
              <w:t>(43)</w:t>
            </w:r>
            <w:r>
              <w:tab/>
            </w:r>
            <w:r w:rsidRPr="006F55E6">
              <w:rPr>
                <w:b/>
                <w:i/>
              </w:rPr>
              <w:t>ELi</w:t>
            </w:r>
            <w:r w:rsidR="00AB53C3" w:rsidRPr="006F55E6">
              <w:rPr>
                <w:b/>
                <w:i/>
              </w:rPr>
              <w:t>-</w:t>
            </w:r>
            <w:r w:rsidRPr="006F55E6">
              <w:rPr>
                <w:b/>
                <w:i/>
              </w:rPr>
              <w:t>sisese</w:t>
            </w:r>
            <w:r>
              <w:t xml:space="preserve"> teisese rände ärahoidmiseks </w:t>
            </w:r>
            <w:r w:rsidRPr="006F55E6">
              <w:rPr>
                <w:b/>
                <w:i/>
              </w:rPr>
              <w:t>peaks</w:t>
            </w:r>
            <w:r>
              <w:t xml:space="preserve"> rahvusvahelise kaitse saajad, kes tabatakse muus kui neile kaitse andnud liikmesriigis ja kes seejuures ei vasta viibimise või elamise tingimustele, tagasi võtma </w:t>
            </w:r>
            <w:r>
              <w:rPr>
                <w:b/>
                <w:i/>
              </w:rPr>
              <w:t>ja neid sanktsioneerima</w:t>
            </w:r>
            <w:r>
              <w:t xml:space="preserve"> nende eest vastutav liikmesriik kooskõlas </w:t>
            </w:r>
            <w:r w:rsidRPr="006F55E6">
              <w:t>Dublini</w:t>
            </w:r>
            <w:r w:rsidRPr="00621F31">
              <w:t xml:space="preserve"> </w:t>
            </w:r>
            <w:r w:rsidRPr="006F55E6">
              <w:t>määruses</w:t>
            </w:r>
            <w:r>
              <w:rPr>
                <w:b/>
                <w:i/>
                <w:color w:val="000000"/>
              </w:rPr>
              <w:t xml:space="preserve"> ja käesolevas</w:t>
            </w:r>
            <w:r>
              <w:t xml:space="preserve"> </w:t>
            </w:r>
            <w:r w:rsidRPr="006F55E6">
              <w:rPr>
                <w:b/>
                <w:i/>
              </w:rPr>
              <w:t>määruses</w:t>
            </w:r>
            <w:r>
              <w:t xml:space="preserve"> sätestatud menetlusega.</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41</w:t>
            </w:r>
            <w:r>
              <w:t xml:space="preserve"> </w:t>
            </w:r>
            <w:r w:rsidRPr="006F55E6">
              <w:rPr>
                <w:b/>
                <w:i/>
              </w:rPr>
              <w:t>(EL) nr [xxx/xxxx uus Dublini määrus].</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246</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43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(43)</w:t>
            </w:r>
            <w:r w:rsidRPr="00781174">
              <w:tab/>
            </w:r>
            <w:r w:rsidRPr="006F55E6">
              <w:rPr>
                <w:b/>
                <w:i/>
                <w:color w:val="000000"/>
              </w:rPr>
              <w:t>ELi sisese</w:t>
            </w:r>
            <w:r w:rsidRPr="002F3FB4">
              <w:rPr>
                <w:color w:val="000000"/>
              </w:rPr>
              <w:t xml:space="preserve"> teisese rände ärahoidmiseks</w:t>
            </w:r>
            <w:r w:rsidRPr="00781174">
              <w:t xml:space="preserve"> </w:t>
            </w:r>
            <w:r w:rsidRPr="006F55E6">
              <w:rPr>
                <w:b/>
                <w:i/>
              </w:rPr>
              <w:t>peaksid</w:t>
            </w:r>
            <w:r w:rsidRPr="00781174">
              <w:t xml:space="preserve"> rahvusvahelise kaitse saajad, kes tabatakse muus kui neile kaitse andnud liikmesriigis ja kes seejuures ei vasta viibimise või elamise tingimustele, tagasi võtma nende eest vastutav liikmesriik kooskõlas Dublini määruses</w:t>
            </w:r>
            <w:r w:rsidRPr="00781174">
              <w:rPr>
                <w:vertAlign w:val="superscript"/>
              </w:rPr>
              <w:t>41</w:t>
            </w:r>
            <w:r w:rsidRPr="00781174">
              <w:t xml:space="preserve"> sätestatud menetlusega.</w:t>
            </w:r>
          </w:p>
        </w:tc>
        <w:tc>
          <w:tcPr>
            <w:tcW w:w="4876" w:type="dxa"/>
          </w:tcPr>
          <w:p w:rsidR="002F3FB4" w:rsidRPr="00781174" w:rsidRDefault="002F3FB4" w:rsidP="00F37676">
            <w:pPr>
              <w:pStyle w:val="Normal6"/>
            </w:pPr>
            <w:r w:rsidRPr="00781174">
              <w:t>(43)</w:t>
            </w:r>
            <w:r w:rsidRPr="00781174">
              <w:tab/>
            </w:r>
            <w:r w:rsidRPr="00781174">
              <w:rPr>
                <w:b/>
                <w:i/>
              </w:rPr>
              <w:t>Muu hulgas</w:t>
            </w:r>
            <w:r w:rsidRPr="00781174">
              <w:t xml:space="preserve"> </w:t>
            </w:r>
            <w:r w:rsidRPr="006F55E6">
              <w:rPr>
                <w:b/>
                <w:i/>
                <w:color w:val="000000"/>
              </w:rPr>
              <w:t>ELi</w:t>
            </w:r>
            <w:r w:rsidR="00AB53C3" w:rsidRPr="006F55E6">
              <w:rPr>
                <w:b/>
                <w:i/>
                <w:color w:val="000000"/>
              </w:rPr>
              <w:t>-</w:t>
            </w:r>
            <w:r w:rsidRPr="006F55E6">
              <w:rPr>
                <w:b/>
                <w:i/>
                <w:color w:val="000000"/>
              </w:rPr>
              <w:t>sisese</w:t>
            </w:r>
            <w:r w:rsidRPr="002F3FB4">
              <w:rPr>
                <w:color w:val="000000"/>
              </w:rPr>
              <w:t xml:space="preserve"> teisese rände ärahoidmiseks</w:t>
            </w:r>
            <w:r w:rsidRPr="00781174">
              <w:t xml:space="preserve"> </w:t>
            </w:r>
            <w:r w:rsidRPr="006F55E6">
              <w:rPr>
                <w:b/>
                <w:i/>
              </w:rPr>
              <w:t>peaks</w:t>
            </w:r>
            <w:r w:rsidRPr="00781174">
              <w:t xml:space="preserve"> rahvusvahelise kaitse saajad, kes tabatakse muus kui neile kaitse andnud liikmesriigis ja kes seejuures ei vasta viibimise või elamise tingimustele, tagasi võtma nende eest vastutav liikmesriik kooskõlas Dublini määruses</w:t>
            </w:r>
            <w:r w:rsidRPr="00781174">
              <w:rPr>
                <w:vertAlign w:val="superscript"/>
              </w:rPr>
              <w:t>41</w:t>
            </w:r>
            <w:r w:rsidRPr="00781174">
              <w:t xml:space="preserve"> sätestatud menetlusega.</w:t>
            </w:r>
          </w:p>
        </w:tc>
      </w:tr>
      <w:tr w:rsidR="002F3FB4" w:rsidRPr="00781174" w:rsidTr="00F37676">
        <w:trPr>
          <w:jc w:val="center"/>
        </w:trPr>
        <w:tc>
          <w:tcPr>
            <w:tcW w:w="4876" w:type="dxa"/>
          </w:tcPr>
          <w:p w:rsidR="002F3FB4" w:rsidRPr="00781174" w:rsidRDefault="002F3FB4" w:rsidP="00F37676">
            <w:pPr>
              <w:pStyle w:val="Normal6"/>
            </w:pPr>
            <w:r w:rsidRPr="00781174">
              <w:t>_________________</w:t>
            </w:r>
          </w:p>
        </w:tc>
        <w:tc>
          <w:tcPr>
            <w:tcW w:w="4876" w:type="dxa"/>
          </w:tcPr>
          <w:p w:rsidR="002F3FB4" w:rsidRPr="00781174" w:rsidRDefault="002F3FB4" w:rsidP="00F37676">
            <w:pPr>
              <w:pStyle w:val="Normal6"/>
            </w:pPr>
            <w:r w:rsidRPr="00781174">
              <w:t>_________________</w:t>
            </w:r>
          </w:p>
        </w:tc>
      </w:tr>
      <w:tr w:rsidR="002F3FB4" w:rsidRPr="00781174" w:rsidTr="00F37676">
        <w:trPr>
          <w:jc w:val="center"/>
        </w:trPr>
        <w:tc>
          <w:tcPr>
            <w:tcW w:w="4876" w:type="dxa"/>
          </w:tcPr>
          <w:p w:rsidR="002F3FB4" w:rsidRPr="00781174" w:rsidRDefault="002F3FB4" w:rsidP="00F37676">
            <w:pPr>
              <w:pStyle w:val="Normal6"/>
            </w:pPr>
            <w:r w:rsidRPr="00781174">
              <w:rPr>
                <w:rStyle w:val="Sup"/>
              </w:rPr>
              <w:t>41</w:t>
            </w:r>
            <w:r w:rsidRPr="00781174">
              <w:t xml:space="preserve"> (EL) nr [xxx/xxxx uus Dublini määrus].</w:t>
            </w:r>
          </w:p>
        </w:tc>
        <w:tc>
          <w:tcPr>
            <w:tcW w:w="4876" w:type="dxa"/>
          </w:tcPr>
          <w:p w:rsidR="002F3FB4" w:rsidRPr="00781174" w:rsidRDefault="002F3FB4" w:rsidP="00F37676">
            <w:pPr>
              <w:pStyle w:val="Normal6"/>
            </w:pPr>
            <w:r w:rsidRPr="00781174">
              <w:rPr>
                <w:rStyle w:val="Sup"/>
              </w:rPr>
              <w:t>41</w:t>
            </w:r>
            <w:r w:rsidRPr="00781174">
              <w:t xml:space="preserve"> (EL) nr [xxx/xxxx uus Dublini määrus].</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Jean Lambert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(44)</w:t>
            </w:r>
            <w:r>
              <w:tab/>
            </w:r>
            <w:r>
              <w:rPr>
                <w:b/>
                <w:i/>
                <w:color w:val="000000"/>
              </w:rPr>
              <w:t>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Välja jäetud</w:t>
      </w:r>
      <w:r w:rsidR="00AB53C3">
        <w:rPr>
          <w:noProof w:val="0"/>
        </w:rPr>
        <w:t>, et tagada</w:t>
      </w:r>
      <w:r>
        <w:rPr>
          <w:noProof w:val="0"/>
        </w:rPr>
        <w:t xml:space="preserve"> kooskõla lisaga, mis käsitleb varjupaigaotsuste vastastikust tunnustamist</w:t>
      </w:r>
      <w:r w:rsidR="00AB53C3">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(44)</w:t>
            </w:r>
            <w:r>
              <w:tab/>
            </w:r>
            <w:r>
              <w:rPr>
                <w:b/>
                <w:i/>
                <w:color w:val="000000"/>
              </w:rPr>
              <w:t>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249</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(44)</w:t>
            </w:r>
            <w:r>
              <w:tab/>
              <w:t>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w:t>
            </w:r>
          </w:p>
        </w:tc>
        <w:tc>
          <w:tcPr>
            <w:tcW w:w="4876" w:type="dxa"/>
          </w:tcPr>
          <w:p w:rsidR="002F3FB4" w:rsidRDefault="002F3FB4" w:rsidP="00F37676">
            <w:pPr>
              <w:pStyle w:val="Normal6"/>
            </w:pPr>
            <w:r>
              <w:t>(44)</w:t>
            </w:r>
            <w:r>
              <w:tab/>
              <w:t xml:space="preserve">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 </w:t>
            </w:r>
            <w:r>
              <w:rPr>
                <w:b/>
                <w:i/>
                <w:color w:val="000000"/>
              </w:rPr>
              <w:t>See ei tohiks piirata rahvusvahelise kaitse saaja võimalust esitada asjaomasele ametiasutusele vastuvõetavaid põhjendusi.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See </w:t>
      </w:r>
      <w:r w:rsidR="00212EFA">
        <w:rPr>
          <w:noProof w:val="0"/>
        </w:rPr>
        <w:t xml:space="preserve">põhjendus </w:t>
      </w:r>
      <w:r>
        <w:rPr>
          <w:noProof w:val="0"/>
        </w:rPr>
        <w:t>on kooskõlas artikli 44 lõike 1 muudatusettepanekuga</w:t>
      </w:r>
      <w:r w:rsidR="00212EFA">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250</w:t>
      </w:r>
      <w:r>
        <w:rPr>
          <w:rStyle w:val="HideTWBExt"/>
          <w:b w:val="0"/>
          <w:noProof w:val="0"/>
        </w:rPr>
        <w:t>&lt;/NumAmB&gt;</w:t>
      </w:r>
    </w:p>
    <w:p w:rsidR="002F3FB4" w:rsidRDefault="002F3FB4" w:rsidP="002F3FB4">
      <w:pPr>
        <w:pStyle w:val="NormalBold"/>
      </w:pPr>
      <w:r>
        <w:rPr>
          <w:rStyle w:val="HideTWBExt"/>
          <w:b w:val="0"/>
          <w:noProof w:val="0"/>
        </w:rPr>
        <w:t>&lt;RepeatBlock-By&gt;&lt;Members&gt;</w:t>
      </w:r>
      <w:r>
        <w:t>Jeroen Lenaers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(44)</w:t>
            </w:r>
            <w:r>
              <w:tab/>
              <w:t>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w:t>
            </w:r>
          </w:p>
        </w:tc>
        <w:tc>
          <w:tcPr>
            <w:tcW w:w="4876" w:type="dxa"/>
          </w:tcPr>
          <w:p w:rsidR="002F3FB4" w:rsidRDefault="002F3FB4" w:rsidP="00F37676">
            <w:pPr>
              <w:pStyle w:val="Normal6"/>
            </w:pPr>
            <w:r>
              <w:t>(44)</w:t>
            </w:r>
            <w:r>
              <w:tab/>
              <w:t xml:space="preserve">Euroopa Liidus teisese rände ärahoidmiseks tuleks pikaajaliste elanike direktiivi 2003/109/EÜ muuta, et näha ette pikaajalise elaniku staatuse õiguse tekkimise aluseks oleva 5-aastase perioodi ennistamine iga kord kui isik tabatakse muus kui talle rahvusvahelise kaitse andnud liikmesriigis ja tal ei ole seejuures asjakohase liidu või siseriikliku õiguse kohaselt õigust seal viibida ega elada. </w:t>
            </w:r>
            <w:r>
              <w:rPr>
                <w:b/>
                <w:i/>
                <w:color w:val="000000"/>
              </w:rPr>
              <w:t xml:space="preserve">Lisaks sellele tuleks viieaastast perioodi, pärast mida on rahvusvahelise kaitse saajatel pikaajalise elaniku staatus, pikendada </w:t>
            </w:r>
            <w:r w:rsidR="00212EFA">
              <w:rPr>
                <w:b/>
                <w:i/>
                <w:color w:val="000000"/>
              </w:rPr>
              <w:t xml:space="preserve">seitsme </w:t>
            </w:r>
            <w:r>
              <w:rPr>
                <w:b/>
                <w:i/>
                <w:color w:val="000000"/>
              </w:rPr>
              <w:t>aastani.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(45)</w:t>
            </w:r>
            <w:r>
              <w:tab/>
              <w:t xml:space="preserve">Riigi julgeoleku ja avaliku korra mõiste </w:t>
            </w:r>
            <w:r>
              <w:rPr>
                <w:b/>
                <w:i/>
              </w:rPr>
              <w:t xml:space="preserve">hõlmab </w:t>
            </w:r>
            <w:r>
              <w:t xml:space="preserve">ka juhtumeid, kui kolmanda riigi kodanik kuulub rahvusvahelist terrorismi toetavasse ühingusse </w:t>
            </w:r>
            <w:r>
              <w:rPr>
                <w:b/>
                <w:i/>
              </w:rPr>
              <w:t>või toetab</w:t>
            </w:r>
            <w:r>
              <w:t xml:space="preserve"> </w:t>
            </w:r>
            <w:r>
              <w:rPr>
                <w:b/>
                <w:i/>
              </w:rPr>
              <w:t>sellist</w:t>
            </w:r>
            <w:r>
              <w:t xml:space="preserve"> </w:t>
            </w:r>
            <w:r>
              <w:rPr>
                <w:b/>
                <w:i/>
              </w:rPr>
              <w:t>ühingut</w:t>
            </w:r>
            <w:r>
              <w:t>.</w:t>
            </w:r>
          </w:p>
        </w:tc>
        <w:tc>
          <w:tcPr>
            <w:tcW w:w="4876" w:type="dxa"/>
          </w:tcPr>
          <w:p w:rsidR="002F3FB4" w:rsidRDefault="002F3FB4" w:rsidP="00F37676">
            <w:pPr>
              <w:pStyle w:val="Normal6"/>
            </w:pPr>
            <w:r>
              <w:t>(45)</w:t>
            </w:r>
            <w:r>
              <w:tab/>
              <w:t xml:space="preserve">Riigi julgeoleku ja avaliku korra mõiste </w:t>
            </w:r>
            <w:r>
              <w:rPr>
                <w:b/>
                <w:i/>
              </w:rPr>
              <w:t>võib hõlmata</w:t>
            </w:r>
            <w:r>
              <w:t xml:space="preserve"> ka juhtumeid, kui kolmanda riigi kodanik kuulub rahvusvahelist terrorismi toetavasse ühingusse.</w:t>
            </w:r>
            <w:r>
              <w:rPr>
                <w:b/>
                <w:i/>
                <w:color w:val="000000"/>
              </w:rPr>
              <w:t xml:space="preserve"> </w:t>
            </w:r>
            <w:r w:rsidR="00212EFA">
              <w:rPr>
                <w:b/>
                <w:i/>
                <w:color w:val="000000"/>
              </w:rPr>
              <w:t>Ainuüksi</w:t>
            </w:r>
            <w:r>
              <w:rPr>
                <w:b/>
                <w:i/>
                <w:color w:val="000000"/>
              </w:rPr>
              <w:t xml:space="preserve"> asjaolu, et asjaomane isik oli sellise ühingu liige, ei saa siiski automaatselt tähendada, et see isik tuleks pagulasseisundist ilma jätta: peab olema võimalik määrata asjaomasele isikule osa vastutusest tegude eest, mida organisatsioon pani toime ajal, mil isik oli selle liige. Selleks peab pädev ametiasutus muu hulgas hindama</w:t>
            </w:r>
            <w:r w:rsidR="00212EFA">
              <w:rPr>
                <w:b/>
                <w:i/>
                <w:color w:val="000000"/>
              </w:rPr>
              <w:t>,</w:t>
            </w:r>
            <w:r>
              <w:rPr>
                <w:b/>
                <w:i/>
                <w:color w:val="000000"/>
              </w:rPr>
              <w:t xml:space="preserve"> </w:t>
            </w:r>
            <w:r w:rsidR="00212EFA" w:rsidRPr="006F55E6">
              <w:rPr>
                <w:b/>
                <w:i/>
                <w:color w:val="000000"/>
                <w:szCs w:val="24"/>
              </w:rPr>
              <w:t>millist rolli kõnealune isik nende tegude toimepanemises tegelikult täitis, milline oli tema positsioon organisatsioonis, milline oli teadlikkuse aste, mis tal organisatsiooni tegevusest oli või oleks pidanud olema, võimalik</w:t>
            </w:r>
            <w:r w:rsidR="00212EFA">
              <w:rPr>
                <w:b/>
                <w:i/>
                <w:color w:val="000000"/>
                <w:szCs w:val="24"/>
              </w:rPr>
              <w:t>ku</w:t>
            </w:r>
            <w:r w:rsidR="00212EFA" w:rsidRPr="006F55E6">
              <w:rPr>
                <w:b/>
                <w:i/>
                <w:color w:val="000000"/>
                <w:szCs w:val="24"/>
              </w:rPr>
              <w:t xml:space="preserve"> surve</w:t>
            </w:r>
            <w:r w:rsidR="00212EFA">
              <w:rPr>
                <w:b/>
                <w:i/>
                <w:color w:val="000000"/>
                <w:szCs w:val="24"/>
              </w:rPr>
              <w:t>t</w:t>
            </w:r>
            <w:r w:rsidR="00212EFA" w:rsidRPr="006F55E6">
              <w:rPr>
                <w:b/>
                <w:i/>
                <w:color w:val="000000"/>
                <w:szCs w:val="24"/>
              </w:rPr>
              <w:t>, mis talle avaldati, või teis</w:t>
            </w:r>
            <w:r w:rsidR="00212EFA">
              <w:rPr>
                <w:b/>
                <w:i/>
                <w:color w:val="000000"/>
                <w:szCs w:val="24"/>
              </w:rPr>
              <w:t>i</w:t>
            </w:r>
            <w:r w:rsidR="00212EFA" w:rsidRPr="006F55E6">
              <w:rPr>
                <w:b/>
                <w:i/>
                <w:color w:val="000000"/>
                <w:szCs w:val="24"/>
              </w:rPr>
              <w:t xml:space="preserve"> tegur</w:t>
            </w:r>
            <w:r w:rsidR="00212EFA">
              <w:rPr>
                <w:b/>
                <w:i/>
                <w:color w:val="000000"/>
                <w:szCs w:val="24"/>
              </w:rPr>
              <w:t>e</w:t>
            </w:r>
            <w:r w:rsidR="00212EFA" w:rsidRPr="006F55E6">
              <w:rPr>
                <w:b/>
                <w:i/>
                <w:color w:val="000000"/>
                <w:szCs w:val="24"/>
              </w:rPr>
              <w:t>id, mis võisid tema käitumist mõjutada</w:t>
            </w:r>
            <w:r>
              <w:rPr>
                <w:b/>
                <w:i/>
                <w:color w:val="000000"/>
              </w:rPr>
              <w:t xml:space="preserve">. Isiklikku vastutust tuleb hinnata nii objektiivseid kui ka subjektiivseid kriteeriume arvesse võttes, see peab põhinema dokumenteeritud tõenditel ning otsus peab olema õiguspärane ja tagasilükkamine proportsionaalne kavandatava eesmärgi suhtes. Taotlejat tuleks teavitada tagasilükkamise põhjustest, mis ei tohi põhineda kahtlustel. </w:t>
            </w:r>
            <w:r>
              <w:rPr>
                <w:b/>
                <w:i/>
              </w:rPr>
              <w:t>Taotlejal on juurdepääs tõhusale õiguskaitsevahenditele</w:t>
            </w:r>
            <w:r w:rsidRPr="006F55E6">
              <w:rPr>
                <w:b/>
                <w:i/>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Muudatusettepanek, mis hõlmab Euroopa Kohtu otsuse punkte kohtuasjas Saksamaa Liitvabariik vs. B (C-57/09) ja D (C-101/09)</w:t>
      </w:r>
      <w:r w:rsidR="00212EFA">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(45)</w:t>
            </w:r>
            <w:r>
              <w:tab/>
              <w:t xml:space="preserve">Riigi julgeoleku ja avaliku korra mõiste hõlmab ka juhtumeid, kui kolmanda riigi kodanik kuulub rahvusvahelist terrorismi toetavasse ühingusse </w:t>
            </w:r>
            <w:r>
              <w:rPr>
                <w:b/>
                <w:i/>
              </w:rPr>
              <w:t>või toetab sellist ühingut</w:t>
            </w:r>
            <w:r>
              <w:t>.</w:t>
            </w:r>
          </w:p>
        </w:tc>
        <w:tc>
          <w:tcPr>
            <w:tcW w:w="4876" w:type="dxa"/>
          </w:tcPr>
          <w:p w:rsidR="002F3FB4" w:rsidRDefault="002F3FB4" w:rsidP="00F37676">
            <w:pPr>
              <w:pStyle w:val="Normal6"/>
            </w:pPr>
            <w:r>
              <w:t>(45)</w:t>
            </w:r>
            <w:r>
              <w:tab/>
              <w:t>Riigi julgeoleku ja avaliku korra mõiste hõlmab ka juhtumeid, kui kolmanda riigi kodanik kuulub rahvusvahelist terrorismi toetavasse ühingusse.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(45)</w:t>
            </w:r>
            <w:r>
              <w:tab/>
              <w:t>Riigi julgeoleku ja avaliku korra mõiste hõlmab ka juhtumeid, kui kolmanda riigi kodanik</w:t>
            </w:r>
            <w:r>
              <w:rPr>
                <w:b/>
                <w:i/>
              </w:rPr>
              <w:t xml:space="preserve"> kuulub rahvusvahelist</w:t>
            </w:r>
            <w:r>
              <w:t xml:space="preserve"> terrorismi </w:t>
            </w:r>
            <w:r>
              <w:rPr>
                <w:b/>
                <w:i/>
              </w:rPr>
              <w:t>toetavasse ühingusse</w:t>
            </w:r>
            <w:r>
              <w:t xml:space="preserve"> või </w:t>
            </w:r>
            <w:r>
              <w:rPr>
                <w:b/>
                <w:i/>
              </w:rPr>
              <w:t>toetab</w:t>
            </w:r>
            <w:r>
              <w:t xml:space="preserve"> </w:t>
            </w:r>
            <w:r>
              <w:rPr>
                <w:b/>
                <w:i/>
              </w:rPr>
              <w:t>sellist ühingut</w:t>
            </w:r>
            <w:r>
              <w:t>.</w:t>
            </w:r>
          </w:p>
        </w:tc>
        <w:tc>
          <w:tcPr>
            <w:tcW w:w="4876" w:type="dxa"/>
          </w:tcPr>
          <w:p w:rsidR="002F3FB4" w:rsidRDefault="002F3FB4" w:rsidP="00F37676">
            <w:pPr>
              <w:pStyle w:val="Normal6"/>
            </w:pPr>
            <w:r>
              <w:t>(45)</w:t>
            </w:r>
            <w:r>
              <w:tab/>
              <w:t xml:space="preserve">Riigi julgeoleku ja avaliku korra mõiste hõlmab ka juhtumeid, kui kolmanda riigi kodanik </w:t>
            </w:r>
            <w:r>
              <w:rPr>
                <w:b/>
                <w:i/>
              </w:rPr>
              <w:t>toetab otseselt või kaudselt</w:t>
            </w:r>
            <w:r>
              <w:t xml:space="preserve"> terrorismi või</w:t>
            </w:r>
            <w:r>
              <w:rPr>
                <w:b/>
                <w:i/>
              </w:rPr>
              <w:t xml:space="preserve"> religioosset radikalismi</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A77E84" w:rsidP="002F3FB4">
      <w:pPr>
        <w:pStyle w:val="Normal12Italic"/>
        <w:rPr>
          <w:noProof w:val="0"/>
        </w:rPr>
      </w:pPr>
      <w:r>
        <w:rPr>
          <w:noProof w:val="0"/>
        </w:rPr>
        <w:t>Terroristliku ühingu liikmesust on k</w:t>
      </w:r>
      <w:r w:rsidR="002F3FB4">
        <w:rPr>
          <w:noProof w:val="0"/>
        </w:rPr>
        <w:t>eeruline ja ebavajalik</w:t>
      </w:r>
      <w:r>
        <w:rPr>
          <w:noProof w:val="0"/>
        </w:rPr>
        <w:t xml:space="preserve"> </w:t>
      </w:r>
      <w:r w:rsidR="002F3FB4">
        <w:rPr>
          <w:noProof w:val="0"/>
        </w:rPr>
        <w:t>tõendada; asjakohasem on võtta sihiks sellis</w:t>
      </w:r>
      <w:r>
        <w:rPr>
          <w:noProof w:val="0"/>
        </w:rPr>
        <w:t>t</w:t>
      </w:r>
      <w:r w:rsidR="002F3FB4">
        <w:rPr>
          <w:noProof w:val="0"/>
        </w:rPr>
        <w:t>e nähtus</w:t>
      </w:r>
      <w:r>
        <w:rPr>
          <w:noProof w:val="0"/>
        </w:rPr>
        <w:t>t</w:t>
      </w:r>
      <w:r w:rsidR="002F3FB4">
        <w:rPr>
          <w:noProof w:val="0"/>
        </w:rPr>
        <w:t>e toetustegevus, mis õõnestab riigi julgeolekut ja avalikku korda.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254</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József Nagy, Emil Radev</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45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(45 a)</w:t>
            </w:r>
            <w:r>
              <w:tab/>
            </w:r>
            <w:r>
              <w:rPr>
                <w:b/>
                <w:i/>
                <w:color w:val="000000"/>
              </w:rPr>
              <w:t>Juhul kui rahvusvahelise kaitse saaja või rahvusvahelise kaitse taotleja olukord vastab Genfi konventsiooni artikli 33 lõikes 2 sätestatud tingimustele, peaks liikmesriikidel olema kaalutlusõigus, kas saata isik tagasi tema päritoluriiki, pidades täielikult kinni Euroopa Liidu põhiõiguste hartast, eelkõige artiklist 4 ja artikli 19 lõikest 2.</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24. juuni 2015. aasta kohtuasjas H.T (C-373/13) rõhutab Euroopa Kohus, et </w:t>
      </w:r>
      <w:r w:rsidR="00A77E84">
        <w:rPr>
          <w:noProof w:val="0"/>
        </w:rPr>
        <w:t>õigus selle</w:t>
      </w:r>
      <w:r>
        <w:rPr>
          <w:noProof w:val="0"/>
        </w:rPr>
        <w:t xml:space="preserve"> praegusel kujul annab liikmesriikidele kaalutlusõiguse juhtudel, kui isiku saab tagasi või välja saata. Hoolimata sellest, et arvestada tuleb „tagasi- ja väljasaatmise lubamatuse“ põhimõttega, on samuti vaja jätta liikmesriikidele võimalus sellest kõrvale kalduda, kui see ei ole vastuolus nende rahvusvaheliste kohustustega ja Euroopa Liidu põhiõiguste hartas sätestatuga.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(46)</w:t>
            </w:r>
            <w:r>
              <w:tab/>
              <w:t xml:space="preserve">Käesolevas </w:t>
            </w:r>
            <w:r>
              <w:rPr>
                <w:b/>
                <w:i/>
              </w:rPr>
              <w:t>määruses</w:t>
            </w:r>
            <w:r>
              <w:t xml:space="preserve"> nimetatud hüvede saamise õiguse üle otsustamisel peaksid pädevad asutused võtma nõuetekohaselt arvesse lapse parimaid huve, samuti konkreetseid asjaolusid, mis on seotud rahvusvahelise kaitse saaja selliste lähisugulaste ülalpidamisega, kes juba viibivad liikmesriigis ning kes ei ole tema pereliikmed. Erandlikel asjaoludel, kui rahvusvahelise kaitse saaja lähisugulane on abielus alaealine, kes ei ole koos oma abikaasaga, võib alaealise parimad huvid lugeda seotuks tema vanemate perekonnaga.</w:t>
            </w:r>
          </w:p>
        </w:tc>
        <w:tc>
          <w:tcPr>
            <w:tcW w:w="4876" w:type="dxa"/>
          </w:tcPr>
          <w:p w:rsidR="002F3FB4" w:rsidRDefault="002F3FB4" w:rsidP="00F37676">
            <w:pPr>
              <w:pStyle w:val="Normal6"/>
            </w:pPr>
            <w:r>
              <w:t>(46)</w:t>
            </w:r>
            <w:r>
              <w:tab/>
              <w:t xml:space="preserve">Käesolevas </w:t>
            </w:r>
            <w:r>
              <w:rPr>
                <w:b/>
                <w:i/>
              </w:rPr>
              <w:t>direktiivis</w:t>
            </w:r>
            <w:r>
              <w:t xml:space="preserve"> nimetatud hüvede saamise õiguse üle otsustamisel peaksid pädevad asutused võtma nõuetekohaselt arvesse lapse parimaid huve, samuti konkreetseid asjaolusid, mis on seotud rahvusvahelise kaitse saaja selliste lähisugulaste ülalpidamisega, kes juba viibivad liikmesriigis ning kes ei ole tema pereliikmed. Erandlikel asjaoludel, kui rahvusvahelise kaitse saaja lähisugulane on abielus alaealine, kes ei ole koos oma abikaasaga, võib alaealise parimad huvid lugeda seotuks tema vanemate perekonnaga.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(47)</w:t>
            </w:r>
            <w:r>
              <w:tab/>
            </w:r>
            <w:r>
              <w:rPr>
                <w:b/>
                <w:i/>
                <w:color w:val="000000"/>
              </w:rPr>
              <w:t>Rahvusvahelistes kohustustes kehtestatud piirides ette nähtult tööturule ja sotsiaalkindlustusele juurdepääsuga seotud hüvede andmine eeldab enne seda elamisloa väljaandmist.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P</w:t>
      </w:r>
      <w:r w:rsidR="00A77E84">
        <w:rPr>
          <w:noProof w:val="0"/>
        </w:rPr>
        <w:t>õhjendus on</w:t>
      </w:r>
      <w:r>
        <w:rPr>
          <w:noProof w:val="0"/>
        </w:rPr>
        <w:t xml:space="preserve"> välja jäetud kooskõla huvides </w:t>
      </w:r>
      <w:r w:rsidR="00A77E84">
        <w:rPr>
          <w:noProof w:val="0"/>
        </w:rPr>
        <w:t xml:space="preserve">muudatusettepanekuga </w:t>
      </w:r>
      <w:r>
        <w:rPr>
          <w:noProof w:val="0"/>
        </w:rPr>
        <w:t xml:space="preserve">artikli 22 </w:t>
      </w:r>
      <w:r w:rsidR="00A77E84">
        <w:rPr>
          <w:noProof w:val="0"/>
        </w:rPr>
        <w:t xml:space="preserve">lõike </w:t>
      </w:r>
      <w:r>
        <w:rPr>
          <w:noProof w:val="0"/>
        </w:rPr>
        <w:t>3</w:t>
      </w:r>
      <w:r w:rsidR="00A77E84">
        <w:rPr>
          <w:noProof w:val="0"/>
        </w:rPr>
        <w:t xml:space="preserve"> kohta.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(48)</w:t>
            </w:r>
            <w:r>
              <w:tab/>
            </w:r>
            <w:r>
              <w:rPr>
                <w:b/>
                <w:i/>
                <w:color w:val="000000"/>
              </w:rPr>
              <w:t>Pädevad asutused võivad piirata õigust töötada või tegutseda füüsilisest isikust ettevõtjana, kui on tegu ametikohtadega, mis hõlmavad avaliku võimu teostamist ning vastutust riigi või muude avaliku sektori asutuste üldiste huvide kaitsmise eest. Töötajate organisatsiooniga liitumise või teataval tegevusalal tegutsemisel võrdse kohtlemise õiguse kasutamisel võib samuti välistada rahvusvahelise kaitse saajate osalemise avalik-õiguslike juriidiliste isikute juhtimises ja töötamise avalik-õiguslikul ametikohal.</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(48)</w:t>
            </w:r>
            <w:r>
              <w:tab/>
              <w:t xml:space="preserve">Pädevad asutused võivad piirata õigust töötada või tegutseda füüsilisest isikust ettevõtjana, kui on tegu ametikohtadega, mis hõlmavad avaliku võimu teostamist ning vastutust riigi või muude avaliku sektori asutuste üldiste huvide kaitsmise eest. </w:t>
            </w:r>
            <w:r>
              <w:rPr>
                <w:b/>
                <w:i/>
                <w:color w:val="000000"/>
              </w:rPr>
              <w:t>Töötajate organisatsiooniga liitumise või teataval tegevusalal tegutsemisel võrdse kohtlemise õiguse kasutamisel võib samuti välistada rahvusvahelise kaitse saajate osalemise avalik-õiguslike juriidiliste isikute juhtimises ja töötamise avalik-õiguslikul ametikohal.</w:t>
            </w:r>
          </w:p>
        </w:tc>
        <w:tc>
          <w:tcPr>
            <w:tcW w:w="4876" w:type="dxa"/>
          </w:tcPr>
          <w:p w:rsidR="002F3FB4" w:rsidRDefault="002F3FB4" w:rsidP="00F37676">
            <w:pPr>
              <w:pStyle w:val="Normal6"/>
            </w:pPr>
            <w:r>
              <w:t>(48)</w:t>
            </w:r>
            <w:r>
              <w:tab/>
              <w:t>Pädevad asutused võivad piirata õigust töötada või tegutseda füüsilisest isikust ettevõtjana, kui on tegu ametikohtadega, mis hõlmavad avaliku võimu teostamist ning vastutust riigi või muude avaliku sektori asutuste üldiste huvide kaitsmise eest.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259</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(48)</w:t>
            </w:r>
            <w:r>
              <w:tab/>
              <w:t>Pädevad asutused võivad piirata õigust töötada või tegutseda füüsilisest isikust ettevõtjana, kui on tegu ametikohtadega, mis hõlmavad avaliku võimu teostamist ning vastutust riigi või muude avaliku sektori asutuste üldiste huvide kaitsmise eest. Töötajate organisatsiooniga liitumise või teataval tegevusalal tegutsemisel võrdse kohtlemise õiguse kasutamisel võib samuti välistada rahvusvahelise kaitse saajate osalemise avalik-õiguslike juriidiliste isikute juhtimises ja töötamise avalik-õiguslikul ametikohal.</w:t>
            </w:r>
          </w:p>
        </w:tc>
        <w:tc>
          <w:tcPr>
            <w:tcW w:w="4876" w:type="dxa"/>
          </w:tcPr>
          <w:p w:rsidR="002F3FB4" w:rsidRDefault="002F3FB4" w:rsidP="00F37676">
            <w:pPr>
              <w:pStyle w:val="Normal6"/>
            </w:pPr>
            <w:r>
              <w:t>(48)</w:t>
            </w:r>
            <w:r>
              <w:tab/>
              <w:t>Pädevad asutused võivad piirata õigust töötada või tegutseda füüsilisest isikust ettevõtjana, kui on tegu ametikohtadega, mis hõlmavad avaliku võimu teostamist ning vastutust riigi või muude avaliku sektori asutuste üldiste huvide kaitsmise eest. Töötajate organisatsiooniga liitumise või teataval tegevusalal tegutsemisel võrdse kohtlemise õiguse kasutamisel võib samuti välistada rahvusvahelise kaitse saajate osalemise avalik-õiguslike juriidiliste isikute juhtimises ja töötamise avalik-õiguslikul ametikohal</w:t>
            </w:r>
            <w:r w:rsidR="00A77E84">
              <w:t>.</w:t>
            </w:r>
            <w:r>
              <w:rPr>
                <w:b/>
                <w:i/>
                <w:color w:val="000000"/>
              </w:rPr>
              <w:t xml:space="preserve"> </w:t>
            </w:r>
            <w:r w:rsidR="00A77E84">
              <w:rPr>
                <w:b/>
                <w:i/>
                <w:color w:val="000000"/>
              </w:rPr>
              <w:t>P</w:t>
            </w:r>
            <w:r>
              <w:rPr>
                <w:b/>
                <w:i/>
                <w:color w:val="000000"/>
              </w:rPr>
              <w:t>ädevad asutused võivad lisaks piirata juurdepääsu töökohtadele või füüsilisest isikust ettevõtjate tegevusele, et vältida tasakaalustamatust tööturul</w:t>
            </w:r>
            <w:r w:rsidR="00A77E84">
              <w:rPr>
                <w:b/>
                <w:i/>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(49)</w:t>
            </w:r>
            <w:r>
              <w:tab/>
              <w:t>Selleks et rahvusvahelise kaitse saajad saaksid tõhusamalt kasutada käesolevas määruses sätestatud õigusi ja hüvesid, tuleb arvestada nende erivajaduste ja neile omaste integratsioonivajaduste ja -probleemidega ning lihtsustada nende juurdepääsu integratsiooniga seotud õigustele, eeskätt tööhõivega seotud koolitusvõimalustele ja kutsekoolitusele ning juurdepääsu välisriikide diplomi, tunnistuste või muude kvalifikatsiooni tõendavate dokumentide tunnustamisele eriti olukorras, kui puuduvad dokumentaalsed tõendid ja isikutel käib tunnustamisega kaasnevate kulude kandmine üle jõu.</w:t>
            </w:r>
          </w:p>
        </w:tc>
        <w:tc>
          <w:tcPr>
            <w:tcW w:w="4876" w:type="dxa"/>
          </w:tcPr>
          <w:p w:rsidR="002F3FB4" w:rsidRDefault="002F3FB4" w:rsidP="00F37676">
            <w:pPr>
              <w:pStyle w:val="Normal6"/>
            </w:pPr>
            <w:r>
              <w:t>(49)</w:t>
            </w:r>
            <w:r>
              <w:tab/>
              <w:t xml:space="preserve">Selleks et rahvusvahelise kaitse saajad saaksid tõhusamalt kasutada käesolevas määruses sätestatud õigusi ja hüvesid, tuleb arvestada nende erivajaduste ja neile omaste integratsioonivajaduste ja -probleemidega ning lihtsustada nende juurdepääsu integratsiooniga seotud õigustele, eeskätt tööhõivega seotud koolitusvõimalustele ja kutsekoolitusele ning juurdepääsu välisriikide diplomi, tunnistuste või muude kvalifikatsiooni tõendavate dokumentide tunnustamisele eriti olukorras, kui puuduvad dokumentaalsed tõendid ja isikutel käib tunnustamisega kaasnevate kulude kandmine üle jõu. </w:t>
            </w:r>
            <w:r>
              <w:rPr>
                <w:b/>
                <w:i/>
                <w:color w:val="000000"/>
              </w:rPr>
              <w:t>Nagu on viidatud vastuvõtu</w:t>
            </w:r>
            <w:r w:rsidR="00A77E84">
              <w:rPr>
                <w:b/>
                <w:i/>
                <w:color w:val="000000"/>
              </w:rPr>
              <w:t xml:space="preserve">tingimuste </w:t>
            </w:r>
            <w:r>
              <w:rPr>
                <w:b/>
                <w:i/>
                <w:color w:val="000000"/>
              </w:rPr>
              <w:t xml:space="preserve">direktiivis, piirates rahvusvahelise kaitse saajate töötamist, jätavad valitsused kogukonnad ilma motiveeritud töötajatest, muudavad varjupaigataotlejad/pagulased odava tööjõuna ekspluateerimise suhtes </w:t>
            </w:r>
            <w:r w:rsidR="00A77E84">
              <w:rPr>
                <w:b/>
                <w:i/>
                <w:color w:val="000000"/>
              </w:rPr>
              <w:t xml:space="preserve">haavatavasse olukorda </w:t>
            </w:r>
            <w:r>
              <w:rPr>
                <w:b/>
                <w:i/>
                <w:color w:val="000000"/>
              </w:rPr>
              <w:t>ja muudavad integratsiooniprotsessi pikemas p</w:t>
            </w:r>
            <w:r w:rsidR="00A77E84">
              <w:rPr>
                <w:b/>
                <w:i/>
                <w:color w:val="000000"/>
              </w:rPr>
              <w:t>laanis</w:t>
            </w:r>
            <w:r>
              <w:rPr>
                <w:b/>
                <w:i/>
                <w:color w:val="000000"/>
              </w:rPr>
              <w:t xml:space="preserve"> keerulisemaks. Lisaks sellele on varjupaigataotlejate majutamisega seotud kulud </w:t>
            </w:r>
            <w:r w:rsidR="00A77E84">
              <w:rPr>
                <w:b/>
                <w:i/>
                <w:color w:val="000000"/>
              </w:rPr>
              <w:t>väiksemad</w:t>
            </w:r>
            <w:r>
              <w:rPr>
                <w:b/>
                <w:i/>
                <w:color w:val="000000"/>
              </w:rPr>
              <w:t>, kui neil on õigus tasustatud tööle. Selles kontekstis oleks varajane tööturule integreerumine parim lahendus</w:t>
            </w:r>
            <w:r w:rsidR="00A77E84">
              <w:rPr>
                <w:b/>
                <w:i/>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(49)</w:t>
            </w:r>
            <w:r>
              <w:tab/>
              <w:t>Selleks et rahvusvahelise kaitse saajad saaksid tõhusamalt kasutada käesolevas määruses sätestatud õigusi ja hüvesid, tuleb arvestada nende erivajaduste ja neile omaste integratsioonivajaduste ja -probleemidega ning lihtsustada nende juurdepääsu integratsiooniga seotud õigustele</w:t>
            </w:r>
            <w:r w:rsidRPr="006F55E6">
              <w:rPr>
                <w:b/>
                <w:i/>
              </w:rPr>
              <w:t xml:space="preserve">, </w:t>
            </w:r>
            <w:r>
              <w:rPr>
                <w:b/>
                <w:i/>
              </w:rPr>
              <w:t>eeskätt tööhõivega seotud koolitusvõimalustele ja kutsekoolitusele ning juurdepääsu välisriikide diplomi, tunnistuste või muude kvalifikatsiooni tõendavate dokumentide tunnustamisele eriti olukorras, kui puuduvad dokumentaalsed tõendid ja isikutel käib tunnustamisega kaasnevate kulude kandmine üle jõu</w:t>
            </w:r>
            <w:r>
              <w:t>.</w:t>
            </w:r>
          </w:p>
        </w:tc>
        <w:tc>
          <w:tcPr>
            <w:tcW w:w="4876" w:type="dxa"/>
          </w:tcPr>
          <w:p w:rsidR="002F3FB4" w:rsidRDefault="002F3FB4" w:rsidP="00F37676">
            <w:pPr>
              <w:pStyle w:val="Normal6"/>
            </w:pPr>
            <w:r>
              <w:t>(49)</w:t>
            </w:r>
            <w:r>
              <w:tab/>
              <w:t>Selleks et rahvusvahelise kaitse saajad saaksid tõhusamalt kasutada käesolevas määruses sätestatud õigusi ja hüvesid, tuleb arvestada nende erivajaduste ja neile omaste integratsioonivajaduste ja -probleemidega ning lihtsustada nende juurdepääsu integratsiooniga seotud õigustele.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(49)</w:t>
            </w:r>
            <w:r>
              <w:tab/>
              <w:t xml:space="preserve">Selleks et rahvusvahelise kaitse saajad saaksid tõhusamalt kasutada käesolevas </w:t>
            </w:r>
            <w:r>
              <w:rPr>
                <w:b/>
                <w:i/>
              </w:rPr>
              <w:t>määruses</w:t>
            </w:r>
            <w:r>
              <w:t xml:space="preserve"> sätestatud õigusi ja hüvesid, tuleb arvestada nende erivajaduste ja neile omaste integratsioonivajaduste ja -probleemidega ning lihtsustada nende juurdepääsu integratsiooniga seotud õigustele, eeskätt tööhõivega seotud koolitusvõimalustele ja kutsekoolitusele ning juurdepääsu välisriikide diplomi, tunnistuste või muude kvalifikatsiooni tõendavate dokumentide tunnustamisele eriti olukorras, kui puuduvad dokumentaalsed tõendid ja isikutel käib tunnustamisega kaasnevate kulude kandmine üle jõu.</w:t>
            </w:r>
          </w:p>
        </w:tc>
        <w:tc>
          <w:tcPr>
            <w:tcW w:w="4876" w:type="dxa"/>
          </w:tcPr>
          <w:p w:rsidR="002F3FB4" w:rsidRDefault="002F3FB4" w:rsidP="00F37676">
            <w:pPr>
              <w:pStyle w:val="Normal6"/>
            </w:pPr>
            <w:r>
              <w:t>(49)</w:t>
            </w:r>
            <w:r>
              <w:tab/>
              <w:t xml:space="preserve">Selleks et rahvusvahelise kaitse saajad saaksid tõhusamalt kasutada käesolevas </w:t>
            </w:r>
            <w:r>
              <w:rPr>
                <w:b/>
                <w:i/>
              </w:rPr>
              <w:t>direktiivis</w:t>
            </w:r>
            <w:r>
              <w:t xml:space="preserve"> sätestatud õigusi ja hüvesid, tuleb arvestada nende erivajaduste ja neile omaste integratsioonivajaduste ja -probleemidega ning lihtsustada nende juurdepääsu integratsiooniga seotud õigustele, eeskätt tööhõivega seotud koolitusvõimalustele ja kutsekoolitusele ning juurdepääsu välisriikide diplomi, tunnistuste või muude kvalifikatsiooni tõendavate dokumentide tunnustamisele eriti olukorras, kui puuduvad dokumentaalsed tõendid ja isikutel käib tunnustamisega kaasnevate kulude kandmine üle jõu.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(49 a)</w:t>
            </w:r>
            <w:r>
              <w:tab/>
            </w:r>
            <w:r>
              <w:rPr>
                <w:b/>
                <w:i/>
                <w:color w:val="000000"/>
              </w:rPr>
              <w:t xml:space="preserve">Rahvusvahelise kaitse saajad võivad saabudes olla teatavas ebasoodsas olukorras. Oma aruandes „Ümberasustatavate pagulaste tööturule integreerimine“ väidab </w:t>
            </w:r>
            <w:r w:rsidR="00621F31">
              <w:rPr>
                <w:b/>
                <w:i/>
                <w:color w:val="000000"/>
              </w:rPr>
              <w:t>ÜRO Pagulaste Ülemvoliniku Amet</w:t>
            </w:r>
            <w:r>
              <w:rPr>
                <w:b/>
                <w:i/>
                <w:color w:val="000000"/>
              </w:rPr>
              <w:t xml:space="preserve">, et ümberasustatavad pagulased on kas eraldiseisev tööturg (madalate kvalifikatsiooninõuetega) või </w:t>
            </w:r>
            <w:r w:rsidR="00621F31">
              <w:rPr>
                <w:b/>
                <w:i/>
                <w:color w:val="000000"/>
              </w:rPr>
              <w:t xml:space="preserve">nad kohtavad </w:t>
            </w:r>
            <w:r>
              <w:rPr>
                <w:b/>
                <w:i/>
                <w:color w:val="000000"/>
              </w:rPr>
              <w:t>tööturule sisenedes lisatakistus</w:t>
            </w:r>
            <w:r w:rsidR="00621F31">
              <w:rPr>
                <w:b/>
                <w:i/>
                <w:color w:val="000000"/>
              </w:rPr>
              <w:t>i</w:t>
            </w:r>
            <w:r>
              <w:rPr>
                <w:b/>
                <w:i/>
                <w:color w:val="000000"/>
              </w:rPr>
              <w:t>. Seega tuleks struktureeritud programme kavandada erinevate tavadega, et tagada selle sihtrühma võrdne juurdepääs tööturule</w:t>
            </w:r>
            <w:r w:rsidR="00621F31">
              <w:rPr>
                <w:b/>
                <w:i/>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 b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(49 b)</w:t>
            </w:r>
            <w:r>
              <w:tab/>
            </w:r>
            <w:r>
              <w:rPr>
                <w:b/>
                <w:i/>
                <w:color w:val="000000"/>
              </w:rPr>
              <w:t>On vaja kaaluda erimeetmete võtmist, et tulemuslikult kõrvaldada praktilised raskused, millega puutuvad kokku rahvusvahelise kaitse saajad seoses välisriikide diplomite, tunnistuste või muude kvalifikatsiooni tõendavate dokumentide tõestamisega, eelkõige dokumentaalsete tõendite puudumise ja suutmatuse tõttu kanda tunnustamisega kaasnevaid kulusid.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Käesolev</w:t>
      </w:r>
      <w:r w:rsidR="00621F31">
        <w:rPr>
          <w:noProof w:val="0"/>
        </w:rPr>
        <w:t>a</w:t>
      </w:r>
      <w:r>
        <w:rPr>
          <w:noProof w:val="0"/>
        </w:rPr>
        <w:t xml:space="preserve"> muudatusettepanek</w:t>
      </w:r>
      <w:r w:rsidR="00621F31">
        <w:rPr>
          <w:noProof w:val="0"/>
        </w:rPr>
        <w:t>uga kaasatakse</w:t>
      </w:r>
      <w:r>
        <w:rPr>
          <w:noProof w:val="0"/>
        </w:rPr>
        <w:t xml:space="preserve"> uuesti 2011. aasta direktiivi preambuli </w:t>
      </w:r>
      <w:r w:rsidR="00621F31">
        <w:rPr>
          <w:noProof w:val="0"/>
        </w:rPr>
        <w:t xml:space="preserve">põhjendus </w:t>
      </w:r>
      <w:r>
        <w:rPr>
          <w:noProof w:val="0"/>
        </w:rPr>
        <w:t>44 väga väikeste muudatustega</w:t>
      </w:r>
      <w:r w:rsidR="00621F31">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49 c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(49 c)</w:t>
            </w:r>
            <w:r>
              <w:tab/>
            </w:r>
            <w:r>
              <w:rPr>
                <w:b/>
                <w:i/>
                <w:color w:val="000000"/>
              </w:rPr>
              <w:t>Arvestades, et integratsioon on kahesuunaline protsess, peaks ELi põhiväärtuste ja rahvusvahelise kaitse saajate põhiõiguste austamine olema integratsiooniprotsessi lahutamatu osa. Integratsioon peaks vältima eraldatust, edendama kaasatust, ja selle edu jaoks on tähtis kõigi asjaomaste osalejate osavõtt. Liikmesriigid peaksid riiklikul, piirkondlikul ja kohalikul tasandil pakkuma rahvusvahelise kaitse saajatele tuge ja võimalusi uude ühiskonda integreerumiseks ja seal elu sisseseadmiseks, mis peaks hõlmama peavarju, kirjaoskus- ja keelekursusi, kultuuridevahelist dialoogi, haridust ja kutsekoolitust, samuti tõhusat juurdepääsu ühiskonna demokraatlikele struktuuridele.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266</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(50)</w:t>
            </w:r>
            <w:r>
              <w:tab/>
            </w:r>
            <w:r>
              <w:rPr>
                <w:b/>
                <w:i/>
                <w:color w:val="000000"/>
              </w:rPr>
              <w:t>Rahvusvahelise kaitse saajaid tuleks sotsiaalkindlustuse valdkonnas kohelda kaitset andva liikmesriigi kodanikega võrdsetelt.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267</w:t>
      </w:r>
      <w:r>
        <w:rPr>
          <w:rStyle w:val="HideTWBExt"/>
          <w:b w:val="0"/>
          <w:noProof w:val="0"/>
        </w:rPr>
        <w:t>&lt;/NumAmB&gt;</w:t>
      </w:r>
    </w:p>
    <w:p w:rsidR="002F3FB4" w:rsidRDefault="002F3FB4" w:rsidP="002F3FB4">
      <w:pPr>
        <w:pStyle w:val="NormalBold"/>
      </w:pPr>
      <w:r>
        <w:rPr>
          <w:rStyle w:val="HideTWBExt"/>
          <w:b w:val="0"/>
          <w:noProof w:val="0"/>
        </w:rPr>
        <w:t>&lt;RepeatBlock-By&gt;&lt;Members&gt;</w:t>
      </w:r>
      <w:r>
        <w:t>Traian Ungureanu, Artis Pabriks, Kinga Gál, Pál Csáky,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(50)</w:t>
            </w:r>
            <w:r>
              <w:tab/>
            </w:r>
            <w:r>
              <w:rPr>
                <w:b/>
                <w:i/>
                <w:color w:val="000000"/>
              </w:rPr>
              <w:t>Rahvusvahelise kaitse saajaid tuleks sotsiaalkindlustuse valdkonnas kohelda kaitset andva liikmesriigi kodanikega võrdsetelt.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268</w:t>
      </w:r>
      <w:r>
        <w:rPr>
          <w:rStyle w:val="HideTWBExt"/>
          <w:b w:val="0"/>
          <w:noProof w:val="0"/>
        </w:rPr>
        <w:t>&lt;/NumAmB&gt;</w:t>
      </w:r>
    </w:p>
    <w:p w:rsidR="002F3FB4" w:rsidRDefault="002F3FB4" w:rsidP="002F3FB4">
      <w:pPr>
        <w:pStyle w:val="NormalBold"/>
      </w:pPr>
      <w:r>
        <w:rPr>
          <w:rStyle w:val="HideTWBExt"/>
          <w:b w:val="0"/>
          <w:noProof w:val="0"/>
        </w:rPr>
        <w:t>&lt;RepeatBlock-By&gt;&lt;Members&gt;</w:t>
      </w:r>
      <w:r>
        <w:t>Kristina Winberg</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(50)</w:t>
            </w:r>
            <w:r>
              <w:tab/>
            </w:r>
            <w:r>
              <w:rPr>
                <w:b/>
                <w:i/>
                <w:color w:val="000000"/>
              </w:rPr>
              <w:t>Rahvusvahelise kaitse saajaid tuleks sotsiaalkindlustuse valdkonnas kohelda kaitset andva liikmesriigi kodanikega võrdsetelt.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269</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(50)</w:t>
            </w:r>
            <w:r>
              <w:tab/>
              <w:t>Rahvusvahelise kaitse saajaid tuleks sotsiaalkindlustuse valdkonnas kohelda kaitset andva liikmesriigi kodanikega võrdsetelt.</w:t>
            </w:r>
          </w:p>
        </w:tc>
        <w:tc>
          <w:tcPr>
            <w:tcW w:w="4876" w:type="dxa"/>
          </w:tcPr>
          <w:p w:rsidR="002F3FB4" w:rsidRDefault="002F3FB4" w:rsidP="00F37676">
            <w:pPr>
              <w:pStyle w:val="Normal6"/>
            </w:pPr>
            <w:r>
              <w:t>(50)</w:t>
            </w:r>
            <w:r>
              <w:tab/>
              <w:t xml:space="preserve">Rahvusvahelise kaitse saajaid tuleks sotsiaalkindlustuse </w:t>
            </w:r>
            <w:r>
              <w:rPr>
                <w:b/>
                <w:i/>
              </w:rPr>
              <w:t>ja integratsiooniprogrammidele juurdepääsu</w:t>
            </w:r>
            <w:r>
              <w:t xml:space="preserve"> valdkonnas kohelda kaitset andva liikmesriigi kodanikega võrdsetelt.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270</w:t>
      </w:r>
      <w:r>
        <w:rPr>
          <w:rStyle w:val="HideTWBExt"/>
          <w:b w:val="0"/>
          <w:noProof w:val="0"/>
        </w:rPr>
        <w:t>&lt;/NumAmB&gt;</w:t>
      </w:r>
    </w:p>
    <w:p w:rsidR="002F3FB4" w:rsidRDefault="002F3FB4" w:rsidP="002F3FB4">
      <w:pPr>
        <w:pStyle w:val="NormalBold"/>
      </w:pPr>
      <w:r>
        <w:rPr>
          <w:rStyle w:val="HideTWBExt"/>
          <w:b w:val="0"/>
          <w:noProof w:val="0"/>
        </w:rPr>
        <w:t>&lt;RepeatBlock-By&gt;&lt;Members&gt;</w:t>
      </w:r>
      <w:r>
        <w:t>Kristina Winberg</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(51)</w:t>
            </w:r>
            <w:r>
              <w:tab/>
            </w:r>
            <w:r>
              <w:rPr>
                <w:b/>
                <w:i/>
                <w:color w:val="000000"/>
              </w:rPr>
              <w:t>Lisaks on eriti sotsiaalsete raskuste vältimiseks asjakohane tagada rahvusvahelise kaitse saajatele sotsiaalabi kedagi diskrimineerimata. 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 Integreerimise hõlbustamiseks tuleks liikmesriikidele jätta võimalus siduda õigus siseriiklikus õiguses määratletud teatud liiki sotsiaalabile nii pagulaste kui ka täiendava kaitse saajate puhul rahvusvahelise kaitse saaja tulemusliku osalemisega integratsioonimeetmetes.</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(51)</w:t>
            </w:r>
            <w:r>
              <w:tab/>
              <w:t xml:space="preserve">Lisaks on eriti sotsiaalsete raskuste vältimiseks asjakohane tagada rahvusvahelise kaitse saajatele sotsiaalabi kedagi diskrimineerimata. </w:t>
            </w:r>
            <w:r>
              <w:rPr>
                <w:b/>
                <w:i/>
                <w:color w:val="000000"/>
              </w:rPr>
              <w:t>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 Integreerimise hõlbustamiseks tuleks liikmesriikidele jätta võimalus siduda õigus siseriiklikus õiguses määratletud teatud liiki sotsiaalabile nii pagulaste kui ka täiendava kaitse saajate puhul rahvusvahelise kaitse saaja tulemusliku osalemisega integratsioonimeetmetes.</w:t>
            </w:r>
          </w:p>
        </w:tc>
        <w:tc>
          <w:tcPr>
            <w:tcW w:w="4876" w:type="dxa"/>
          </w:tcPr>
          <w:p w:rsidR="002F3FB4" w:rsidRDefault="002F3FB4" w:rsidP="00F37676">
            <w:pPr>
              <w:pStyle w:val="Normal6"/>
            </w:pPr>
            <w:r>
              <w:t>(51)</w:t>
            </w:r>
            <w:r>
              <w:tab/>
              <w:t>Lisaks on eriti sotsiaalsete raskuste vältimiseks asjakohane tagada rahvusvahelise kaitse saajatele sotsiaalabi kedagi diskrimineerimata.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raportööriga, et on arusaamatu, miks kaitset vajavad isikud, kellele antakse täiendav kaitse, ei peaks saama sellist sotsiaalabi, mis tagatakse teistele rahvusvahelist kaitset vajavatele isikutele. Rahvusvahelist kaitset vajavaid eri isikuid ei tohiks kohelda ebavõrdselt. See on nii õiguslikult ebakindel kui ka halduslikult otstarbetu. Kui kaitsevajadus on kindlaks tehtud, on kõigil asjaomastel isikutel vastuvõtvas liikmesriigis samad sotsiaalsed vajadused.</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272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51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(51)</w:t>
            </w:r>
            <w:r w:rsidRPr="00781174">
              <w:tab/>
              <w:t xml:space="preserve">Lisaks on eriti sotsiaalsete raskuste vältimiseks asjakohane tagada rahvusvahelise kaitse saajatele sotsiaalabi kedagi diskrimineerimata. </w:t>
            </w:r>
            <w:r w:rsidRPr="00781174">
              <w:rPr>
                <w:b/>
                <w:i/>
              </w:rPr>
              <w:t>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w:t>
            </w:r>
            <w:r w:rsidRPr="00781174">
              <w:t xml:space="preserve"> Integreerimise hõlbustamiseks tuleks liikmesriikidele jätta võimalus siduda õigus siseriiklikus õiguses määratletud teatud liiki sotsiaalabile </w:t>
            </w:r>
            <w:r w:rsidRPr="00781174">
              <w:rPr>
                <w:b/>
                <w:i/>
              </w:rPr>
              <w:t xml:space="preserve">nii pagulaste kui ka täiendava kaitse saajate puhul </w:t>
            </w:r>
            <w:r w:rsidRPr="00781174">
              <w:t>rahvusvahelise kaitse saaja tulemusliku osalemisega integratsioonimeetmetes.</w:t>
            </w:r>
          </w:p>
        </w:tc>
        <w:tc>
          <w:tcPr>
            <w:tcW w:w="4876" w:type="dxa"/>
          </w:tcPr>
          <w:p w:rsidR="002F3FB4" w:rsidRPr="00781174" w:rsidRDefault="002F3FB4" w:rsidP="00F37676">
            <w:pPr>
              <w:pStyle w:val="Normal6"/>
            </w:pPr>
            <w:r w:rsidRPr="00781174">
              <w:t>(51)</w:t>
            </w:r>
            <w:r w:rsidRPr="00781174">
              <w:tab/>
              <w:t>Lisaks on eriti sotsiaalsete raskuste vältimiseks asjakohane tagada rahvusvahelise kaitse saajatele sotsiaalabi kedagi diskrimineerimata. Integreerimise hõlbustamiseks tuleks liikmesriikidele jätta võimalus siduda õigus siseriiklikus õiguses määratletud teatud liiki sotsiaalabile rahvusvahelise kaitse saaja tulemusliku osalemisega integratsioonimeetmetes.</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(51)</w:t>
            </w:r>
            <w:r>
              <w:tab/>
              <w:t xml:space="preserve">Lisaks on eriti sotsiaalsete raskuste vältimiseks asjakohane tagada rahvusvahelise kaitse saajatele sotsiaalabi kedagi diskrimineerimata. </w:t>
            </w:r>
            <w:r>
              <w:rPr>
                <w:b/>
                <w:i/>
                <w:color w:val="000000"/>
              </w:rPr>
              <w:t>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w:t>
            </w:r>
            <w:r>
              <w:t xml:space="preserve"> Integreerimise hõlbustamiseks </w:t>
            </w:r>
            <w:r>
              <w:rPr>
                <w:b/>
                <w:i/>
              </w:rPr>
              <w:t>tuleks liikmesriikidele jätta võimalus siduda õigus</w:t>
            </w:r>
            <w:r>
              <w:t xml:space="preserve"> siseriiklikus õiguses määratletud teatud liiki sotsiaalabile nii pagulaste kui ka täiendava kaitse saajate puhul</w:t>
            </w:r>
            <w:r>
              <w:rPr>
                <w:b/>
                <w:i/>
              </w:rPr>
              <w:t xml:space="preserve"> rahvusvahelise kaitse saaja tulemusliku osalemisega integratsioonimeetmetes</w:t>
            </w:r>
            <w:r>
              <w:t>.</w:t>
            </w:r>
          </w:p>
        </w:tc>
        <w:tc>
          <w:tcPr>
            <w:tcW w:w="4876" w:type="dxa"/>
          </w:tcPr>
          <w:p w:rsidR="002F3FB4" w:rsidRDefault="002F3FB4" w:rsidP="00F37676">
            <w:pPr>
              <w:pStyle w:val="Normal6"/>
            </w:pPr>
            <w:r>
              <w:t>(51)</w:t>
            </w:r>
            <w:r>
              <w:tab/>
              <w:t xml:space="preserve">Lisaks on eriti sotsiaalsete raskuste vältimiseks asjakohane tagada rahvusvahelise kaitse saajatele sotsiaalabi kedagi diskrimineerimata. Integreerimise hõlbustamiseks </w:t>
            </w:r>
            <w:r>
              <w:rPr>
                <w:b/>
                <w:i/>
              </w:rPr>
              <w:t>peaksid liikmesriigid tagama tõhusa õiguse</w:t>
            </w:r>
            <w:r>
              <w:t xml:space="preserve"> siseriiklikus õiguses määratletud teatud liiki sotsiaalabile nii pagulaste kui ka täiendava kaitse saajate puhul.</w:t>
            </w:r>
            <w:r>
              <w:rPr>
                <w:b/>
                <w:i/>
                <w:color w:val="000000"/>
              </w:rPr>
              <w:t xml:space="preserve"> Kui</w:t>
            </w:r>
            <w:r w:rsidR="00402919">
              <w:rPr>
                <w:b/>
                <w:i/>
                <w:color w:val="000000"/>
              </w:rPr>
              <w:t>gi</w:t>
            </w:r>
            <w:r>
              <w:rPr>
                <w:b/>
                <w:i/>
                <w:color w:val="000000"/>
              </w:rPr>
              <w:t xml:space="preserve"> kaitse</w:t>
            </w:r>
            <w:r w:rsidR="00402919">
              <w:rPr>
                <w:b/>
                <w:i/>
                <w:color w:val="000000"/>
              </w:rPr>
              <w:t xml:space="preserve"> alus</w:t>
            </w:r>
            <w:r>
              <w:rPr>
                <w:b/>
                <w:i/>
                <w:color w:val="000000"/>
              </w:rPr>
              <w:t xml:space="preserve"> võib viia erineva s</w:t>
            </w:r>
            <w:r w:rsidR="00402919">
              <w:rPr>
                <w:b/>
                <w:i/>
                <w:color w:val="000000"/>
              </w:rPr>
              <w:t>eisundi määramiseni</w:t>
            </w:r>
            <w:r>
              <w:rPr>
                <w:b/>
                <w:i/>
                <w:color w:val="000000"/>
              </w:rPr>
              <w:t xml:space="preserve">, </w:t>
            </w:r>
            <w:r w:rsidR="00402919">
              <w:rPr>
                <w:b/>
                <w:i/>
                <w:color w:val="000000"/>
              </w:rPr>
              <w:t xml:space="preserve">ei ole </w:t>
            </w:r>
            <w:r>
              <w:rPr>
                <w:b/>
                <w:i/>
                <w:color w:val="000000"/>
              </w:rPr>
              <w:t>kaitstud üksikisiku materiaalsetel vajadustel</w:t>
            </w:r>
            <w:r>
              <w:rPr>
                <w:b/>
                <w:i/>
              </w:rPr>
              <w:t xml:space="preserve"> vahet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274</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(51)</w:t>
            </w:r>
            <w:r>
              <w:tab/>
              <w:t>Lisaks on eriti sotsiaalsete raskuste vältimiseks asjakohane tagada rahvusvahelise kaitse saajatele sotsiaalabi</w:t>
            </w:r>
            <w:r>
              <w:rPr>
                <w:b/>
                <w:i/>
              </w:rPr>
              <w:t xml:space="preserve"> kedagi diskrimineerimata</w:t>
            </w:r>
            <w:r w:rsidRPr="006F55E6">
              <w:rPr>
                <w:b/>
                <w:i/>
              </w:rPr>
              <w:t>.</w:t>
            </w:r>
            <w:r>
              <w:rPr>
                <w:b/>
                <w:i/>
                <w:color w:val="000000"/>
              </w:rPr>
              <w:t xml:space="preserve"> </w:t>
            </w:r>
            <w:r w:rsidRPr="006F55E6">
              <w:t>Ent</w:t>
            </w:r>
            <w:r>
              <w:rPr>
                <w:b/>
                <w:i/>
              </w:rPr>
              <w:t xml:space="preserve"> täiendava kaitse saajate puhul tuleks </w:t>
            </w:r>
            <w:r w:rsidRPr="006F55E6">
              <w:t>liikmesriikidele</w:t>
            </w:r>
            <w:r>
              <w:t xml:space="preserve"> jätta </w:t>
            </w:r>
            <w:r>
              <w:rPr>
                <w:b/>
                <w:i/>
              </w:rPr>
              <w:t>teatav</w:t>
            </w:r>
            <w:r>
              <w:t xml:space="preserve"> paindlikkus piirata selliseid õigusi </w:t>
            </w:r>
            <w:r>
              <w:rPr>
                <w:b/>
                <w:i/>
              </w:rPr>
              <w:t>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w:t>
            </w:r>
            <w:r>
              <w:t>. Integreerimise hõlbustamiseks t</w:t>
            </w:r>
            <w:r>
              <w:rPr>
                <w:b/>
                <w:i/>
              </w:rPr>
              <w:t>uleks liikmesriikidele jätta võimalus siduda õigus</w:t>
            </w:r>
            <w:r>
              <w:t xml:space="preserve"> </w:t>
            </w:r>
            <w:r>
              <w:rPr>
                <w:b/>
                <w:i/>
              </w:rPr>
              <w:t>siseriiklikus õiguses määratletud</w:t>
            </w:r>
            <w:r>
              <w:t xml:space="preserve"> teatud liiki sotsiaalabile </w:t>
            </w:r>
            <w:r>
              <w:rPr>
                <w:b/>
                <w:i/>
              </w:rPr>
              <w:t>nii pagulaste kui ka täiendava kaitse saajate puhul</w:t>
            </w:r>
            <w:r>
              <w:t xml:space="preserve"> rahvusvahelise kaitse saaja tulemusliku osalemisega integratsioonimeetmetes.</w:t>
            </w:r>
          </w:p>
        </w:tc>
        <w:tc>
          <w:tcPr>
            <w:tcW w:w="4876" w:type="dxa"/>
          </w:tcPr>
          <w:p w:rsidR="002F3FB4" w:rsidRDefault="002F3FB4" w:rsidP="00F37676">
            <w:pPr>
              <w:pStyle w:val="Normal6"/>
            </w:pPr>
            <w:r>
              <w:t>(51)</w:t>
            </w:r>
            <w:r>
              <w:tab/>
              <w:t xml:space="preserve">Lisaks on eriti sotsiaalsete raskuste vältimiseks asjakohane tagada rahvusvahelise kaitse saajatele </w:t>
            </w:r>
            <w:r>
              <w:rPr>
                <w:b/>
                <w:i/>
              </w:rPr>
              <w:t>ja nende pereliikmetele selle määruse kontekstis</w:t>
            </w:r>
            <w:r>
              <w:t xml:space="preserve"> sotsiaalabi.</w:t>
            </w:r>
            <w:r>
              <w:rPr>
                <w:b/>
                <w:i/>
                <w:color w:val="000000"/>
              </w:rPr>
              <w:t xml:space="preserve"> </w:t>
            </w:r>
            <w:r w:rsidRPr="006F55E6">
              <w:rPr>
                <w:color w:val="000000"/>
              </w:rPr>
              <w:t>Ent liikmesriikidele</w:t>
            </w:r>
            <w:r>
              <w:rPr>
                <w:b/>
                <w:i/>
                <w:color w:val="000000"/>
              </w:rPr>
              <w:t xml:space="preserve"> tuleks</w:t>
            </w:r>
            <w:r>
              <w:t xml:space="preserve"> jätta </w:t>
            </w:r>
            <w:r>
              <w:rPr>
                <w:b/>
                <w:i/>
              </w:rPr>
              <w:t>suur</w:t>
            </w:r>
            <w:r>
              <w:t xml:space="preserve"> paindlikkus piirata selliseid õigusi. Integreerimise hõlbustamiseks</w:t>
            </w:r>
            <w:r>
              <w:rPr>
                <w:b/>
                <w:i/>
              </w:rPr>
              <w:t xml:space="preserve"> peaksid liikmesriigid siduma õiguse</w:t>
            </w:r>
            <w:r>
              <w:t xml:space="preserve"> teatud liiki sotsiaalabile rahvusvahelise kaitse saaja </w:t>
            </w:r>
            <w:r>
              <w:rPr>
                <w:b/>
                <w:i/>
              </w:rPr>
              <w:t>ja tema pereliikmete</w:t>
            </w:r>
            <w:r>
              <w:t xml:space="preserve"> tulemusliku </w:t>
            </w:r>
            <w:r>
              <w:rPr>
                <w:b/>
                <w:i/>
              </w:rPr>
              <w:t>ja eduka</w:t>
            </w:r>
            <w:r>
              <w:t xml:space="preserve"> osalemisega integratsioonimeetmetes.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275</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(51)</w:t>
            </w:r>
            <w:r>
              <w:tab/>
              <w:t>Lisaks on eriti sotsiaalsete raskuste vältimiseks asjakohane tagada rahvusvahelise kaitse saajatele sotsiaalabi kedagi diskrimineerimata. 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 Integreerimise hõlbustamiseks tuleks liikmesriikidele jätta võimalus siduda õigus siseriiklikus õiguses määratletud teatud liiki sotsiaalabile nii pagulaste kui ka täiendava kaitse saajate puhul rahvusvahelise kaitse saaja tulemusliku osalemisega integratsioonimeetmetes.</w:t>
            </w:r>
          </w:p>
        </w:tc>
        <w:tc>
          <w:tcPr>
            <w:tcW w:w="4876" w:type="dxa"/>
          </w:tcPr>
          <w:p w:rsidR="002F3FB4" w:rsidRDefault="002F3FB4" w:rsidP="00F37676">
            <w:pPr>
              <w:pStyle w:val="Normal6"/>
            </w:pPr>
            <w:r>
              <w:t>(51)</w:t>
            </w:r>
            <w:r>
              <w:tab/>
              <w:t>Lisaks on eriti sotsiaalsete raskuste vältimiseks asjakohane tagada rahvusvahelise kaitse saajatele sotsiaalabi kedagi diskrimineerimata. Ent täiendava kaitse saajate puhul tuleks liikmesriikidele jätta teatav paindlikkus piirata selliseid õigusi üksnes põhitoetustele, mida tuleb mõista nii, et need hõlmavad vähemalt minimaalset sissetulekutoetust ja abi haiguse või raseduse</w:t>
            </w:r>
            <w:r>
              <w:rPr>
                <w:b/>
              </w:rPr>
              <w:t xml:space="preserve"> </w:t>
            </w:r>
            <w:r w:rsidR="00402919">
              <w:rPr>
                <w:b/>
                <w:i/>
              </w:rPr>
              <w:t>korral</w:t>
            </w:r>
            <w:r>
              <w:rPr>
                <w:b/>
                <w:i/>
              </w:rPr>
              <w:t>, juurdepääsu seksuaal- ja reproduktiivtervise ning seonduva</w:t>
            </w:r>
            <w:r w:rsidR="00402919">
              <w:rPr>
                <w:b/>
                <w:i/>
              </w:rPr>
              <w:t>te</w:t>
            </w:r>
            <w:r>
              <w:rPr>
                <w:b/>
                <w:i/>
              </w:rPr>
              <w:t xml:space="preserve"> õigus</w:t>
            </w:r>
            <w:r w:rsidR="00402919">
              <w:rPr>
                <w:b/>
                <w:i/>
              </w:rPr>
              <w:t>te valdkonna</w:t>
            </w:r>
            <w:r>
              <w:rPr>
                <w:b/>
                <w:i/>
              </w:rPr>
              <w:t xml:space="preserve"> teenustele</w:t>
            </w:r>
            <w:r>
              <w:t xml:space="preserve"> ning vanemlike kohustuste täitmise juhtudel, tingimusel et kõnealused toetused on siseriikliku õiguse alusel ette nähtud asjaomase riigi kodanikele. Integreerimise hõlbustamiseks tuleks liikmesriikidele jätta võimalus siduda õigus siseriiklikus õiguses määratletud teatud liiki sotsiaalabile nii pagulaste kui ka täiendava kaitse saajate puhul rahvusvahelise kaitse saaja tulemusliku osalemisega integratsioonimeetmetes.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(51 a)</w:t>
            </w:r>
            <w:r>
              <w:tab/>
            </w:r>
            <w:r>
              <w:rPr>
                <w:b/>
                <w:i/>
                <w:color w:val="000000"/>
              </w:rPr>
              <w:t>Rahvusvahelise kaitse seisundi saajate erivajadusi ja olukorra eripära tuleks võimalikult suurel määral neile suunatud integratsiooniprogrammides</w:t>
            </w:r>
            <w:r w:rsidR="00402919">
              <w:rPr>
                <w:b/>
                <w:i/>
                <w:color w:val="000000"/>
              </w:rPr>
              <w:t xml:space="preserve"> arvesse võtta</w:t>
            </w:r>
            <w:r>
              <w:rPr>
                <w:b/>
                <w:i/>
                <w:color w:val="000000"/>
              </w:rPr>
              <w:t>, sealhulgas vajaduse korral keeleõppes ja asjaomases liikmesriigis kaitseseisundist tulenevatest üksikisiku õigustest ja kohustustest teavitamisel.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A54DBC" w:rsidP="002F3FB4">
      <w:pPr>
        <w:pStyle w:val="Normal12Italic"/>
        <w:rPr>
          <w:noProof w:val="0"/>
        </w:rPr>
      </w:pPr>
      <w:r>
        <w:rPr>
          <w:noProof w:val="0"/>
        </w:rPr>
        <w:t>M</w:t>
      </w:r>
      <w:r w:rsidR="002F3FB4">
        <w:rPr>
          <w:noProof w:val="0"/>
        </w:rPr>
        <w:t>uudatusettepanek</w:t>
      </w:r>
      <w:r>
        <w:rPr>
          <w:noProof w:val="0"/>
        </w:rPr>
        <w:t>uga kasatakse</w:t>
      </w:r>
      <w:r w:rsidR="002F3FB4">
        <w:rPr>
          <w:noProof w:val="0"/>
        </w:rPr>
        <w:t xml:space="preserve"> uuesti 2011. aasta direktiivi preambuli</w:t>
      </w:r>
      <w:r>
        <w:rPr>
          <w:noProof w:val="0"/>
        </w:rPr>
        <w:t xml:space="preserve"> põhjendus </w:t>
      </w:r>
      <w:r w:rsidR="002F3FB4">
        <w:rPr>
          <w:noProof w:val="0"/>
        </w:rPr>
        <w:t>47</w:t>
      </w:r>
      <w:r>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(52)</w:t>
            </w:r>
            <w:r>
              <w:tab/>
              <w:t>Rahvusvahelise kaitse saajatele tuleks tagada tervishoiu, sh füüsilise ja vaimse tervise teenuste kättesaadavus.</w:t>
            </w:r>
          </w:p>
        </w:tc>
        <w:tc>
          <w:tcPr>
            <w:tcW w:w="4876" w:type="dxa"/>
          </w:tcPr>
          <w:p w:rsidR="002F3FB4" w:rsidRDefault="002F3FB4" w:rsidP="00F37676">
            <w:pPr>
              <w:pStyle w:val="Normal6"/>
            </w:pPr>
            <w:r>
              <w:t>(52)</w:t>
            </w:r>
            <w:r>
              <w:tab/>
              <w:t xml:space="preserve">Rahvusvahelise kaitse saajatele tuleks tagada tervishoiu, sh füüsilise ja vaimse tervise </w:t>
            </w:r>
            <w:r>
              <w:rPr>
                <w:b/>
                <w:i/>
              </w:rPr>
              <w:t>ning seksuaal- ja reproduktiivtervishoiu</w:t>
            </w:r>
            <w:r>
              <w:t xml:space="preserve"> teenuste kättesaadavus.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278</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(52)</w:t>
            </w:r>
            <w:r>
              <w:tab/>
              <w:t xml:space="preserve">Rahvusvahelise kaitse saajatele tuleks tagada </w:t>
            </w:r>
            <w:r>
              <w:rPr>
                <w:b/>
                <w:i/>
              </w:rPr>
              <w:t>tervishoiu, sh füüsilise ja vaimse tervise teenuste</w:t>
            </w:r>
            <w:r>
              <w:t xml:space="preserve"> kättesaadavus.</w:t>
            </w:r>
          </w:p>
        </w:tc>
        <w:tc>
          <w:tcPr>
            <w:tcW w:w="4876" w:type="dxa"/>
          </w:tcPr>
          <w:p w:rsidR="002F3FB4" w:rsidRDefault="002F3FB4" w:rsidP="00F37676">
            <w:pPr>
              <w:pStyle w:val="Normal6"/>
            </w:pPr>
            <w:r>
              <w:t>(52)</w:t>
            </w:r>
            <w:r>
              <w:tab/>
              <w:t xml:space="preserve">Rahvusvahelise kaitse saajatele tuleks tagada </w:t>
            </w:r>
            <w:r>
              <w:rPr>
                <w:b/>
                <w:i/>
              </w:rPr>
              <w:t>põhiliste tervishoiuteenuste</w:t>
            </w:r>
            <w:r>
              <w:t xml:space="preserve"> kättesaadavus.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279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52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(52 a)</w:t>
            </w:r>
            <w:r>
              <w:tab/>
            </w:r>
            <w:r>
              <w:rPr>
                <w:b/>
                <w:i/>
                <w:color w:val="000000"/>
              </w:rPr>
              <w:t>Rahvusvahelise kaitse saajatel peaks olema juurdepääs kaupadele ja teenustele ning üldsusele kättesaadavatele kaupadele ja teenustele, sh tööhõive</w:t>
            </w:r>
            <w:r w:rsidR="00A54DBC">
              <w:rPr>
                <w:b/>
                <w:i/>
                <w:color w:val="000000"/>
              </w:rPr>
              <w:t>talituste</w:t>
            </w:r>
            <w:r>
              <w:rPr>
                <w:b/>
                <w:i/>
                <w:color w:val="000000"/>
              </w:rPr>
              <w:t xml:space="preserve"> teabele ja nõustamisteenusele.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Variraportöör nõustub raportööriga, et põhjenduse sõnastust </w:t>
      </w:r>
      <w:r w:rsidR="00A54DBC">
        <w:rPr>
          <w:noProof w:val="0"/>
        </w:rPr>
        <w:t>ühtlustatakse</w:t>
      </w:r>
      <w:r>
        <w:rPr>
          <w:noProof w:val="0"/>
        </w:rPr>
        <w:t xml:space="preserve"> sõnastusega, mida </w:t>
      </w:r>
      <w:r w:rsidR="00A54DBC">
        <w:rPr>
          <w:noProof w:val="0"/>
        </w:rPr>
        <w:t>komisjon</w:t>
      </w:r>
      <w:r>
        <w:rPr>
          <w:noProof w:val="0"/>
        </w:rPr>
        <w:t xml:space="preserve"> kasutas rände valdkonna õigusaktides (eelkõige sinise kaardi direktiivi läbivaatamisel) võrdset kohtlemist käsitlevates sätetes. Põhjenduse sisu kajastub </w:t>
      </w:r>
      <w:r w:rsidR="00A54DBC">
        <w:rPr>
          <w:noProof w:val="0"/>
        </w:rPr>
        <w:t xml:space="preserve">vastavalt </w:t>
      </w:r>
      <w:r>
        <w:rPr>
          <w:noProof w:val="0"/>
        </w:rPr>
        <w:t>ka artiklites 30 ja 35.</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280</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Põhjendus 53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(53)</w:t>
            </w:r>
            <w:r w:rsidRPr="00781174">
              <w:tab/>
              <w:t xml:space="preserve">Rahvusvahelise kaitse saajate ühiskonda integreerimise hõlbustamiseks on </w:t>
            </w:r>
            <w:r w:rsidRPr="00781174">
              <w:rPr>
                <w:b/>
                <w:i/>
              </w:rPr>
              <w:t>rahvusvaheliste</w:t>
            </w:r>
            <w:r w:rsidRPr="00781174">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p>
        </w:tc>
        <w:tc>
          <w:tcPr>
            <w:tcW w:w="4876" w:type="dxa"/>
          </w:tcPr>
          <w:p w:rsidR="002F3FB4" w:rsidRPr="00781174" w:rsidRDefault="002F3FB4" w:rsidP="00F37676">
            <w:pPr>
              <w:pStyle w:val="Normal6"/>
            </w:pPr>
            <w:r w:rsidRPr="00781174">
              <w:t>(53)</w:t>
            </w:r>
            <w:r w:rsidRPr="00781174">
              <w:tab/>
              <w:t xml:space="preserve">Rahvusvahelise kaitse saajate ühiskonda integreerimise hõlbustamiseks on </w:t>
            </w:r>
            <w:r w:rsidRPr="00781174">
              <w:rPr>
                <w:b/>
                <w:i/>
              </w:rPr>
              <w:t>rahvusvahelise</w:t>
            </w:r>
            <w:r w:rsidRPr="00781174">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r w:rsidRPr="00781174">
              <w:rPr>
                <w:b/>
                <w:i/>
              </w:rPr>
              <w:t>, eeldades, et need on tasuta, täielikult ja hõlpsasti ligipääsetavad ning et nende läbiviimisel arvestatakse rahvusvahelise kaitse saajate erivajadustega</w:t>
            </w:r>
            <w:r w:rsidRPr="00781174">
              <w:t>.</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281</w:t>
      </w:r>
      <w:r>
        <w:rPr>
          <w:rStyle w:val="HideTWBExt"/>
          <w:b w:val="0"/>
          <w:noProof w:val="0"/>
        </w:rPr>
        <w:t>&lt;/NumAmB&gt;</w:t>
      </w:r>
    </w:p>
    <w:p w:rsidR="002F3FB4" w:rsidRDefault="002F3FB4" w:rsidP="002F3FB4">
      <w:pPr>
        <w:pStyle w:val="NormalBold"/>
      </w:pPr>
      <w:r>
        <w:rPr>
          <w:rStyle w:val="HideTWBExt"/>
          <w:b w:val="0"/>
          <w:noProof w:val="0"/>
        </w:rPr>
        <w:t>&lt;RepeatBlock-By&gt;&lt;Members&gt;</w:t>
      </w:r>
      <w:r>
        <w:t>Jeroen Lenaers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r>
            <w:r w:rsidR="00A54DBC">
              <w:t xml:space="preserve">Rahvusvahelise kaitse saajate ühiskonda integreerimise hõlbustamiseks on </w:t>
            </w:r>
            <w:r w:rsidR="00A54DBC" w:rsidRPr="006F55E6">
              <w:rPr>
                <w:b/>
                <w:i/>
              </w:rPr>
              <w:t>rahvusvaheliste</w:t>
            </w:r>
            <w:r w:rsidR="00A54DBC">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r>
              <w:t>.</w:t>
            </w:r>
          </w:p>
        </w:tc>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rahvusvahelise</w:t>
            </w:r>
            <w:r>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 </w:t>
            </w:r>
            <w:r>
              <w:rPr>
                <w:b/>
                <w:i/>
                <w:color w:val="000000"/>
              </w:rPr>
              <w:t>Pidev keeldumine aktiivse</w:t>
            </w:r>
            <w:r w:rsidR="00A54DBC">
              <w:rPr>
                <w:b/>
                <w:i/>
                <w:color w:val="000000"/>
              </w:rPr>
              <w:t>st integreerumisest</w:t>
            </w:r>
            <w:r>
              <w:rPr>
                <w:b/>
                <w:i/>
                <w:color w:val="000000"/>
              </w:rPr>
              <w:t xml:space="preserve"> võib viimase abinõuna viia rahvusvahelise kaitse kõlblikkuse peatamiseni.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282</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t xml:space="preserve">Rahvusvahelise kaitse saajate ühiskonda integreerimise hõlbustamiseks </w:t>
            </w:r>
            <w:r>
              <w:rPr>
                <w:b/>
                <w:i/>
              </w:rPr>
              <w:t>on</w:t>
            </w:r>
            <w:r>
              <w:t xml:space="preserve"> </w:t>
            </w:r>
            <w:r w:rsidRPr="006F55E6">
              <w:rPr>
                <w:b/>
                <w:i/>
              </w:rPr>
              <w:t>rahvusvahelis</w:t>
            </w:r>
            <w:r w:rsidR="00A54DBC" w:rsidRPr="006F55E6">
              <w:rPr>
                <w:b/>
                <w:i/>
              </w:rPr>
              <w:t>t</w:t>
            </w:r>
            <w:r w:rsidRPr="006F55E6">
              <w:rPr>
                <w:b/>
                <w:i/>
              </w:rPr>
              <w:t>e</w:t>
            </w:r>
            <w:r>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p>
        </w:tc>
        <w:tc>
          <w:tcPr>
            <w:tcW w:w="4876" w:type="dxa"/>
          </w:tcPr>
          <w:p w:rsidR="002F3FB4" w:rsidRDefault="002F3FB4" w:rsidP="00F37676">
            <w:pPr>
              <w:pStyle w:val="Normal6"/>
            </w:pPr>
            <w:r>
              <w:t>(53)</w:t>
            </w:r>
            <w:r>
              <w:tab/>
              <w:t xml:space="preserve">Rahvusvahelise kaitse saajate ühiskonda integreerimise hõlbustamiseks </w:t>
            </w:r>
            <w:r>
              <w:rPr>
                <w:b/>
                <w:i/>
              </w:rPr>
              <w:t>võib</w:t>
            </w:r>
            <w:r>
              <w:t xml:space="preserve"> </w:t>
            </w:r>
            <w:r w:rsidRPr="006F55E6">
              <w:rPr>
                <w:b/>
                <w:i/>
              </w:rPr>
              <w:t xml:space="preserve">rahvusvahelise </w:t>
            </w:r>
            <w:r>
              <w:t xml:space="preserve">kaitse saajatel </w:t>
            </w:r>
            <w:r>
              <w:rPr>
                <w:b/>
                <w:i/>
              </w:rPr>
              <w:t>olla</w:t>
            </w:r>
            <w:r>
              <w:t xml:space="preserve"> liikmesriigi määratud viisil juurdepääs integratsioonimeetmetele. Liikmesriigid võivad sellistes </w:t>
            </w:r>
            <w:r w:rsidR="00A54DBC">
              <w:rPr>
                <w:b/>
                <w:i/>
              </w:rPr>
              <w:t xml:space="preserve">sobivaks </w:t>
            </w:r>
            <w:r>
              <w:rPr>
                <w:b/>
                <w:i/>
              </w:rPr>
              <w:t>tunnistatud</w:t>
            </w:r>
            <w:r>
              <w:t xml:space="preserve"> integratsioonimeetmetes osalemise teha kohustuslikuks, hõlmates nt keelekursused, kodanikuühiskonda integreerumise kursused, kutseõppe ja muud tööhõivega seotud kursused.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w:t>
            </w:r>
            <w:r w:rsidR="00A54DBC" w:rsidRPr="006F55E6">
              <w:rPr>
                <w:b/>
                <w:i/>
              </w:rPr>
              <w:t>t</w:t>
            </w:r>
            <w:r w:rsidRPr="006F55E6">
              <w:rPr>
                <w:b/>
                <w:i/>
              </w:rPr>
              <w:t>e</w:t>
            </w:r>
            <w:r>
              <w:t xml:space="preserve"> kaitse saajatel liikmesriigi määratud viisil juurdepääs integratsioonimeetmetele. Liikmesriigid </w:t>
            </w:r>
            <w:r>
              <w:rPr>
                <w:b/>
                <w:i/>
              </w:rPr>
              <w:t>võivad</w:t>
            </w:r>
            <w:r>
              <w:t xml:space="preserve"> sellistes integratsioonimeetmetes osalemise </w:t>
            </w:r>
            <w:r w:rsidRPr="006F55E6">
              <w:rPr>
                <w:b/>
                <w:i/>
              </w:rPr>
              <w:t>teha</w:t>
            </w:r>
            <w:r>
              <w:t xml:space="preserve"> kohustuslikuks, hõlmates nt keelekursused</w:t>
            </w:r>
            <w:r>
              <w:rPr>
                <w:b/>
                <w:i/>
              </w:rPr>
              <w:t>,</w:t>
            </w:r>
            <w:r>
              <w:t xml:space="preserve"> kodanikuühiskonda integreerumise kursused</w:t>
            </w:r>
            <w:r>
              <w:rPr>
                <w:b/>
                <w:i/>
              </w:rPr>
              <w:t>,</w:t>
            </w:r>
            <w:r>
              <w:rPr>
                <w:b/>
              </w:rPr>
              <w:t xml:space="preserve"> </w:t>
            </w:r>
            <w:r>
              <w:rPr>
                <w:b/>
                <w:i/>
              </w:rPr>
              <w:t>kutseõppe ja muud tööhõivega seotud kursused</w:t>
            </w:r>
            <w:r>
              <w:t>.</w:t>
            </w:r>
          </w:p>
        </w:tc>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rahvusvahelise</w:t>
            </w:r>
            <w:r>
              <w:t xml:space="preserve"> kaitse saajatel liikmesriigi määratud viisil juurdepääs integratsioonimeetmetele. Liikmesriigid </w:t>
            </w:r>
            <w:r>
              <w:rPr>
                <w:b/>
                <w:i/>
              </w:rPr>
              <w:t>teevad</w:t>
            </w:r>
            <w:r>
              <w:t xml:space="preserve"> sellistes integratsioonimeetmetes osalemise kohustuslikuks, hõlmates nt keelekursused </w:t>
            </w:r>
            <w:r>
              <w:rPr>
                <w:b/>
                <w:i/>
              </w:rPr>
              <w:t>ja</w:t>
            </w:r>
            <w:r>
              <w:t xml:space="preserve"> kodanikuühiskonda integreerumise kursused.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w:t>
            </w:r>
            <w:r w:rsidR="00A54DBC" w:rsidRPr="006F55E6">
              <w:rPr>
                <w:b/>
                <w:i/>
              </w:rPr>
              <w:t>t</w:t>
            </w:r>
            <w:r w:rsidRPr="006F55E6">
              <w:rPr>
                <w:b/>
                <w:i/>
              </w:rPr>
              <w:t>e</w:t>
            </w:r>
            <w:r>
              <w:t xml:space="preserve"> kaitse saajatel </w:t>
            </w:r>
            <w:r>
              <w:rPr>
                <w:b/>
                <w:i/>
              </w:rPr>
              <w:t>liikmesriigi määratud viisil</w:t>
            </w:r>
            <w:r>
              <w:t xml:space="preserve"> juurdepääs integratsioonimeetmetele</w:t>
            </w:r>
            <w:r w:rsidRPr="006F55E6">
              <w:rPr>
                <w:b/>
                <w:i/>
              </w:rPr>
              <w:t>.</w:t>
            </w:r>
            <w:r>
              <w:rPr>
                <w:b/>
                <w:i/>
                <w:color w:val="000000"/>
              </w:rPr>
              <w:t xml:space="preserve"> </w:t>
            </w:r>
            <w:r>
              <w:rPr>
                <w:b/>
                <w:i/>
              </w:rPr>
              <w:t xml:space="preserve">Liikmesriigid võivad sellistes integratsioonimeetmetes osalemise teha kohustuslikuks, hõlmates </w:t>
            </w:r>
            <w:r w:rsidRPr="006F55E6">
              <w:t>nt keelekursused, kodanikuühiskonda integreerumise kursused, kutseõppe ja muud tööhõivega seotud kursused.</w:t>
            </w:r>
          </w:p>
        </w:tc>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rahvusvahelise</w:t>
            </w:r>
            <w:r>
              <w:t xml:space="preserve"> kaitse saajatel juurdepääs integratsioonimeetmetele</w:t>
            </w:r>
            <w:r w:rsidRPr="006F55E6">
              <w:rPr>
                <w:b/>
                <w:i/>
              </w:rPr>
              <w:t>,</w:t>
            </w:r>
            <w:r>
              <w:t xml:space="preserve"> </w:t>
            </w:r>
            <w:r w:rsidRPr="006F55E6">
              <w:rPr>
                <w:color w:val="000000"/>
              </w:rPr>
              <w:t>n</w:t>
            </w:r>
            <w:r w:rsidR="00A54DBC" w:rsidRPr="006F55E6">
              <w:rPr>
                <w:color w:val="000000"/>
              </w:rPr>
              <w:t>t</w:t>
            </w:r>
            <w:r>
              <w:rPr>
                <w:b/>
                <w:i/>
                <w:color w:val="000000"/>
              </w:rPr>
              <w:t xml:space="preserve"> </w:t>
            </w:r>
            <w:r w:rsidRPr="006F55E6">
              <w:rPr>
                <w:color w:val="000000"/>
              </w:rPr>
              <w:t>keelekursused, kodanikuühiskonda integreerumise kursused, kutseõppe ja muud tööhõivega seotud kursused</w:t>
            </w:r>
            <w:r>
              <w:rPr>
                <w:b/>
                <w:i/>
                <w:color w:val="000000"/>
              </w:rPr>
              <w:t xml:space="preserve">, mis on hõlpsasti kättesaadavad, tasuta, </w:t>
            </w:r>
            <w:r w:rsidR="00A54DBC">
              <w:rPr>
                <w:b/>
                <w:i/>
                <w:color w:val="000000"/>
              </w:rPr>
              <w:t>ning tagada tuleb</w:t>
            </w:r>
            <w:r>
              <w:rPr>
                <w:b/>
                <w:i/>
                <w:color w:val="000000"/>
              </w:rPr>
              <w:t xml:space="preserve"> lapsehoid</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w:t>
            </w:r>
            <w:r w:rsidR="00A84C57" w:rsidRPr="006F55E6">
              <w:rPr>
                <w:b/>
                <w:i/>
              </w:rPr>
              <w:t>t</w:t>
            </w:r>
            <w:r w:rsidRPr="006F55E6">
              <w:rPr>
                <w:b/>
                <w:i/>
              </w:rPr>
              <w:t>e</w:t>
            </w:r>
            <w:r>
              <w:t xml:space="preserve"> kaitse saajatel liikmesriigi määratud viisil juurdepääs integratsioonimeetmetele. </w:t>
            </w:r>
            <w:r>
              <w:rPr>
                <w:b/>
                <w:i/>
              </w:rPr>
              <w:t>Liikmesriigid võivad sellistes integratsioonimeetmetes osalemise teha kohustuslikuks, hõlmates nt keelekursused, kodanikuühiskonda integreerumise kursused, kutseõppe ja muud tööhõivega seotud kursused</w:t>
            </w:r>
            <w:r w:rsidRPr="006F55E6">
              <w:t>.</w:t>
            </w:r>
          </w:p>
        </w:tc>
        <w:tc>
          <w:tcPr>
            <w:tcW w:w="4876" w:type="dxa"/>
          </w:tcPr>
          <w:p w:rsidR="002F3FB4" w:rsidRDefault="002F3FB4" w:rsidP="00F37676">
            <w:pPr>
              <w:pStyle w:val="Normal6"/>
            </w:pPr>
            <w:r>
              <w:t>(53)</w:t>
            </w:r>
            <w:r>
              <w:tab/>
              <w:t xml:space="preserve">Rahvusvahelise kaitse saajate ühiskonda integreerimise hõlbustamiseks on </w:t>
            </w:r>
            <w:r w:rsidRPr="006F55E6">
              <w:rPr>
                <w:b/>
                <w:i/>
              </w:rPr>
              <w:t>rahvusvahelise</w:t>
            </w:r>
            <w:r>
              <w:t xml:space="preserve"> kaitse saajatel liikmesriigi määratud viisil </w:t>
            </w:r>
            <w:r>
              <w:rPr>
                <w:b/>
                <w:i/>
              </w:rPr>
              <w:t>tasuta ja tõhus</w:t>
            </w:r>
            <w:r>
              <w:t xml:space="preserve"> juurdepääs integratsioonimeetmetele. </w:t>
            </w:r>
            <w:r>
              <w:rPr>
                <w:b/>
                <w:i/>
                <w:color w:val="000000"/>
              </w:rPr>
              <w:t>Tuleb tunnistada, et mitte kõik rahvusvahelise kaitse saajad ei pruugi olla võimaliku kogetud trauma tõttu suutelised osalema integreerumismeetmetes</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286</w:t>
      </w:r>
      <w:r>
        <w:rPr>
          <w:rStyle w:val="HideTWBExt"/>
          <w:b w:val="0"/>
          <w:noProof w:val="0"/>
        </w:rPr>
        <w:t>&lt;/NumAmB&gt;</w:t>
      </w:r>
    </w:p>
    <w:p w:rsidR="002F3FB4" w:rsidRDefault="002F3FB4" w:rsidP="002F3FB4">
      <w:pPr>
        <w:pStyle w:val="NormalBold"/>
      </w:pPr>
      <w:r>
        <w:rPr>
          <w:rStyle w:val="HideTWBExt"/>
          <w:b w:val="0"/>
          <w:noProof w:val="0"/>
        </w:rPr>
        <w:t>&lt;RepeatBlock-By&gt;&lt;Members&gt;</w:t>
      </w:r>
      <w:r>
        <w:t>Traian Ungureanu, Artis Pabriks, Kinga Gál, Pál Csáky,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(53)</w:t>
            </w:r>
            <w:r>
              <w:tab/>
              <w:t xml:space="preserve">Rahvusvahelise kaitse saajate ühiskonda integreerimise hõlbustamiseks </w:t>
            </w:r>
            <w:r>
              <w:rPr>
                <w:b/>
                <w:i/>
              </w:rPr>
              <w:t>on</w:t>
            </w:r>
            <w:r>
              <w:t xml:space="preserve"> </w:t>
            </w:r>
            <w:r w:rsidRPr="006F55E6">
              <w:rPr>
                <w:b/>
                <w:i/>
              </w:rPr>
              <w:t>rahvusvahelis</w:t>
            </w:r>
            <w:r w:rsidR="00A84C57" w:rsidRPr="006F55E6">
              <w:rPr>
                <w:b/>
                <w:i/>
              </w:rPr>
              <w:t>t</w:t>
            </w:r>
            <w:r w:rsidRPr="006F55E6">
              <w:rPr>
                <w:b/>
                <w:i/>
              </w:rPr>
              <w:t>e</w:t>
            </w:r>
            <w:r>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p>
        </w:tc>
        <w:tc>
          <w:tcPr>
            <w:tcW w:w="4876" w:type="dxa"/>
          </w:tcPr>
          <w:p w:rsidR="002F3FB4" w:rsidRDefault="002F3FB4" w:rsidP="00F37676">
            <w:pPr>
              <w:pStyle w:val="Normal6"/>
            </w:pPr>
            <w:r>
              <w:t>(53)</w:t>
            </w:r>
            <w:r>
              <w:tab/>
              <w:t xml:space="preserve">Rahvusvahelise kaitse saajate ühiskonda integreerimise hõlbustamiseks </w:t>
            </w:r>
            <w:r>
              <w:rPr>
                <w:b/>
                <w:i/>
              </w:rPr>
              <w:t>peaks</w:t>
            </w:r>
            <w:r>
              <w:t xml:space="preserve"> </w:t>
            </w:r>
            <w:r w:rsidRPr="006F55E6">
              <w:rPr>
                <w:b/>
                <w:i/>
              </w:rPr>
              <w:t>rahvusvahelise</w:t>
            </w:r>
            <w:r>
              <w:t xml:space="preserve"> kaitse saajatel </w:t>
            </w:r>
            <w:r>
              <w:rPr>
                <w:b/>
                <w:i/>
              </w:rPr>
              <w:t>olema</w:t>
            </w:r>
            <w:r>
              <w:t xml:space="preserve">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(54)</w:t>
            </w:r>
            <w:r>
              <w:tab/>
            </w:r>
            <w:r>
              <w:rPr>
                <w:b/>
                <w:i/>
              </w:rPr>
              <w:t>Et järelevalve</w:t>
            </w:r>
            <w:r>
              <w:rPr>
                <w:b/>
              </w:rPr>
              <w:t xml:space="preserve"> </w:t>
            </w:r>
            <w:r>
              <w:t xml:space="preserve">käesoleva määruse </w:t>
            </w:r>
            <w:r>
              <w:rPr>
                <w:b/>
                <w:i/>
              </w:rPr>
              <w:t>kohaldamise üle oleks tõhus, tuleks seda hinnata</w:t>
            </w:r>
            <w:r>
              <w:t xml:space="preserve"> korrapäraste ajavahemike tagant.</w:t>
            </w:r>
          </w:p>
        </w:tc>
        <w:tc>
          <w:tcPr>
            <w:tcW w:w="4876" w:type="dxa"/>
          </w:tcPr>
          <w:p w:rsidR="002F3FB4" w:rsidRDefault="002F3FB4" w:rsidP="00F37676">
            <w:pPr>
              <w:pStyle w:val="Normal6"/>
            </w:pPr>
            <w:r>
              <w:t>(54)</w:t>
            </w:r>
            <w:r>
              <w:tab/>
              <w:t>Käesoleva määruse</w:t>
            </w:r>
            <w:r>
              <w:rPr>
                <w:b/>
                <w:i/>
              </w:rPr>
              <w:t xml:space="preserve"> kohaldamist tuleks</w:t>
            </w:r>
            <w:r>
              <w:t xml:space="preserve"> korrapäraste ajavahemike tagant </w:t>
            </w:r>
            <w:r>
              <w:rPr>
                <w:b/>
                <w:i/>
              </w:rPr>
              <w:t>hinnata, võttes arvesse eelkõige liikmesriikide rahvusvaheliste kohustuste arengut seoses tagasi- ja väljasaatmise lubamatusega, tööturu arengut liikmesriikides ning integratsiooni ühiste üldpõhimõtete arengut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A84C57" w:rsidP="002F3FB4">
      <w:pPr>
        <w:pStyle w:val="Normal12Italic"/>
        <w:rPr>
          <w:noProof w:val="0"/>
        </w:rPr>
      </w:pPr>
      <w:r>
        <w:rPr>
          <w:noProof w:val="0"/>
        </w:rPr>
        <w:t>M</w:t>
      </w:r>
      <w:r w:rsidR="002F3FB4">
        <w:rPr>
          <w:noProof w:val="0"/>
        </w:rPr>
        <w:t xml:space="preserve">uudatusettepanek </w:t>
      </w:r>
      <w:r>
        <w:rPr>
          <w:noProof w:val="0"/>
        </w:rPr>
        <w:t>kaasatakse</w:t>
      </w:r>
      <w:r w:rsidR="002F3FB4">
        <w:rPr>
          <w:noProof w:val="0"/>
        </w:rPr>
        <w:t xml:space="preserve"> uuesti 2011. aasta direktiivi </w:t>
      </w:r>
      <w:r>
        <w:rPr>
          <w:noProof w:val="0"/>
        </w:rPr>
        <w:t xml:space="preserve">põhjendus </w:t>
      </w:r>
      <w:r w:rsidR="002F3FB4">
        <w:rPr>
          <w:noProof w:val="0"/>
        </w:rPr>
        <w:t>48, mille kohaselt: „</w:t>
      </w:r>
      <w:r w:rsidRPr="006F55E6">
        <w:rPr>
          <w:noProof w:val="0"/>
          <w:color w:val="000000"/>
          <w:szCs w:val="24"/>
          <w:shd w:val="clear" w:color="auto" w:fill="FFFFFF"/>
        </w:rPr>
        <w:t>Käesoleva direktiivi rakendamist tuleks korrapäraste ajavahemike järel hinnata, võttes arvesse eelkõige liikmesriikide rahvusvaheliste kohustuste arengut seoses tagasi- ja väljasaatmise lubamatusega, tööturu arengut liikmesriikides ning integratsiooni ühiste üldpõhimõtete arengut</w:t>
      </w:r>
      <w:r w:rsidR="002F3FB4">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(54)</w:t>
            </w:r>
            <w:r>
              <w:tab/>
              <w:t xml:space="preserve">Et järelevalve käesoleva </w:t>
            </w:r>
            <w:r>
              <w:rPr>
                <w:b/>
                <w:i/>
              </w:rPr>
              <w:t>määruse</w:t>
            </w:r>
            <w:r>
              <w:t xml:space="preserve"> kohaldamise üle oleks tõhus, tuleks seda hinnata korrapäraste ajavahemike tagant.</w:t>
            </w:r>
          </w:p>
        </w:tc>
        <w:tc>
          <w:tcPr>
            <w:tcW w:w="4876" w:type="dxa"/>
          </w:tcPr>
          <w:p w:rsidR="002F3FB4" w:rsidRDefault="002F3FB4" w:rsidP="00F37676">
            <w:pPr>
              <w:pStyle w:val="Normal6"/>
            </w:pPr>
            <w:r>
              <w:t>(54)</w:t>
            </w:r>
            <w:r>
              <w:tab/>
              <w:t xml:space="preserve">Et järelevalve käesoleva </w:t>
            </w:r>
            <w:r>
              <w:rPr>
                <w:b/>
                <w:i/>
              </w:rPr>
              <w:t>direktiivi ülevõtmise ja</w:t>
            </w:r>
            <w:r>
              <w:t xml:space="preserve"> kohaldamise üle oleks tõhus, tuleks seda hinnata korrapäraste ajavahemike tagant.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289</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(55)</w:t>
            </w:r>
            <w:r>
              <w:tab/>
              <w:t xml:space="preserve">Selleks et käesoleva </w:t>
            </w:r>
            <w:r>
              <w:rPr>
                <w:b/>
                <w:i/>
              </w:rPr>
              <w:t>määruse</w:t>
            </w:r>
            <w:r>
              <w:t xml:space="preserve"> sätete rakendamisel tagada esitatava teabe vormi ja sisu suhtes ühetaolised tingimused, tuleks komisjonile anda rakendamisvolitused. Neid volitusi tuleks kasutada kooskõlas Euroopa Parlamendi ja nõukogu 16. veebruari 2011. aasta määrusega (EL) nr 182/2011, millega kehtestatakse eeskirjad ja üldpõhimõtted, mis käsitlevad liikmesriikide läbiviidava kontrolli mehhanisme, mida kohaldatakse komisjoni rakendamisvolituste teostamise suhtes</w:t>
            </w:r>
            <w:r>
              <w:rPr>
                <w:rStyle w:val="Sup"/>
              </w:rPr>
              <w:t>42</w:t>
            </w:r>
            <w:r>
              <w:t>.</w:t>
            </w:r>
          </w:p>
        </w:tc>
        <w:tc>
          <w:tcPr>
            <w:tcW w:w="4876" w:type="dxa"/>
          </w:tcPr>
          <w:p w:rsidR="002F3FB4" w:rsidRDefault="002F3FB4" w:rsidP="00F37676">
            <w:pPr>
              <w:pStyle w:val="Normal6"/>
            </w:pPr>
            <w:r>
              <w:t>(55)</w:t>
            </w:r>
            <w:r>
              <w:tab/>
              <w:t xml:space="preserve">Selleks et käesoleva </w:t>
            </w:r>
            <w:r>
              <w:rPr>
                <w:b/>
                <w:i/>
              </w:rPr>
              <w:t>direktiivi</w:t>
            </w:r>
            <w:r>
              <w:t xml:space="preserve"> sätete rakendamisel tagada esitatava teabe vormi ja sisu suhtes ühetaolised tingimused, tuleks komisjonile anda rakendamisvolitused. Neid volitusi tuleks kasutada kooskõlas Euroopa Parlamendi ja nõukogu 16. veebruari 2011. aasta määrusega (EL) nr 182/2011, millega kehtestatakse eeskirjad ja üldpõhimõtted, mis käsitlevad liikmesriikide läbiviidava kontrolli mehhanisme, mida kohaldatakse komisjoni rakendamisvolituste teostamise suhtes</w:t>
            </w:r>
            <w:r>
              <w:rPr>
                <w:rStyle w:val="Sup"/>
              </w:rPr>
              <w:t>42</w:t>
            </w:r>
            <w:r>
              <w:t>.</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42</w:t>
            </w:r>
            <w:r>
              <w:t xml:space="preserve"> </w:t>
            </w:r>
            <w:r w:rsidR="00A84C57">
              <w:t>ELT L 55, 28.2.2011, lk 13.</w:t>
            </w:r>
            <w:r>
              <w:t>.</w:t>
            </w:r>
          </w:p>
        </w:tc>
        <w:tc>
          <w:tcPr>
            <w:tcW w:w="4876" w:type="dxa"/>
          </w:tcPr>
          <w:p w:rsidR="002F3FB4" w:rsidRDefault="002F3FB4" w:rsidP="00F37676">
            <w:pPr>
              <w:pStyle w:val="Normal6"/>
            </w:pPr>
            <w:r>
              <w:rPr>
                <w:rStyle w:val="Sup"/>
              </w:rPr>
              <w:t>42</w:t>
            </w:r>
            <w:r>
              <w:t xml:space="preserve"> </w:t>
            </w:r>
            <w:r w:rsidR="00A84C57">
              <w:t>ELT L 55, 28.2.2011, lk 13.</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290</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(56)</w:t>
            </w:r>
            <w:r>
              <w:tab/>
            </w:r>
            <w:r>
              <w:rPr>
                <w:b/>
                <w:i/>
                <w:color w:val="000000"/>
              </w:rPr>
              <w:t>Kuna käesoleva määruse eesmärke, nimelt kehtestada liikmesriikide poolt kolmandate riikide kodanikele ja kodakondsuseta isikutele rahvusvahelise kaitse andmise nõuded ning nõuded pagulaste ja täiendava kaitse saamise kriteeriumidele vastavate isikute ühetaolisele seisundile ning nõuded antava kaitse sisule, ei suuda liikmesriigid piisavalt saavutada ning käesoleva määruse ulatuse ja mõju tõttu on seda parem saavutada liidu tasandil, võib liit võtta meetmeid kooskõlas ELi lepingu artiklis 5 sätestatud subsidiaarsuse põhimõttega. Kõnealuses artiklis sätestatud proportsionaalsuse põhimõtte kohaselt ei lähe käesolev määrus nimetatud eesmärkide saavutamiseks vajalikust kaugemale</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(56)</w:t>
            </w:r>
            <w:r>
              <w:tab/>
            </w:r>
            <w:r>
              <w:rPr>
                <w:b/>
                <w:i/>
                <w:color w:val="000000"/>
              </w:rPr>
              <w:t>Kuna käesoleva määruse eesmärke, nimelt kehtestada liikmesriikide poolt kolmandate riikide kodanikele ja kodakondsuseta isikutele rahvusvahelise kaitse andmise nõuded ning nõuded pagulaste ja täiendava kaitse saamise kriteeriumidele vastavate isikute ühetaolisele seisundile ning nõuded antava kaitse sisule, ei suuda liikmesriigid piisavalt saavutada ning käesoleva määruse ulatuse ja mõju tõttu on seda parem saavutada liidu tasandil, võib liit võtta meetmeid kooskõlas ELi lepingu artiklis 5 sätestatud subsidiaarsuse põhimõttega. Kõnealuses artiklis sätestatud proportsionaalsuse põhimõtte kohaselt ei lähe käesolev määrus nimetatud eesmärkide saavutamiseks vajalikust kaugemale</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(56)</w:t>
            </w:r>
            <w:r>
              <w:tab/>
              <w:t xml:space="preserve">Kuna käesoleva </w:t>
            </w:r>
            <w:r>
              <w:rPr>
                <w:b/>
                <w:i/>
              </w:rPr>
              <w:t>määruse</w:t>
            </w:r>
            <w:r>
              <w:t xml:space="preserve"> eesmärke, nimelt kehtestada liikmesriikide poolt kolmandate riikide kodanikele ja kodakondsuseta isikutele rahvusvahelise kaitse andmise nõuded ning nõuded pagulaste ja täiendava kaitse saamise kriteeriumidele vastavate isikute ühetaolisele seisundile ning nõuded antava kaitse sisule, ei suuda liikmesriigid piisavalt saavutada ning käesoleva </w:t>
            </w:r>
            <w:r>
              <w:rPr>
                <w:b/>
                <w:i/>
              </w:rPr>
              <w:t>määruse</w:t>
            </w:r>
            <w:r>
              <w:t xml:space="preserve"> ulatuse ja mõju tõttu on seda parem saavutada liidu tasandil, võib liit võtta meetmeid kooskõlas ELi lepingu artiklis 5 sätestatud subsidiaarsuse põhimõttega. Kõnealuses artiklis sätestatud proportsionaalsuse põhimõtte kohaselt ei lähe käesolev </w:t>
            </w:r>
            <w:r>
              <w:rPr>
                <w:b/>
                <w:i/>
              </w:rPr>
              <w:t>määrus</w:t>
            </w:r>
            <w:r>
              <w:t xml:space="preserve"> nimetatud eesmärkide saavutamiseks vajalikust kaugemale</w:t>
            </w:r>
          </w:p>
        </w:tc>
        <w:tc>
          <w:tcPr>
            <w:tcW w:w="4876" w:type="dxa"/>
          </w:tcPr>
          <w:p w:rsidR="002F3FB4" w:rsidRDefault="002F3FB4" w:rsidP="00F37676">
            <w:pPr>
              <w:pStyle w:val="Normal6"/>
            </w:pPr>
            <w:r>
              <w:t>(56)</w:t>
            </w:r>
            <w:r>
              <w:tab/>
              <w:t xml:space="preserve">Kuna käesoleva </w:t>
            </w:r>
            <w:r>
              <w:rPr>
                <w:b/>
                <w:i/>
              </w:rPr>
              <w:t>direktiivi</w:t>
            </w:r>
            <w:r>
              <w:t xml:space="preserve"> eesmärke, nimelt kehtestada liikmesriikide poolt kolmandate riikide kodanikele ja kodakondsuseta isikutele rahvusvahelise kaitse andmise </w:t>
            </w:r>
            <w:r>
              <w:rPr>
                <w:b/>
                <w:i/>
              </w:rPr>
              <w:t>kõrge</w:t>
            </w:r>
            <w:r w:rsidR="00A84C57">
              <w:rPr>
                <w:b/>
                <w:i/>
              </w:rPr>
              <w:t>tasemelise</w:t>
            </w:r>
            <w:r>
              <w:rPr>
                <w:b/>
                <w:i/>
              </w:rPr>
              <w:t>d</w:t>
            </w:r>
            <w:r>
              <w:t xml:space="preserve"> nõuded ning nõuded pagulaste ja täiendava kaitse saamise kriteeriumidele vastavate isikute ühetaolisele seisundile ning nõuded antava kaitse sisule, ei suuda liikmesriigid piisavalt saavutada ning käesoleva </w:t>
            </w:r>
            <w:r>
              <w:rPr>
                <w:b/>
                <w:i/>
              </w:rPr>
              <w:t>direktiivi</w:t>
            </w:r>
            <w:r>
              <w:t xml:space="preserve"> ulatuse ja mõju tõttu on seda parem saavutada liidu tasandil, võib liit võtta meetmeid kooskõlas ELi lepingu artiklis 5 sätestatud subsidiaarsuse põhimõttega. Kõnealuses artiklis sätestatud proportsionaalsuse põhimõtte kohaselt ei lähe käesolev </w:t>
            </w:r>
            <w:r>
              <w:rPr>
                <w:b/>
                <w:i/>
              </w:rPr>
              <w:t>direktiiv</w:t>
            </w:r>
            <w:r>
              <w:t xml:space="preserve"> nimetatud eesmärkide saavutamiseks vajalikust kaugemale</w:t>
            </w:r>
            <w:r w:rsidR="00A84C57" w:rsidRPr="006F55E6">
              <w:rPr>
                <w:b/>
                <w:i/>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[Euroopa Liidu lepingule ja Euroopa Liidu toimimise lepingule lisatud protokolli nr 21 (Ühendkuningriigi ja Iirimaa seisukoha kohta vabadusel, turvalisusel ja õigusel rajaneva ala suhtes) artikli 3 kohaselt on kõnealused liikmesriigid teatanud oma soovist osaleda käesoleva </w:t>
            </w:r>
            <w:r>
              <w:rPr>
                <w:b/>
                <w:i/>
              </w:rPr>
              <w:t>määruse</w:t>
            </w:r>
            <w:r>
              <w:t xml:space="preserve"> vastuvõtmisel ja kohaldamisel]</w:t>
            </w:r>
          </w:p>
        </w:tc>
        <w:tc>
          <w:tcPr>
            <w:tcW w:w="4876" w:type="dxa"/>
          </w:tcPr>
          <w:p w:rsidR="002F3FB4" w:rsidRDefault="002F3FB4" w:rsidP="00F37676">
            <w:pPr>
              <w:pStyle w:val="Normal6"/>
            </w:pPr>
            <w:r>
              <w:t xml:space="preserve">[Euroopa Liidu lepingule ja Euroopa Liidu toimimise lepingule lisatud protokolli nr 21 (Ühendkuningriigi ja Iirimaa seisukoha kohta vabadusel, turvalisusel ja õigusel rajaneva ala suhtes) artikli 3 kohaselt on kõnealused liikmesriigid teatanud oma soovist osaleda käesoleva </w:t>
            </w:r>
            <w:r>
              <w:rPr>
                <w:b/>
                <w:i/>
              </w:rPr>
              <w:t>direktiivi</w:t>
            </w:r>
            <w:r>
              <w:t xml:space="preserve"> vastuvõtmisel ja kohaldamisel</w:t>
            </w:r>
            <w:r w:rsidRPr="006F55E6">
              <w:rPr>
                <w:i/>
              </w:rPr>
              <w: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[Euroopa Liidu lepingule ja Euroopa Liidu toimimise lepingule lisatud protokolli nr 21 (Ühendkuningriigi ja Iirimaa seisukoha kohta vabadusel, turvalisusel ja õigusel rajaneva ala suhtes) artiklite 1 ja 2 kohaselt ning ilma et see piiraks nimetatud protokolli artikli 4 kohaldamist, ei osale kõnealused liikmesriigid käesoleva </w:t>
            </w:r>
            <w:r>
              <w:rPr>
                <w:b/>
                <w:i/>
              </w:rPr>
              <w:t>määruse</w:t>
            </w:r>
            <w:r>
              <w:t xml:space="preserve"> vastuvõtmisel ning see ei ole nende suhtes siduv ega kohaldatav.]</w:t>
            </w:r>
          </w:p>
        </w:tc>
        <w:tc>
          <w:tcPr>
            <w:tcW w:w="4876" w:type="dxa"/>
          </w:tcPr>
          <w:p w:rsidR="002F3FB4" w:rsidRDefault="002F3FB4" w:rsidP="00F37676">
            <w:pPr>
              <w:pStyle w:val="Normal6"/>
            </w:pPr>
            <w:r>
              <w:t xml:space="preserve">[Euroopa Liidu lepingule ja Euroopa Liidu toimimise lepingule lisatud protokolli nr 21 (Ühendkuningriigi ja Iirimaa seisukoha kohta vabadusel, turvalisusel ja õigusel rajaneva ala suhtes) artiklite 1 ja 2 kohaselt, ja ilma et see piiraks nimetatud protokolli artikli 4 kohaldamist, ei osale need liikmesriigid käesoleva </w:t>
            </w:r>
            <w:r>
              <w:rPr>
                <w:b/>
                <w:i/>
              </w:rPr>
              <w:t>direktiivi</w:t>
            </w:r>
            <w:r>
              <w:t xml:space="preserve"> vastuvõtmisel ning see ei ole nende suhtes siduv ega kohaldatav.]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artiklite 1 ja 2 kohaselt ning ilma et see piiraks kõnealuse protokolli artikli 4 kohaldamist, ei osale Ühendkuningriik käesoleva </w:t>
            </w:r>
            <w:r>
              <w:rPr>
                <w:b/>
                <w:i/>
              </w:rPr>
              <w:t>määruse</w:t>
            </w:r>
            <w:r>
              <w:t xml:space="preserve"> vastuvõtmisel ning see ei ole tema suhtes siduv ega kohaldatav.</w:t>
            </w:r>
          </w:p>
        </w:tc>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artiklite 1 ja 2 kohaselt ning ilma et see piiraks kõnealuse protokolli artikli 4 kohaldamist, ei osale Ühendkuningriik käesoleva </w:t>
            </w:r>
            <w:r>
              <w:rPr>
                <w:b/>
                <w:i/>
              </w:rPr>
              <w:t>direktiivi</w:t>
            </w:r>
            <w:r>
              <w:t xml:space="preserve"> vastuvõtmisel ning see ei ole tema suhtes siduv ega kohaldatav.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296</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 3 kohaselt on Iirimaa teatanud (... kirjaga) oma soovist osaleda käesoleva </w:t>
            </w:r>
            <w:r>
              <w:rPr>
                <w:b/>
                <w:i/>
              </w:rPr>
              <w:t>määruse</w:t>
            </w:r>
            <w:r>
              <w:t xml:space="preserve"> vastuvõtmisel ja kohaldamisel.]</w:t>
            </w:r>
          </w:p>
        </w:tc>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 3 kohaselt on Iirimaa teatanud (... saadetud kirjas) oma soovist osaleda käesoleva </w:t>
            </w:r>
            <w:r>
              <w:rPr>
                <w:b/>
                <w:i/>
              </w:rPr>
              <w:t>direktiivi</w:t>
            </w:r>
            <w:r>
              <w:t xml:space="preserve"> vastuvõtmisel ja kohaldamisel.]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 3 kohaselt on Ühendkuningriik teatanud (... kirjaga) oma soovist osaleda käesoleva </w:t>
            </w:r>
            <w:r>
              <w:rPr>
                <w:b/>
                <w:i/>
              </w:rPr>
              <w:t>määruse</w:t>
            </w:r>
            <w:r>
              <w:t xml:space="preserve"> vastuvõtmisel ja kohaldamisel.</w:t>
            </w:r>
          </w:p>
        </w:tc>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 3 kohaselt on Ühendkuningriik teatanud (... kirjaga) oma soovist osaleda käesoleva </w:t>
            </w:r>
            <w:r>
              <w:rPr>
                <w:b/>
                <w:i/>
              </w:rPr>
              <w:t>direktiivi</w:t>
            </w:r>
            <w:r>
              <w:t xml:space="preserve"> vastuvõtmisel ja kohaldamisel.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57 – lõik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artiklite 1 ja 2 kohaselt ning ilma et see piiraks kõnealuse protokolli artikli 4 kohaldamist, ei osale Iirimaa käesoleva </w:t>
            </w:r>
            <w:r>
              <w:rPr>
                <w:b/>
                <w:i/>
              </w:rPr>
              <w:t>määruse</w:t>
            </w:r>
            <w:r>
              <w:t xml:space="preserve"> vastuvõtmisel ning see ei ole tema suhtes siduv ega kohaldatav.]</w:t>
            </w:r>
          </w:p>
        </w:tc>
        <w:tc>
          <w:tcPr>
            <w:tcW w:w="4876" w:type="dxa"/>
          </w:tcPr>
          <w:p w:rsidR="002F3FB4" w:rsidRDefault="002F3FB4" w:rsidP="00F37676">
            <w:pPr>
              <w:pStyle w:val="Normal6"/>
            </w:pPr>
            <w:r>
              <w:t xml:space="preserve">(XX) Euroopa Liidu lepingule ja Euroopa Liidu toimimise lepingule lisatud protokolli nr 21 (Ühendkuningriigi ja Iirimaa seisukoha kohta vabadusel, turvalisusel ja õigusel rajaneva ala suhtes) artiklite 1 ja 2 kohaselt, ja ilma et see piiraks nimetatud protokolli artikli 4 kohaldamist, ei osale Iirimaa käesoleva </w:t>
            </w:r>
            <w:r>
              <w:rPr>
                <w:b/>
                <w:i/>
              </w:rPr>
              <w:t>direktiivi</w:t>
            </w:r>
            <w:r>
              <w:t xml:space="preserve"> vastuvõtmisel ning see ei ole tema suhtes siduv ega kohaldatav.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299</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Põhjendus 58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(58)</w:t>
            </w:r>
            <w:r>
              <w:tab/>
              <w:t xml:space="preserve">Euroopa Liidu lepingule ja Euroopa Liidu toimimise lepingule lisatud protokolli nr 22 (Taani seisukoha kohta) artiklite 1 ja 2 kohaselt ei osale Taani käesoleva </w:t>
            </w:r>
            <w:r>
              <w:rPr>
                <w:b/>
                <w:i/>
              </w:rPr>
              <w:t>määruse</w:t>
            </w:r>
            <w:r>
              <w:t xml:space="preserve"> vastuvõtmisel ning see ei ole tema suhtes siduv ega kohaldatav,</w:t>
            </w:r>
          </w:p>
        </w:tc>
        <w:tc>
          <w:tcPr>
            <w:tcW w:w="4876" w:type="dxa"/>
          </w:tcPr>
          <w:p w:rsidR="002F3FB4" w:rsidRDefault="002F3FB4" w:rsidP="00F37676">
            <w:pPr>
              <w:pStyle w:val="Normal6"/>
            </w:pPr>
            <w:r>
              <w:t>(58)</w:t>
            </w:r>
            <w:r>
              <w:tab/>
              <w:t xml:space="preserve">Euroopa Liidu lepingule ja Euroopa Liidu toimimise lepingule lisatud protokolli nr 22 (Taani seisukoha kohta) artiklite 1 ja 2 kohaselt ei osale Taani käesoleva </w:t>
            </w:r>
            <w:r>
              <w:rPr>
                <w:b/>
                <w:i/>
              </w:rPr>
              <w:t>direktiivi</w:t>
            </w:r>
            <w:r>
              <w:t xml:space="preserve"> vastuvõtmisel ning see ei ole tema suhtes siduv ega kohaldatav,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1 – lõi</w:t>
      </w:r>
      <w:r w:rsidR="00AD7AA7">
        <w:t>k</w:t>
      </w:r>
      <w:r>
        <w:t xml:space="preserve">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Käesoleva </w:t>
            </w:r>
            <w:r>
              <w:rPr>
                <w:b/>
                <w:i/>
              </w:rPr>
              <w:t>määrusega</w:t>
            </w:r>
            <w:r>
              <w:t xml:space="preserve"> kehtestatakse nõuded, mis käsitlevad järgmist:</w:t>
            </w:r>
          </w:p>
        </w:tc>
        <w:tc>
          <w:tcPr>
            <w:tcW w:w="4876" w:type="dxa"/>
          </w:tcPr>
          <w:p w:rsidR="002F3FB4" w:rsidRDefault="002F3FB4" w:rsidP="00F37676">
            <w:pPr>
              <w:pStyle w:val="Normal6"/>
            </w:pPr>
            <w:r>
              <w:t xml:space="preserve">Käesoleva </w:t>
            </w:r>
            <w:r>
              <w:rPr>
                <w:b/>
                <w:i/>
              </w:rPr>
              <w:t>direktiiviga</w:t>
            </w:r>
            <w:r>
              <w:t xml:space="preserve"> kehtestatakse nõuded, mis käsitlevad järgmist: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301</w:t>
      </w:r>
      <w:r>
        <w:rPr>
          <w:rStyle w:val="HideTWBExt"/>
          <w:b w:val="0"/>
          <w:noProof w:val="0"/>
        </w:rPr>
        <w:t>&lt;/NumAmB&gt;</w:t>
      </w:r>
    </w:p>
    <w:p w:rsidR="002F3FB4" w:rsidRDefault="002F3FB4" w:rsidP="002F3FB4">
      <w:pPr>
        <w:pStyle w:val="NormalBold"/>
      </w:pPr>
      <w:r>
        <w:rPr>
          <w:rStyle w:val="HideTWBExt"/>
          <w:b w:val="0"/>
          <w:noProof w:val="0"/>
        </w:rPr>
        <w:t>&lt;RepeatBlock-By&gt;&lt;Members&gt;</w:t>
      </w:r>
      <w:r>
        <w:t>Birgit Sippel</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1 – lõi</w:t>
      </w:r>
      <w:r w:rsidR="00AD7AA7">
        <w:t>k</w:t>
      </w:r>
      <w:r>
        <w:t xml:space="preserve"> 1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Ilma et see piiraks lõi</w:t>
            </w:r>
            <w:r w:rsidR="00AD7AA7">
              <w:rPr>
                <w:b/>
                <w:i/>
                <w:color w:val="000000"/>
              </w:rPr>
              <w:t>ke</w:t>
            </w:r>
            <w:r>
              <w:rPr>
                <w:b/>
                <w:i/>
                <w:color w:val="000000"/>
              </w:rPr>
              <w:t xml:space="preserve"> 1</w:t>
            </w:r>
            <w:r w:rsidR="00AD7AA7">
              <w:rPr>
                <w:b/>
                <w:i/>
                <w:color w:val="000000"/>
              </w:rPr>
              <w:t xml:space="preserve"> kohaldamist</w:t>
            </w:r>
            <w:r>
              <w:rPr>
                <w:b/>
                <w:i/>
                <w:color w:val="000000"/>
              </w:rPr>
              <w:t xml:space="preserve">, säilitavad liikmesriigid võimaluse anda pereliikmetele pagulasseisund või täiendav kaitse kooskõlas oma siseriiklike seadustega, olenemata sellest, kas nad võivad </w:t>
            </w:r>
            <w:r w:rsidR="00AD7AA7">
              <w:rPr>
                <w:b/>
                <w:i/>
                <w:color w:val="000000"/>
              </w:rPr>
              <w:t>olla</w:t>
            </w:r>
            <w:r>
              <w:rPr>
                <w:b/>
                <w:i/>
                <w:color w:val="000000"/>
              </w:rPr>
              <w:t xml:space="preserve"> tagakiusamise või suure kahju oh</w:t>
            </w:r>
            <w:r w:rsidR="00AD7AA7">
              <w:rPr>
                <w:b/>
                <w:i/>
                <w:color w:val="000000"/>
              </w:rPr>
              <w:t>us</w:t>
            </w:r>
            <w:r>
              <w:rPr>
                <w:b/>
                <w:i/>
                <w:color w:val="000000"/>
              </w:rPr>
              <w:t>, et luua ühtne õiguslik seisund perekonnas.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Käesolevas </w:t>
            </w:r>
            <w:r>
              <w:rPr>
                <w:b/>
                <w:i/>
              </w:rPr>
              <w:t>määruses</w:t>
            </w:r>
            <w:r>
              <w:t xml:space="preserve"> kasutatakse järgmisi mõisteid:</w:t>
            </w:r>
          </w:p>
        </w:tc>
        <w:tc>
          <w:tcPr>
            <w:tcW w:w="4876" w:type="dxa"/>
          </w:tcPr>
          <w:p w:rsidR="002F3FB4" w:rsidRDefault="002F3FB4" w:rsidP="00F37676">
            <w:pPr>
              <w:pStyle w:val="Normal6"/>
            </w:pPr>
            <w:r>
              <w:t xml:space="preserve">Käesolevas </w:t>
            </w:r>
            <w:r>
              <w:rPr>
                <w:b/>
                <w:i/>
              </w:rPr>
              <w:t>direktiivis</w:t>
            </w:r>
            <w:r>
              <w:t xml:space="preserve"> kasutatakse järgmisi mõisteid: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303</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punkt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„rahvusvaheline kaitse“ – </w:t>
            </w:r>
            <w:r>
              <w:rPr>
                <w:b/>
                <w:i/>
              </w:rPr>
              <w:t>punktides 4 ja 6</w:t>
            </w:r>
            <w:r>
              <w:t xml:space="preserve"> määratletud pagulasseisund </w:t>
            </w:r>
            <w:r>
              <w:rPr>
                <w:b/>
                <w:i/>
              </w:rPr>
              <w:t>ja täiendava kaitse seisund</w:t>
            </w:r>
            <w:r>
              <w:t>;</w:t>
            </w:r>
          </w:p>
        </w:tc>
        <w:tc>
          <w:tcPr>
            <w:tcW w:w="4876" w:type="dxa"/>
          </w:tcPr>
          <w:p w:rsidR="002F3FB4" w:rsidRDefault="002F3FB4" w:rsidP="00F37676">
            <w:pPr>
              <w:pStyle w:val="Normal6"/>
            </w:pPr>
            <w:r>
              <w:t>(1)</w:t>
            </w:r>
            <w:r>
              <w:tab/>
              <w:t xml:space="preserve">„rahvusvaheline kaitse“ – </w:t>
            </w:r>
            <w:r>
              <w:rPr>
                <w:b/>
                <w:i/>
              </w:rPr>
              <w:t>punktis 4</w:t>
            </w:r>
            <w:r>
              <w:t xml:space="preserve"> määratletud pagulasseisund;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304</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punkt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„rahvusvahelise kaitse saaja“ – isik, kellele on antud </w:t>
            </w:r>
            <w:r>
              <w:rPr>
                <w:b/>
                <w:i/>
              </w:rPr>
              <w:t>punktides 4 ja 6</w:t>
            </w:r>
            <w:r>
              <w:t xml:space="preserve"> määratletud pagulasseisund </w:t>
            </w:r>
            <w:r>
              <w:rPr>
                <w:b/>
                <w:i/>
              </w:rPr>
              <w:t>või täiendava kaitse seisund</w:t>
            </w:r>
            <w:r>
              <w:t>;</w:t>
            </w:r>
          </w:p>
        </w:tc>
        <w:tc>
          <w:tcPr>
            <w:tcW w:w="4876" w:type="dxa"/>
          </w:tcPr>
          <w:p w:rsidR="002F3FB4" w:rsidRDefault="002F3FB4" w:rsidP="00F37676">
            <w:pPr>
              <w:pStyle w:val="Normal6"/>
            </w:pPr>
            <w:r>
              <w:t>(2)</w:t>
            </w:r>
            <w:r>
              <w:tab/>
              <w:t xml:space="preserve">„rahvusvahelise kaitse saaja“ – isik, kellele on antud </w:t>
            </w:r>
            <w:r>
              <w:rPr>
                <w:b/>
                <w:i/>
              </w:rPr>
              <w:t>punktis 4</w:t>
            </w:r>
            <w:r>
              <w:t xml:space="preserve"> määratletud pagulasseisund;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punkt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„pagulane“ – kolmanda riigi kodanik, kes põhjendatult kartes tagakiusamist rassilise, usulise, </w:t>
            </w:r>
            <w:r w:rsidRPr="006F55E6">
              <w:rPr>
                <w:b/>
                <w:i/>
              </w:rPr>
              <w:t>rahvusel, poliitilistel vaadetel</w:t>
            </w:r>
            <w:r>
              <w:t xml:space="preserve"> või teatavasse sotsiaalsesse rühma kuulumise pärast viibib väljaspool kodakondsusjärgset riiki ja ei suuda või kõnealuse kartuse tõttu ei taha saada nimetatud riigilt kaitset, või kodakondsuseta isik, kes samadel põhjustel, nagu eespool nimetatud, väljaspool varasemat alalist elukohariiki viibides ei saa või kõnealuse kartuse tõttu ei taha sinna tagasi pöörduda, ja kelle suhtes ei kohaldata artiklit 12;</w:t>
            </w:r>
          </w:p>
        </w:tc>
        <w:tc>
          <w:tcPr>
            <w:tcW w:w="4876" w:type="dxa"/>
          </w:tcPr>
          <w:p w:rsidR="002F3FB4" w:rsidRDefault="002F3FB4" w:rsidP="00F37676">
            <w:pPr>
              <w:pStyle w:val="Normal6"/>
            </w:pPr>
            <w:r>
              <w:t>(3)</w:t>
            </w:r>
            <w:r>
              <w:tab/>
              <w:t xml:space="preserve">„pagulane“ – kolmanda riigi kodanik, kes põhjendatult kartes tagakiusamist rassilise, usulise, </w:t>
            </w:r>
            <w:r w:rsidRPr="006F55E6">
              <w:rPr>
                <w:b/>
                <w:i/>
              </w:rPr>
              <w:t>rahvuse, poliitiliste vaadete</w:t>
            </w:r>
            <w:r>
              <w:rPr>
                <w:b/>
                <w:i/>
              </w:rPr>
              <w:t>, soolise kuuluvuse, soolise sättumuse, soolise identiteedi, puude</w:t>
            </w:r>
            <w:r>
              <w:t xml:space="preserve"> või teatavasse sotsiaalsesse rühma kuulumise pärast viibib väljaspool kodakondsusjärgset riiki ja ei suuda või kõnealuse kartuse tõttu ei taha saada nimetatud riigilt kaitset, või kodakondsuseta isik, kes samadel põhjustel, nagu eespool nimetatud, väljaspool varasemat alalist elukohariiki viibides ei saa või kõnealuse kartuse tõttu ei taha sinna tagasi pöörduda, ja kelle suhtes ei kohaldata artiklit 12;</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306</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punkt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(6)</w:t>
            </w:r>
            <w:r>
              <w:tab/>
            </w:r>
            <w:r>
              <w:rPr>
                <w:b/>
                <w:i/>
                <w:color w:val="000000"/>
              </w:rPr>
              <w:t>„täiendava kaitse seisund“ – kolmanda riigi kodaniku või kodakondsuseta isiku tunnustamine liikmesriigi poolt täiendava kaitse saamise kriteeriumidele vastava isikuna;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307</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w:t>
      </w:r>
      <w:r w:rsidR="00DD1816">
        <w:t>k</w:t>
      </w:r>
      <w:r>
        <w:t xml:space="preserve"> 1 – punkt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(7)</w:t>
            </w:r>
            <w:r>
              <w:tab/>
              <w:t xml:space="preserve">„rahvusvahelise kaitse taotlus“ – kolmanda riigi kodaniku või kodakondsuseta isiku sooviavaldus liikmesriigilt kaitse saamiseks, mida võib käsitada pagulasseisundi </w:t>
            </w:r>
            <w:r>
              <w:rPr>
                <w:b/>
                <w:i/>
              </w:rPr>
              <w:t>või täiendava kaitse seisundi</w:t>
            </w:r>
            <w:r>
              <w:t xml:space="preserve"> taotlemisena;</w:t>
            </w:r>
          </w:p>
        </w:tc>
        <w:tc>
          <w:tcPr>
            <w:tcW w:w="4876" w:type="dxa"/>
          </w:tcPr>
          <w:p w:rsidR="002F3FB4" w:rsidRDefault="002F3FB4" w:rsidP="00F37676">
            <w:pPr>
              <w:pStyle w:val="Normal6"/>
            </w:pPr>
            <w:r>
              <w:t>(7)</w:t>
            </w:r>
            <w:r>
              <w:tab/>
              <w:t>„rahvusvahelise kaitse taotlus“ – kolmanda riigi kodaniku või kodakondsuseta isiku sooviavaldus liikmesriigilt kaitse saamiseks, mida võib käsitada pagulasseisundi taotlemisena;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(9)</w:t>
            </w:r>
            <w:r>
              <w:tab/>
              <w:t xml:space="preserve">„pereliikmed“ – järgmised rahvusvahelise kaitse saaja pereliikmed, kes viibivad </w:t>
            </w:r>
            <w:r>
              <w:rPr>
                <w:b/>
                <w:i/>
              </w:rPr>
              <w:t>rahvusvahelise kaitse taotlemisel</w:t>
            </w:r>
            <w:r>
              <w:t xml:space="preserve"> </w:t>
            </w:r>
            <w:r>
              <w:rPr>
                <w:b/>
                <w:i/>
              </w:rPr>
              <w:t xml:space="preserve">samas liikmesriigis, eeldusel et perekond oli juba olemas enne </w:t>
            </w:r>
            <w:r w:rsidRPr="006F55E6">
              <w:t xml:space="preserve">liikmesriigi </w:t>
            </w:r>
            <w:r>
              <w:rPr>
                <w:b/>
                <w:i/>
              </w:rPr>
              <w:t>territooriumile saabumist</w:t>
            </w:r>
            <w:r>
              <w:t>:</w:t>
            </w:r>
          </w:p>
        </w:tc>
        <w:tc>
          <w:tcPr>
            <w:tcW w:w="4876" w:type="dxa"/>
          </w:tcPr>
          <w:p w:rsidR="002F3FB4" w:rsidRDefault="002F3FB4" w:rsidP="00F37676">
            <w:pPr>
              <w:pStyle w:val="Normal6"/>
            </w:pPr>
            <w:r>
              <w:t>(9)</w:t>
            </w:r>
            <w:r>
              <w:tab/>
              <w:t xml:space="preserve">„pereliikmed“ – järgmised rahvusvahelise kaitse saaja pereliikmed, kes viibivad </w:t>
            </w:r>
            <w:r w:rsidRPr="006F55E6">
              <w:t>liikmesriigi</w:t>
            </w:r>
            <w:r>
              <w:rPr>
                <w:b/>
                <w:i/>
              </w:rPr>
              <w:t xml:space="preserve"> territooriumil</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309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(9)</w:t>
            </w:r>
            <w:r>
              <w:tab/>
              <w:t xml:space="preserve">„pereliikmed“ – järgmised rahvusvahelise kaitse saaja pereliikmed, kes viibivad </w:t>
            </w:r>
            <w:r>
              <w:rPr>
                <w:b/>
                <w:i/>
              </w:rPr>
              <w:t>rahvusvahelise kaitse taotlemisel samas liikmesriigis,</w:t>
            </w:r>
            <w:r>
              <w:t xml:space="preserve"> </w:t>
            </w:r>
            <w:r>
              <w:rPr>
                <w:b/>
                <w:i/>
              </w:rPr>
              <w:t>eeldusel et perekond oli juba olemas enne liikmesriigi territooriumile saabumist</w:t>
            </w:r>
            <w:r>
              <w:t>:</w:t>
            </w:r>
          </w:p>
        </w:tc>
        <w:tc>
          <w:tcPr>
            <w:tcW w:w="4876" w:type="dxa"/>
          </w:tcPr>
          <w:p w:rsidR="002F3FB4" w:rsidRDefault="002F3FB4" w:rsidP="00F37676">
            <w:pPr>
              <w:pStyle w:val="Normal6"/>
            </w:pPr>
            <w:r>
              <w:t>(9)</w:t>
            </w:r>
            <w:r>
              <w:tab/>
              <w:t>„pereliikmed“ – järgmised rahvusvahelise kaitse</w:t>
            </w:r>
            <w:r>
              <w:rPr>
                <w:b/>
                <w:i/>
              </w:rPr>
              <w:t xml:space="preserve"> taotleja või</w:t>
            </w:r>
            <w:r>
              <w:t xml:space="preserve"> saaja pereliikmed, kes viibivad </w:t>
            </w:r>
            <w:r>
              <w:rPr>
                <w:b/>
                <w:i/>
              </w:rPr>
              <w:t>liikmesriikide territooriumil</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 xml:space="preserve">On soovitatav </w:t>
      </w:r>
      <w:r w:rsidR="00C75BC1">
        <w:rPr>
          <w:noProof w:val="0"/>
        </w:rPr>
        <w:t>kasutada sõnastust</w:t>
      </w:r>
      <w:r>
        <w:rPr>
          <w:noProof w:val="0"/>
        </w:rPr>
        <w:t xml:space="preserve">, mis viitab taotlejale, mitte ainult rahvusvahelise kaitse saajale, sest seda pereliikme mõistet kohaldatakse </w:t>
      </w:r>
      <w:r w:rsidR="00C75BC1">
        <w:rPr>
          <w:noProof w:val="0"/>
        </w:rPr>
        <w:t xml:space="preserve">ka </w:t>
      </w:r>
      <w:r>
        <w:rPr>
          <w:noProof w:val="0"/>
        </w:rPr>
        <w:t>vastuvõtutingimuste direktiivis (artikli 2 lõi</w:t>
      </w:r>
      <w:r w:rsidR="00C75BC1">
        <w:rPr>
          <w:noProof w:val="0"/>
        </w:rPr>
        <w:t>k</w:t>
      </w:r>
      <w:r>
        <w:rPr>
          <w:noProof w:val="0"/>
        </w:rPr>
        <w:t xml:space="preserve"> 3</w:t>
      </w:r>
      <w:r w:rsidR="00C75BC1">
        <w:rPr>
          <w:noProof w:val="0"/>
        </w:rPr>
        <w:t xml:space="preserve"> „</w:t>
      </w:r>
      <w:r>
        <w:rPr>
          <w:noProof w:val="0"/>
        </w:rPr>
        <w:t>Mõisted</w:t>
      </w:r>
      <w:r w:rsidR="00C75BC1">
        <w:rPr>
          <w:noProof w:val="0"/>
        </w:rPr>
        <w:t>“</w:t>
      </w:r>
      <w:r>
        <w:rPr>
          <w:noProof w:val="0"/>
        </w:rPr>
        <w:t xml:space="preserve">; artikkel 3 </w:t>
      </w:r>
      <w:r w:rsidR="00C75BC1">
        <w:rPr>
          <w:noProof w:val="0"/>
        </w:rPr>
        <w:t>„</w:t>
      </w:r>
      <w:r>
        <w:rPr>
          <w:noProof w:val="0"/>
        </w:rPr>
        <w:t>Kohaldamisala</w:t>
      </w:r>
      <w:r w:rsidR="00C75BC1">
        <w:rPr>
          <w:noProof w:val="0"/>
        </w:rPr>
        <w:t>“</w:t>
      </w:r>
      <w:r>
        <w:rPr>
          <w:noProof w:val="0"/>
        </w:rPr>
        <w:t>) taotlajate olukorrale, kellele ei ole rahvusvahelist kaitset veel antud.</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(9)</w:t>
            </w:r>
            <w:r>
              <w:tab/>
              <w:t xml:space="preserve">„pereliikmed“ – järgmised rahvusvahelise kaitse saaja pereliikmed, kes viibivad rahvusvahelise kaitse taotlemisel samas liikmesriigis, eeldusel et perekond oli juba olemas </w:t>
            </w:r>
            <w:r>
              <w:rPr>
                <w:b/>
                <w:i/>
              </w:rPr>
              <w:t>enne liikmesriigi territooriumile saabumist</w:t>
            </w:r>
            <w:r>
              <w:t>:</w:t>
            </w:r>
          </w:p>
        </w:tc>
        <w:tc>
          <w:tcPr>
            <w:tcW w:w="4876" w:type="dxa"/>
          </w:tcPr>
          <w:p w:rsidR="002F3FB4" w:rsidRDefault="002F3FB4" w:rsidP="00F37676">
            <w:pPr>
              <w:pStyle w:val="Normal6"/>
            </w:pPr>
            <w:r>
              <w:t>(9)</w:t>
            </w:r>
            <w:r>
              <w:tab/>
              <w:t xml:space="preserve">„pereliikmed“ – järgmised rahvusvahelise kaitse saaja pereliikmed, kes viibivad rahvusvahelise kaitse taotlemisel samas liikmesriigis, eeldusel et perekond oli juba olemas </w:t>
            </w:r>
            <w:r>
              <w:rPr>
                <w:b/>
                <w:i/>
              </w:rPr>
              <w:t>päritoluriigis või, kodakondsuseta isiku puhul, varasema alalise elukoha riigis</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(a)</w:t>
            </w:r>
            <w:r>
              <w:tab/>
              <w:t xml:space="preserve">rahvusvahelise kaitse saaja abikaasa või </w:t>
            </w:r>
            <w:r>
              <w:rPr>
                <w:b/>
                <w:i/>
              </w:rPr>
              <w:t>temaga püsisuhtes olev</w:t>
            </w:r>
            <w:r>
              <w:t xml:space="preserve"> vabaabielukaaslane, </w:t>
            </w:r>
            <w:r>
              <w:rPr>
                <w:b/>
                <w:i/>
              </w:rPr>
              <w:t>kui asjaomase liikmesriigi õiguse või tava kohaselt koheldakse vabaabielupaare kolmandate riikide kodanikke käsitleva õiguse alusel võrdväärselt abielupaaridega</w:t>
            </w:r>
            <w:r w:rsidRPr="006F55E6">
              <w:rPr>
                <w:b/>
                <w:i/>
              </w:rPr>
              <w:t>;</w:t>
            </w:r>
          </w:p>
        </w:tc>
        <w:tc>
          <w:tcPr>
            <w:tcW w:w="4876" w:type="dxa"/>
          </w:tcPr>
          <w:p w:rsidR="002F3FB4" w:rsidRDefault="002F3FB4" w:rsidP="00F37676">
            <w:pPr>
              <w:pStyle w:val="Normal6"/>
            </w:pPr>
            <w:r>
              <w:t>(a)</w:t>
            </w:r>
            <w:r>
              <w:tab/>
              <w:t>rahvusvahelise kaitse saaja abikaasa või vabaabielukaaslane,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312</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(a)</w:t>
            </w:r>
            <w:r>
              <w:tab/>
              <w:t xml:space="preserve">rahvusvahelise kaitse saaja abikaasa või temaga püsisuhtes olev vabaabielukaaslane, </w:t>
            </w:r>
            <w:r>
              <w:rPr>
                <w:b/>
                <w:i/>
              </w:rPr>
              <w:t>kui asjaomase liikmesriigi õiguse või tava kohaselt koheldakse vabaabielupaare kolmandate riikide kodanikke käsitleva õiguse alusel võrdväärselt abielupaaridega</w:t>
            </w:r>
            <w:r w:rsidRPr="006F55E6">
              <w:rPr>
                <w:b/>
                <w:i/>
              </w:rPr>
              <w:t>;</w:t>
            </w:r>
          </w:p>
        </w:tc>
        <w:tc>
          <w:tcPr>
            <w:tcW w:w="4876" w:type="dxa"/>
          </w:tcPr>
          <w:p w:rsidR="002F3FB4" w:rsidRDefault="002F3FB4" w:rsidP="00F37676">
            <w:pPr>
              <w:pStyle w:val="Normal6"/>
            </w:pPr>
            <w:r>
              <w:t>(a)</w:t>
            </w:r>
            <w:r>
              <w:tab/>
              <w:t>rahvusvahelise kaitse saaja abikaasa või temaga püsisuhtes olev vabaabielukaaslane,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313</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 xml:space="preserve">punktis a osutatud paari või rahvusvahelise kaitse saaja </w:t>
            </w:r>
            <w:r>
              <w:rPr>
                <w:b/>
                <w:i/>
              </w:rPr>
              <w:t>alaealised</w:t>
            </w:r>
            <w:r>
              <w:t xml:space="preserve"> lapsed, </w:t>
            </w:r>
            <w:r>
              <w:rPr>
                <w:b/>
                <w:i/>
              </w:rPr>
              <w:t>tingimusel et need lapsed ei ole abielus,</w:t>
            </w:r>
            <w:r>
              <w:t xml:space="preserve"> sõltumata sellest, kas nad on siseriikliku õiguse tähenduses sündinud abielust või väljaspool abielu või lapsendatud;</w:t>
            </w:r>
          </w:p>
        </w:tc>
        <w:tc>
          <w:tcPr>
            <w:tcW w:w="4876" w:type="dxa"/>
          </w:tcPr>
          <w:p w:rsidR="002F3FB4" w:rsidRDefault="002F3FB4" w:rsidP="00F37676">
            <w:pPr>
              <w:pStyle w:val="Normal6"/>
            </w:pPr>
            <w:r>
              <w:t>(b)</w:t>
            </w:r>
            <w:r>
              <w:tab/>
              <w:t xml:space="preserve">punktis a osutatud paari või rahvusvahelise kaitse </w:t>
            </w:r>
            <w:r>
              <w:rPr>
                <w:b/>
                <w:i/>
              </w:rPr>
              <w:t>taotleja või</w:t>
            </w:r>
            <w:r>
              <w:t xml:space="preserve"> saaja lapsed, sõltumata sellest, kas nad on siseriikliku õiguse tähenduses sündinud abielust või väljaspool abielu või lapsendatud</w:t>
            </w:r>
            <w:r>
              <w:rPr>
                <w:b/>
                <w:i/>
              </w:rPr>
              <w:t>, ning lapsed, kelle eest nad kannavad esmast õiguslikku või tavaõigusest tulenevat vastutust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 xml:space="preserve">punktis a osutatud paari või rahvusvahelise kaitse saaja </w:t>
            </w:r>
            <w:r>
              <w:rPr>
                <w:b/>
                <w:i/>
              </w:rPr>
              <w:t>alaealised</w:t>
            </w:r>
            <w:r>
              <w:t xml:space="preserve"> lapsed, </w:t>
            </w:r>
            <w:r>
              <w:rPr>
                <w:b/>
                <w:i/>
              </w:rPr>
              <w:t>tingimusel et need lapsed ei ole abielus,</w:t>
            </w:r>
            <w:r>
              <w:t xml:space="preserve"> sõltumata sellest, kas nad on siseriikliku õiguse tähenduses sündinud abielust või väljaspool abielu või lapsendatud;</w:t>
            </w:r>
          </w:p>
        </w:tc>
        <w:tc>
          <w:tcPr>
            <w:tcW w:w="4876" w:type="dxa"/>
          </w:tcPr>
          <w:p w:rsidR="002F3FB4" w:rsidRDefault="002F3FB4" w:rsidP="00F37676">
            <w:pPr>
              <w:pStyle w:val="Normal6"/>
            </w:pPr>
            <w:r>
              <w:t>(b)</w:t>
            </w:r>
            <w:r>
              <w:tab/>
              <w:t>punktis a osutatud paari või rahvusvahelise kaitse saaja lapsed, sõltumata sellest, kas nad on siseriikliku õiguse tähenduses sündinud abielust või väljaspool abielu või lapsendatud;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315</w:t>
      </w:r>
      <w:r>
        <w:rPr>
          <w:rStyle w:val="HideTWBExt"/>
          <w:b w:val="0"/>
          <w:noProof w:val="0"/>
        </w:rPr>
        <w:t>&lt;/NumAmB&gt;</w:t>
      </w:r>
    </w:p>
    <w:p w:rsidR="002F3FB4" w:rsidRDefault="002F3FB4" w:rsidP="002F3FB4">
      <w:pPr>
        <w:pStyle w:val="NormalBold"/>
      </w:pPr>
      <w:r>
        <w:rPr>
          <w:rStyle w:val="HideTWBExt"/>
          <w:b w:val="0"/>
          <w:noProof w:val="0"/>
        </w:rPr>
        <w:t>&lt;RepeatBlock-By&gt;&lt;Members&gt;</w:t>
      </w:r>
      <w:r>
        <w:t>Elly Schlein</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Resolutsiooni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 xml:space="preserve">punktis a osutatud paari või rahvusvahelise kaitse saaja </w:t>
            </w:r>
            <w:r>
              <w:rPr>
                <w:b/>
                <w:i/>
              </w:rPr>
              <w:t>alaealised lapsed</w:t>
            </w:r>
            <w:r w:rsidRPr="006F55E6">
              <w:rPr>
                <w:b/>
                <w:i/>
              </w:rPr>
              <w:t>,</w:t>
            </w:r>
            <w:r w:rsidRPr="00D62D49">
              <w:rPr>
                <w:b/>
                <w:i/>
              </w:rPr>
              <w:t xml:space="preserve"> </w:t>
            </w:r>
            <w:r>
              <w:rPr>
                <w:b/>
                <w:i/>
              </w:rPr>
              <w:t>tingimusel et need lapsed ei ole abielus</w:t>
            </w:r>
            <w:r w:rsidRPr="006F55E6">
              <w:t>,</w:t>
            </w:r>
            <w:r w:rsidRPr="00D62D49">
              <w:t xml:space="preserve"> </w:t>
            </w:r>
            <w:r>
              <w:t>sõltumata sellest, kas nad on siseriikliku õiguse tähenduses sündinud abielust või väljaspool abielu või lapsendatud;</w:t>
            </w:r>
          </w:p>
        </w:tc>
        <w:tc>
          <w:tcPr>
            <w:tcW w:w="4876" w:type="dxa"/>
          </w:tcPr>
          <w:p w:rsidR="002F3FB4" w:rsidRDefault="002F3FB4" w:rsidP="00F37676">
            <w:pPr>
              <w:pStyle w:val="Normal6"/>
            </w:pPr>
            <w:r>
              <w:t>(b)</w:t>
            </w:r>
            <w:r>
              <w:tab/>
              <w:t xml:space="preserve">punktis a osutatud paari või rahvusvahelise kaitse saaja </w:t>
            </w:r>
            <w:r>
              <w:rPr>
                <w:b/>
                <w:i/>
              </w:rPr>
              <w:t>pojad ja tütred</w:t>
            </w:r>
            <w:r>
              <w:t>, sõltumata sellest, kas nad on siseriikliku õiguse tähenduses sündinud abielust või väljaspool abielu või lapsendatud;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Taotleja poegi ja tütreid tuleb käsitada pereliikmetena, sõltumata nende vanusest või perekonnaseisust</w:t>
      </w:r>
      <w:r w:rsidR="00D62D49">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316</w:t>
      </w:r>
      <w:r>
        <w:rPr>
          <w:rStyle w:val="HideTWBExt"/>
          <w:b w:val="0"/>
          <w:noProof w:val="0"/>
        </w:rPr>
        <w:t>&lt;/NumAmB&gt;</w:t>
      </w:r>
    </w:p>
    <w:p w:rsidR="002F3FB4" w:rsidRDefault="002F3FB4" w:rsidP="002F3FB4">
      <w:pPr>
        <w:pStyle w:val="NormalBold"/>
      </w:pPr>
      <w:r>
        <w:rPr>
          <w:rStyle w:val="HideTWBExt"/>
          <w:b w:val="0"/>
          <w:noProof w:val="0"/>
        </w:rPr>
        <w:t>&lt;RepeatBlock-By&gt;&lt;Members&gt;</w:t>
      </w:r>
      <w:r>
        <w:t>Elly Schlein</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(c)</w:t>
            </w:r>
            <w:r>
              <w:tab/>
              <w:t xml:space="preserve">asjaomase liikmesriigi õiguse või tava kohaselt rahvusvahelise kaitse </w:t>
            </w:r>
            <w:r>
              <w:rPr>
                <w:b/>
                <w:i/>
              </w:rPr>
              <w:t>saaja eest vastutav</w:t>
            </w:r>
            <w:r>
              <w:t xml:space="preserve"> isa</w:t>
            </w:r>
            <w:r>
              <w:rPr>
                <w:b/>
                <w:i/>
              </w:rPr>
              <w:t>, ema</w:t>
            </w:r>
            <w:r>
              <w:t xml:space="preserve"> või mõni teine täisealine isik, kui kõnealuse kaitse saaja on alaealine</w:t>
            </w:r>
            <w:r>
              <w:rPr>
                <w:b/>
                <w:i/>
              </w:rPr>
              <w:t xml:space="preserve"> ja ei ole abielus</w:t>
            </w:r>
            <w:r>
              <w:t>;</w:t>
            </w:r>
          </w:p>
        </w:tc>
        <w:tc>
          <w:tcPr>
            <w:tcW w:w="4876" w:type="dxa"/>
          </w:tcPr>
          <w:p w:rsidR="002F3FB4" w:rsidRDefault="002F3FB4" w:rsidP="00F37676">
            <w:pPr>
              <w:pStyle w:val="Normal6"/>
            </w:pPr>
            <w:r>
              <w:t>(c)</w:t>
            </w:r>
            <w:r>
              <w:tab/>
              <w:t xml:space="preserve">asjaomase liikmesriigi õiguse või tava kohaselt rahvusvahelise kaitse </w:t>
            </w:r>
            <w:r>
              <w:rPr>
                <w:b/>
                <w:i/>
              </w:rPr>
              <w:t>taotleja ema ja</w:t>
            </w:r>
            <w:r>
              <w:t xml:space="preserve"> isa või mõni teine </w:t>
            </w:r>
            <w:r>
              <w:rPr>
                <w:b/>
                <w:i/>
              </w:rPr>
              <w:t>kaitse saaja eest vastutav</w:t>
            </w:r>
            <w:r>
              <w:t xml:space="preserve"> täisealine isik, kui kõnealuse kaitse saaja on alaealine;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Tehakse ettepanek korrastada pere taasühinemise sätteid ja tagatisi, laiendades ka pereliikmete määratlust.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(c)</w:t>
            </w:r>
            <w:r>
              <w:tab/>
              <w:t>asjaomase liikmesriigi õiguse või tava kohaselt rahvusvahelise kaitse saaja eest vastutav isa, ema või mõni teine täisealine isik</w:t>
            </w:r>
            <w:r>
              <w:rPr>
                <w:b/>
                <w:i/>
              </w:rPr>
              <w:t>, kui kõnealuse kaitse saaja on alaealine ja ei ole abielus</w:t>
            </w:r>
            <w:r>
              <w:t>;</w:t>
            </w:r>
          </w:p>
        </w:tc>
        <w:tc>
          <w:tcPr>
            <w:tcW w:w="4876" w:type="dxa"/>
          </w:tcPr>
          <w:p w:rsidR="002F3FB4" w:rsidRDefault="002F3FB4" w:rsidP="00F37676">
            <w:pPr>
              <w:pStyle w:val="Normal6"/>
            </w:pPr>
            <w:r>
              <w:t>(c)</w:t>
            </w:r>
            <w:r>
              <w:tab/>
            </w:r>
            <w:r>
              <w:rPr>
                <w:b/>
                <w:i/>
              </w:rPr>
              <w:t xml:space="preserve">päritoluriigi </w:t>
            </w:r>
            <w:r>
              <w:t xml:space="preserve">või asjaomase liikmesriigi õiguse või tava kohaselt rahvusvahelise kaitse </w:t>
            </w:r>
            <w:r>
              <w:rPr>
                <w:b/>
                <w:i/>
              </w:rPr>
              <w:t xml:space="preserve">taotleja või </w:t>
            </w:r>
            <w:r>
              <w:t>saaja eest vastutav isa, ema või mõni teine täisealine isik;</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raportööriga, et see, kas laps on abielus või mitte, ei tohiks olla tegur pereliikmete määratlemisel.</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(c)</w:t>
            </w:r>
            <w:r>
              <w:tab/>
              <w:t>asjaomase liikmesriigi õiguse või tava kohaselt rahvusvahelise kaitse saaja eest vastutav isa, ema või mõni teine täisealine isik, kui kõnealuse kaitse saaja on alaealine</w:t>
            </w:r>
            <w:r>
              <w:rPr>
                <w:b/>
                <w:i/>
              </w:rPr>
              <w:t xml:space="preserve"> ja ei ole abielus</w:t>
            </w:r>
            <w:r>
              <w:t>;</w:t>
            </w:r>
          </w:p>
        </w:tc>
        <w:tc>
          <w:tcPr>
            <w:tcW w:w="4876" w:type="dxa"/>
          </w:tcPr>
          <w:p w:rsidR="002F3FB4" w:rsidRDefault="002F3FB4" w:rsidP="00F37676">
            <w:pPr>
              <w:pStyle w:val="Normal6"/>
            </w:pPr>
            <w:r>
              <w:t>(c)</w:t>
            </w:r>
            <w:r>
              <w:tab/>
              <w:t>asjaomase liikmesriigi õiguse või tava kohaselt rahvusvahelise kaitse saaja eest vastutav isa, ema või mõni teine täisealine isik, kui kõnealuse kaitse saaja on alaealine;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319</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(c)</w:t>
            </w:r>
            <w:r>
              <w:tab/>
              <w:t>asjaomase liikmesriigi õiguse või tava kohaselt rahvusvahelise kaitse saaja eest vastutav isa, ema või mõni teine täisealine isik, kui kõnealuse kaitse saaja on alaealine</w:t>
            </w:r>
            <w:r>
              <w:rPr>
                <w:b/>
                <w:i/>
              </w:rPr>
              <w:t xml:space="preserve"> ja ei ole abielus</w:t>
            </w:r>
            <w:r>
              <w:t>;</w:t>
            </w:r>
          </w:p>
        </w:tc>
        <w:tc>
          <w:tcPr>
            <w:tcW w:w="4876" w:type="dxa"/>
          </w:tcPr>
          <w:p w:rsidR="002F3FB4" w:rsidRDefault="002F3FB4" w:rsidP="00F37676">
            <w:pPr>
              <w:pStyle w:val="Normal6"/>
            </w:pPr>
            <w:r>
              <w:t>(c)</w:t>
            </w:r>
            <w:r>
              <w:tab/>
              <w:t>asjaomase liikmesriigi õiguse või tava kohaselt rahvusvahelise kaitse saaja eest vastutav isa, ema või mõni teine täisealine isik, kui kõnealuse kaitse saaja on alaealine;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320</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a)</w:t>
            </w:r>
            <w:r>
              <w:tab/>
            </w:r>
            <w:r>
              <w:rPr>
                <w:b/>
                <w:i/>
                <w:color w:val="000000"/>
              </w:rPr>
              <w:t>taotleja või rahvusvahelise kaitse saaja õde</w:t>
            </w:r>
            <w:r w:rsidR="00D62D49">
              <w:rPr>
                <w:b/>
                <w:i/>
                <w:color w:val="000000"/>
              </w:rPr>
              <w:t xml:space="preserve"> ja </w:t>
            </w:r>
            <w:r>
              <w:rPr>
                <w:b/>
                <w:i/>
                <w:color w:val="000000"/>
              </w:rPr>
              <w:t>vend või õed</w:t>
            </w:r>
            <w:r w:rsidR="00D62D49">
              <w:rPr>
                <w:b/>
                <w:i/>
                <w:color w:val="000000"/>
              </w:rPr>
              <w:t>-</w:t>
            </w:r>
            <w:r>
              <w:rPr>
                <w:b/>
                <w:i/>
                <w:color w:val="000000"/>
              </w:rPr>
              <w:t>vennad;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321</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a)</w:t>
            </w:r>
            <w:r>
              <w:tab/>
            </w:r>
            <w:r>
              <w:rPr>
                <w:b/>
                <w:i/>
                <w:color w:val="000000"/>
              </w:rPr>
              <w:t>rahvusvahelise kaitse saaja õed ja vennad;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322</w:t>
      </w:r>
      <w:r>
        <w:rPr>
          <w:rStyle w:val="HideTWBExt"/>
          <w:b w:val="0"/>
          <w:noProof w:val="0"/>
        </w:rPr>
        <w:t>&lt;/NumAmB&gt;</w:t>
      </w:r>
    </w:p>
    <w:p w:rsidR="002F3FB4" w:rsidRDefault="002F3FB4" w:rsidP="002F3FB4">
      <w:pPr>
        <w:pStyle w:val="NormalBold"/>
      </w:pPr>
      <w:r>
        <w:rPr>
          <w:rStyle w:val="HideTWBExt"/>
          <w:b w:val="0"/>
          <w:noProof w:val="0"/>
        </w:rPr>
        <w:t>&lt;RepeatBlock-By&gt;&lt;Members&gt;</w:t>
      </w:r>
      <w:r>
        <w:t>Elly Schlein</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a)</w:t>
            </w:r>
            <w:r>
              <w:tab/>
            </w:r>
            <w:r>
              <w:rPr>
                <w:b/>
                <w:i/>
                <w:color w:val="000000"/>
              </w:rPr>
              <w:t>taotleja või rahvusvahelise kaitse saaja vanavanemad;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Tehakse ettepanek korrastada pere taasühinemise sätteid ja tagatisi, laiendades ka pereliikmete määratlust.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a)</w:t>
            </w:r>
            <w:r>
              <w:tab/>
            </w:r>
            <w:r>
              <w:rPr>
                <w:b/>
                <w:i/>
                <w:color w:val="000000"/>
              </w:rPr>
              <w:t>rahvusvahelise kaitse saaja õed ja vennad;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b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b)</w:t>
            </w:r>
            <w:r>
              <w:tab/>
            </w:r>
            <w:r>
              <w:rPr>
                <w:b/>
                <w:i/>
                <w:color w:val="000000"/>
              </w:rPr>
              <w:t>rahvusvahelise kaitse saaja isa, ema, vanaema, vanaisa, onu või tädi sõltumata sellest, kas rahvusvahelise kaitse saaja on siseriikliku õiguse tähenduses sündinud abielust või väljaspool abielu või lapsendatud;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b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b)</w:t>
            </w:r>
            <w:r>
              <w:tab/>
            </w:r>
            <w:r>
              <w:rPr>
                <w:b/>
                <w:i/>
                <w:color w:val="000000"/>
              </w:rPr>
              <w:t>taotleja või rahvusvahelise kaitse saaja ülenevad lähisugulased;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326</w:t>
      </w:r>
      <w:r>
        <w:rPr>
          <w:rStyle w:val="HideTWBExt"/>
          <w:b w:val="0"/>
          <w:noProof w:val="0"/>
        </w:rPr>
        <w:t>&lt;/NumAmB&gt;</w:t>
      </w:r>
    </w:p>
    <w:p w:rsidR="002F3FB4" w:rsidRDefault="002F3FB4" w:rsidP="002F3FB4">
      <w:pPr>
        <w:pStyle w:val="NormalBold"/>
      </w:pPr>
      <w:r>
        <w:rPr>
          <w:rStyle w:val="HideTWBExt"/>
          <w:b w:val="0"/>
          <w:noProof w:val="0"/>
        </w:rPr>
        <w:t>&lt;RepeatBlock-By&gt;&lt;Members&gt;</w:t>
      </w:r>
      <w:r>
        <w:t>Elly Schlein</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b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b)</w:t>
            </w:r>
            <w:r>
              <w:tab/>
            </w:r>
            <w:r>
              <w:rPr>
                <w:b/>
                <w:i/>
                <w:color w:val="000000"/>
              </w:rPr>
              <w:t>taotleja lapselapsed;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Tehakse ettepanek korrastada pere taasühinemise sätteid ja tagatisi, laiendades ka pereliikmete määratlust.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9 – alapunkt c c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(c c)</w:t>
            </w:r>
            <w:r>
              <w:tab/>
            </w:r>
            <w:r>
              <w:rPr>
                <w:b/>
                <w:i/>
                <w:color w:val="000000"/>
              </w:rPr>
              <w:t xml:space="preserve">„toetaja“ – liikmesriigi kodanik või kolmanda riigi kodanik, kellel </w:t>
            </w:r>
            <w:r w:rsidR="005B6673">
              <w:rPr>
                <w:b/>
                <w:i/>
                <w:color w:val="000000"/>
              </w:rPr>
              <w:t xml:space="preserve">liikmesriik </w:t>
            </w:r>
            <w:r w:rsidR="00082380">
              <w:rPr>
                <w:b/>
                <w:i/>
                <w:color w:val="000000"/>
              </w:rPr>
              <w:t xml:space="preserve">on lubanud </w:t>
            </w:r>
            <w:r>
              <w:rPr>
                <w:b/>
                <w:i/>
                <w:color w:val="000000"/>
              </w:rPr>
              <w:t>liidu või asjaomase liikmesriigi siseriikliku õiguse kohaselt väljastatud elamisloa omanikuna viibida oma territooriumil ühe aasta või pikema perioodi vältel;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328</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(10)</w:t>
            </w:r>
            <w:r>
              <w:tab/>
              <w:t>„alaealine“ – alla 18aastane kolmanda riigi kodanik või kodakondsuseta isik;</w:t>
            </w:r>
          </w:p>
        </w:tc>
        <w:tc>
          <w:tcPr>
            <w:tcW w:w="4876" w:type="dxa"/>
          </w:tcPr>
          <w:p w:rsidR="002F3FB4" w:rsidRDefault="002F3FB4" w:rsidP="00F37676">
            <w:pPr>
              <w:pStyle w:val="Normal6"/>
            </w:pPr>
            <w:r>
              <w:t>(10)</w:t>
            </w:r>
            <w:r>
              <w:tab/>
              <w:t xml:space="preserve">„alaealine“ – </w:t>
            </w:r>
            <w:r>
              <w:rPr>
                <w:b/>
                <w:i/>
              </w:rPr>
              <w:t xml:space="preserve">rahvusvahelise kaitse taotluse esitamise ajal </w:t>
            </w:r>
            <w:r>
              <w:t>alla 18aastane kolmanda riigi kodanik või kodakondsuseta isik;</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329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10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(10 a)</w:t>
            </w:r>
            <w:r>
              <w:tab/>
            </w:r>
            <w:r>
              <w:rPr>
                <w:b/>
                <w:i/>
                <w:color w:val="000000"/>
              </w:rPr>
              <w:t>„laps“ – rahvusvahelise kaitse taotluse esitamise ajal alla 18aastane kolmanda riigi kodanik või kodakondsuseta isik;</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(11)</w:t>
            </w:r>
            <w:r>
              <w:tab/>
              <w:t>„saatjata alaealine“ – alaealine, kes saabub liikmesriigi territooriumile ilma asjaomase liikmesriigi õiguse või tava kohaselt tema eest vastutava täisealise isikuta seni, kuni selline isik ei ole teda tegelikult oma hoole alla võtnud;</w:t>
            </w:r>
            <w:r>
              <w:rPr>
                <w:b/>
                <w:i/>
              </w:rPr>
              <w:t xml:space="preserve"> sh alaealine, kes on jäänud saatjata pärast liikmesriigi territooriumile saabumist;</w:t>
            </w:r>
          </w:p>
        </w:tc>
        <w:tc>
          <w:tcPr>
            <w:tcW w:w="4876" w:type="dxa"/>
          </w:tcPr>
          <w:p w:rsidR="002F3FB4" w:rsidRDefault="002F3FB4" w:rsidP="00F37676">
            <w:pPr>
              <w:pStyle w:val="Normal6"/>
            </w:pPr>
            <w:r>
              <w:t>(11)</w:t>
            </w:r>
            <w:r>
              <w:tab/>
              <w:t>„saatjata alaealine” – alaealine, kes saabub liikmesriigi territooriumile ilma asjaomase liikmesriigi õiguse või tava kohaselt tema eest vastutava täisealise isikuta seni, kuni selline isik ei ole teda tegelikult oma hoole alla võtnud;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(14)</w:t>
            </w:r>
            <w:r>
              <w:tab/>
              <w:t>„rahvusvahelise kaitse äravõtmine“ – pädeva ametiasutuse otsus tunnistada pagulasseisund</w:t>
            </w:r>
            <w:r>
              <w:rPr>
                <w:b/>
                <w:i/>
              </w:rPr>
              <w:t xml:space="preserve"> või täiendava kaitse seisund</w:t>
            </w:r>
            <w:r>
              <w:t xml:space="preserve"> kehtetuks, see lõpetada või keelduda selle pikendamisest;</w:t>
            </w:r>
          </w:p>
        </w:tc>
        <w:tc>
          <w:tcPr>
            <w:tcW w:w="4876" w:type="dxa"/>
          </w:tcPr>
          <w:p w:rsidR="002F3FB4" w:rsidRDefault="002F3FB4" w:rsidP="00F37676">
            <w:pPr>
              <w:pStyle w:val="Normal6"/>
            </w:pPr>
            <w:r>
              <w:t>(14)</w:t>
            </w:r>
            <w:r>
              <w:tab/>
              <w:t>„rahvusvahelise kaitse äravõtmine“ – pädeva ametiasutuse otsus tunnistada pagulasseisund kehtetuks, see lõpetada või keelduda selle pikendamisest;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332</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(15)</w:t>
            </w:r>
            <w:r>
              <w:tab/>
              <w:t>„korduv taotlus“ – uus rahvusvahelise kaitse taotlus, mis esitatakse mis tahes liikmesriigis pärast eelmise taotluse kohta lõpliku otsuse tegemist, sh juhud, mil taotleja on oma taotluse sõnaselgelt tagasi võtnud</w:t>
            </w:r>
            <w:r>
              <w:rPr>
                <w:b/>
                <w:i/>
              </w:rPr>
              <w:t xml:space="preserve"> või kui menetlev ametiasutus on taotluse pärast kaudset tagasivõtmist tagasi lükanud, sest leiab, et sellest on loobutud</w:t>
            </w:r>
            <w:r>
              <w:t>;</w:t>
            </w:r>
          </w:p>
        </w:tc>
        <w:tc>
          <w:tcPr>
            <w:tcW w:w="4876" w:type="dxa"/>
          </w:tcPr>
          <w:p w:rsidR="002F3FB4" w:rsidRDefault="002F3FB4" w:rsidP="00F37676">
            <w:pPr>
              <w:pStyle w:val="Normal6"/>
            </w:pPr>
            <w:r>
              <w:t>(15)</w:t>
            </w:r>
            <w:r>
              <w:tab/>
              <w:t>„korduv taotlus“ – uus rahvusvahelise kaitse taotlus, mis esitatakse mis tahes liikmesriigis pärast eelmise taotluse kohta lõpliku otsuse tegemist, sh juhud, mil taotleja on oma taotluse sõnaselgelt tagasi võtnud;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(16)</w:t>
            </w:r>
            <w:r>
              <w:tab/>
              <w:t>„menetlev ametiasutus“ – liikmesriigi kohtulaadne ametiasutus või haldusorgan, kes vastutab rahvusvahelise kaitse taotluste läbivaatamise eest ning on pädev tegema sellistes juhtumites esimese astme otsuseid;</w:t>
            </w:r>
          </w:p>
        </w:tc>
        <w:tc>
          <w:tcPr>
            <w:tcW w:w="4876" w:type="dxa"/>
          </w:tcPr>
          <w:p w:rsidR="002F3FB4" w:rsidRDefault="002F3FB4" w:rsidP="00F37676">
            <w:pPr>
              <w:pStyle w:val="Normal6"/>
            </w:pPr>
            <w:r>
              <w:t>(16)</w:t>
            </w:r>
            <w:r>
              <w:tab/>
              <w:t xml:space="preserve">„menetlev ametiasutus“ – liikmesriigi </w:t>
            </w:r>
            <w:r>
              <w:rPr>
                <w:b/>
                <w:i/>
              </w:rPr>
              <w:t xml:space="preserve">kohus, </w:t>
            </w:r>
            <w:r>
              <w:t>kohtulaadne ametiasutus või haldusorgan, kes vastutab rahvusvahelise kaitse taotluste läbivaatamise eest ning on pädev tegema sellistes juhtumites esimese astme otsuseid;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334</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(17)</w:t>
            </w:r>
            <w:r>
              <w:tab/>
              <w:t xml:space="preserve">„sotsiaalkindlustus“ – </w:t>
            </w:r>
            <w:r>
              <w:rPr>
                <w:b/>
                <w:i/>
              </w:rPr>
              <w:t>Euroopa Parlamendi ja nõukogu määruses (EÜ) nr 883/200444</w:t>
            </w:r>
            <w:r>
              <w:rPr>
                <w:rStyle w:val="SupBoldItalic"/>
              </w:rPr>
              <w:t>44</w:t>
            </w:r>
            <w:r>
              <w:rPr>
                <w:b/>
              </w:rPr>
              <w:t xml:space="preserve"> </w:t>
            </w:r>
            <w:r>
              <w:t>määratletud sotsiaalkindlustusliigid</w:t>
            </w:r>
            <w:r>
              <w:rPr>
                <w:b/>
                <w:i/>
              </w:rPr>
              <w:t>, mis hõlmavad haigushüvitisi, sünnitus- ja sellega samaväärseid isadushüvitisi, invaliidsushüvitisi, vanadushüvitisi, toitjakaotushüvitisi, tööõnnetus- ja kutsehaigushüvitisi, matusetoetusi, töötushüvitisi, eelpensionihüvitisi ja perehüvitisi;</w:t>
            </w:r>
          </w:p>
        </w:tc>
        <w:tc>
          <w:tcPr>
            <w:tcW w:w="4876" w:type="dxa"/>
          </w:tcPr>
          <w:p w:rsidR="002F3FB4" w:rsidRDefault="002F3FB4" w:rsidP="00F37676">
            <w:pPr>
              <w:pStyle w:val="Normal6"/>
            </w:pPr>
            <w:r>
              <w:t>(17)</w:t>
            </w:r>
            <w:r>
              <w:tab/>
              <w:t xml:space="preserve">„sotsiaalkindlustus“ – </w:t>
            </w:r>
            <w:r>
              <w:rPr>
                <w:b/>
                <w:i/>
              </w:rPr>
              <w:t xml:space="preserve">liikmesriigi määratletud </w:t>
            </w:r>
            <w:r>
              <w:t>sotsiaalkindlustusliigid;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rStyle w:val="SupBoldItalic"/>
              </w:rPr>
              <w:t>44</w:t>
            </w:r>
            <w:r>
              <w:t xml:space="preserve"> </w:t>
            </w:r>
            <w:r>
              <w:rPr>
                <w:b/>
                <w:i/>
              </w:rPr>
              <w:t>Euroopa Parlamendi ja nõukogu 29. aprilli 2004. aasta määrus (EÜ) nr 883/2004 sotsiaalkindlustussüsteemide kooskõlastamise kohta (ELT L 166, 30.4.2004, lk 1).</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Liikmesriikidel on õigus vabalt, ELi sekkumiseta otsustada, kes on nende riikliku sotsiaalkindlustussüsteemiga kaitstud, millised hüvitised on tagatud ja millistel tingimustel. Määrus (EÜ) nr 883/2004 sotsiaalkindlustussüsteemide kooskõlastamise kohta on üks liikmesriikidele kättesaadavaid vahendeid pakutava sotsiaalkindlustuse ulatuse määramiseks.</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335</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(17)</w:t>
            </w:r>
            <w:r>
              <w:tab/>
              <w:t>„sotsiaalkindlustus“ – Euroopa Parlamendi ja nõukogu määruses (EÜ) nr 883/2004</w:t>
            </w:r>
            <w:r>
              <w:rPr>
                <w:rStyle w:val="Sup"/>
              </w:rPr>
              <w:t>44</w:t>
            </w:r>
            <w:r>
              <w:t xml:space="preserve"> määratletud sotsiaalkindlustusliigid</w:t>
            </w:r>
            <w:r>
              <w:rPr>
                <w:b/>
                <w:i/>
              </w:rPr>
              <w:t>, mis hõlmavad haigushüvitisi, sünnitus- ja sellega samaväärseid isadushüvitisi, invaliidsushüvitisi, vanadushüvitisi, toitjakaotushüvitisi, tööõnnetus- ja kutsehaigushüvitisi, matusetoetusi, töötushüvitisi, eelpensionihüvitisi ja perehüvitisi</w:t>
            </w:r>
            <w:r>
              <w:t>;</w:t>
            </w:r>
          </w:p>
        </w:tc>
        <w:tc>
          <w:tcPr>
            <w:tcW w:w="4876" w:type="dxa"/>
          </w:tcPr>
          <w:p w:rsidR="002F3FB4" w:rsidRDefault="002F3FB4" w:rsidP="00F37676">
            <w:pPr>
              <w:pStyle w:val="Normal6"/>
            </w:pPr>
            <w:r>
              <w:t>(17)</w:t>
            </w:r>
            <w:r>
              <w:tab/>
              <w:t>„sotsiaalkindlustus“ – Euroopa Parlamendi ja nõukogu määruses (EÜ) nr 883/2004</w:t>
            </w:r>
            <w:r>
              <w:rPr>
                <w:rStyle w:val="Sup"/>
              </w:rPr>
              <w:t>44</w:t>
            </w:r>
            <w:r>
              <w:t xml:space="preserve"> määratletud sotsiaalkindlustusliigid;</w:t>
            </w:r>
          </w:p>
        </w:tc>
      </w:tr>
      <w:tr w:rsidR="002F3FB4" w:rsidTr="00F37676">
        <w:trPr>
          <w:jc w:val="center"/>
        </w:trPr>
        <w:tc>
          <w:tcPr>
            <w:tcW w:w="4876" w:type="dxa"/>
          </w:tcPr>
          <w:p w:rsidR="002F3FB4" w:rsidRDefault="002F3FB4" w:rsidP="00F37676">
            <w:pPr>
              <w:pStyle w:val="Normal6"/>
            </w:pPr>
            <w:r>
              <w:t>_________________</w:t>
            </w:r>
          </w:p>
        </w:tc>
        <w:tc>
          <w:tcPr>
            <w:tcW w:w="4876" w:type="dxa"/>
          </w:tcPr>
          <w:p w:rsidR="002F3FB4" w:rsidRDefault="002F3FB4" w:rsidP="00F37676">
            <w:pPr>
              <w:pStyle w:val="Normal6"/>
            </w:pPr>
            <w:r>
              <w:t>_________________</w:t>
            </w:r>
          </w:p>
        </w:tc>
      </w:tr>
      <w:tr w:rsidR="002F3FB4" w:rsidTr="00F37676">
        <w:trPr>
          <w:jc w:val="center"/>
        </w:trPr>
        <w:tc>
          <w:tcPr>
            <w:tcW w:w="4876" w:type="dxa"/>
          </w:tcPr>
          <w:p w:rsidR="002F3FB4" w:rsidRDefault="002F3FB4" w:rsidP="00F37676">
            <w:pPr>
              <w:pStyle w:val="Normal6"/>
            </w:pPr>
            <w:r>
              <w:rPr>
                <w:rStyle w:val="Sup"/>
              </w:rPr>
              <w:t>44</w:t>
            </w:r>
            <w:r>
              <w:t xml:space="preserve"> Euroopa Parlamendi ja nõukogu 29. aprilli 2004. aasta määrus (EÜ) nr 883/2004 sotsiaalkindlustussüsteemide kooskõlastamise kohta (ELT L 166, 30.4.2004, lk 1).</w:t>
            </w:r>
          </w:p>
        </w:tc>
        <w:tc>
          <w:tcPr>
            <w:tcW w:w="4876" w:type="dxa"/>
          </w:tcPr>
          <w:p w:rsidR="002F3FB4" w:rsidRDefault="002F3FB4" w:rsidP="00F37676">
            <w:pPr>
              <w:pStyle w:val="Normal6"/>
            </w:pPr>
            <w:r>
              <w:rPr>
                <w:rStyle w:val="Sup"/>
              </w:rPr>
              <w:t>44</w:t>
            </w:r>
            <w:r>
              <w:t xml:space="preserve"> Euroopa Parlamendi ja nõukogu 29. aprilli 2004. aasta määrus (EÜ) nr 883/2004 sotsiaalkindlustussüsteemide kooskõlastamise kohta (ELT L 166, 30.4.2004, lk 1).</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336</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(19)</w:t>
            </w:r>
            <w:r>
              <w:tab/>
              <w:t xml:space="preserve">„eestkostja“ – isik või organisatsioon, kelle pädevad asutused on määranud saatjata alaealist aitama ja esindama käesoleva </w:t>
            </w:r>
            <w:r>
              <w:rPr>
                <w:b/>
                <w:i/>
              </w:rPr>
              <w:t>määrusega</w:t>
            </w:r>
            <w:r>
              <w:t xml:space="preserve"> ettenähtud menetlustes, et </w:t>
            </w:r>
            <w:r>
              <w:rPr>
                <w:b/>
                <w:i/>
              </w:rPr>
              <w:t>tagada</w:t>
            </w:r>
            <w:r>
              <w:t xml:space="preserve"> lapse </w:t>
            </w:r>
            <w:r>
              <w:rPr>
                <w:b/>
                <w:i/>
              </w:rPr>
              <w:t>parimate huvide kaitse</w:t>
            </w:r>
            <w:r>
              <w:t xml:space="preserve"> ja teostada vajaduse korral alaealise nimel õigustoiminguid.</w:t>
            </w:r>
          </w:p>
        </w:tc>
        <w:tc>
          <w:tcPr>
            <w:tcW w:w="4876" w:type="dxa"/>
          </w:tcPr>
          <w:p w:rsidR="002F3FB4" w:rsidRDefault="002F3FB4" w:rsidP="00F37676">
            <w:pPr>
              <w:pStyle w:val="Normal6"/>
            </w:pPr>
            <w:r>
              <w:t>(19)</w:t>
            </w:r>
            <w:r>
              <w:tab/>
              <w:t xml:space="preserve">„eestkostja“ – isik või organisatsioon, kelle pädevad asutused on määranud saatjata alaealist aitama ja esindama käesoleva </w:t>
            </w:r>
            <w:r>
              <w:rPr>
                <w:b/>
                <w:i/>
              </w:rPr>
              <w:t>direktiiviga</w:t>
            </w:r>
            <w:r>
              <w:t xml:space="preserve"> ettenähtud menetlustes, et </w:t>
            </w:r>
            <w:r>
              <w:rPr>
                <w:b/>
                <w:i/>
              </w:rPr>
              <w:t>kaitsta</w:t>
            </w:r>
            <w:r>
              <w:t xml:space="preserve"> lapse </w:t>
            </w:r>
            <w:r>
              <w:rPr>
                <w:b/>
                <w:i/>
              </w:rPr>
              <w:t xml:space="preserve">parimaid huve </w:t>
            </w:r>
            <w:r>
              <w:t>ja</w:t>
            </w:r>
            <w:r>
              <w:rPr>
                <w:b/>
                <w:i/>
              </w:rPr>
              <w:t xml:space="preserve"> üldist heaolu ning</w:t>
            </w:r>
            <w:r>
              <w:t xml:space="preserve"> teostada vajaduse korral alaealise nimel õigustoiminguid.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(19)</w:t>
            </w:r>
            <w:r>
              <w:tab/>
              <w:t xml:space="preserve">„eestkostja“ – isik või organisatsioon, kelle pädevad asutused on määranud saatjata alaealist aitama ja esindama käesoleva määrusega ettenähtud menetlustes, et </w:t>
            </w:r>
            <w:r>
              <w:rPr>
                <w:b/>
                <w:i/>
              </w:rPr>
              <w:t>tagada</w:t>
            </w:r>
            <w:r>
              <w:t xml:space="preserve"> lapse </w:t>
            </w:r>
            <w:r>
              <w:rPr>
                <w:b/>
                <w:i/>
              </w:rPr>
              <w:t>parimate huvide kaitse</w:t>
            </w:r>
            <w:r>
              <w:t xml:space="preserve"> ja teostada vajaduse korral alaealise nimel õigustoiminguid.</w:t>
            </w:r>
          </w:p>
        </w:tc>
        <w:tc>
          <w:tcPr>
            <w:tcW w:w="4876" w:type="dxa"/>
          </w:tcPr>
          <w:p w:rsidR="002F3FB4" w:rsidRDefault="002F3FB4" w:rsidP="00F37676">
            <w:pPr>
              <w:pStyle w:val="Normal6"/>
            </w:pPr>
            <w:r>
              <w:t>(19)</w:t>
            </w:r>
            <w:r>
              <w:tab/>
              <w:t xml:space="preserve">„eestkostja“ – isik või organisatsioon, kelle pädevad asutused on määranud saatjata alaealist aitama ja esindama käesoleva määrusega ettenähtud menetlustes, et </w:t>
            </w:r>
            <w:r>
              <w:rPr>
                <w:b/>
                <w:i/>
              </w:rPr>
              <w:t>kaitsta</w:t>
            </w:r>
            <w:r>
              <w:t xml:space="preserve"> lapse </w:t>
            </w:r>
            <w:r>
              <w:rPr>
                <w:b/>
                <w:i/>
              </w:rPr>
              <w:t xml:space="preserve">parimaid huve </w:t>
            </w:r>
            <w:r>
              <w:t>ja</w:t>
            </w:r>
            <w:r>
              <w:rPr>
                <w:b/>
                <w:i/>
              </w:rPr>
              <w:t xml:space="preserve"> heaolu ning</w:t>
            </w:r>
            <w:r>
              <w:t xml:space="preserve"> teostada vajaduse korral alaealise nimel õigustoiminguid.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Mõistete ühtlustamine ja viide ÜRO lapse õiguste konventsiooni artiklile 3.</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338</w:t>
      </w:r>
      <w:r>
        <w:rPr>
          <w:rStyle w:val="HideTWBExt"/>
          <w:b w:val="0"/>
          <w:noProof w:val="0"/>
        </w:rPr>
        <w:t>&lt;/NumAmB&gt;</w:t>
      </w:r>
    </w:p>
    <w:p w:rsidR="002F3FB4" w:rsidRDefault="002F3FB4" w:rsidP="002F3FB4">
      <w:pPr>
        <w:pStyle w:val="NormalBold"/>
      </w:pPr>
      <w:r>
        <w:rPr>
          <w:rStyle w:val="HideTWBExt"/>
          <w:b w:val="0"/>
          <w:noProof w:val="0"/>
        </w:rPr>
        <w:t>&lt;RepeatBlock-By&gt;&lt;Members&gt;</w:t>
      </w:r>
      <w:r>
        <w:t>Kinga Gál</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2 – lõik 1 – punkt 19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(19)</w:t>
            </w:r>
            <w:r>
              <w:tab/>
              <w:t xml:space="preserve">„eestkostja“ – isik või organisatsioon, </w:t>
            </w:r>
            <w:r>
              <w:rPr>
                <w:b/>
                <w:i/>
              </w:rPr>
              <w:t>kelle pädevad asutused on määranud</w:t>
            </w:r>
            <w:r>
              <w:t xml:space="preserve"> saatjata </w:t>
            </w:r>
            <w:r>
              <w:rPr>
                <w:b/>
                <w:i/>
              </w:rPr>
              <w:t>alaealist aitama ja esindama</w:t>
            </w:r>
            <w:r>
              <w:t xml:space="preserve"> käesoleva määrusega ettenähtud menetlustes</w:t>
            </w:r>
            <w:r w:rsidRPr="006F55E6">
              <w:rPr>
                <w:b/>
                <w:i/>
              </w:rPr>
              <w:t xml:space="preserve">, </w:t>
            </w:r>
            <w:r>
              <w:rPr>
                <w:b/>
                <w:i/>
              </w:rPr>
              <w:t>et tagada</w:t>
            </w:r>
            <w:r>
              <w:t xml:space="preserve"> lapse </w:t>
            </w:r>
            <w:r>
              <w:rPr>
                <w:b/>
                <w:i/>
              </w:rPr>
              <w:t>parimate huvide kaitse</w:t>
            </w:r>
            <w:r>
              <w:t xml:space="preserve"> ja </w:t>
            </w:r>
            <w:r>
              <w:rPr>
                <w:b/>
                <w:i/>
              </w:rPr>
              <w:t>teostada</w:t>
            </w:r>
            <w:r>
              <w:t xml:space="preserve"> vajaduse korral </w:t>
            </w:r>
            <w:r w:rsidRPr="006F55E6">
              <w:t>alaealise</w:t>
            </w:r>
            <w:r>
              <w:rPr>
                <w:b/>
                <w:i/>
              </w:rPr>
              <w:t xml:space="preserve"> nimel õigustoiminguid</w:t>
            </w:r>
            <w:r w:rsidRPr="006F55E6">
              <w:rPr>
                <w:b/>
                <w:i/>
              </w:rPr>
              <w:t>.</w:t>
            </w:r>
          </w:p>
        </w:tc>
        <w:tc>
          <w:tcPr>
            <w:tcW w:w="4876" w:type="dxa"/>
          </w:tcPr>
          <w:p w:rsidR="002F3FB4" w:rsidRDefault="002F3FB4" w:rsidP="00F37676">
            <w:pPr>
              <w:pStyle w:val="Normal6"/>
            </w:pPr>
            <w:r>
              <w:t>(19)</w:t>
            </w:r>
            <w:r>
              <w:tab/>
              <w:t xml:space="preserve">eestkostja – isik või organisatsioon, </w:t>
            </w:r>
            <w:r>
              <w:rPr>
                <w:b/>
                <w:i/>
              </w:rPr>
              <w:t>kes määratakse</w:t>
            </w:r>
            <w:r>
              <w:t xml:space="preserve"> saatjata </w:t>
            </w:r>
            <w:r>
              <w:rPr>
                <w:b/>
                <w:i/>
              </w:rPr>
              <w:t>alaealise abistamiseks ja esindamiseks</w:t>
            </w:r>
            <w:r>
              <w:t xml:space="preserve"> käesolevas määruses ette nähtud menetlustes </w:t>
            </w:r>
            <w:r>
              <w:rPr>
                <w:b/>
                <w:i/>
              </w:rPr>
              <w:t>eesmärgiga kaitsta</w:t>
            </w:r>
            <w:r>
              <w:t xml:space="preserve"> lapse </w:t>
            </w:r>
            <w:r>
              <w:rPr>
                <w:b/>
                <w:i/>
              </w:rPr>
              <w:t>parimaid huvisid</w:t>
            </w:r>
            <w:r>
              <w:t xml:space="preserve"> ja </w:t>
            </w:r>
            <w:r>
              <w:rPr>
                <w:b/>
                <w:i/>
              </w:rPr>
              <w:t>tema üldist heaolu ning kes</w:t>
            </w:r>
            <w:r>
              <w:t xml:space="preserve"> vajaduse korral </w:t>
            </w:r>
            <w:r>
              <w:rPr>
                <w:b/>
                <w:i/>
              </w:rPr>
              <w:t xml:space="preserve">kasutab </w:t>
            </w:r>
            <w:r>
              <w:t xml:space="preserve">alaealise </w:t>
            </w:r>
            <w:r>
              <w:rPr>
                <w:b/>
                <w:i/>
              </w:rPr>
              <w:t>eest tema õigus- ja teovõimet</w:t>
            </w:r>
            <w:r w:rsidRPr="006F55E6">
              <w:rPr>
                <w:b/>
                <w:i/>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339</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3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Käesolevat määrust kohaldatakse kolmandate riikide kodanike või kodakondsuseta isikute rahvusvahelise kaitse saajaks kvalifitseerimise ja antava rahvusvahelise kaitse sisu suhtes.</w:t>
            </w:r>
          </w:p>
        </w:tc>
        <w:tc>
          <w:tcPr>
            <w:tcW w:w="4876" w:type="dxa"/>
          </w:tcPr>
          <w:p w:rsidR="002F3FB4" w:rsidRDefault="002F3FB4" w:rsidP="00F37676">
            <w:pPr>
              <w:pStyle w:val="Normal6"/>
            </w:pPr>
            <w:r>
              <w:t>1.</w:t>
            </w:r>
            <w:r>
              <w:tab/>
              <w:t xml:space="preserve">Käesolevat määrust kohaldatakse kolmandate riikide kodanike või kodakondsuseta isikute rahvusvahelise kaitse saajaks kvalifitseerimise ja antava rahvusvahelise kaitse sisu suhtes. </w:t>
            </w:r>
            <w:r>
              <w:rPr>
                <w:b/>
                <w:i/>
                <w:color w:val="000000"/>
              </w:rPr>
              <w:t>Käesoleva määruse artiklites 15 ja 21 sätestatut kohaldatakse tagasiulatuvalt rahvusvahelise kaitse saajatele, kelle elamisluba ei ole veel kehtivust kaotanud.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3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Käesolevat </w:t>
            </w:r>
            <w:r>
              <w:rPr>
                <w:b/>
                <w:i/>
              </w:rPr>
              <w:t>määrust</w:t>
            </w:r>
            <w:r>
              <w:t xml:space="preserve"> kohaldatakse kolmandate riikide kodanike või kodakondsuseta isikute rahvusvahelise kaitse saajaks kvalifitseerimise ja antava rahvusvahelise kaitse sisu suhtes.</w:t>
            </w:r>
          </w:p>
        </w:tc>
        <w:tc>
          <w:tcPr>
            <w:tcW w:w="4876" w:type="dxa"/>
          </w:tcPr>
          <w:p w:rsidR="002F3FB4" w:rsidRDefault="002F3FB4" w:rsidP="00F37676">
            <w:pPr>
              <w:pStyle w:val="Normal6"/>
            </w:pPr>
            <w:r>
              <w:t>1.</w:t>
            </w:r>
            <w:r>
              <w:tab/>
              <w:t xml:space="preserve">Käesolevat </w:t>
            </w:r>
            <w:r>
              <w:rPr>
                <w:b/>
                <w:i/>
              </w:rPr>
              <w:t>direktiivi</w:t>
            </w:r>
            <w:r>
              <w:t xml:space="preserve"> kohaldatakse kolmandate riikide kodanike või kodakondsuseta isikute rahvusvahelise kaitse saajaks kvalifitseerimise ja antava rahvusvahelise kaitse sisu suhtes.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341</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3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Käesolevat </w:t>
            </w:r>
            <w:r>
              <w:rPr>
                <w:b/>
                <w:i/>
              </w:rPr>
              <w:t>määrust</w:t>
            </w:r>
            <w:r>
              <w:t xml:space="preserve"> ei kohaldata muude selliste riiklike humanitaarsete seisundite suhtes, mis liikmesriigid on siseriikliku õiguse kohaselt andnud isikutele, kes pagulaseks või täiendava rahvusvahelise kaitse saajaks ei kvalifitseeru. </w:t>
            </w:r>
            <w:r>
              <w:rPr>
                <w:b/>
                <w:i/>
                <w:color w:val="000000"/>
              </w:rPr>
              <w:t>Kui selliseid seisundeid antakse, siis tuleb seda teha selliselt, et ei tekiks ohtu nende segiajamiseks rahvusvahelise kaitsega. .</w:t>
            </w:r>
          </w:p>
        </w:tc>
        <w:tc>
          <w:tcPr>
            <w:tcW w:w="4876" w:type="dxa"/>
          </w:tcPr>
          <w:p w:rsidR="002F3FB4" w:rsidRDefault="002F3FB4" w:rsidP="00F37676">
            <w:pPr>
              <w:pStyle w:val="Normal6"/>
            </w:pPr>
            <w:r>
              <w:t>2.</w:t>
            </w:r>
            <w:r>
              <w:tab/>
              <w:t xml:space="preserve">Käesolevat </w:t>
            </w:r>
            <w:r>
              <w:rPr>
                <w:b/>
                <w:i/>
              </w:rPr>
              <w:t>direktiivi</w:t>
            </w:r>
            <w:r>
              <w:t xml:space="preserve"> ei kohaldata muude selliste riiklike humanitaarsete seisundite suhtes, mis liikmesriigid on siseriikliku õiguse kohaselt andnud isikutele, kes pagulaseks või täiendava rahvusvahelise kaitse saajaks ei kvalifitseeru.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3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Käesolevat määrust ei kohaldata muude selliste riiklike humanitaarsete seisundite suhtes, mis liikmesriigid on siseriikliku õiguse kohaselt andnud isikutele, kes pagulaseks või täiendava rahvusvahelise kaitse saajaks ei kvalifitseeru. </w:t>
            </w:r>
            <w:r>
              <w:rPr>
                <w:b/>
                <w:i/>
                <w:color w:val="000000"/>
              </w:rPr>
              <w:t>Kui selliseid seisundeid antakse, siis tuleb seda teha selliselt, et ei tekiks ohtu nende segiajamiseks rahvusvahelise kaitsega. .</w:t>
            </w:r>
          </w:p>
        </w:tc>
        <w:tc>
          <w:tcPr>
            <w:tcW w:w="4876" w:type="dxa"/>
          </w:tcPr>
          <w:p w:rsidR="002F3FB4" w:rsidRDefault="002F3FB4" w:rsidP="00F37676">
            <w:pPr>
              <w:pStyle w:val="Normal6"/>
            </w:pPr>
            <w:r>
              <w:t>2.</w:t>
            </w:r>
            <w:r>
              <w:tab/>
              <w:t>Käesolevat määrust ei kohaldata muude selliste riiklike humanitaarsete seisundite suhtes, mis liikmesriigid on siseriikliku õiguse kohaselt andnud isikutele, kes pagulaseks või täiendava rahvusvahelise kaitse saajaks ei kvalifitseeru.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Muudatusettepanek on kooskõlas</w:t>
      </w:r>
      <w:r w:rsidR="00082380">
        <w:rPr>
          <w:noProof w:val="0"/>
        </w:rPr>
        <w:t xml:space="preserve"> </w:t>
      </w:r>
      <w:r>
        <w:rPr>
          <w:noProof w:val="0"/>
        </w:rPr>
        <w:t>põhjendus</w:t>
      </w:r>
      <w:r w:rsidR="00082380">
        <w:rPr>
          <w:noProof w:val="0"/>
        </w:rPr>
        <w:t>t</w:t>
      </w:r>
      <w:r>
        <w:rPr>
          <w:noProof w:val="0"/>
        </w:rPr>
        <w:t xml:space="preserve"> 9</w:t>
      </w:r>
      <w:r w:rsidR="00082380">
        <w:rPr>
          <w:noProof w:val="0"/>
        </w:rPr>
        <w:t xml:space="preserve"> käsitleva muudatusettepanekuga eespool</w:t>
      </w:r>
      <w:r>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3 – lõi</w:t>
      </w:r>
      <w:r w:rsidR="00640001">
        <w:t>ge</w:t>
      </w:r>
      <w:r>
        <w:t xml:space="preserve"> 2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2 a.</w:t>
            </w:r>
            <w:r>
              <w:tab/>
            </w:r>
            <w:r>
              <w:rPr>
                <w:b/>
                <w:i/>
                <w:color w:val="000000"/>
              </w:rPr>
              <w:t xml:space="preserve">Ehkki liidu tasandil </w:t>
            </w:r>
            <w:r w:rsidR="00082380">
              <w:rPr>
                <w:b/>
                <w:i/>
                <w:color w:val="000000"/>
              </w:rPr>
              <w:t xml:space="preserve">ei ole </w:t>
            </w:r>
            <w:r>
              <w:rPr>
                <w:b/>
                <w:i/>
                <w:color w:val="000000"/>
              </w:rPr>
              <w:t>kokku lepitud keskkonnaolude tõttu ümber asuvate inimeste määratlust, ei takista see liikmesriikidel pakkuda sellistele inimestele kaitset siseriikliku õiguse või tava kohaselt.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344</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Rahvusvahelise kaitse taotluse põhjendamiseks esitab taotleja kõik talle kättesaadavad elemendid. Ta teeb menetleva ametiasutusega koostööd ning jääb asjaomasesse liikmesriiki ja on kättesaadav kogu menetluse aja.</w:t>
            </w:r>
          </w:p>
        </w:tc>
        <w:tc>
          <w:tcPr>
            <w:tcW w:w="4876" w:type="dxa"/>
          </w:tcPr>
          <w:p w:rsidR="002F3FB4" w:rsidRDefault="002F3FB4" w:rsidP="00F37676">
            <w:pPr>
              <w:pStyle w:val="Normal6"/>
            </w:pPr>
            <w:r>
              <w:t>1.</w:t>
            </w:r>
            <w:r>
              <w:tab/>
              <w:t>Rahvusvahelise kaitse taotluse põhjendamiseks esitab taotleja</w:t>
            </w:r>
            <w:r>
              <w:rPr>
                <w:b/>
                <w:i/>
              </w:rPr>
              <w:t xml:space="preserve"> viivitamatult</w:t>
            </w:r>
            <w:r>
              <w:t xml:space="preserve"> kõik talle kättesaadavad elemendid. Ta teeb menetleva ametiasutusega koostööd ning jääb asjaomasesse liikmesriiki ja on kättesaadav kogu menetluse aja. </w:t>
            </w:r>
            <w:r>
              <w:rPr>
                <w:b/>
                <w:i/>
                <w:color w:val="000000"/>
              </w:rPr>
              <w:t>Enne rahvusvahelise kaitse taotluse esitamist liikmesriigi territooriumil ebaseaduslikult viibitud perioodi uuritakse kui võimalikku tõendit motiivi kohta jääda liitu õiguspäraselt rahvusvahelist kaitset taotlemata.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Rahvusvahelise kaitse taotluse põhjendamiseks esitab taotleja kõik talle kättesaadavad elemendid. </w:t>
            </w:r>
            <w:r>
              <w:rPr>
                <w:b/>
                <w:i/>
              </w:rPr>
              <w:t>Ta teeb menetleva ametiasutusega</w:t>
            </w:r>
            <w:r>
              <w:t xml:space="preserve"> koostööd </w:t>
            </w:r>
            <w:r>
              <w:rPr>
                <w:b/>
                <w:i/>
              </w:rPr>
              <w:t>ning jääb asjaomasesse liikmesriiki ja on kättesaadav</w:t>
            </w:r>
            <w:r>
              <w:t xml:space="preserve"> kogu menetluse </w:t>
            </w:r>
            <w:r w:rsidRPr="006F55E6">
              <w:t>aja</w:t>
            </w:r>
            <w:r>
              <w:t>.</w:t>
            </w:r>
          </w:p>
        </w:tc>
        <w:tc>
          <w:tcPr>
            <w:tcW w:w="4876" w:type="dxa"/>
          </w:tcPr>
          <w:p w:rsidR="002F3FB4" w:rsidRDefault="002F3FB4" w:rsidP="00F37676">
            <w:pPr>
              <w:pStyle w:val="Normal6"/>
            </w:pPr>
            <w:r>
              <w:t>1.</w:t>
            </w:r>
            <w:r>
              <w:tab/>
              <w:t xml:space="preserve">Rahvusvahelise kaitse taotluse põhjendamiseks esitab taotleja kõik talle kättesaadavad elemendid. </w:t>
            </w:r>
            <w:r>
              <w:rPr>
                <w:b/>
                <w:i/>
              </w:rPr>
              <w:t>Menetlev ametiasutus ja taotleja teevad</w:t>
            </w:r>
            <w:r>
              <w:t xml:space="preserve"> koostööd kogu menetluse </w:t>
            </w:r>
            <w:r>
              <w:rPr>
                <w:b/>
                <w:i/>
              </w:rPr>
              <w:t>jooksul</w:t>
            </w:r>
            <w:r w:rsidRPr="006F55E6">
              <w:rPr>
                <w:b/>
                <w:i/>
              </w:rPr>
              <w:t>.</w:t>
            </w:r>
            <w:r>
              <w:rPr>
                <w:b/>
                <w:i/>
                <w:color w:val="000000"/>
              </w:rPr>
              <w:t xml:space="preserve"> </w:t>
            </w:r>
            <w:r>
              <w:rPr>
                <w:b/>
                <w:i/>
              </w:rPr>
              <w:t xml:space="preserve">Taotleja on kättesaadav kogu menetluse </w:t>
            </w:r>
            <w:r w:rsidRPr="006F55E6">
              <w:t>aja.</w:t>
            </w:r>
            <w:r w:rsidRPr="00763DCF">
              <w:t xml:space="preserve"> </w:t>
            </w:r>
            <w:r>
              <w:rPr>
                <w:b/>
                <w:i/>
                <w:color w:val="000000"/>
              </w:rPr>
              <w:t>Kui taotleja ei ole menetluse jooksul mingil ajal kättesaadav pehmendavatel asjaoludel, tuleks arvestada konkreetseid põhjuseid.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346</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Rahvusvahelise kaitse taotluse põhjendamiseks </w:t>
            </w:r>
            <w:r>
              <w:rPr>
                <w:b/>
                <w:i/>
              </w:rPr>
              <w:t>esitab taotleja kõik talle kättesaadavad elemendid</w:t>
            </w:r>
            <w:r w:rsidRPr="006F55E6">
              <w:rPr>
                <w:b/>
                <w:i/>
              </w:rPr>
              <w:t>.</w:t>
            </w:r>
            <w:r>
              <w:t xml:space="preserve"> </w:t>
            </w:r>
            <w:r>
              <w:rPr>
                <w:b/>
                <w:i/>
              </w:rPr>
              <w:t>Ta teeb</w:t>
            </w:r>
            <w:r>
              <w:t xml:space="preserve"> menetleva </w:t>
            </w:r>
            <w:r>
              <w:rPr>
                <w:b/>
                <w:i/>
              </w:rPr>
              <w:t>ametiasutusega koostööd ning jääb asjaomasesse liikmesriiki ja</w:t>
            </w:r>
            <w:r>
              <w:t xml:space="preserve"> on kättesaadav kogu menetluse aja.</w:t>
            </w:r>
          </w:p>
        </w:tc>
        <w:tc>
          <w:tcPr>
            <w:tcW w:w="4876" w:type="dxa"/>
          </w:tcPr>
          <w:p w:rsidR="002F3FB4" w:rsidRDefault="002F3FB4" w:rsidP="00F37676">
            <w:pPr>
              <w:pStyle w:val="Normal6"/>
            </w:pPr>
            <w:r>
              <w:t>1.</w:t>
            </w:r>
            <w:r>
              <w:tab/>
            </w:r>
            <w:r>
              <w:rPr>
                <w:b/>
                <w:i/>
              </w:rPr>
              <w:t xml:space="preserve">Menetlev asutus </w:t>
            </w:r>
            <w:r w:rsidR="00763DCF">
              <w:rPr>
                <w:b/>
                <w:i/>
              </w:rPr>
              <w:t>peab</w:t>
            </w:r>
            <w:r>
              <w:rPr>
                <w:b/>
                <w:i/>
              </w:rPr>
              <w:t xml:space="preserve"> taotleja kohuseks esitada niipea kui võimalik kõik andmed, mis on vajalikud</w:t>
            </w:r>
            <w:r>
              <w:t xml:space="preserve"> rahvusvahelise kaitse taotluse põhjendamiseks</w:t>
            </w:r>
            <w:r w:rsidRPr="006F55E6">
              <w:rPr>
                <w:b/>
                <w:i/>
              </w:rPr>
              <w:t>.</w:t>
            </w:r>
            <w:r>
              <w:t xml:space="preserve"> </w:t>
            </w:r>
            <w:r>
              <w:rPr>
                <w:b/>
                <w:i/>
              </w:rPr>
              <w:t>Koostöös taotlejaga on</w:t>
            </w:r>
            <w:r>
              <w:t xml:space="preserve"> menetleva </w:t>
            </w:r>
            <w:r>
              <w:rPr>
                <w:b/>
                <w:i/>
              </w:rPr>
              <w:t>ametiasutuse kohus hinnata taotluse asjaomaseid andmeid.</w:t>
            </w:r>
            <w:r>
              <w:rPr>
                <w:b/>
                <w:i/>
                <w:color w:val="000000"/>
              </w:rPr>
              <w:t xml:space="preserve"> </w:t>
            </w:r>
            <w:r>
              <w:rPr>
                <w:b/>
                <w:i/>
              </w:rPr>
              <w:t>Taotleja</w:t>
            </w:r>
            <w:r>
              <w:t xml:space="preserve"> on kättesaadav kogu menetluse aja.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Direktiivi 2011/95/EL artikli 4 lõikes 1 kasutatud sõnastus tundub paremini kirjeldavat taotleja ning menetleva ametiasutuse vastutuse määra faktide ja asjaolude hindamisel.</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347</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r>
            <w:r>
              <w:rPr>
                <w:b/>
                <w:i/>
                <w:color w:val="000000"/>
              </w:rPr>
              <w:t xml:space="preserve">Rahvusvahelise kaitse taotluse põhjendamiseks esitab taotleja kõik talle kättesaadavad elemendid. </w:t>
            </w:r>
            <w:r>
              <w:rPr>
                <w:b/>
                <w:i/>
              </w:rPr>
              <w:t>Ta teeb menetleva ametiasutusega koostööd ning jääb asjaomasesse liikmesriiki ja on kättesaadav kogu menetluse aja</w:t>
            </w:r>
            <w:r w:rsidRPr="006F55E6">
              <w:t>.</w:t>
            </w:r>
          </w:p>
        </w:tc>
        <w:tc>
          <w:tcPr>
            <w:tcW w:w="4876" w:type="dxa"/>
          </w:tcPr>
          <w:p w:rsidR="002F3FB4" w:rsidRDefault="002F3FB4" w:rsidP="00F37676">
            <w:pPr>
              <w:pStyle w:val="Normal6"/>
            </w:pPr>
            <w:r>
              <w:t>1.</w:t>
            </w:r>
            <w:r>
              <w:tab/>
            </w:r>
            <w:r>
              <w:rPr>
                <w:b/>
                <w:i/>
              </w:rPr>
              <w:t>Koostöös taotlejaga on liikmesriigi kohus hinnata taotluse asjaomaseid andmeid</w:t>
            </w:r>
            <w:r w:rsidRPr="006F55E6">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348</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Rahvusvahelise kaitse taotluse põhjendamiseks esitab taotleja kõik talle kättesaadavad elemendid</w:t>
            </w:r>
            <w:r w:rsidRPr="006F55E6">
              <w:rPr>
                <w:b/>
                <w:i/>
              </w:rPr>
              <w:t>.</w:t>
            </w:r>
            <w:r>
              <w:rPr>
                <w:b/>
                <w:i/>
                <w:color w:val="000000"/>
              </w:rPr>
              <w:t xml:space="preserve"> </w:t>
            </w:r>
            <w:r>
              <w:rPr>
                <w:b/>
                <w:i/>
              </w:rPr>
              <w:t>Ta teeb menetleva ametiasutusega</w:t>
            </w:r>
            <w:r>
              <w:t xml:space="preserve"> koostööd ning jääb asjaomasesse liikmesriiki ja on kättesaadav kogu menetluse aja.</w:t>
            </w:r>
          </w:p>
        </w:tc>
        <w:tc>
          <w:tcPr>
            <w:tcW w:w="4876" w:type="dxa"/>
          </w:tcPr>
          <w:p w:rsidR="002F3FB4" w:rsidRDefault="002F3FB4" w:rsidP="00F37676">
            <w:pPr>
              <w:pStyle w:val="Normal6"/>
            </w:pPr>
            <w:r>
              <w:t>1.</w:t>
            </w:r>
            <w:r>
              <w:tab/>
              <w:t>Rahvusvahelise kaitse taotluse põhjendamiseks esitab taotleja kõik talle kättesaadavad elemendid</w:t>
            </w:r>
            <w:r>
              <w:rPr>
                <w:b/>
                <w:i/>
              </w:rPr>
              <w:t xml:space="preserve"> koostöös asjaomase siseriikliku asutusega</w:t>
            </w:r>
            <w:r w:rsidRPr="006F55E6">
              <w:rPr>
                <w:b/>
                <w:i/>
              </w:rPr>
              <w:t>.</w:t>
            </w:r>
            <w:r>
              <w:rPr>
                <w:b/>
                <w:i/>
                <w:color w:val="000000"/>
              </w:rPr>
              <w:t xml:space="preserve"> </w:t>
            </w:r>
            <w:r>
              <w:rPr>
                <w:b/>
                <w:i/>
              </w:rPr>
              <w:t>Asjaomane menetlev siseriiklik ametiasutus peaks taotlejaga</w:t>
            </w:r>
            <w:r>
              <w:t xml:space="preserve"> koostööd </w:t>
            </w:r>
            <w:r>
              <w:rPr>
                <w:b/>
                <w:i/>
              </w:rPr>
              <w:t>tegema</w:t>
            </w:r>
            <w:r>
              <w:t xml:space="preserve"> ning </w:t>
            </w:r>
            <w:r>
              <w:rPr>
                <w:b/>
                <w:i/>
              </w:rPr>
              <w:t xml:space="preserve">too </w:t>
            </w:r>
            <w:r>
              <w:t>jääb asjaomasesse liikmesriiki ja on kättesaadav kogu menetluse aja.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349</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Lõikes 1 osutatud elemendid hõlmavad järgmist: taotleja avaldused ja kõik taotleja käsutuses olevad dokumendid taotleja vanuse, tausta, sh asjaomaste sugulaste tausta, isiku, kodakondsus(t)e, varasema(te) elukohariigi(-riikide) ja aadressi, varasemate </w:t>
            </w:r>
            <w:r>
              <w:rPr>
                <w:b/>
                <w:i/>
              </w:rPr>
              <w:t xml:space="preserve">[rahvusvahelise kaitse] </w:t>
            </w:r>
            <w:r w:rsidRPr="006F55E6">
              <w:rPr>
                <w:b/>
                <w:i/>
              </w:rPr>
              <w:t>taotluste</w:t>
            </w:r>
            <w:r>
              <w:rPr>
                <w:b/>
                <w:i/>
              </w:rPr>
              <w:t xml:space="preserve"> [ja määruse (EL) nr XXX/XX [ümberasustamise määrus] kohaste ümberasustamise kiirendatud menetluse tulemuste kohta]</w:t>
            </w:r>
            <w:r>
              <w:t xml:space="preserve"> ja reisimarsruutide kohta, reisidokumendid ning rahvusvahelise kaitse taotlemise põhjused.</w:t>
            </w:r>
          </w:p>
        </w:tc>
        <w:tc>
          <w:tcPr>
            <w:tcW w:w="4876" w:type="dxa"/>
          </w:tcPr>
          <w:p w:rsidR="002F3FB4" w:rsidRDefault="002F3FB4" w:rsidP="00F37676">
            <w:pPr>
              <w:pStyle w:val="Normal6"/>
            </w:pPr>
            <w:r>
              <w:t>2.</w:t>
            </w:r>
            <w:r>
              <w:tab/>
              <w:t xml:space="preserve">Lõikes 1 osutatud andmed on taotleja avaldused ning kõik taotleja käsutuses olevad dokumendid taotleja vanuse, tausta, sealhulgas asjaomaste sugulaste tausta, isiku, kodakondsus(t)e, varasema elukohariigi/-riikide ja aadressi, varasemate </w:t>
            </w:r>
            <w:r>
              <w:rPr>
                <w:b/>
                <w:i/>
              </w:rPr>
              <w:t>varjupaigataotluste</w:t>
            </w:r>
            <w:r>
              <w:t xml:space="preserve"> ja reisimarsruutide kohta, reisidokumendid ning rahvusvahelise kaitse taotlemise põhjused.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Lõikes 1 osutatud elemendid hõlmavad järgmist: taotleja avaldused ja kõik taotleja käsutuses olevad dokumendid taotleja vanuse, tausta, sh asjaomaste sugulaste tausta, isiku, kodakondsus(t)e, varasema(te) elukohariigi(-riikide) ja aadressi, varasemate [rahvusvahelise kaitse] taotluste [ja </w:t>
            </w:r>
            <w:r>
              <w:rPr>
                <w:b/>
                <w:i/>
              </w:rPr>
              <w:t xml:space="preserve">määruse (EL) nr XXX/XX [ümberasustamise määrus] kohaste </w:t>
            </w:r>
            <w:r>
              <w:t>ümberasustamise kiirendatud menetluse tulemuste kohta] ja reisimarsruutide kohta, reisidokumendid ning rahvusvahelise kaitse taotlemise põhjused.</w:t>
            </w:r>
          </w:p>
        </w:tc>
        <w:tc>
          <w:tcPr>
            <w:tcW w:w="4876" w:type="dxa"/>
          </w:tcPr>
          <w:p w:rsidR="002F3FB4" w:rsidRDefault="002F3FB4" w:rsidP="00F37676">
            <w:pPr>
              <w:pStyle w:val="Normal6"/>
            </w:pPr>
            <w:r>
              <w:t>2.</w:t>
            </w:r>
            <w:r>
              <w:tab/>
              <w:t>Lõikes 1 osutatud elemendid hõlmavad järgmist: taotleja avaldused ja kõik taotleja käsutuses olevad dokumendid taotleja vanuse, tausta, sh asjaomaste sugulaste tausta, isiku, kodakondsus(t)e, varasema(te) elukohariigi(-riikide) ja aadressi, varasemate [rahvusvahelise kaitse] taotluste [ja ümberasustamise kiirendatud menetluse tulemuste kohta] ja reisimarsruutide kohta, reisidokumendid ning rahvusvahelise kaitse taotlemise põhjused.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351</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Menetlev ametiasutus hindab taotluse asjakohaseid elemente kooskõlas määruse (EL) XXX/XXX [menetluste määrus] artikliga 33.</w:t>
            </w:r>
          </w:p>
        </w:tc>
        <w:tc>
          <w:tcPr>
            <w:tcW w:w="4876" w:type="dxa"/>
          </w:tcPr>
          <w:p w:rsidR="002F3FB4" w:rsidRDefault="002F3FB4" w:rsidP="00F37676">
            <w:pPr>
              <w:pStyle w:val="Normal6"/>
            </w:pPr>
            <w:r>
              <w:t>3.</w:t>
            </w:r>
            <w:r>
              <w:tab/>
              <w:t>Menetlev ametiasutus hindab taotluse asjakohaseid elemente kooskõlas määruse (EL) XXX/XXX [menetluste määrus] artikliga 33.</w:t>
            </w:r>
            <w:r>
              <w:rPr>
                <w:b/>
                <w:i/>
              </w:rPr>
              <w:t xml:space="preserve"> Taotleja vanust hinnatakse kõige ajakohasemaid teaduslikke meetodeid kasutades, kui on põhjust kahtlustada, et taotleja on täiskasvanu ja ta väidab kindlate tõenditeta, et ta on 15–17aastane.</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Menetlev ametiasutus hindab taotluse asjakohaseid elemente kooskõlas määruse (EL) XXX/XXX [menetluste määrus] artikliga 33.</w:t>
            </w:r>
          </w:p>
        </w:tc>
        <w:tc>
          <w:tcPr>
            <w:tcW w:w="4876" w:type="dxa"/>
          </w:tcPr>
          <w:p w:rsidR="002F3FB4" w:rsidRDefault="002F3FB4" w:rsidP="00F37676">
            <w:pPr>
              <w:pStyle w:val="Normal6"/>
            </w:pPr>
            <w:r>
              <w:t>3.</w:t>
            </w:r>
            <w:r>
              <w:tab/>
              <w:t>Menetlev ametiasutus hindab</w:t>
            </w:r>
            <w:r>
              <w:rPr>
                <w:b/>
                <w:i/>
              </w:rPr>
              <w:t xml:space="preserve"> koostöös taotlejaga rahvusvahelise kaitse</w:t>
            </w:r>
            <w:r>
              <w:t xml:space="preserve"> taotluse asjakohaseid elemente kooskõlas määruse (EL) XXX/XXX [menetluste määrus] artikliga 33</w:t>
            </w:r>
            <w:r>
              <w:rPr>
                <w:b/>
                <w:i/>
              </w:rPr>
              <w:t xml:space="preserve"> ning hangib rahvusvahelise kaitse taotluse põhjalikuks hindamiseks kogu vajaliku teabe</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Menetlev ametiasutus hindab taotluse asjakohaseid elemente kooskõlas määruse (EL) XXX/XXX [menetluste määrus] artikliga 33.</w:t>
            </w:r>
          </w:p>
        </w:tc>
        <w:tc>
          <w:tcPr>
            <w:tcW w:w="4876" w:type="dxa"/>
          </w:tcPr>
          <w:p w:rsidR="002F3FB4" w:rsidRDefault="002F3FB4" w:rsidP="00F37676">
            <w:pPr>
              <w:pStyle w:val="Normal6"/>
            </w:pPr>
            <w:r>
              <w:t>3.</w:t>
            </w:r>
            <w:r>
              <w:tab/>
              <w:t>Menetlev ametiasutus hindab</w:t>
            </w:r>
            <w:r>
              <w:rPr>
                <w:b/>
                <w:i/>
              </w:rPr>
              <w:t xml:space="preserve"> koostöös taotlejaga</w:t>
            </w:r>
            <w:r>
              <w:t xml:space="preserve"> taotluse asjakohaseid elemente kooskõlas määruse (EL) XXX/XXX [menetluste määrus] artikliga 33.</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Selle artikli selgem sõnastus tagab, et varjupaigamenetluses säilib mõlema osapoole vaheline koostööprotsess, säilitades seega kooskõla Euroopa Inimõiguste Kohtu standarditega.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Asjaolu, et taotlejat on juba taga kiusatud või talle on tekitatud suurt kahju või teda on ähvardatud taga kiusata või talle suurt kahju tekitada, käsitletakse arvestatava märgina taotleja põhjendatud tagakiusamise kartuse või suure kahju kannatamise reaalse ohu kohta</w:t>
            </w:r>
            <w:r>
              <w:rPr>
                <w:b/>
                <w:i/>
              </w:rPr>
              <w:t>, kui puudub mõjuv põhjus arvata, et kõnealune tagakiusamine või suur kahju ei kordu</w:t>
            </w:r>
            <w:r>
              <w:t>.</w:t>
            </w:r>
          </w:p>
        </w:tc>
        <w:tc>
          <w:tcPr>
            <w:tcW w:w="4876" w:type="dxa"/>
          </w:tcPr>
          <w:p w:rsidR="002F3FB4" w:rsidRDefault="002F3FB4" w:rsidP="00F37676">
            <w:pPr>
              <w:pStyle w:val="Normal6"/>
            </w:pPr>
            <w:r>
              <w:t>4.</w:t>
            </w:r>
            <w:r>
              <w:tab/>
              <w:t>Asjaolu, et taotlejat on juba taga kiusatud või talle on tekitatud suurt kahju või teda on ähvardatud taga kiusata või talle suurt kahju tekitada, käsitletakse arvestatava märgina taotleja põhjendatud tagakiusamise kartuse või suure kahju kannatamise reaalse ohu kohta.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Asjaolu, et taotlejat on juba taga kiusatud või talle on tekitatud suurt kahju või teda on ähvardatud taga kiusata või talle suurt kahju tekitada, käsitletakse arvestatava märgina taotleja põhjendatud tagakiusamise kartuse või suure kahju kannatamise reaalse ohu kohta</w:t>
            </w:r>
            <w:r>
              <w:rPr>
                <w:b/>
                <w:i/>
              </w:rPr>
              <w:t>, kui puudub mõjuv põhjus arvata, et kõnealune tagakiusamine või suur kahju ei kordu</w:t>
            </w:r>
            <w:r>
              <w:t>.</w:t>
            </w:r>
          </w:p>
        </w:tc>
        <w:tc>
          <w:tcPr>
            <w:tcW w:w="4876" w:type="dxa"/>
          </w:tcPr>
          <w:p w:rsidR="002F3FB4" w:rsidRDefault="002F3FB4" w:rsidP="00F37676">
            <w:pPr>
              <w:pStyle w:val="Normal6"/>
            </w:pPr>
            <w:r>
              <w:t>4.</w:t>
            </w:r>
            <w:r>
              <w:tab/>
              <w:t>Asjaolu, et taotlejat on juba taga kiusatud või talle on tekitatud suurt kahju või teda on ähvardatud taga kiusata või talle suurt kahju tekitada, käsitletakse arvestatava märgina taotleja põhjendatud tagakiusamise kartuse või suure kahju kannatamise reaalse ohu kohta.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356</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4.</w:t>
            </w:r>
            <w:r>
              <w:tab/>
              <w:t>Asjaolu, et taotlejat on juba taga kiusatud või talle on tekitatud suurt kahju või teda on ähvardatud taga kiusata või talle suurt kahju tekitada, käsitletakse arvestatava märgina taotleja põhjendatud tagakiusamise kartuse või suure kahju kannatamise reaalse ohu kohta, kui puudub mõjuv põhjus arvata, et kõnealune tagakiusamine või suur kahju ei kordu.</w:t>
            </w:r>
          </w:p>
        </w:tc>
        <w:tc>
          <w:tcPr>
            <w:tcW w:w="4876" w:type="dxa"/>
          </w:tcPr>
          <w:p w:rsidR="002F3FB4" w:rsidRDefault="002F3FB4" w:rsidP="00F37676">
            <w:pPr>
              <w:pStyle w:val="Normal6"/>
            </w:pPr>
            <w:r>
              <w:t>4.</w:t>
            </w:r>
            <w:r>
              <w:tab/>
              <w:t xml:space="preserve">Asjaolu, et taotlejat on </w:t>
            </w:r>
            <w:r>
              <w:rPr>
                <w:b/>
                <w:i/>
              </w:rPr>
              <w:t xml:space="preserve">tema päritoluriigis </w:t>
            </w:r>
            <w:r>
              <w:t>juba taga kiusatud või talle on tekitatud suurt kahju või teda on ähvardatud taga kiusata või talle suurt kahju tekitada, käsitletakse arvestatava märgina taotleja põhjendatud tagakiusamise kartuse või suure kahju kannatamise reaalse ohu kohta, kui puudub mõjuv põhjus arvata, et kõnealune tagakiusamine või suur kahju ei kordu.</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 juhul kui</w:t>
            </w:r>
          </w:p>
        </w:tc>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w:t>
            </w:r>
            <w:r>
              <w:rPr>
                <w:b/>
                <w:i/>
              </w:rPr>
              <w:t xml:space="preserve"> ning kahtlusi tõlgendatakse taotleja kasuks</w:t>
            </w:r>
            <w:r>
              <w:t>, juhul kui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358</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 juhul kui</w:t>
            </w:r>
          </w:p>
        </w:tc>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w:t>
            </w:r>
            <w:r>
              <w:rPr>
                <w:b/>
                <w:i/>
              </w:rPr>
              <w:t xml:space="preserve"> ning kahtlusi tõlgendatakse taotleja kasuks</w:t>
            </w:r>
            <w:r>
              <w:t>, juhul kui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359</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 juhul kui</w:t>
            </w:r>
          </w:p>
        </w:tc>
        <w:tc>
          <w:tcPr>
            <w:tcW w:w="4876" w:type="dxa"/>
          </w:tcPr>
          <w:p w:rsidR="002F3FB4" w:rsidRDefault="002F3FB4" w:rsidP="00F37676">
            <w:pPr>
              <w:pStyle w:val="Normal6"/>
            </w:pPr>
            <w:r>
              <w:t>5.</w:t>
            </w:r>
            <w:r>
              <w:tab/>
              <w:t>Kui taotleja väidete teatavate asjaolude toetuseks ei ole esitatud dokumentaalseid ega muid tõendeid, siis ei nõuta nende väidete kohta täiendavaid tõendeid</w:t>
            </w:r>
            <w:r>
              <w:rPr>
                <w:b/>
                <w:i/>
              </w:rPr>
              <w:t xml:space="preserve"> ning väidete kohaseid kahtlusi tõlgendatakse taotleja kasuks</w:t>
            </w:r>
            <w:r>
              <w:t>, juhul kui</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360</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5.</w:t>
            </w:r>
            <w:r>
              <w:tab/>
              <w:t xml:space="preserve">Kui taotleja väidete teatavate asjaolude toetuseks ei ole esitatud dokumentaalseid ega muid tõendeid, siis </w:t>
            </w:r>
            <w:r>
              <w:rPr>
                <w:b/>
                <w:i/>
              </w:rPr>
              <w:t>ei nõuta</w:t>
            </w:r>
            <w:r>
              <w:t xml:space="preserve"> nende väidete kohta täiendavaid tõendeid, juhul kui</w:t>
            </w:r>
          </w:p>
        </w:tc>
        <w:tc>
          <w:tcPr>
            <w:tcW w:w="4876" w:type="dxa"/>
          </w:tcPr>
          <w:p w:rsidR="002F3FB4" w:rsidRDefault="002F3FB4" w:rsidP="00F37676">
            <w:pPr>
              <w:pStyle w:val="Normal6"/>
            </w:pPr>
            <w:r>
              <w:t>5.</w:t>
            </w:r>
            <w:r>
              <w:tab/>
              <w:t xml:space="preserve">Kui taotleja väidete teatavate asjaolude toetuseks ei ole esitatud dokumentaalseid ega muid tõendeid, siis </w:t>
            </w:r>
            <w:r>
              <w:rPr>
                <w:b/>
                <w:i/>
              </w:rPr>
              <w:t>võib</w:t>
            </w:r>
            <w:r>
              <w:t xml:space="preserve"> nende väidete kohta</w:t>
            </w:r>
            <w:r>
              <w:rPr>
                <w:b/>
                <w:i/>
              </w:rPr>
              <w:t xml:space="preserve"> nõuda</w:t>
            </w:r>
            <w:r>
              <w:t xml:space="preserve"> täiendavaid tõendeid, juhul kui</w:t>
            </w:r>
            <w:r>
              <w:rPr>
                <w:b/>
                <w:i/>
              </w:rPr>
              <w:t xml:space="preserve"> järgmised nõuded ei ole täidetud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(a)</w:t>
            </w:r>
            <w:r>
              <w:tab/>
            </w:r>
            <w:r>
              <w:rPr>
                <w:b/>
                <w:i/>
                <w:color w:val="000000"/>
              </w:rPr>
              <w:t>taotleja on teinud märkimisväärseid jõupingutusi oma taotluse põhjendamiseks;</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763DCF" w:rsidP="002F3FB4">
      <w:pPr>
        <w:pStyle w:val="Normal12Italic"/>
        <w:rPr>
          <w:noProof w:val="0"/>
        </w:rPr>
      </w:pPr>
      <w:r>
        <w:rPr>
          <w:noProof w:val="0"/>
        </w:rPr>
        <w:t xml:space="preserve">Väljend </w:t>
      </w:r>
      <w:r w:rsidR="002F3FB4">
        <w:rPr>
          <w:noProof w:val="0"/>
        </w:rPr>
        <w:t>„märkimisväärseid pingutusi“ on liiga ebamäärane ja subjektiivne.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kõik taotleja käsutuses olevad asjakohased elemendid on esitatud</w:t>
            </w:r>
            <w:r>
              <w:rPr>
                <w:b/>
                <w:i/>
              </w:rPr>
              <w:t xml:space="preserve"> ja on antud rahuldav selgitus muude asjakohaste elementide võimaliku puudumise kohta</w:t>
            </w:r>
            <w:r>
              <w:t>;</w:t>
            </w:r>
          </w:p>
        </w:tc>
        <w:tc>
          <w:tcPr>
            <w:tcW w:w="4876" w:type="dxa"/>
          </w:tcPr>
          <w:p w:rsidR="002F3FB4" w:rsidRDefault="002F3FB4" w:rsidP="00F37676">
            <w:pPr>
              <w:pStyle w:val="Normal6"/>
            </w:pPr>
            <w:r>
              <w:t>(b)</w:t>
            </w:r>
            <w:r>
              <w:tab/>
              <w:t>kõik taotleja käsutuses olevad asjakohased elemendid on esitatud;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Vt selgitus artikli 4 lõike 5 kohta.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kõik taotleja käsutuses olevad asjakohased elemendid on esitatud</w:t>
            </w:r>
            <w:r>
              <w:rPr>
                <w:b/>
                <w:i/>
              </w:rPr>
              <w:t xml:space="preserve"> ja on antud rahuldav selgitus muude asjakohaste elementide võimaliku puudumise kohta</w:t>
            </w:r>
            <w:r>
              <w:t>;</w:t>
            </w:r>
          </w:p>
        </w:tc>
        <w:tc>
          <w:tcPr>
            <w:tcW w:w="4876" w:type="dxa"/>
          </w:tcPr>
          <w:p w:rsidR="002F3FB4" w:rsidRDefault="002F3FB4" w:rsidP="00F37676">
            <w:pPr>
              <w:pStyle w:val="Normal6"/>
            </w:pPr>
            <w:r>
              <w:t>(b)</w:t>
            </w:r>
            <w:r>
              <w:tab/>
              <w:t>kõik taotleja käsutuses olevad asjakohased elemendid on esitatud;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(d)</w:t>
            </w:r>
            <w:r>
              <w:tab/>
            </w:r>
            <w:r>
              <w:rPr>
                <w:b/>
                <w:i/>
                <w:color w:val="000000"/>
              </w:rPr>
              <w:t>taotleja on taotlenud rahvusvahelist kaitset niipea kui võimalik, välja arvatud juhul, kui taotleja suudab esitada mõjuva põhjuse, miks ta seda ei teinud;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365</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(d)</w:t>
            </w:r>
            <w:r>
              <w:tab/>
            </w:r>
            <w:r>
              <w:rPr>
                <w:b/>
                <w:i/>
                <w:color w:val="000000"/>
              </w:rPr>
              <w:t>taotleja on taotlenud rahvusvahelist kaitset niipea kui võimalik, välja arvatud juhul, kui taotleja suudab esitada mõjuva põhjuse, miks ta seda ei teinud;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(d)</w:t>
            </w:r>
            <w:r>
              <w:tab/>
            </w:r>
            <w:r>
              <w:rPr>
                <w:b/>
                <w:i/>
                <w:color w:val="000000"/>
              </w:rPr>
              <w:t>taotleja on taotlenud rahvusvahelist kaitset niipea kui võimalik, välja arvatud juhul, kui taotleja suudab esitada mõjuva põhjuse, miks ta seda ei teinud;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nõustub raportööri hinnanguga, et on palju põhjuseid, miks taotleja ei pruugi rahvusvahelist kaitset taotleda viivitamata. See, kas taotleja on taotlenud rahvusvahelist kaitset esimesel võimalikul hetkel, ei tohiks määrata taotleja ütluste kaalu.</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367</w:t>
      </w:r>
      <w:r>
        <w:rPr>
          <w:rStyle w:val="HideTWBExt"/>
          <w:b w:val="0"/>
          <w:noProof w:val="0"/>
        </w:rPr>
        <w:t>&lt;/NumAmB&gt;</w:t>
      </w:r>
    </w:p>
    <w:p w:rsidR="002F3FB4" w:rsidRDefault="002F3FB4" w:rsidP="002F3FB4">
      <w:pPr>
        <w:pStyle w:val="NormalBold"/>
      </w:pPr>
      <w:r>
        <w:rPr>
          <w:rStyle w:val="HideTWBExt"/>
          <w:b w:val="0"/>
          <w:noProof w:val="0"/>
        </w:rPr>
        <w:t>&lt;RepeatBlock-By&gt;&lt;Members&gt;</w:t>
      </w:r>
      <w:r>
        <w:t>Monika Hohlmeier</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(d)</w:t>
            </w:r>
            <w:r>
              <w:tab/>
              <w:t>taotleja on taotlenud rahvusvahelist kaitset niipea kui võimalik</w:t>
            </w:r>
            <w:r>
              <w:rPr>
                <w:b/>
                <w:i/>
              </w:rPr>
              <w:t>, välja arvatud juhul, kui taotleja suudab esitada mõjuva põhjuse, miks ta seda ei teinud</w:t>
            </w:r>
            <w:r>
              <w:t>;</w:t>
            </w:r>
          </w:p>
        </w:tc>
        <w:tc>
          <w:tcPr>
            <w:tcW w:w="4876" w:type="dxa"/>
          </w:tcPr>
          <w:p w:rsidR="002F3FB4" w:rsidRDefault="002F3FB4" w:rsidP="00F37676">
            <w:pPr>
              <w:pStyle w:val="Normal6"/>
            </w:pPr>
            <w:r>
              <w:t>(d)</w:t>
            </w:r>
            <w:r>
              <w:tab/>
              <w:t>taotleja on taotlenud rahvusvahelist kaitset niipea kui võimalik;</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368</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(d)</w:t>
            </w:r>
            <w:r>
              <w:tab/>
              <w:t>taotleja on taotlenud rahvusvahelist kaitset niipea kui võimalik</w:t>
            </w:r>
            <w:r>
              <w:rPr>
                <w:b/>
                <w:i/>
              </w:rPr>
              <w:t>, välja arvatud juhul, kui taotleja suudab esitada mõjuva põhjuse, miks ta seda ei teinud</w:t>
            </w:r>
            <w:r>
              <w:t>;</w:t>
            </w:r>
          </w:p>
        </w:tc>
        <w:tc>
          <w:tcPr>
            <w:tcW w:w="4876" w:type="dxa"/>
          </w:tcPr>
          <w:p w:rsidR="002F3FB4" w:rsidRDefault="002F3FB4" w:rsidP="00F37676">
            <w:pPr>
              <w:pStyle w:val="Normal6"/>
            </w:pPr>
            <w:r>
              <w:t>(d)</w:t>
            </w:r>
            <w:r>
              <w:tab/>
              <w:t>taotleja on taotlenud rahvusvahelist kaitset niipea kui võimalik;</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369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4 – lõige 5 – punkt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(e)</w:t>
            </w:r>
            <w:r>
              <w:tab/>
            </w:r>
            <w:r>
              <w:rPr>
                <w:b/>
                <w:i/>
                <w:color w:val="000000"/>
              </w:rPr>
              <w:t>taotleja üldine usaldusväärsus on kindlaks tehtud.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r>
            <w:r>
              <w:rPr>
                <w:b/>
                <w:i/>
              </w:rPr>
              <w:t xml:space="preserve">Põhjendatud </w:t>
            </w:r>
            <w:r>
              <w:t>tagakiusamise kartus või reaalne oht kannatada suurt kahju võib olla tingitud sündmustest, mis on aset leidnud pärast seda, kui taotleja lahkus päritoluriigist.</w:t>
            </w:r>
          </w:p>
        </w:tc>
        <w:tc>
          <w:tcPr>
            <w:tcW w:w="4876" w:type="dxa"/>
          </w:tcPr>
          <w:p w:rsidR="002F3FB4" w:rsidRDefault="002F3FB4" w:rsidP="00F37676">
            <w:pPr>
              <w:pStyle w:val="Normal6"/>
            </w:pPr>
            <w:r>
              <w:t>1.</w:t>
            </w:r>
            <w:r>
              <w:tab/>
              <w:t>Tagakiusamise kartus või reaalne oht kannatada suurt kahju võib olla tingitud sündmustest, mis on aset leidnud pärast seda, kui taotleja lahkus päritoluriigist.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371</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Põhjendatud tagakiusamise kartus või reaalne oht kannatada suurt kahju võib olla tingitud sündmustest, mis on aset leidnud </w:t>
            </w:r>
            <w:r>
              <w:rPr>
                <w:b/>
                <w:i/>
              </w:rPr>
              <w:t>pärast seda, kui taotleja lahkus päritoluriigist</w:t>
            </w:r>
            <w:r>
              <w:t>.</w:t>
            </w:r>
          </w:p>
        </w:tc>
        <w:tc>
          <w:tcPr>
            <w:tcW w:w="4876" w:type="dxa"/>
          </w:tcPr>
          <w:p w:rsidR="002F3FB4" w:rsidRDefault="002F3FB4" w:rsidP="00F37676">
            <w:pPr>
              <w:pStyle w:val="Normal6"/>
            </w:pPr>
            <w:r>
              <w:t>1.</w:t>
            </w:r>
            <w:r>
              <w:tab/>
              <w:t xml:space="preserve">Põhjendatud tagakiusamise kartus või reaalne oht kannatada suurt kahju võib olla tingitud </w:t>
            </w:r>
            <w:r>
              <w:rPr>
                <w:b/>
                <w:i/>
              </w:rPr>
              <w:t xml:space="preserve">üksnes </w:t>
            </w:r>
            <w:r>
              <w:t xml:space="preserve">sündmustest, mis on aset leidnud </w:t>
            </w:r>
            <w:r>
              <w:rPr>
                <w:b/>
                <w:i/>
              </w:rPr>
              <w:t>päritoluriigis</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372</w:t>
      </w:r>
      <w:r>
        <w:rPr>
          <w:rStyle w:val="HideTWBExt"/>
          <w:b w:val="0"/>
          <w:noProof w:val="0"/>
        </w:rPr>
        <w:t>&lt;/NumAmB&gt;</w:t>
      </w:r>
    </w:p>
    <w:p w:rsidR="002F3FB4" w:rsidRDefault="002F3FB4" w:rsidP="002F3FB4">
      <w:pPr>
        <w:pStyle w:val="NormalBold"/>
      </w:pPr>
      <w:r>
        <w:rPr>
          <w:rStyle w:val="HideTWBExt"/>
          <w:b w:val="0"/>
          <w:noProof w:val="0"/>
        </w:rPr>
        <w:t>&lt;RepeatBlock-By&gt;&lt;Members&gt;</w:t>
      </w:r>
      <w:r>
        <w:t>Beatrix von Storch</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w:t>
            </w:r>
            <w:r>
              <w:tab/>
            </w:r>
            <w:r>
              <w:rPr>
                <w:b/>
                <w:i/>
                <w:color w:val="000000"/>
              </w:rPr>
              <w:t>Põhjendatud tagakiusamise kartus või reaalne oht kannatada suurt kahju võib olla tingitud taotleja tegevusest pärast päritoluriigist lahkumist, eelkõige kui on kindlaks tehtud, et kõnealune tegevus kujutab endast taotlejale päritoluriigis omaste veendumuste või kalduvuste väljendust ja edasikestmist.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Väljajätmine ühildub artikli 5 lõike 1 muudatusettepanekuga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 Helga Stevens</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w:t>
            </w:r>
            <w:r>
              <w:tab/>
            </w:r>
            <w:r>
              <w:rPr>
                <w:b/>
                <w:i/>
                <w:color w:val="000000"/>
              </w:rPr>
              <w:t>Põhjendatud tagakiusamise kartus või reaalne oht kannatada suurt kahju võib olla tingitud taotleja tegevusest pärast päritoluriigist lahkumist, eelkõige kui on kindlaks tehtud, et kõnealune tegevus kujutab endast taotlejale päritoluriigis omaste veendumuste või kalduvuste väljendust ja edasikestmist.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374</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Emil Radev</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2 a (uus)</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p>
        </w:tc>
        <w:tc>
          <w:tcPr>
            <w:tcW w:w="4876" w:type="dxa"/>
          </w:tcPr>
          <w:p w:rsidR="002F3FB4" w:rsidRDefault="002F3FB4" w:rsidP="00F37676">
            <w:pPr>
              <w:pStyle w:val="Normal6"/>
            </w:pPr>
            <w:r>
              <w:rPr>
                <w:b/>
                <w:i/>
                <w:color w:val="000000"/>
              </w:rPr>
              <w:t>2 a.</w:t>
            </w:r>
            <w:r>
              <w:tab/>
            </w:r>
            <w:r>
              <w:rPr>
                <w:b/>
                <w:i/>
                <w:color w:val="000000"/>
              </w:rPr>
              <w:t xml:space="preserve">Rahvusvahelise kaitse taotluse kontrollimisel hindab menetlev ametiasutus, kas taotleja on rahvusvahelise kaitse taotlemiseks vajalike tingimuste loomise ainu- või põhieesmärgiga käitunud tahtlikult viisil, mis </w:t>
            </w:r>
            <w:r w:rsidR="00627506">
              <w:rPr>
                <w:b/>
                <w:i/>
                <w:color w:val="000000"/>
              </w:rPr>
              <w:t xml:space="preserve">põhjustaks </w:t>
            </w:r>
            <w:r>
              <w:rPr>
                <w:b/>
                <w:i/>
                <w:color w:val="000000"/>
              </w:rPr>
              <w:t>tema tagakiusamise päritoluriigis.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627506" w:rsidP="002F3FB4">
      <w:pPr>
        <w:pStyle w:val="Normal12Italic"/>
        <w:rPr>
          <w:noProof w:val="0"/>
        </w:rPr>
      </w:pPr>
      <w:r>
        <w:rPr>
          <w:noProof w:val="0"/>
        </w:rPr>
        <w:t>Tuleb luua</w:t>
      </w:r>
      <w:r w:rsidR="002F3FB4">
        <w:rPr>
          <w:noProof w:val="0"/>
        </w:rPr>
        <w:t xml:space="preserve"> tingimused</w:t>
      </w:r>
      <w:r>
        <w:rPr>
          <w:noProof w:val="0"/>
        </w:rPr>
        <w:t>, millega ennetatakse</w:t>
      </w:r>
      <w:r w:rsidR="002F3FB4">
        <w:rPr>
          <w:noProof w:val="0"/>
        </w:rPr>
        <w:t xml:space="preserve"> Euroopa ühise varjupaigasüsteemi mis tahes viisil kuritarvitamis</w:t>
      </w:r>
      <w:r>
        <w:rPr>
          <w:noProof w:val="0"/>
        </w:rPr>
        <w:t>t rahvusvahelise kaitse taotlejate poolt.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w:t>
            </w:r>
            <w:r>
              <w:tab/>
            </w:r>
            <w:r>
              <w:rPr>
                <w:b/>
                <w:i/>
                <w:color w:val="000000"/>
              </w:rPr>
              <w:t>Ilma et see piiraks Genfi konventsiooni ja Euroopa inimõiguste konventsiooni kohaldamist, ei anta kooskõlas määruse (EL) XXX/XXX [menetluste määrus] artikliga 42 korduvat taotlust esitavale taotlejale üldjuhul pagulasseisundit ega täiendava kaitse seisundit, kui tagakiusamise või suure kahju oht põhineb asjaoludel, mille taotleja on tekitanud oma otsusega pärast päritoluriigist lahkumist.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r>
            <w:r>
              <w:rPr>
                <w:b/>
                <w:i/>
                <w:color w:val="000000"/>
              </w:rPr>
              <w:t>Ilma et see piiraks Genfi konventsiooni ja Euroopa inimõiguste konventsiooni kohaldamist, ei anta kooskõlas määruse (EL) XXX/XXX [menetluste määrus] artikliga 42 korduvat taotlust esitavale taotlejale üldjuhul pagulasseisundit ega täiendava kaitse seisundit, kui tagakiusamise või suure kahju oht põhineb asjaoludel, mille taotleja on tekitanud oma otsusega pärast päritoluriigist lahkumist.</w:t>
            </w:r>
          </w:p>
        </w:tc>
        <w:tc>
          <w:tcPr>
            <w:tcW w:w="4876" w:type="dxa"/>
          </w:tcPr>
          <w:p w:rsidR="002F3FB4" w:rsidRDefault="002F3FB4" w:rsidP="00F37676">
            <w:pPr>
              <w:pStyle w:val="Normal6"/>
            </w:pPr>
            <w:r>
              <w:t>3.</w:t>
            </w:r>
            <w:r>
              <w:tab/>
            </w: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Artikli 5 lõike</w:t>
      </w:r>
      <w:r w:rsidR="00627506">
        <w:rPr>
          <w:noProof w:val="0"/>
        </w:rPr>
        <w:t>ga</w:t>
      </w:r>
      <w:r>
        <w:rPr>
          <w:noProof w:val="0"/>
        </w:rPr>
        <w:t> 3, isegi kui see on sõnastatud vabatahtliku sättena, kaasneb</w:t>
      </w:r>
      <w:r w:rsidR="00627506">
        <w:rPr>
          <w:noProof w:val="0"/>
        </w:rPr>
        <w:t xml:space="preserve"> oht, et</w:t>
      </w:r>
      <w:r>
        <w:rPr>
          <w:noProof w:val="0"/>
        </w:rPr>
        <w:t xml:space="preserve"> ettepaneku</w:t>
      </w:r>
      <w:r w:rsidR="00627506">
        <w:rPr>
          <w:noProof w:val="0"/>
        </w:rPr>
        <w:t>ga</w:t>
      </w:r>
      <w:r>
        <w:rPr>
          <w:noProof w:val="0"/>
        </w:rPr>
        <w:t xml:space="preserve"> keelata</w:t>
      </w:r>
      <w:r w:rsidR="00627506">
        <w:rPr>
          <w:noProof w:val="0"/>
        </w:rPr>
        <w:t>kse</w:t>
      </w:r>
      <w:r>
        <w:rPr>
          <w:noProof w:val="0"/>
        </w:rPr>
        <w:t xml:space="preserve"> rahvusvaheline kaitse isikutele, kellel on põhjendatud tagakiusamise kartus või lasub suure kahju reaalne oht, </w:t>
      </w:r>
      <w:r w:rsidR="00627506">
        <w:rPr>
          <w:noProof w:val="0"/>
        </w:rPr>
        <w:t>hinnates õiguslikult ebaolulisel ja väga subjektiivsel alusel</w:t>
      </w:r>
      <w:r>
        <w:rPr>
          <w:noProof w:val="0"/>
        </w:rPr>
        <w:t>, kas nad üritasid luua rahvusvahelise kaitse saamiseks vajalikke tingimusi</w:t>
      </w:r>
      <w:r w:rsidR="00627506">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377</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r>
            <w:r>
              <w:rPr>
                <w:b/>
                <w:i/>
              </w:rPr>
              <w:t>Ilma et see piiraks</w:t>
            </w:r>
            <w:r>
              <w:t xml:space="preserve"> Genfi konventsiooni </w:t>
            </w:r>
            <w:r>
              <w:rPr>
                <w:b/>
                <w:i/>
              </w:rPr>
              <w:t xml:space="preserve">ja </w:t>
            </w:r>
            <w:r>
              <w:t xml:space="preserve">Euroopa inimõiguste konventsiooni </w:t>
            </w:r>
            <w:r w:rsidRPr="006F55E6">
              <w:rPr>
                <w:b/>
                <w:i/>
              </w:rPr>
              <w:t>kohaldamist,</w:t>
            </w:r>
            <w:r>
              <w:t xml:space="preserve"> </w:t>
            </w:r>
            <w:r>
              <w:rPr>
                <w:b/>
                <w:i/>
              </w:rPr>
              <w:t>ei anta</w:t>
            </w:r>
            <w:r>
              <w:t xml:space="preserve"> kooskõlas määruse (EL) XXX/XXX [menetluste määrus] artikliga 42 korduvat taotlust esitavale taotlejale </w:t>
            </w:r>
            <w:r>
              <w:rPr>
                <w:b/>
                <w:i/>
              </w:rPr>
              <w:t>üldjuhul pagulasseisundit ega</w:t>
            </w:r>
            <w:r>
              <w:t xml:space="preserve"> täiendava kaitse </w:t>
            </w:r>
            <w:r>
              <w:rPr>
                <w:b/>
                <w:i/>
              </w:rPr>
              <w:t>seisundit</w:t>
            </w:r>
            <w:r>
              <w:t>, kui tagakiusamise või suure kahju oht põhineb asjaoludel, mille taotleja on tekitanud oma otsusega pärast päritoluriigist lahkumist.</w:t>
            </w:r>
          </w:p>
        </w:tc>
        <w:tc>
          <w:tcPr>
            <w:tcW w:w="4876" w:type="dxa"/>
          </w:tcPr>
          <w:p w:rsidR="002F3FB4" w:rsidRDefault="002F3FB4" w:rsidP="00F37676">
            <w:pPr>
              <w:pStyle w:val="Normal6"/>
            </w:pPr>
            <w:r>
              <w:t>3.</w:t>
            </w:r>
            <w:r>
              <w:tab/>
            </w:r>
            <w:r>
              <w:rPr>
                <w:b/>
                <w:i/>
              </w:rPr>
              <w:t xml:space="preserve">Tingimusel, et kõik tehtud otsused on täielikult kooskõlas </w:t>
            </w:r>
            <w:r>
              <w:t>Genfi konventsiooni</w:t>
            </w:r>
            <w:r>
              <w:rPr>
                <w:b/>
                <w:i/>
              </w:rPr>
              <w:t>,</w:t>
            </w:r>
            <w:r>
              <w:t xml:space="preserve"> Euroopa inimõiguste </w:t>
            </w:r>
            <w:r>
              <w:rPr>
                <w:b/>
                <w:i/>
              </w:rPr>
              <w:t>ja põhivabaduste kaitse</w:t>
            </w:r>
            <w:r>
              <w:t xml:space="preserve"> konventsiooni </w:t>
            </w:r>
            <w:r>
              <w:rPr>
                <w:b/>
                <w:i/>
              </w:rPr>
              <w:t xml:space="preserve">ja Euroopa Liidu põhiõiguste hartaga, võidakse </w:t>
            </w:r>
            <w:r>
              <w:t xml:space="preserve">kooskõlas määruse (EL) XXX/XXX [menetluste määrus] artikliga 42 korduvat taotlust esitavale taotlejale </w:t>
            </w:r>
            <w:r>
              <w:rPr>
                <w:b/>
                <w:i/>
              </w:rPr>
              <w:t>pagulasseisundi ja</w:t>
            </w:r>
            <w:r>
              <w:t xml:space="preserve"> täiendava kaitse </w:t>
            </w:r>
            <w:r>
              <w:rPr>
                <w:b/>
                <w:i/>
              </w:rPr>
              <w:t>seisundi andmisest keelduda</w:t>
            </w:r>
            <w:r>
              <w:t xml:space="preserve">, kui tagakiusamise või suure kahju oht põhineb asjaoludel, mille taotleja on tekitanud oma otsusega pärast päritoluriigist lahkumist. </w:t>
            </w:r>
            <w:r>
              <w:rPr>
                <w:b/>
                <w:i/>
                <w:color w:val="000000"/>
              </w:rPr>
              <w:t xml:space="preserve">See ei hõlma mis tahes taotleja tehtud olukorrast sõltumatuid otsuseid, sh (kuid mitte ainult) tema seksuaalse sättumuse ja usuliste tõekspidamiste kohta, </w:t>
            </w:r>
            <w:r w:rsidR="00627506">
              <w:rPr>
                <w:b/>
                <w:i/>
                <w:color w:val="000000"/>
              </w:rPr>
              <w:t xml:space="preserve">mida </w:t>
            </w:r>
            <w:r>
              <w:rPr>
                <w:b/>
                <w:i/>
                <w:color w:val="000000"/>
              </w:rPr>
              <w:t xml:space="preserve">ta </w:t>
            </w:r>
            <w:r w:rsidR="00627506">
              <w:rPr>
                <w:b/>
                <w:i/>
                <w:color w:val="000000"/>
              </w:rPr>
              <w:t xml:space="preserve">võis </w:t>
            </w:r>
            <w:r>
              <w:rPr>
                <w:b/>
                <w:i/>
                <w:color w:val="000000"/>
              </w:rPr>
              <w:t xml:space="preserve">päritoluriigis erineval määral </w:t>
            </w:r>
            <w:r w:rsidR="00627506">
              <w:rPr>
                <w:b/>
                <w:i/>
                <w:color w:val="000000"/>
              </w:rPr>
              <w:t>järgida</w:t>
            </w:r>
            <w:r>
              <w:rPr>
                <w:b/>
                <w:i/>
                <w:color w:val="000000"/>
              </w:rP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378</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Ilma et see piiraks Genfi konventsiooni ja Euroopa inimõiguste konventsiooni kohaldamist, ei anta </w:t>
            </w:r>
            <w:r>
              <w:rPr>
                <w:b/>
                <w:i/>
              </w:rPr>
              <w:t>kooskõlas määruse (EL) XXX/XXX [menetluste määrus] artikliga 42 korduvat</w:t>
            </w:r>
            <w:r>
              <w:t xml:space="preserve"> taotlust esitavale taotlejale üldjuhul pagulasseisundit ega täiendava kaitse seisundit, kui tagakiusamise või suure kahju oht põhineb asjaoludel, mille taotleja on tekitanud oma otsusega pärast päritoluriigist lahkumist.</w:t>
            </w:r>
          </w:p>
        </w:tc>
        <w:tc>
          <w:tcPr>
            <w:tcW w:w="4876" w:type="dxa"/>
          </w:tcPr>
          <w:p w:rsidR="002F3FB4" w:rsidRDefault="002F3FB4" w:rsidP="00F37676">
            <w:pPr>
              <w:pStyle w:val="Normal6"/>
            </w:pPr>
            <w:r>
              <w:t>3.</w:t>
            </w:r>
            <w:r>
              <w:tab/>
              <w:t xml:space="preserve">Ilma et see piiraks Genfi konventsiooni ja Euroopa inimõiguste konventsiooni kohaldamist, ei anta </w:t>
            </w:r>
            <w:r>
              <w:rPr>
                <w:b/>
                <w:i/>
              </w:rPr>
              <w:t>rahvusvaheliseks kaitseks</w:t>
            </w:r>
            <w:r>
              <w:t xml:space="preserve"> taotlust esitavale taotlejale üldjuhul pagulasseisundit ega täiendava kaitse seisundit, kui tagakiusamise või suure kahju oht põhineb asjaoludel, mille taotleja on tekitanud oma otsusega pärast päritoluriigist lahkumist.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379</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Emil Radev</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5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Ilma et see piiraks Genfi konventsiooni ja Euroopa inimõiguste konventsiooni kohaldamist, ei anta </w:t>
            </w:r>
            <w:r>
              <w:rPr>
                <w:b/>
                <w:i/>
              </w:rPr>
              <w:t>kooskõlas määruse (EL) XXX/XXX [menetluste määrus] artikliga 42</w:t>
            </w:r>
            <w:r>
              <w:t xml:space="preserve"> korduvat taotlust esitavale taotlejale üldjuhul pagulasseisundit ega täiendava kaitse seisundit, kui tagakiusamise või suure kahju oht põhineb asjaoludel, mille taotleja on tekitanud oma otsusega pärast päritoluriigist lahkumist.</w:t>
            </w:r>
          </w:p>
        </w:tc>
        <w:tc>
          <w:tcPr>
            <w:tcW w:w="4876" w:type="dxa"/>
          </w:tcPr>
          <w:p w:rsidR="002F3FB4" w:rsidRDefault="002F3FB4" w:rsidP="00F37676">
            <w:pPr>
              <w:pStyle w:val="Normal6"/>
            </w:pPr>
            <w:r>
              <w:t>3.</w:t>
            </w:r>
            <w:r>
              <w:tab/>
              <w:t>Ilma et see piiraks Genfi konventsiooni ja Euroopa inimõiguste konventsiooni kohaldamist, ei anta korduvat taotlust esitavale taotlejale üldjuhul pagulasseisundit ega täiendava kaitse seisundit, kui tagakiusamise või suure kahju oht põhineb asjaoludel, mille taotleja on tekitanud oma otsusega pärast päritoluriigist lahkumist</w:t>
            </w:r>
            <w:r>
              <w:rPr>
                <w:b/>
                <w:i/>
              </w:rPr>
              <w:t xml:space="preserve"> ainuüksi või põhiliselt rahvusvahelise kaitse andmise eesmärgil</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627506" w:rsidP="002F3FB4">
      <w:pPr>
        <w:pStyle w:val="Normal12Italic"/>
        <w:rPr>
          <w:noProof w:val="0"/>
        </w:rPr>
      </w:pPr>
      <w:r>
        <w:rPr>
          <w:noProof w:val="0"/>
        </w:rPr>
        <w:t>Tuleb luua tingimused, millega ennetatakse Euroopa ühise varjupaigasüsteemi mis tahes viisil kuritarvitamist rahvusvahelise kaitse taotlejate poolt</w:t>
      </w:r>
      <w:r w:rsidR="002F3FB4">
        <w:rPr>
          <w:noProof w:val="0"/>
        </w:rPr>
        <w: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380</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6 – lõik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Tagakiusajad või suure kahju põhjustajad võivad olla </w:t>
            </w:r>
            <w:r>
              <w:rPr>
                <w:b/>
                <w:i/>
              </w:rPr>
              <w:t>üksnes</w:t>
            </w:r>
          </w:p>
        </w:tc>
        <w:tc>
          <w:tcPr>
            <w:tcW w:w="4876" w:type="dxa"/>
          </w:tcPr>
          <w:p w:rsidR="002F3FB4" w:rsidRDefault="002F3FB4" w:rsidP="00F37676">
            <w:pPr>
              <w:pStyle w:val="Normal6"/>
            </w:pPr>
            <w:r>
              <w:t>Tagakiusajad või suure kahju põhjustajad võivad olla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381</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6 – lõik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 xml:space="preserve">Tagakiusajad või suure kahju põhjustajad </w:t>
            </w:r>
            <w:r>
              <w:rPr>
                <w:b/>
                <w:i/>
              </w:rPr>
              <w:t>võivad olla üksnes</w:t>
            </w:r>
          </w:p>
        </w:tc>
        <w:tc>
          <w:tcPr>
            <w:tcW w:w="4876" w:type="dxa"/>
          </w:tcPr>
          <w:p w:rsidR="002F3FB4" w:rsidRDefault="002F3FB4" w:rsidP="00F37676">
            <w:pPr>
              <w:pStyle w:val="Normal6"/>
            </w:pPr>
            <w:r>
              <w:t xml:space="preserve">Tagakiusajad või suure kahju põhjustajad </w:t>
            </w:r>
            <w:r>
              <w:rPr>
                <w:b/>
                <w:i/>
              </w:rPr>
              <w:t>on muu hulgas järgmised: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382</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Lorenzo Fontana</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Artikkel 6 – lõik 1 – punkt b</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(b)</w:t>
            </w:r>
            <w:r w:rsidRPr="00781174">
              <w:tab/>
              <w:t>riiki või olulist osa riigi territooriumist kontrollivad osapooled või organisatsioonid;</w:t>
            </w:r>
          </w:p>
        </w:tc>
        <w:tc>
          <w:tcPr>
            <w:tcW w:w="4876" w:type="dxa"/>
          </w:tcPr>
          <w:p w:rsidR="002F3FB4" w:rsidRPr="00781174" w:rsidRDefault="002F3FB4" w:rsidP="00F37676">
            <w:pPr>
              <w:pStyle w:val="Normal6"/>
            </w:pPr>
            <w:r w:rsidRPr="00781174">
              <w:t>(b)</w:t>
            </w:r>
            <w:r w:rsidRPr="00781174">
              <w:tab/>
              <w:t xml:space="preserve">riiki või olulist osa riigi territooriumist kontrollivad osapooled või </w:t>
            </w:r>
            <w:r w:rsidRPr="00781174">
              <w:rPr>
                <w:b/>
                <w:i/>
              </w:rPr>
              <w:t>terroristlikud</w:t>
            </w:r>
            <w:r w:rsidRPr="00781174">
              <w:t xml:space="preserve"> organisatsioonid;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383</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6 – lõik 1 – punkt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(c)</w:t>
            </w:r>
            <w:r>
              <w:tab/>
              <w:t>mitteriiklikud osalised, kui on võimalik tõestada, et punktides a ja b osutatud osalised, sh rahvusvahelised organisatsioonid, ei suuda või ei taha pakkuda kaitset tagakiusamise või suure kahju tekitamise eest vastavalt artiklile 7.</w:t>
            </w:r>
          </w:p>
        </w:tc>
        <w:tc>
          <w:tcPr>
            <w:tcW w:w="4876" w:type="dxa"/>
          </w:tcPr>
          <w:p w:rsidR="002F3FB4" w:rsidRDefault="002F3FB4" w:rsidP="00F37676">
            <w:pPr>
              <w:pStyle w:val="Normal6"/>
            </w:pPr>
            <w:r>
              <w:t>(c)</w:t>
            </w:r>
            <w:r>
              <w:tab/>
              <w:t xml:space="preserve">mitteriiklikud osalised, </w:t>
            </w:r>
            <w:r>
              <w:rPr>
                <w:b/>
                <w:i/>
              </w:rPr>
              <w:t xml:space="preserve">v.a kuritegelikud või terroristlikud organisatsioonid, millega taotleja on või on olnud vabatahtlikult seotud, </w:t>
            </w:r>
            <w:r>
              <w:t>kui on võimalik tõestada, et punktides a ja b osutatud osalised, sh rahvusvahelised organisatsioonid, ei suuda või ei taha pakkuda kaitset tagakiusamise või suure kahju tekitamise eest vastavalt artiklile 7.</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384</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Kaitset tagakiusamise või suure kahju tekitamise eest võivad pakkuda </w:t>
            </w:r>
            <w:r>
              <w:rPr>
                <w:b/>
                <w:i/>
              </w:rPr>
              <w:t>üksnes</w:t>
            </w:r>
          </w:p>
        </w:tc>
        <w:tc>
          <w:tcPr>
            <w:tcW w:w="4876" w:type="dxa"/>
          </w:tcPr>
          <w:p w:rsidR="002F3FB4" w:rsidRDefault="002F3FB4" w:rsidP="00F37676">
            <w:pPr>
              <w:pStyle w:val="Normal6"/>
            </w:pPr>
            <w:r>
              <w:t>1.</w:t>
            </w:r>
            <w:r>
              <w:tab/>
              <w:t xml:space="preserve">Kaitset tagakiusamise või suure kahju tekitamise eest võivad pakkuda </w:t>
            </w:r>
            <w:r>
              <w:rPr>
                <w:b/>
                <w:i/>
              </w:rPr>
              <w:t>ainult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(b)</w:t>
            </w:r>
            <w:r>
              <w:tab/>
            </w:r>
            <w:r>
              <w:rPr>
                <w:b/>
                <w:i/>
                <w:color w:val="000000"/>
              </w:rPr>
              <w:t>olulist osa riigi territooriumist kontrollivad osapooled või organisatsioonid, sh rahvusvahelised organisatsioonid,</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rPr>
                <w:b/>
                <w:i/>
                <w:color w:val="000000"/>
              </w:rPr>
              <w:t>kui nad väljendavad tahet pakkuda lõike 2 kohast kaitset ja suudavad seda teha.</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Kooskõlas 28. juulil 1951. aastal Genfis sõlmitud pagulasseisundi konventsiooni artikli 1</w:t>
      </w:r>
      <w:r w:rsidR="00F3620F">
        <w:rPr>
          <w:noProof w:val="0"/>
        </w:rPr>
        <w:t xml:space="preserve"> jaotise </w:t>
      </w:r>
      <w:r>
        <w:rPr>
          <w:noProof w:val="0"/>
        </w:rPr>
        <w:t>A lõikega 2, mida on muudetud 31. jaanuari 1967. aasta New Yorgi protokolliga.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386</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(b)</w:t>
            </w:r>
            <w:r>
              <w:tab/>
            </w:r>
            <w:r>
              <w:rPr>
                <w:b/>
                <w:i/>
                <w:color w:val="000000"/>
              </w:rPr>
              <w:t>olulist osa riigi territooriumist kontrollivad osapooled või organisatsioonid, sh rahvusvahelised organisatsioonid,</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rPr>
                <w:b/>
                <w:i/>
                <w:color w:val="000000"/>
              </w:rPr>
              <w:t>kui nad väljendavad tahet pakkuda lõike 2 kohast kaitset ja suudavad seda teha.</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According to the 1951 refugee convention, as amended in 1967, the only protection actor is the State [Art. 1A(2)]:</w:t>
      </w:r>
    </w:p>
    <w:p w:rsidR="002F3FB4" w:rsidRDefault="002F3FB4" w:rsidP="002F3FB4">
      <w:pPr>
        <w:pStyle w:val="Normal12Italic"/>
        <w:rPr>
          <w:noProof w:val="0"/>
        </w:rPr>
      </w:pPr>
      <w:r>
        <w:rPr>
          <w:noProof w:val="0"/>
        </w:rPr>
        <w:t>“For the purposes of the present Convention, the term “refugee” shall apply to any person who:</w:t>
      </w:r>
    </w:p>
    <w:p w:rsidR="002F3FB4" w:rsidRDefault="002F3FB4" w:rsidP="002F3FB4">
      <w:pPr>
        <w:pStyle w:val="Normal12Italic"/>
        <w:rPr>
          <w:noProof w:val="0"/>
        </w:rPr>
      </w:pPr>
      <w:r>
        <w:rPr>
          <w:noProof w:val="0"/>
        </w:rPr>
        <w:t>…</w:t>
      </w:r>
    </w:p>
    <w:p w:rsidR="002F3FB4" w:rsidRDefault="002F3FB4" w:rsidP="002F3FB4">
      <w:pPr>
        <w:pStyle w:val="Normal12Italic"/>
        <w:rPr>
          <w:noProof w:val="0"/>
        </w:rPr>
      </w:pPr>
      <w:r>
        <w:rPr>
          <w:noProof w:val="0"/>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387</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Artikkel 7 – lõige 1 – punkt b – lõik 1</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rPr>
                <w:b/>
                <w:i/>
                <w:color w:val="000000"/>
              </w:rPr>
            </w:pPr>
            <w:r w:rsidRPr="00781174">
              <w:rPr>
                <w:b/>
                <w:i/>
                <w:color w:val="000000"/>
              </w:rPr>
              <w:t>olulist osa riigi territooriumist kontrollivad osapooled või organisatsioonid, sh rahvusvahelised organisatsioonid,</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388</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 – lõik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olulist osa riigi territooriumist kontrollivad osapooled või organisatsioonid, sh rahvusvahelised organisatsioonid,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1951. aasta pagulasseisundi konventsiooni kohaselt on ainus kaitse pakkuja riik [artik</w:t>
      </w:r>
      <w:r w:rsidR="00F3620F">
        <w:rPr>
          <w:noProof w:val="0"/>
        </w:rPr>
        <w:t>li</w:t>
      </w:r>
      <w:r>
        <w:rPr>
          <w:noProof w:val="0"/>
        </w:rPr>
        <w:t> 1</w:t>
      </w:r>
      <w:r w:rsidR="00F3620F">
        <w:rPr>
          <w:noProof w:val="0"/>
        </w:rPr>
        <w:t xml:space="preserve"> jaotise </w:t>
      </w:r>
      <w:r>
        <w:rPr>
          <w:noProof w:val="0"/>
        </w:rPr>
        <w:t>A lõige 2]: pagulane on isik „kes (...) põhjendatult kartes tagakiusamist (...) viibib väljaspool kodakondsusjärgset riiki ega suuda või kartuse tõttu ei taha saada sellelt riigilt kaitset või kes nimetatud sündmuste tagajärjel viibib kodakondsusetuna väljaspool oma endist asukohariiki ega suuda või kartuse tõttu ei taha sinna tagasi pöörduda.“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389</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 – lõik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olulist osa riigi territooriumist kontrollivad osapooled või organisatsioonid, sh rahvusvahelised organisatsioonid,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Kooskõlas 28. juulil 1951. aastal Genfis sõlmitud pagulasseisundi konventsiooni artikli 1</w:t>
      </w:r>
      <w:r w:rsidR="00F3620F">
        <w:rPr>
          <w:noProof w:val="0"/>
        </w:rPr>
        <w:t xml:space="preserve"> jaotise </w:t>
      </w:r>
      <w:r>
        <w:rPr>
          <w:noProof w:val="0"/>
        </w:rPr>
        <w:t>A lõikega 2, mida on muudetud 31. jaanuari 1967. aasta New Yorgi protokolliga.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 – lõik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kui nad väljendavad tahet pakkuda lõike 2 kohast kaitset ja suudavad seda teha.</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Kooskõlas 28. juulil 1951. aastal Genfis sõlmitud pagulasseisundi konventsiooni artikli 1</w:t>
      </w:r>
      <w:r w:rsidR="00F3620F">
        <w:rPr>
          <w:noProof w:val="0"/>
        </w:rPr>
        <w:t xml:space="preserve"> jaotise </w:t>
      </w:r>
      <w:r>
        <w:rPr>
          <w:noProof w:val="0"/>
        </w:rPr>
        <w:t>A lõikega 2, mida on muudetud 31. jaanuari 1967. aasta New Yorgi protokolliga.</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391</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 – lõik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rPr>
              <w:t xml:space="preserve">kui </w:t>
            </w:r>
            <w:r>
              <w:t xml:space="preserve">nad väljendavad tahet </w:t>
            </w:r>
            <w:r>
              <w:rPr>
                <w:b/>
                <w:i/>
              </w:rPr>
              <w:t xml:space="preserve">pakkuda </w:t>
            </w:r>
            <w:r>
              <w:t>lõike 2 kohast kaitset ja suudavad seda teha.</w:t>
            </w:r>
          </w:p>
        </w:tc>
        <w:tc>
          <w:tcPr>
            <w:tcW w:w="4876" w:type="dxa"/>
          </w:tcPr>
          <w:p w:rsidR="002F3FB4" w:rsidRDefault="002F3FB4" w:rsidP="00F37676">
            <w:pPr>
              <w:pStyle w:val="Normal6"/>
            </w:pPr>
            <w:r>
              <w:rPr>
                <w:b/>
                <w:i/>
              </w:rPr>
              <w:t>seni, kuni</w:t>
            </w:r>
            <w:r>
              <w:t xml:space="preserve"> nad väljendavad tahet </w:t>
            </w:r>
            <w:r>
              <w:rPr>
                <w:b/>
                <w:i/>
              </w:rPr>
              <w:t xml:space="preserve">tagada </w:t>
            </w:r>
            <w:r>
              <w:t>lõike 2 kohast kaitset ja suudavad seda teha.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1 – punkt b – lõik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rPr>
              <w:t xml:space="preserve">kui </w:t>
            </w:r>
            <w:r>
              <w:t xml:space="preserve">nad väljendavad tahet </w:t>
            </w:r>
            <w:r>
              <w:rPr>
                <w:b/>
                <w:i/>
              </w:rPr>
              <w:t xml:space="preserve">pakkuda </w:t>
            </w:r>
            <w:r>
              <w:t>lõike 2 kohast kaitset ja suudavad seda teha.</w:t>
            </w:r>
          </w:p>
        </w:tc>
        <w:tc>
          <w:tcPr>
            <w:tcW w:w="4876" w:type="dxa"/>
          </w:tcPr>
          <w:p w:rsidR="002F3FB4" w:rsidRDefault="002F3FB4" w:rsidP="00F37676">
            <w:pPr>
              <w:pStyle w:val="Normal6"/>
            </w:pPr>
            <w:r>
              <w:rPr>
                <w:b/>
                <w:i/>
              </w:rPr>
              <w:t>seni, kuni</w:t>
            </w:r>
            <w:r>
              <w:t xml:space="preserve"> nad väljendavad tahet </w:t>
            </w:r>
            <w:r>
              <w:rPr>
                <w:b/>
                <w:i/>
              </w:rPr>
              <w:t xml:space="preserve">tagada </w:t>
            </w:r>
            <w:r>
              <w:t>lõike 2 kohast kaitset ja suudavad seda teha.</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Variraportöör on raportööriga nõus, et taotleja kaitset tuleb praktikas tõestada asjaomasel konkreetsel juhul ning mitte ainult põhimõtteliselt või üldiselt. Pädev asutus peaks tõestama, et kaitse ei ole üksnes ajutine ja piiratud tõhususega.</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393</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Artikkel 7 – lõige 1 – punkt b – lõik 2</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t xml:space="preserve">kui nad väljendavad tahet </w:t>
            </w:r>
            <w:r w:rsidRPr="00781174">
              <w:rPr>
                <w:b/>
                <w:i/>
              </w:rPr>
              <w:t>pakkuda</w:t>
            </w:r>
            <w:r w:rsidRPr="00781174">
              <w:t xml:space="preserve"> lõike 2 </w:t>
            </w:r>
            <w:r w:rsidRPr="00781174">
              <w:rPr>
                <w:b/>
                <w:i/>
              </w:rPr>
              <w:t>kohast kaitset</w:t>
            </w:r>
            <w:r w:rsidRPr="00781174">
              <w:t xml:space="preserve"> ja suudavad seda teha.</w:t>
            </w:r>
          </w:p>
        </w:tc>
        <w:tc>
          <w:tcPr>
            <w:tcW w:w="4876" w:type="dxa"/>
          </w:tcPr>
          <w:p w:rsidR="002F3FB4" w:rsidRPr="00781174" w:rsidRDefault="002F3FB4" w:rsidP="00F37676">
            <w:pPr>
              <w:pStyle w:val="Normal6"/>
            </w:pPr>
            <w:r w:rsidRPr="00781174">
              <w:t xml:space="preserve">kui nad väljendavad tahet </w:t>
            </w:r>
            <w:r w:rsidRPr="00781174">
              <w:rPr>
                <w:b/>
                <w:i/>
              </w:rPr>
              <w:t>tagada</w:t>
            </w:r>
            <w:r w:rsidRPr="00781174">
              <w:t xml:space="preserve"> lõike 2 </w:t>
            </w:r>
            <w:r w:rsidRPr="00781174">
              <w:rPr>
                <w:b/>
                <w:i/>
              </w:rPr>
              <w:t>kohane kaitse</w:t>
            </w:r>
            <w:r w:rsidRPr="00781174">
              <w:t xml:space="preserve"> ja suudavad seda teha.</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394</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Kaitse tagakiusamise või suure kahju tekitamise eest peab olema tõhus ja püsiv. </w:t>
            </w:r>
            <w:r>
              <w:rPr>
                <w:b/>
                <w:i/>
                <w:color w:val="000000"/>
              </w:rPr>
              <w:t>Kaitse pakkumiseks loetakse seda, kui lõikes 1 osutatud osalised astuvad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c>
          <w:tcPr>
            <w:tcW w:w="4876" w:type="dxa"/>
          </w:tcPr>
          <w:p w:rsidR="002F3FB4" w:rsidRDefault="002F3FB4" w:rsidP="00F37676">
            <w:pPr>
              <w:pStyle w:val="Normal6"/>
            </w:pPr>
            <w:r>
              <w:t>2.</w:t>
            </w:r>
            <w:r>
              <w:tab/>
              <w:t>Kaitse tagakiusamise või suure kahju tekitamise eest peab olema tõhus ja püsiv.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395</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Kaitse tagakiusamise või suure kahju tekitamise eest peab olema tõhus ja püsiv. </w:t>
            </w:r>
            <w:r>
              <w:rPr>
                <w:b/>
                <w:i/>
                <w:color w:val="000000"/>
              </w:rPr>
              <w:t>Kaitse pakkumiseks loetakse seda, kui lõikes 1 osutatud osalised astuvad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c>
          <w:tcPr>
            <w:tcW w:w="4876" w:type="dxa"/>
          </w:tcPr>
          <w:p w:rsidR="002F3FB4" w:rsidRDefault="002F3FB4" w:rsidP="00F37676">
            <w:pPr>
              <w:pStyle w:val="Normal6"/>
            </w:pPr>
            <w:r>
              <w:t>2.</w:t>
            </w:r>
            <w:r>
              <w:tab/>
              <w:t>Kaitse tagakiusamise või suure kahju tekitamise eest peab olema tõhus ja püsiv.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396</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Kaitse tagakiusamise või suure kahju tekitamise eest peab olema tõhus</w:t>
            </w:r>
            <w:r>
              <w:rPr>
                <w:b/>
                <w:i/>
              </w:rPr>
              <w:t xml:space="preserve"> ja püsiv</w:t>
            </w:r>
            <w:r>
              <w:t>. Kaitse pakkumiseks loetakse seda, kui lõikes 1 osutatud osalised astuvad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c>
          <w:tcPr>
            <w:tcW w:w="4876" w:type="dxa"/>
          </w:tcPr>
          <w:p w:rsidR="002F3FB4" w:rsidRDefault="002F3FB4" w:rsidP="00F37676">
            <w:pPr>
              <w:pStyle w:val="Normal6"/>
            </w:pPr>
            <w:r>
              <w:t>2.</w:t>
            </w:r>
            <w:r>
              <w:tab/>
              <w:t>Kaitse tagakiusamise või suure kahju tekitamise eest peab olema tõhus. Kaitse pakkumiseks loetakse seda, kui lõikes 1 osutatud osalised astuvad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Kaitse tagakiusamise või suure kahju tekitamise eest peab olema tõhus ja püsiv. Kaitse pakkumiseks loetakse seda, kui </w:t>
            </w:r>
            <w:r>
              <w:rPr>
                <w:b/>
                <w:i/>
              </w:rPr>
              <w:t>lõikes 1 osutatud osalised astuvad</w:t>
            </w:r>
            <w:r>
              <w:t xml:space="preserve">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c>
          <w:tcPr>
            <w:tcW w:w="4876" w:type="dxa"/>
          </w:tcPr>
          <w:p w:rsidR="002F3FB4" w:rsidRDefault="002F3FB4" w:rsidP="00F37676">
            <w:pPr>
              <w:pStyle w:val="Normal6"/>
            </w:pPr>
            <w:r>
              <w:t>2.</w:t>
            </w:r>
            <w:r>
              <w:tab/>
              <w:t xml:space="preserve">Kaitse tagakiusamise või suure kahju tekitamise eest peab olema tõhus ja püsiv. Kaitse pakkumiseks loetakse seda, kui </w:t>
            </w:r>
            <w:r>
              <w:rPr>
                <w:b/>
                <w:i/>
              </w:rPr>
              <w:t>riik astub</w:t>
            </w:r>
            <w:r>
              <w:t xml:space="preserve"> mõistlikke samme, et ära hoida tagakiusamist või suure kahju kannatamist, kasutades selleks muu hulgas tõhusat õigussüsteemi tagakiusamise või suure kahju tekitamisena käsitatavate tegude avastamiseks, nende eest vastutusele võtmiseks ja karistuse määramiseks, ning kui kõnealune kaitse on taotlejale kättesaadav.</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398</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Artikkel 7 – lõige 3</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rPr>
                <w:b/>
                <w:i/>
                <w:color w:val="000000"/>
              </w:rPr>
              <w:t>3.</w:t>
            </w:r>
            <w:r w:rsidRPr="00781174">
              <w:tab/>
            </w:r>
            <w:r w:rsidRPr="00781174">
              <w:rPr>
                <w:b/>
                <w:i/>
              </w:rPr>
              <w:t>Hinnates, kas rahvusvaheline organisatsioon kontrollib riiki või olulist osa riigi territooriumist ja pakub lõikes 2 osutatud kaitset, juhinduvad menetlevad ametiasutused asjaomases liidu õiguses esitatud suunistest, eelkõige liidu tasandil kättesaadavast teabest päritoluliikmesriigi kohta ning päritoluriikide teabe ühisest analüüsist, millele on osutatud määruse (EL) nr XXX/XX [määrus Euroopa Liidu Varjupaigaameti kohta] artiklites 8 ja 10.</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781174" w:rsidRDefault="002F3FB4" w:rsidP="002F3FB4">
      <w:r w:rsidRPr="00781174">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399</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r>
            <w:r>
              <w:rPr>
                <w:b/>
                <w:i/>
              </w:rPr>
              <w:t xml:space="preserve">Hinnates, kas rahvusvaheline organisatsioon kontrollib riiki või olulist osa riigi territooriumist ja pakub lõikes 2 osutatud kaitset, juhinduvad menetlevad ametiasutused asjaomases liidu õiguses esitatud suunistest, eelkõige </w:t>
            </w:r>
            <w:r w:rsidRPr="006F55E6">
              <w:t>liidu tasandil</w:t>
            </w:r>
            <w:r>
              <w:rPr>
                <w:b/>
                <w:i/>
              </w:rPr>
              <w:t xml:space="preserve"> kättesaadavast teabest päritoluliikmesriigi kohta ning </w:t>
            </w:r>
            <w:r w:rsidRPr="006F55E6">
              <w:t>päritoluriikide</w:t>
            </w:r>
            <w:r>
              <w:rPr>
                <w:b/>
                <w:i/>
              </w:rPr>
              <w:t xml:space="preserve"> teabe ühisest analüüsist</w:t>
            </w:r>
            <w:r>
              <w:t>, millele on osutatud määruse (EL) nr XXX/XX [määrus Euroopa Liidu Varjupaigaameti kohta] artiklites 8 ja 10.</w:t>
            </w:r>
          </w:p>
        </w:tc>
        <w:tc>
          <w:tcPr>
            <w:tcW w:w="4876" w:type="dxa"/>
          </w:tcPr>
          <w:p w:rsidR="002F3FB4" w:rsidRDefault="002F3FB4" w:rsidP="00F37676">
            <w:pPr>
              <w:pStyle w:val="Normal6"/>
            </w:pPr>
            <w:r>
              <w:t>3.</w:t>
            </w:r>
            <w:r>
              <w:tab/>
            </w:r>
            <w:r>
              <w:rPr>
                <w:b/>
                <w:i/>
                <w:color w:val="000000"/>
              </w:rPr>
              <w:t xml:space="preserve">Menetlevad ametiasutused hangivad kindlasti kõigist asjakohastest riiklikest, liidu ja rahvusvahelistest allikatest, sh Euroopa Liidu Varjupaigaametist, ÜRO Pagulaste Ülemvoliniku Ameti inimõiguste ekspertidelt ja vabaühendustelt täpse ja ajakohase teabe ja suunised, mis käsitlevad olukorda päritoluriikides, ning võtavad neid arvesse. </w:t>
            </w:r>
            <w:r>
              <w:rPr>
                <w:b/>
                <w:i/>
              </w:rPr>
              <w:t xml:space="preserve">Menetlevad ametiasutused võivad otsustada pöörata </w:t>
            </w:r>
            <w:r w:rsidRPr="006F55E6">
              <w:t>liidu tasandil</w:t>
            </w:r>
            <w:r>
              <w:rPr>
                <w:b/>
                <w:i/>
              </w:rPr>
              <w:t xml:space="preserve"> erilist tähelepanu </w:t>
            </w:r>
            <w:r w:rsidRPr="006F55E6">
              <w:t>päritoluriikide</w:t>
            </w:r>
            <w:r>
              <w:rPr>
                <w:b/>
                <w:i/>
              </w:rPr>
              <w:t xml:space="preserve"> teabele, konkreetsete päritoluriikide olukorra ühisele analüüsile ja suunistele</w:t>
            </w:r>
            <w:r>
              <w:t>, millele on osutatud määruse (EL) nr XXX/XX [määrus Euroopa Liidu Varjupaigaameti kohta] artiklites 8 ja 10.</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400</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Hinnates, kas rahvusvaheline organisatsioon kontrollib riiki või olulist osa riigi territooriumist ja pakub lõikes 2 osutatud kaitset, </w:t>
            </w:r>
            <w:r>
              <w:rPr>
                <w:b/>
                <w:i/>
              </w:rPr>
              <w:t xml:space="preserve">juhinduvad </w:t>
            </w:r>
            <w:r>
              <w:t xml:space="preserve">menetlevad ametiasutused asjaomases liidu õiguses esitatud </w:t>
            </w:r>
            <w:r>
              <w:rPr>
                <w:b/>
                <w:i/>
              </w:rPr>
              <w:t>suunistest</w:t>
            </w:r>
            <w:r>
              <w:t xml:space="preserve">, eelkõige liidu tasandil </w:t>
            </w:r>
            <w:r>
              <w:rPr>
                <w:b/>
                <w:i/>
              </w:rPr>
              <w:t>kättesaadavast teabest</w:t>
            </w:r>
            <w:r>
              <w:t xml:space="preserve"> päritoluliikmesriigi kohta ning päritoluriikide teabe </w:t>
            </w:r>
            <w:r>
              <w:rPr>
                <w:b/>
                <w:i/>
              </w:rPr>
              <w:t>ühisest analüüsist</w:t>
            </w:r>
            <w:r>
              <w:t>, millele on osutatud määruse (EL) nr XXX/XX [määrus Euroopa Liidu Varjupaigaameti kohta] artiklites 8 ja 10.</w:t>
            </w:r>
          </w:p>
        </w:tc>
        <w:tc>
          <w:tcPr>
            <w:tcW w:w="4876" w:type="dxa"/>
          </w:tcPr>
          <w:p w:rsidR="002F3FB4" w:rsidRDefault="002F3FB4" w:rsidP="00F37676">
            <w:pPr>
              <w:pStyle w:val="Normal6"/>
            </w:pPr>
            <w:r>
              <w:t>3.</w:t>
            </w:r>
            <w:r>
              <w:tab/>
              <w:t xml:space="preserve">Hinnates, kas rahvusvaheline organisatsioon kontrollib riiki või olulist osa riigi territooriumist ja pakub lõikes 2 osutatud kaitset, </w:t>
            </w:r>
            <w:r>
              <w:rPr>
                <w:b/>
                <w:i/>
              </w:rPr>
              <w:t>võtavad</w:t>
            </w:r>
            <w:r>
              <w:t xml:space="preserve"> menetlevad ametiasutused </w:t>
            </w:r>
            <w:r>
              <w:rPr>
                <w:b/>
                <w:i/>
              </w:rPr>
              <w:t xml:space="preserve">arvesse </w:t>
            </w:r>
            <w:r>
              <w:t xml:space="preserve">asjaomases liidu õiguses esitatud </w:t>
            </w:r>
            <w:r>
              <w:rPr>
                <w:b/>
                <w:i/>
              </w:rPr>
              <w:t>suuniseid</w:t>
            </w:r>
            <w:r>
              <w:t xml:space="preserve">, eelkõige liidu tasandil </w:t>
            </w:r>
            <w:r>
              <w:rPr>
                <w:b/>
                <w:i/>
              </w:rPr>
              <w:t>kättesaadavat teavet</w:t>
            </w:r>
            <w:r>
              <w:t xml:space="preserve"> päritoluliikmesriigi kohta ning päritoluriikide teabe </w:t>
            </w:r>
            <w:r>
              <w:rPr>
                <w:b/>
                <w:i/>
              </w:rPr>
              <w:t>ühist analüüsi</w:t>
            </w:r>
            <w:r>
              <w:t>, millele on osutatud määruse (EL) nr XXX/XX [määrus Euroopa Liidu Varjupaigaameti kohta] artiklites 8 ja 10</w:t>
            </w:r>
            <w:r>
              <w:rPr>
                <w:b/>
                <w:i/>
              </w:rPr>
              <w:t xml:space="preserve">, ja </w:t>
            </w:r>
            <w:r w:rsidR="00F3620F">
              <w:rPr>
                <w:b/>
                <w:i/>
              </w:rPr>
              <w:t>juhinduvad neist</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401</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7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Hinnates, kas rahvusvaheline organisatsioon kontrollib riiki või olulist osa riigi territooriumist ja pakub lõikes 2 osutatud kaitset, </w:t>
            </w:r>
            <w:r>
              <w:rPr>
                <w:b/>
                <w:i/>
              </w:rPr>
              <w:t xml:space="preserve">juhinduvad </w:t>
            </w:r>
            <w:r>
              <w:t xml:space="preserve">menetlevad ametiasutused asjaomases liidu õiguses esitatud </w:t>
            </w:r>
            <w:r>
              <w:rPr>
                <w:b/>
                <w:i/>
              </w:rPr>
              <w:t>suunistest</w:t>
            </w:r>
            <w:r>
              <w:t xml:space="preserve">, eelkõige liidu tasandil </w:t>
            </w:r>
            <w:r>
              <w:rPr>
                <w:b/>
                <w:i/>
              </w:rPr>
              <w:t>kättesaadavast teabest</w:t>
            </w:r>
            <w:r>
              <w:t xml:space="preserve"> päritoluliikmesriigi kohta ning päritoluriikide teabe </w:t>
            </w:r>
            <w:r>
              <w:rPr>
                <w:b/>
                <w:i/>
              </w:rPr>
              <w:t>ühisest analüüsist</w:t>
            </w:r>
            <w:r>
              <w:t>, millele on osutatud määruse (EL) nr XXX/XX [määrus Euroopa Liidu Varjupaigaameti kohta] artiklites 8 ja 10.</w:t>
            </w:r>
          </w:p>
        </w:tc>
        <w:tc>
          <w:tcPr>
            <w:tcW w:w="4876" w:type="dxa"/>
          </w:tcPr>
          <w:p w:rsidR="002F3FB4" w:rsidRDefault="002F3FB4" w:rsidP="00F37676">
            <w:pPr>
              <w:pStyle w:val="Normal6"/>
            </w:pPr>
            <w:r>
              <w:t>3.</w:t>
            </w:r>
            <w:r>
              <w:tab/>
              <w:t xml:space="preserve">Hinnates, kas rahvusvaheline organisatsioon kontrollib riiki või olulist osa riigi territooriumist ja pakub lõikes 2 osutatud kaitset, </w:t>
            </w:r>
            <w:r>
              <w:rPr>
                <w:b/>
                <w:i/>
              </w:rPr>
              <w:t xml:space="preserve">võivad </w:t>
            </w:r>
            <w:r>
              <w:t xml:space="preserve">menetlevad ametiasutused </w:t>
            </w:r>
            <w:r>
              <w:rPr>
                <w:b/>
                <w:i/>
              </w:rPr>
              <w:t xml:space="preserve">võtta arvesse </w:t>
            </w:r>
            <w:r>
              <w:t xml:space="preserve">asjaomases liidu õiguses esitatud </w:t>
            </w:r>
            <w:r>
              <w:rPr>
                <w:b/>
                <w:i/>
              </w:rPr>
              <w:t>suuniseid</w:t>
            </w:r>
            <w:r>
              <w:t xml:space="preserve">, eelkõige liidu tasandil </w:t>
            </w:r>
            <w:r>
              <w:rPr>
                <w:b/>
                <w:i/>
              </w:rPr>
              <w:t>kättesaadavat teavet</w:t>
            </w:r>
            <w:r>
              <w:t xml:space="preserve"> päritoluliikmesriigi kohta ning päritoluriikide teabe </w:t>
            </w:r>
            <w:r>
              <w:rPr>
                <w:b/>
                <w:i/>
              </w:rPr>
              <w:t>ühist analüüsi</w:t>
            </w:r>
            <w:r>
              <w:t>, millele on osutatud määruse (EL) nr XXX/XX [määrus Euroopa Liidu Varjupaigaameti kohta] artiklites 8 ja 10.</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402</w:t>
      </w:r>
      <w:r>
        <w:rPr>
          <w:rStyle w:val="HideTWBExt"/>
          <w:b w:val="0"/>
          <w:noProof w:val="0"/>
        </w:rPr>
        <w:t>&lt;/NumAmB&gt;</w:t>
      </w:r>
    </w:p>
    <w:p w:rsidR="002F3FB4" w:rsidRDefault="002F3FB4" w:rsidP="002F3FB4">
      <w:pPr>
        <w:pStyle w:val="NormalBold"/>
      </w:pPr>
      <w:r>
        <w:rPr>
          <w:rStyle w:val="HideTWBExt"/>
          <w:b w:val="0"/>
          <w:noProof w:val="0"/>
        </w:rPr>
        <w:t>&lt;RepeatBlock-By&gt;&lt;Members&gt;</w:t>
      </w:r>
      <w:r>
        <w:t>Barbara Spinelli, Cornelia Ernst</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Riigisisese kaitse mõiste ei pärine 1951. aasta pagulasseisundi konventsioonist ning lisab pagulasseisundi saamise õigusele täiendava kriteeriumi, mis ei ole hõlmatud pagulasseisundi konventsiooni artikli 1</w:t>
      </w:r>
      <w:r w:rsidR="00F3620F">
        <w:rPr>
          <w:noProof w:val="0"/>
        </w:rPr>
        <w:t xml:space="preserve"> jaotises </w:t>
      </w:r>
      <w:r>
        <w:rPr>
          <w:noProof w:val="0"/>
        </w:rPr>
        <w:t>A ettenähtud kriteeriumidega, mistõttu kaasneb sellega oht jätta ELi õiguse alusel kaitse andmata taotlejatele, kellel on konventsiooni alusel õigus kaitsele.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403</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Pr="00781174" w:rsidRDefault="002F3FB4" w:rsidP="002F3FB4">
      <w:pPr>
        <w:pStyle w:val="AMNumberTabs"/>
      </w:pPr>
      <w:r w:rsidRPr="00781174">
        <w:rPr>
          <w:rStyle w:val="HideTWBExt"/>
          <w:b w:val="0"/>
          <w:noProof w:val="0"/>
        </w:rPr>
        <w:t>&lt;AmendB&gt;</w:t>
      </w:r>
      <w:r w:rsidRPr="00781174">
        <w:t xml:space="preserve">Muudatusettepanek </w:t>
      </w:r>
      <w:r w:rsidRPr="00781174">
        <w:tab/>
      </w:r>
      <w:r w:rsidRPr="00781174">
        <w:rPr>
          <w:rStyle w:val="HideTWBExt"/>
          <w:b w:val="0"/>
          <w:noProof w:val="0"/>
        </w:rPr>
        <w:t>&lt;NumAmB&gt;</w:t>
      </w:r>
      <w:r w:rsidRPr="00781174">
        <w:t>404</w:t>
      </w:r>
      <w:r w:rsidRPr="00781174">
        <w:rPr>
          <w:rStyle w:val="HideTWBExt"/>
          <w:b w:val="0"/>
          <w:noProof w:val="0"/>
        </w:rPr>
        <w:t>&lt;/NumAmB&gt;</w:t>
      </w:r>
    </w:p>
    <w:p w:rsidR="002F3FB4" w:rsidRPr="00781174" w:rsidRDefault="002F3FB4" w:rsidP="002F3FB4">
      <w:pPr>
        <w:pStyle w:val="NormalBold"/>
      </w:pPr>
      <w:r w:rsidRPr="00781174">
        <w:rPr>
          <w:rStyle w:val="HideTWBExt"/>
          <w:b w:val="0"/>
          <w:noProof w:val="0"/>
        </w:rPr>
        <w:t>&lt;RepeatBlock-By&gt;&lt;Members&gt;</w:t>
      </w:r>
      <w:r w:rsidRPr="00781174">
        <w:t>Fabio Massimo Castaldo, Laura Ferrara, Ignazio Corrao</w:t>
      </w:r>
      <w:r w:rsidRPr="00781174">
        <w:rPr>
          <w:rStyle w:val="HideTWBExt"/>
          <w:b w:val="0"/>
          <w:noProof w:val="0"/>
        </w:rPr>
        <w:t>&lt;/Members&gt;</w:t>
      </w:r>
    </w:p>
    <w:p w:rsidR="002F3FB4" w:rsidRPr="00781174" w:rsidRDefault="002F3FB4" w:rsidP="002F3FB4">
      <w:pPr>
        <w:pStyle w:val="NormalBold"/>
      </w:pPr>
      <w:r w:rsidRPr="00781174">
        <w:rPr>
          <w:rStyle w:val="HideTWBExt"/>
          <w:b w:val="0"/>
          <w:noProof w:val="0"/>
        </w:rPr>
        <w:t>&lt;/RepeatBlock-By&gt;</w:t>
      </w:r>
    </w:p>
    <w:p w:rsidR="002F3FB4" w:rsidRPr="00781174" w:rsidRDefault="002F3FB4" w:rsidP="002F3FB4">
      <w:pPr>
        <w:pStyle w:val="NormalBold"/>
      </w:pPr>
      <w:r w:rsidRPr="00781174">
        <w:rPr>
          <w:rStyle w:val="HideTWBExt"/>
          <w:b w:val="0"/>
          <w:noProof w:val="0"/>
        </w:rPr>
        <w:t>&lt;DocAmend&gt;</w:t>
      </w:r>
      <w:r w:rsidRPr="00781174">
        <w:t>Ettepanek võtta vastu määrus</w:t>
      </w:r>
      <w:r w:rsidRPr="00781174">
        <w:rPr>
          <w:rStyle w:val="HideTWBExt"/>
          <w:b w:val="0"/>
          <w:noProof w:val="0"/>
        </w:rPr>
        <w:t>&lt;/DocAmend&gt;</w:t>
      </w:r>
    </w:p>
    <w:p w:rsidR="002F3FB4" w:rsidRPr="00781174" w:rsidRDefault="002F3FB4" w:rsidP="002F3FB4">
      <w:pPr>
        <w:pStyle w:val="NormalBold"/>
      </w:pPr>
      <w:r w:rsidRPr="00781174">
        <w:rPr>
          <w:rStyle w:val="HideTWBExt"/>
          <w:b w:val="0"/>
          <w:noProof w:val="0"/>
        </w:rPr>
        <w:t>&lt;Article&gt;</w:t>
      </w:r>
      <w:r w:rsidRPr="00781174">
        <w:t>Artikkel 8</w:t>
      </w:r>
      <w:r w:rsidRPr="0078117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RPr="00781174" w:rsidTr="00F37676">
        <w:trPr>
          <w:trHeight w:hRule="exact" w:val="240"/>
          <w:jc w:val="center"/>
        </w:trPr>
        <w:tc>
          <w:tcPr>
            <w:tcW w:w="9752" w:type="dxa"/>
            <w:gridSpan w:val="2"/>
          </w:tcPr>
          <w:p w:rsidR="002F3FB4" w:rsidRPr="00781174" w:rsidRDefault="002F3FB4" w:rsidP="00F37676"/>
        </w:tc>
      </w:tr>
      <w:tr w:rsidR="002F3FB4" w:rsidRPr="00781174" w:rsidTr="00F37676">
        <w:trPr>
          <w:trHeight w:val="240"/>
          <w:jc w:val="center"/>
        </w:trPr>
        <w:tc>
          <w:tcPr>
            <w:tcW w:w="4876" w:type="dxa"/>
          </w:tcPr>
          <w:p w:rsidR="002F3FB4" w:rsidRPr="00781174" w:rsidRDefault="002F3FB4" w:rsidP="00F37676">
            <w:pPr>
              <w:pStyle w:val="ColumnHeading"/>
            </w:pPr>
            <w:r w:rsidRPr="00781174">
              <w:t>Komisjoni ettepanek</w:t>
            </w:r>
          </w:p>
        </w:tc>
        <w:tc>
          <w:tcPr>
            <w:tcW w:w="4876" w:type="dxa"/>
          </w:tcPr>
          <w:p w:rsidR="002F3FB4" w:rsidRPr="00781174" w:rsidRDefault="002F3FB4" w:rsidP="00F37676">
            <w:pPr>
              <w:pStyle w:val="ColumnHeading"/>
            </w:pPr>
            <w:r w:rsidRPr="00781174">
              <w:t>Muudatusettepanek</w:t>
            </w:r>
          </w:p>
        </w:tc>
      </w:tr>
      <w:tr w:rsidR="002F3FB4" w:rsidRPr="00781174" w:rsidTr="00F37676">
        <w:trPr>
          <w:jc w:val="center"/>
        </w:trPr>
        <w:tc>
          <w:tcPr>
            <w:tcW w:w="4876" w:type="dxa"/>
          </w:tcPr>
          <w:p w:rsidR="002F3FB4" w:rsidRPr="00781174" w:rsidRDefault="002F3FB4" w:rsidP="00F37676">
            <w:pPr>
              <w:pStyle w:val="Normal6"/>
            </w:pPr>
            <w:r w:rsidRPr="00781174">
              <w:rPr>
                <w:b/>
                <w:i/>
                <w:color w:val="000000"/>
              </w:rPr>
              <w:t>[...]</w:t>
            </w:r>
          </w:p>
        </w:tc>
        <w:tc>
          <w:tcPr>
            <w:tcW w:w="4876" w:type="dxa"/>
          </w:tcPr>
          <w:p w:rsidR="002F3FB4" w:rsidRPr="00781174" w:rsidRDefault="002F3FB4" w:rsidP="00F37676">
            <w:pPr>
              <w:pStyle w:val="Normal6"/>
            </w:pPr>
            <w:r w:rsidRPr="00781174">
              <w:rPr>
                <w:b/>
                <w:i/>
                <w:color w:val="000000"/>
              </w:rPr>
              <w:t>välja jäetud</w:t>
            </w:r>
          </w:p>
        </w:tc>
      </w:tr>
    </w:tbl>
    <w:p w:rsidR="002F3FB4" w:rsidRPr="00781174" w:rsidRDefault="002F3FB4" w:rsidP="002F3FB4">
      <w:pPr>
        <w:pStyle w:val="Olang"/>
        <w:rPr>
          <w:noProof w:val="0"/>
        </w:rPr>
      </w:pPr>
      <w:r w:rsidRPr="00781174">
        <w:rPr>
          <w:noProof w:val="0"/>
        </w:rPr>
        <w:t xml:space="preserve">Or. </w:t>
      </w:r>
      <w:r w:rsidRPr="00781174">
        <w:rPr>
          <w:rStyle w:val="HideTWBExt"/>
          <w:noProof w:val="0"/>
        </w:rPr>
        <w:t>&lt;Original&gt;</w:t>
      </w:r>
      <w:r w:rsidRPr="00781174">
        <w:rPr>
          <w:rStyle w:val="HideTWBInt"/>
          <w:noProof w:val="0"/>
        </w:rPr>
        <w:t>{IT}</w:t>
      </w:r>
      <w:r w:rsidRPr="00781174">
        <w:rPr>
          <w:noProof w:val="0"/>
        </w:rPr>
        <w:t>it</w:t>
      </w:r>
      <w:r w:rsidRPr="00781174">
        <w:rPr>
          <w:rStyle w:val="HideTWBExt"/>
          <w:noProof w:val="0"/>
        </w:rPr>
        <w:t>&lt;/Original&gt;</w:t>
      </w:r>
    </w:p>
    <w:p w:rsidR="002F3FB4" w:rsidRPr="002F3FB4" w:rsidRDefault="002F3FB4" w:rsidP="002F3FB4">
      <w:pPr>
        <w:pStyle w:val="AMNumberTabs"/>
      </w:pPr>
      <w:r w:rsidRPr="002F3FB4">
        <w:rPr>
          <w:rStyle w:val="HideTWBExt"/>
          <w:b w:val="0"/>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405</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1.</w:t>
            </w:r>
            <w:r>
              <w:tab/>
            </w:r>
            <w:r>
              <w:rPr>
                <w:b/>
                <w:i/>
                <w:color w:val="000000"/>
              </w:rPr>
              <w:t>Rahvusvahelise kaitse taotluse hindamise osana teeb menetlev ametiasutus kindlaks, et taotleja ei vaja rahvusvahelist kaitset, kui ta võib päritoluriigi mingis osas turvaliselt ja seaduslikult reisida, tal on sinna juurdepääs ja talt võib mõistlikult eeldada sinna elama asumist ning eeldusel, et riigi selles osas tal</w:t>
            </w:r>
          </w:p>
        </w:tc>
        <w:tc>
          <w:tcPr>
            <w:tcW w:w="4876" w:type="dxa"/>
          </w:tcPr>
          <w:p w:rsidR="002F3FB4" w:rsidRDefault="002F3FB4" w:rsidP="00F37676">
            <w:pPr>
              <w:pStyle w:val="Normal6"/>
            </w:pPr>
            <w:r>
              <w:rPr>
                <w:b/>
                <w:i/>
                <w:color w:val="000000"/>
              </w:rPr>
              <w:t>välja jäetud</w:t>
            </w:r>
          </w:p>
        </w:tc>
      </w:tr>
      <w:tr w:rsidR="002F3FB4" w:rsidTr="00F37676">
        <w:trPr>
          <w:jc w:val="center"/>
        </w:trPr>
        <w:tc>
          <w:tcPr>
            <w:tcW w:w="4876" w:type="dxa"/>
          </w:tcPr>
          <w:p w:rsidR="002F3FB4" w:rsidRDefault="002F3FB4" w:rsidP="00F37676">
            <w:pPr>
              <w:pStyle w:val="Normal6"/>
            </w:pPr>
            <w:r>
              <w:rPr>
                <w:b/>
                <w:i/>
                <w:color w:val="000000"/>
              </w:rPr>
              <w:t>(a) puudub põhjendatud tagakiusamise kartus või suure kahju kannatamise reaalne oht või</w:t>
            </w:r>
          </w:p>
        </w:tc>
        <w:tc>
          <w:tcPr>
            <w:tcW w:w="4876" w:type="dxa"/>
          </w:tcPr>
          <w:p w:rsidR="002F3FB4" w:rsidRDefault="002F3FB4" w:rsidP="00F37676">
            <w:pPr>
              <w:pStyle w:val="Normal6"/>
            </w:pPr>
          </w:p>
        </w:tc>
      </w:tr>
      <w:tr w:rsidR="002F3FB4" w:rsidTr="00F37676">
        <w:trPr>
          <w:jc w:val="center"/>
        </w:trPr>
        <w:tc>
          <w:tcPr>
            <w:tcW w:w="4876" w:type="dxa"/>
          </w:tcPr>
          <w:p w:rsidR="002F3FB4" w:rsidRDefault="002F3FB4" w:rsidP="00F37676">
            <w:pPr>
              <w:pStyle w:val="Normal6"/>
            </w:pPr>
            <w:r>
              <w:rPr>
                <w:b/>
                <w:i/>
                <w:color w:val="000000"/>
              </w:rPr>
              <w:t>(b) talle on kättesaadav kaitse tagakiusamise või suure kahju tekitamise eest.</w:t>
            </w:r>
          </w:p>
        </w:tc>
        <w:tc>
          <w:tcPr>
            <w:tcW w:w="4876" w:type="dxa"/>
          </w:tcPr>
          <w:p w:rsidR="002F3FB4" w:rsidRDefault="002F3FB4" w:rsidP="00F37676">
            <w:pPr>
              <w:pStyle w:val="Normal6"/>
            </w:pP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406</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1 – sissejuhatav osa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1.</w:t>
            </w:r>
            <w:r>
              <w:tab/>
              <w:t xml:space="preserve">Rahvusvahelise kaitse taotluse hindamise osana </w:t>
            </w:r>
            <w:r>
              <w:rPr>
                <w:b/>
                <w:i/>
              </w:rPr>
              <w:t>teeb</w:t>
            </w:r>
            <w:r>
              <w:t xml:space="preserve"> menetlev ametiasutus kindlaks, et taotleja ei vaja rahvusvahelist kaitset, kui ta võib päritoluriigi mingis osas turvaliselt ja seaduslikult reisida, tal on sinna juurdepääs ja talt võib mõistlikult eeldada sinna elama asumist ning eeldusel, et riigi selles osas tal</w:t>
            </w:r>
          </w:p>
        </w:tc>
        <w:tc>
          <w:tcPr>
            <w:tcW w:w="4876" w:type="dxa"/>
          </w:tcPr>
          <w:p w:rsidR="002F3FB4" w:rsidRDefault="002F3FB4" w:rsidP="00F37676">
            <w:pPr>
              <w:pStyle w:val="Normal6"/>
            </w:pPr>
            <w:r>
              <w:t>1.</w:t>
            </w:r>
            <w:r>
              <w:tab/>
              <w:t xml:space="preserve">Rahvusvahelise kaitse taotluse hindamise osana </w:t>
            </w:r>
            <w:r>
              <w:rPr>
                <w:b/>
                <w:i/>
              </w:rPr>
              <w:t xml:space="preserve">ja tingimusel, et riik või riigi esindaja ei ole tagakiusaja või suure kahju põhjustaja, võib </w:t>
            </w:r>
            <w:r>
              <w:t>menetlev ametiasutus kindlaks</w:t>
            </w:r>
            <w:r>
              <w:rPr>
                <w:b/>
                <w:i/>
              </w:rPr>
              <w:t xml:space="preserve"> teha</w:t>
            </w:r>
            <w:r>
              <w:t>, et taotleja ei vaja rahvusvahelist kaitset, kui ta võib päritoluriigi mingis osas turvaliselt ja seaduslikult reisida, tal on sinna juurdepääs ja talt võib mõistlikult eeldada sinna elama asumist ning eeldusel, et riigi selles osas tal</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407</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1 – punkt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(a)</w:t>
            </w:r>
            <w:r>
              <w:tab/>
            </w:r>
            <w:r>
              <w:rPr>
                <w:b/>
                <w:i/>
                <w:color w:val="000000"/>
              </w:rPr>
              <w:t>puudub põhjendatud tagakiusamise kartus või suure kahju kannatamise reaalne oht või</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408</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1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(b)</w:t>
            </w:r>
            <w:r>
              <w:tab/>
            </w:r>
            <w:r>
              <w:rPr>
                <w:b/>
                <w:i/>
                <w:color w:val="000000"/>
              </w:rPr>
              <w:t>talle on kättesaadav kaitse tagakiusamise või suure kahju tekitamise eest.</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409</w:t>
      </w:r>
      <w:r>
        <w:rPr>
          <w:rStyle w:val="HideTWBExt"/>
          <w:b w:val="0"/>
          <w:noProof w:val="0"/>
        </w:rPr>
        <w:t>&lt;/NumAmB&gt;</w:t>
      </w:r>
    </w:p>
    <w:p w:rsidR="002F3FB4" w:rsidRDefault="002F3FB4" w:rsidP="002F3FB4">
      <w:pPr>
        <w:pStyle w:val="NormalBold"/>
      </w:pPr>
      <w:r>
        <w:rPr>
          <w:rStyle w:val="HideTWBExt"/>
          <w:b w:val="0"/>
          <w:noProof w:val="0"/>
        </w:rPr>
        <w:t>&lt;RepeatBlock-By&gt;&lt;Members&gt;</w:t>
      </w:r>
      <w:r>
        <w:t>Angelika Mlinar, Cecilia Wikström, Maite Pagazaurtundúa Ruiz</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1 – punkt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(b)</w:t>
            </w:r>
            <w:r>
              <w:tab/>
              <w:t>talle on kättesaadav kaitse tagakiusamise või suure kahju tekitamise eest.</w:t>
            </w:r>
          </w:p>
        </w:tc>
        <w:tc>
          <w:tcPr>
            <w:tcW w:w="4876" w:type="dxa"/>
          </w:tcPr>
          <w:p w:rsidR="002F3FB4" w:rsidRDefault="002F3FB4" w:rsidP="00F37676">
            <w:pPr>
              <w:pStyle w:val="Normal6"/>
            </w:pPr>
            <w:r>
              <w:t>(b)</w:t>
            </w:r>
            <w:r>
              <w:tab/>
              <w:t xml:space="preserve">talle on kättesaadav </w:t>
            </w:r>
            <w:r>
              <w:rPr>
                <w:b/>
                <w:i/>
              </w:rPr>
              <w:t xml:space="preserve">täielik tõhus ja püsiv </w:t>
            </w:r>
            <w:r>
              <w:t>kaitse tagakiusamise või suure kahju tekitamise eest.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410</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2.</w:t>
            </w:r>
            <w:r>
              <w:tab/>
            </w:r>
            <w:r>
              <w:rPr>
                <w:b/>
                <w:i/>
                <w:color w:val="000000"/>
              </w:rPr>
              <w:t>Riigisisese kaitse kättesaadavust hinnatakse pärast seda, kui menetlev ametiasutus on leidnud, et ülejäänud kvalifitseerumiskriteeriumid on täidetud. Riigisisese kaitse kättesaadavuse tõendamise koormus lasub menetleval ametiasutusel. Taotleja ei pea tõendama, et ta on enne rahvusvahelise kaitse taotlemist ammendanud kõik võimalused saada kaitset oma päritoluriigis.</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411</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Riigisisese kaitse kättesaadavust hinnatakse pärast seda, kui menetlev ametiasutus on leidnud, et ülejäänud kvalifitseerumiskriteeriumid on täidetud. </w:t>
            </w:r>
            <w:r>
              <w:rPr>
                <w:b/>
                <w:i/>
                <w:color w:val="000000"/>
              </w:rPr>
              <w:t>Riigisisese kaitse kättesaadavuse tõendamise koormus lasub menetleval ametiasutusel. Taotleja ei pea tõendama, et ta on enne rahvusvahelise kaitse taotlemist ammendanud kõik võimalused saada kaitset oma päritoluriigis.</w:t>
            </w:r>
          </w:p>
        </w:tc>
        <w:tc>
          <w:tcPr>
            <w:tcW w:w="4876" w:type="dxa"/>
          </w:tcPr>
          <w:p w:rsidR="002F3FB4" w:rsidRDefault="002F3FB4" w:rsidP="00F37676">
            <w:pPr>
              <w:pStyle w:val="Normal6"/>
            </w:pPr>
            <w:r>
              <w:t>2.</w:t>
            </w:r>
            <w:r>
              <w:tab/>
              <w:t>Riigisisese kaitse kättesaadavust hinnatakse pärast seda, kui menetlev ametiasutus on leidnud, et ülejäänud kvalifitseerumiskriteeriumid on täidetud.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412</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Riigisisese kaitse kättesaadavust hinnatakse </w:t>
            </w:r>
            <w:r>
              <w:rPr>
                <w:b/>
                <w:i/>
              </w:rPr>
              <w:t>pärast seda</w:t>
            </w:r>
            <w:r>
              <w:t xml:space="preserve">, kui menetlev ametiasutus on leidnud, et ülejäänud kvalifitseerumiskriteeriumid on täidetud. Riigisisese kaitse </w:t>
            </w:r>
            <w:r>
              <w:rPr>
                <w:b/>
                <w:i/>
              </w:rPr>
              <w:t>kättesaadavuse</w:t>
            </w:r>
            <w:r>
              <w:t xml:space="preserve"> tõendamise koormus lasub </w:t>
            </w:r>
            <w:r>
              <w:rPr>
                <w:b/>
                <w:i/>
              </w:rPr>
              <w:t>menetleval ametiasutusel</w:t>
            </w:r>
            <w:r>
              <w:t xml:space="preserve">. Taotleja </w:t>
            </w:r>
            <w:r>
              <w:rPr>
                <w:b/>
                <w:i/>
              </w:rPr>
              <w:t>ei pea</w:t>
            </w:r>
            <w:r>
              <w:t xml:space="preserve"> tõendama, et ta on enne rahvusvahelise kaitse taotlemist ammendanud kõik võimalused saada kaitset oma päritoluriigis.</w:t>
            </w:r>
          </w:p>
        </w:tc>
        <w:tc>
          <w:tcPr>
            <w:tcW w:w="4876" w:type="dxa"/>
          </w:tcPr>
          <w:p w:rsidR="002F3FB4" w:rsidRDefault="002F3FB4" w:rsidP="00F37676">
            <w:pPr>
              <w:pStyle w:val="Normal6"/>
            </w:pPr>
            <w:r>
              <w:t>2.</w:t>
            </w:r>
            <w:r>
              <w:tab/>
              <w:t xml:space="preserve">Riigisisese kaitse kättesaadavust hinnatakse </w:t>
            </w:r>
            <w:r>
              <w:rPr>
                <w:b/>
                <w:i/>
              </w:rPr>
              <w:t>võimalikult kiiresti ja vähemalt siis</w:t>
            </w:r>
            <w:r>
              <w:t xml:space="preserve">, kui menetlev ametiasutus on leidnud, et ülejäänud kvalifitseerumiskriteeriumid on täidetud. Riigisisese kaitse </w:t>
            </w:r>
            <w:r>
              <w:rPr>
                <w:b/>
                <w:i/>
              </w:rPr>
              <w:t>kättesaamatuse</w:t>
            </w:r>
            <w:r>
              <w:t xml:space="preserve"> tõendamise koormus lasub </w:t>
            </w:r>
            <w:r>
              <w:rPr>
                <w:b/>
                <w:i/>
              </w:rPr>
              <w:t>taotlejal</w:t>
            </w:r>
            <w:r>
              <w:t xml:space="preserve">. Taotleja </w:t>
            </w:r>
            <w:r>
              <w:rPr>
                <w:b/>
                <w:i/>
              </w:rPr>
              <w:t>peab</w:t>
            </w:r>
            <w:r>
              <w:t xml:space="preserve"> tõendama, et ta on enne rahvusvahelise kaitse taotlemist ammendanud kõik võimalused saada kaitset oma päritoluriigis.</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Eriti kui on selged viited sellele, et riigisisene kaitse on rahvusvahelise kaitse taotlejale kättesaadav tema päritoluriigis, puudub vajadus kvalifitseerumise kriteeriumide eelneva hindamise pikaajalise menetluse jär</w:t>
      </w:r>
      <w:r w:rsidR="00F3620F">
        <w:rPr>
          <w:noProof w:val="0"/>
        </w:rPr>
        <w:t>ele</w:t>
      </w:r>
      <w:r>
        <w:rPr>
          <w:noProof w:val="0"/>
        </w:rPr>
        <w:t>. Seetõttu peaks kõnealuste hindamiste korraldus olema paindlik.</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413</w:t>
      </w:r>
      <w:r>
        <w:rPr>
          <w:rStyle w:val="HideTWBExt"/>
          <w:b w:val="0"/>
          <w:noProof w:val="0"/>
        </w:rPr>
        <w:t>&lt;/NumAmB&gt;</w:t>
      </w:r>
    </w:p>
    <w:p w:rsidR="002F3FB4" w:rsidRDefault="002F3FB4" w:rsidP="002F3FB4">
      <w:pPr>
        <w:pStyle w:val="NormalBold"/>
      </w:pPr>
      <w:r>
        <w:rPr>
          <w:rStyle w:val="HideTWBExt"/>
          <w:b w:val="0"/>
          <w:noProof w:val="0"/>
        </w:rPr>
        <w:t>&lt;RepeatBlock-By&gt;&lt;Members&gt;</w:t>
      </w:r>
      <w:r>
        <w:t>Alessandra Mussolini, Elissavet Vozemberg-Vrionidi, Frank Engel, Barbara Matera, Salvatore Domenico Pogliese, Carlos Coelho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2.</w:t>
            </w:r>
            <w:r>
              <w:tab/>
              <w:t xml:space="preserve">Riigisisese kaitse kättesaadavust </w:t>
            </w:r>
            <w:r>
              <w:rPr>
                <w:b/>
                <w:i/>
              </w:rPr>
              <w:t>hinnatakse</w:t>
            </w:r>
            <w:r>
              <w:t xml:space="preserve"> pärast seda, kui menetlev ametiasutus on leidnud, et ülejäänud kvalifitseerumiskriteeriumid on täidetud. Riigisisese kaitse kättesaadavuse tõendamise koormus lasub menetleval ametiasutusel. Taotleja </w:t>
            </w:r>
            <w:r>
              <w:rPr>
                <w:b/>
                <w:i/>
              </w:rPr>
              <w:t>ei pea tõendama, et ta on enne rahvusvahelise kaitse taotlemist ammendanud kõik võimalused saada kaitset oma</w:t>
            </w:r>
            <w:r>
              <w:t xml:space="preserve"> päritoluriigis.</w:t>
            </w:r>
          </w:p>
        </w:tc>
        <w:tc>
          <w:tcPr>
            <w:tcW w:w="4876" w:type="dxa"/>
          </w:tcPr>
          <w:p w:rsidR="002F3FB4" w:rsidRDefault="002F3FB4" w:rsidP="00F37676">
            <w:pPr>
              <w:pStyle w:val="Normal6"/>
            </w:pPr>
            <w:r>
              <w:t>2.</w:t>
            </w:r>
            <w:r>
              <w:tab/>
              <w:t xml:space="preserve">Riigisisese kaitse kättesaadavust </w:t>
            </w:r>
            <w:r>
              <w:rPr>
                <w:b/>
                <w:i/>
              </w:rPr>
              <w:t>võidakse hinnata</w:t>
            </w:r>
            <w:r>
              <w:t xml:space="preserve"> pärast seda, kui menetlev ametiasutus on leidnud, et ülejäänud kvalifitseerumiskriteeriumid on täidetud. Riigisisese kaitse kättesaadavuse tõendamise koormus lasub menetleval ametiasutusel. Taotleja </w:t>
            </w:r>
            <w:r>
              <w:rPr>
                <w:b/>
                <w:i/>
              </w:rPr>
              <w:t>peab aga tegema menetleva ametiasutusega koostööd, et teha kindlaks, kas riigisisese kaitse tingimused on tema</w:t>
            </w:r>
            <w:r>
              <w:t xml:space="preserve"> päritoluriigis</w:t>
            </w:r>
            <w:r>
              <w:rPr>
                <w:b/>
                <w:i/>
              </w:rPr>
              <w:t xml:space="preserve"> täidetud</w:t>
            </w:r>
            <w:r>
              <w:t>.</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pPr>
        <w:pStyle w:val="JustificationTitle"/>
        <w:rPr>
          <w:noProof w:val="0"/>
        </w:rPr>
      </w:pPr>
      <w:r>
        <w:rPr>
          <w:rStyle w:val="HideTWBExt"/>
          <w:i w:val="0"/>
          <w:noProof w:val="0"/>
        </w:rPr>
        <w:t>&lt;TitreJust&gt;</w:t>
      </w:r>
      <w:r>
        <w:rPr>
          <w:noProof w:val="0"/>
        </w:rPr>
        <w:t>Selgitus</w:t>
      </w:r>
      <w:r>
        <w:rPr>
          <w:rStyle w:val="HideTWBExt"/>
          <w:i w:val="0"/>
          <w:noProof w:val="0"/>
        </w:rPr>
        <w:t>&lt;/TitreJust&gt;</w:t>
      </w:r>
    </w:p>
    <w:p w:rsidR="002F3FB4" w:rsidRDefault="002F3FB4" w:rsidP="002F3FB4">
      <w:pPr>
        <w:pStyle w:val="Normal12Italic"/>
        <w:rPr>
          <w:noProof w:val="0"/>
        </w:rPr>
      </w:pPr>
      <w:r>
        <w:rPr>
          <w:noProof w:val="0"/>
        </w:rPr>
        <w:t>Kuigi riigisisese kaitse kättesaadavuse tõendamise koormus lasub menetleval ametiasutusel, on samuti vajalik, et taotleja aitab menetleval ametiasutusel järeldada, kas riigisisese kaitse tingimused on täidetud, tagades olulise teabe ja vastates kõigile esitatud küsimustele.</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414</w:t>
      </w:r>
      <w:r>
        <w:rPr>
          <w:rStyle w:val="HideTWBExt"/>
          <w:b w:val="0"/>
          <w:noProof w:val="0"/>
        </w:rPr>
        <w:t>&lt;/NumAmB&gt;</w:t>
      </w:r>
    </w:p>
    <w:p w:rsidR="002F3FB4" w:rsidRDefault="002F3FB4" w:rsidP="002F3FB4">
      <w:pPr>
        <w:pStyle w:val="NormalBold"/>
      </w:pPr>
      <w:r>
        <w:rPr>
          <w:rStyle w:val="HideTWBExt"/>
          <w:b w:val="0"/>
          <w:noProof w:val="0"/>
        </w:rPr>
        <w:t>&lt;RepeatBlock-By&gt;&lt;Members&gt;</w:t>
      </w:r>
      <w:r>
        <w:t>Jean Lambert</w:t>
      </w:r>
      <w:r>
        <w:rPr>
          <w:rStyle w:val="HideTWBExt"/>
          <w:b w:val="0"/>
          <w:noProof w:val="0"/>
        </w:rPr>
        <w:t>&lt;/Members&gt;</w:t>
      </w:r>
    </w:p>
    <w:p w:rsidR="002F3FB4" w:rsidRDefault="002F3FB4" w:rsidP="002F3FB4">
      <w:r>
        <w:rPr>
          <w:rStyle w:val="HideTWBExt"/>
          <w:noProof w:val="0"/>
        </w:rPr>
        <w:t>&lt;AuNomDe&gt;</w:t>
      </w:r>
      <w:r>
        <w:rPr>
          <w:rStyle w:val="HideTWBInt"/>
        </w:rPr>
        <w:t>{Verts/ALE}</w:t>
      </w:r>
      <w:r>
        <w:t>fraktsiooni Verts/ALE nimel</w:t>
      </w:r>
      <w:r>
        <w:rPr>
          <w:rStyle w:val="HideTWBExt"/>
          <w:noProof w:val="0"/>
        </w:rPr>
        <w:t>&lt;/AuNomDe&gt;</w:t>
      </w:r>
    </w:p>
    <w:p w:rsidR="002F3FB4" w:rsidRDefault="002F3FB4" w:rsidP="002F3FB4">
      <w:r>
        <w:rPr>
          <w:rStyle w:val="HideTWBExt"/>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rPr>
                <w:b/>
                <w:i/>
                <w:color w:val="000000"/>
              </w:rPr>
              <w:t>3.</w:t>
            </w:r>
            <w:r>
              <w:tab/>
            </w:r>
            <w:r>
              <w:rPr>
                <w:b/>
                <w:i/>
                <w:color w:val="000000"/>
              </w:rPr>
              <w:t>Kontrollides, kas taotlejal on lõike 1 kohaselt põhjendatud tagakiusamise kartus või suure kahju kannatamise reaalne oht või kas taotlejale on kättesaadav kaitse tagakiusamise või suure kahju tekitamise eest mõnes päritoluriigi osas, võtavad menetlevad ametiasutused artikli 4 kohaselt taotluse kohta otsuse tegemise ajal arvesse riigi selles osas valitsevat üldist olukorda ja taotleja isiklikku olukorda. Selleks tagavad menetlevad ametiasutused, et kõigist asjakohastest allikatest hangitakse täpset ja ajakohast teavet, sh liidu tasandil kättesaadav päritoluriigi teave ning päritoluriikide teabe ühine analüüs, millele on osutatud määruse (EL) nr XXX/XX [määrus Euroopa Liidu Varjupaigaameti kohta] artiklites 8 ja 10, samuti ÜRO pagulaste ülemvoliniku avaldatud teave ja suunised.</w:t>
            </w:r>
          </w:p>
        </w:tc>
        <w:tc>
          <w:tcPr>
            <w:tcW w:w="4876" w:type="dxa"/>
          </w:tcPr>
          <w:p w:rsidR="002F3FB4" w:rsidRDefault="002F3FB4" w:rsidP="00F37676">
            <w:pPr>
              <w:pStyle w:val="Normal6"/>
            </w:pPr>
            <w:r>
              <w:rPr>
                <w:b/>
                <w:i/>
                <w:color w:val="000000"/>
              </w:rPr>
              <w:t>välja jäetud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415</w:t>
      </w:r>
      <w:r>
        <w:rPr>
          <w:rStyle w:val="HideTWBExt"/>
          <w:b w:val="0"/>
          <w:noProof w:val="0"/>
        </w:rPr>
        <w:t>&lt;/NumAmB&gt;</w:t>
      </w:r>
    </w:p>
    <w:p w:rsidR="002F3FB4" w:rsidRDefault="002F3FB4" w:rsidP="002F3FB4">
      <w:pPr>
        <w:pStyle w:val="NormalBold"/>
      </w:pPr>
      <w:r>
        <w:rPr>
          <w:rStyle w:val="HideTWBExt"/>
          <w:b w:val="0"/>
          <w:noProof w:val="0"/>
        </w:rPr>
        <w:t>&lt;RepeatBlock-By&gt;&lt;Members&gt;</w:t>
      </w:r>
      <w:r>
        <w:t>Jussi Halla-aho</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Kontrollides, kas taotlejal on lõike 1 kohaselt põhjendatud tagakiusamise kartus või suure kahju kannatamise reaalne oht või kas taotlejale on kättesaadav kaitse tagakiusamise või suure kahju tekitamise eest mõnes päritoluriigi osas, võtavad menetlevad ametiasutused artikli 4 kohaselt taotluse kohta otsuse tegemise ajal arvesse riigi selles osas valitsevat üldist olukorda ja taotleja isiklikku olukorda. Selleks tagavad menetlevad ametiasutused, et kõigist asjakohastest allikatest hangitakse täpset ja ajakohast teavet, sh liidu tasandil kättesaadav päritoluriigi teave ning päritoluriikide teabe ühine analüüs, millele on osutatud määruse (EL) nr XXX/XX [määrus Euroopa Liidu Varjupaigaameti kohta] artiklites 8 ja 10</w:t>
            </w:r>
            <w:r>
              <w:rPr>
                <w:b/>
                <w:i/>
              </w:rPr>
              <w:t>, samuti ÜRO pagulaste ülemvoliniku avaldatud teave ja suunised</w:t>
            </w:r>
            <w:r>
              <w:t>.</w:t>
            </w:r>
          </w:p>
        </w:tc>
        <w:tc>
          <w:tcPr>
            <w:tcW w:w="4876" w:type="dxa"/>
          </w:tcPr>
          <w:p w:rsidR="002F3FB4" w:rsidRDefault="002F3FB4" w:rsidP="00F37676">
            <w:pPr>
              <w:pStyle w:val="Normal6"/>
            </w:pPr>
            <w:r>
              <w:t>3.</w:t>
            </w:r>
            <w:r>
              <w:tab/>
              <w:t>Kontrollides, kas taotlejal on lõike 1 kohaselt põhjendatud tagakiusamise kartus või suure kahju kannatamise reaalne oht või kas taotlejale on kättesaadav kaitse tagakiusamise või suure kahju tekitamise eest mõnes päritoluriigi osas, võtavad menetlevad ametiasutused artikli 4 kohaselt taotluse kohta otsuse tegemise ajal arvesse riigi selles osas valitsevat üldist olukorda ja taotleja isiklikku olukorda. Selleks tagavad menetlevad ametiasutused, et kõigist asjakohastest allikatest hangitakse täpset ja ajakohast teavet, sh liidu tasandil kättesaadav päritoluriigi teave ning päritoluriikide teabe ühine analüüs, millele on osutatud määruse (EL) nr XXX/XX [määrus Euroopa Liidu Varjupaigaameti kohta] artiklites 8 ja 10.</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2F3FB4" w:rsidRDefault="002F3FB4" w:rsidP="002F3FB4">
      <w:r>
        <w:rPr>
          <w:rStyle w:val="HideTWBExt"/>
          <w:noProof w:val="0"/>
        </w:rPr>
        <w:t>&lt;/AmendB&gt;</w:t>
      </w:r>
    </w:p>
    <w:p w:rsidR="002F3FB4" w:rsidRDefault="002F3FB4" w:rsidP="002F3FB4">
      <w:pPr>
        <w:pStyle w:val="AMNumberTabs"/>
      </w:pPr>
      <w:r>
        <w:rPr>
          <w:rStyle w:val="HideTWBExt"/>
          <w:b w:val="0"/>
          <w:noProof w:val="0"/>
        </w:rPr>
        <w:t>&lt;AmendB&gt;</w:t>
      </w:r>
      <w:r>
        <w:t xml:space="preserve">Muudatusettepanek </w:t>
      </w:r>
      <w:r>
        <w:tab/>
      </w:r>
      <w:r>
        <w:rPr>
          <w:rStyle w:val="HideTWBExt"/>
          <w:b w:val="0"/>
          <w:noProof w:val="0"/>
        </w:rPr>
        <w:t>&lt;NumAmB&gt;</w:t>
      </w:r>
      <w:r>
        <w:t>416</w:t>
      </w:r>
      <w:r>
        <w:rPr>
          <w:rStyle w:val="HideTWBExt"/>
          <w:b w:val="0"/>
          <w:noProof w:val="0"/>
        </w:rPr>
        <w:t>&lt;/NumAmB&gt;</w:t>
      </w:r>
    </w:p>
    <w:p w:rsidR="002F3FB4" w:rsidRDefault="002F3FB4" w:rsidP="002F3FB4">
      <w:pPr>
        <w:pStyle w:val="NormalBold"/>
      </w:pPr>
      <w:r>
        <w:rPr>
          <w:rStyle w:val="HideTWBExt"/>
          <w:b w:val="0"/>
          <w:noProof w:val="0"/>
        </w:rPr>
        <w:t>&lt;RepeatBlock-By&gt;&lt;Members&gt;</w:t>
      </w:r>
      <w:r>
        <w:t>Artis Pabriks, Traian Ungureanu, Tomáš Zdechovský, Kinga Gál, Pál Csáky, Monica Macovei</w:t>
      </w:r>
      <w:r>
        <w:rPr>
          <w:rStyle w:val="HideTWBExt"/>
          <w:b w:val="0"/>
          <w:noProof w:val="0"/>
        </w:rPr>
        <w:t>&lt;/Members&gt;</w:t>
      </w:r>
    </w:p>
    <w:p w:rsidR="002F3FB4" w:rsidRDefault="002F3FB4" w:rsidP="002F3FB4">
      <w:pPr>
        <w:pStyle w:val="NormalBold"/>
      </w:pPr>
      <w:r>
        <w:rPr>
          <w:rStyle w:val="HideTWBExt"/>
          <w:b w:val="0"/>
          <w:noProof w:val="0"/>
        </w:rPr>
        <w:t>&lt;/RepeatBlock-By&gt;</w:t>
      </w:r>
    </w:p>
    <w:p w:rsidR="002F3FB4" w:rsidRDefault="002F3FB4" w:rsidP="002F3FB4">
      <w:pPr>
        <w:pStyle w:val="NormalBold"/>
      </w:pPr>
      <w:r>
        <w:rPr>
          <w:rStyle w:val="HideTWBExt"/>
          <w:b w:val="0"/>
          <w:noProof w:val="0"/>
        </w:rPr>
        <w:t>&lt;DocAmend&gt;</w:t>
      </w:r>
      <w:r>
        <w:t>Ettepanek võtta vastu määrus</w:t>
      </w:r>
      <w:r>
        <w:rPr>
          <w:rStyle w:val="HideTWBExt"/>
          <w:b w:val="0"/>
          <w:noProof w:val="0"/>
        </w:rPr>
        <w:t>&lt;/DocAmend&gt;</w:t>
      </w:r>
    </w:p>
    <w:p w:rsidR="002F3FB4" w:rsidRDefault="002F3FB4" w:rsidP="002F3FB4">
      <w:pPr>
        <w:pStyle w:val="NormalBold"/>
      </w:pPr>
      <w:r>
        <w:rPr>
          <w:rStyle w:val="HideTWBExt"/>
          <w:b w:val="0"/>
          <w:noProof w:val="0"/>
        </w:rPr>
        <w:t>&lt;Article&gt;</w:t>
      </w:r>
      <w:r>
        <w:t>Artikkel 8 – lõige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FB4" w:rsidTr="00F37676">
        <w:trPr>
          <w:trHeight w:hRule="exact" w:val="240"/>
          <w:jc w:val="center"/>
        </w:trPr>
        <w:tc>
          <w:tcPr>
            <w:tcW w:w="9752" w:type="dxa"/>
            <w:gridSpan w:val="2"/>
          </w:tcPr>
          <w:p w:rsidR="002F3FB4" w:rsidRDefault="002F3FB4" w:rsidP="00F37676"/>
        </w:tc>
      </w:tr>
      <w:tr w:rsidR="002F3FB4" w:rsidTr="00F37676">
        <w:trPr>
          <w:trHeight w:val="240"/>
          <w:jc w:val="center"/>
        </w:trPr>
        <w:tc>
          <w:tcPr>
            <w:tcW w:w="4876" w:type="dxa"/>
          </w:tcPr>
          <w:p w:rsidR="002F3FB4" w:rsidRDefault="002F3FB4" w:rsidP="00F37676">
            <w:pPr>
              <w:pStyle w:val="ColumnHeading"/>
            </w:pPr>
            <w:r>
              <w:t>Komisjoni ettepanek</w:t>
            </w:r>
          </w:p>
        </w:tc>
        <w:tc>
          <w:tcPr>
            <w:tcW w:w="4876" w:type="dxa"/>
          </w:tcPr>
          <w:p w:rsidR="002F3FB4" w:rsidRDefault="002F3FB4" w:rsidP="00F37676">
            <w:pPr>
              <w:pStyle w:val="ColumnHeading"/>
            </w:pPr>
            <w:r>
              <w:t>Muudatusettepanek</w:t>
            </w:r>
          </w:p>
        </w:tc>
      </w:tr>
      <w:tr w:rsidR="002F3FB4" w:rsidTr="00F37676">
        <w:trPr>
          <w:jc w:val="center"/>
        </w:trPr>
        <w:tc>
          <w:tcPr>
            <w:tcW w:w="4876" w:type="dxa"/>
          </w:tcPr>
          <w:p w:rsidR="002F3FB4" w:rsidRDefault="002F3FB4" w:rsidP="00F37676">
            <w:pPr>
              <w:pStyle w:val="Normal6"/>
            </w:pPr>
            <w:r>
              <w:t>3.</w:t>
            </w:r>
            <w:r>
              <w:tab/>
              <w:t xml:space="preserve">Kontrollides, kas taotlejal on lõike 1 kohaselt põhjendatud tagakiusamise kartus või suure kahju kannatamise reaalne oht või kas taotlejale on kättesaadav kaitse tagakiusamise või suure kahju tekitamise eest mõnes päritoluriigi osas, </w:t>
            </w:r>
            <w:r>
              <w:rPr>
                <w:b/>
                <w:i/>
              </w:rPr>
              <w:t>võtavad</w:t>
            </w:r>
            <w:r>
              <w:t xml:space="preserve"> menetlevad ametiasutused artikli 4 kohaselt taotluse kohta otsuse tegemise ajal arvesse riigi selles osas valitsevat üldist olukorda ja taotleja isiklikku olukorda. Selleks tagavad menetlevad ametiasutused, et kõigist asjakohastest allikatest hangitakse täpset ja ajakohast teavet, sh liidu tasandil kättesaadav päritoluriigi teave ning päritoluriikide teabe ühine analüüs, millele on osutatud määruse (EL) nr XXX/XX [määrus Euroopa Liidu Varjupaigaameti kohta] artiklites 8 ja 10, samuti ÜRO pagulaste ülemvoliniku avaldatud teave ja suunised.</w:t>
            </w:r>
          </w:p>
        </w:tc>
        <w:tc>
          <w:tcPr>
            <w:tcW w:w="4876" w:type="dxa"/>
          </w:tcPr>
          <w:p w:rsidR="002F3FB4" w:rsidRDefault="002F3FB4" w:rsidP="00F37676">
            <w:pPr>
              <w:pStyle w:val="Normal6"/>
            </w:pPr>
            <w:r>
              <w:t>3.</w:t>
            </w:r>
            <w:r>
              <w:tab/>
              <w:t xml:space="preserve">Kontrollides, kas taotlejal on lõike 1 kohaselt põhjendatud tagakiusamise kartus või suure kahju kannatamise reaalne oht või kas taotlejale on kättesaadav kaitse tagakiusamise või suure kahju tekitamise eest mõnes päritoluriigi osas, </w:t>
            </w:r>
            <w:r>
              <w:rPr>
                <w:b/>
                <w:i/>
              </w:rPr>
              <w:t>võivad</w:t>
            </w:r>
            <w:r>
              <w:t xml:space="preserve"> menetlevad ametiasutused </w:t>
            </w:r>
            <w:r>
              <w:rPr>
                <w:b/>
                <w:i/>
              </w:rPr>
              <w:t xml:space="preserve">võtta </w:t>
            </w:r>
            <w:r>
              <w:t>artikli 4 kohaselt taotluse kohta otsuse tegemise ajal arvesse riigi selles osas valitsevat üldist olukorda ja taotleja isiklikku olukorda. Selleks tagavad menetlevad ametiasutused, et kõigist asjakohastest allikatest hangitakse täpset ja ajakohast teavet, sh liidu tasandil kättesaadav päritoluriigi teave ning päritoluriikide teabe ühine analüüs, millele on osutatud määruse (EL) nr XXX/XX [määrus Euroopa Liidu Varjupaigaameti kohta] artiklites 8 ja 10, samuti ÜRO pagulaste ülemvo</w:t>
            </w:r>
            <w:bookmarkStart w:id="0" w:name="_GoBack"/>
            <w:bookmarkEnd w:id="0"/>
            <w:r>
              <w:t>liniku avaldatud teave ja suunised.</w:t>
            </w:r>
          </w:p>
        </w:tc>
      </w:tr>
    </w:tbl>
    <w:p w:rsidR="002F3FB4" w:rsidRDefault="002F3FB4" w:rsidP="002F3FB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8363E4" w:rsidRPr="006B3E32" w:rsidRDefault="002F3FB4" w:rsidP="002F3FB4">
      <w:r>
        <w:rPr>
          <w:rStyle w:val="HideTWBExt"/>
          <w:noProof w:val="0"/>
        </w:rPr>
        <w:t>&lt;/AmendB&gt;</w:t>
      </w:r>
      <w:r w:rsidRPr="002F3FB4">
        <w:rPr>
          <w:rStyle w:val="HideTWBExt"/>
          <w:noProof w:val="0"/>
        </w:rPr>
        <w:t>&lt;/RepeatBlock-AmendB&gt;</w:t>
      </w:r>
    </w:p>
    <w:sectPr w:rsidR="008363E4" w:rsidRPr="006B3E32" w:rsidSect="00BA48D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C8B" w:rsidRPr="006B3E32" w:rsidRDefault="00922C8B">
      <w:r w:rsidRPr="006B3E32">
        <w:separator/>
      </w:r>
    </w:p>
  </w:endnote>
  <w:endnote w:type="continuationSeparator" w:id="0">
    <w:p w:rsidR="00922C8B" w:rsidRPr="006B3E32" w:rsidRDefault="00922C8B">
      <w:r w:rsidRPr="006B3E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AWLUnico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C8B" w:rsidRPr="006B3E32" w:rsidRDefault="00922C8B">
    <w:pPr>
      <w:pStyle w:val="Footer"/>
      <w:tabs>
        <w:tab w:val="right" w:pos="9356"/>
      </w:tabs>
    </w:pPr>
    <w:fldSimple w:instr=" REF OutsideFooter ">
      <w:r w:rsidR="00470005" w:rsidRPr="006B3E32">
        <w:t>PE</w:t>
      </w:r>
      <w:r w:rsidR="00470005" w:rsidRPr="006B3E32">
        <w:rPr>
          <w:rStyle w:val="HideTWBExt"/>
          <w:noProof w:val="0"/>
        </w:rPr>
        <w:t>&lt;NoPE&gt;</w:t>
      </w:r>
      <w:r w:rsidR="00470005">
        <w:t>602.739</w:t>
      </w:r>
      <w:r w:rsidR="00470005" w:rsidRPr="006B3E32">
        <w:rPr>
          <w:rStyle w:val="HideTWBExt"/>
          <w:noProof w:val="0"/>
        </w:rPr>
        <w:t>&lt;/NoPE&gt;&lt;Version&gt;</w:t>
      </w:r>
      <w:r w:rsidR="00470005" w:rsidRPr="006B3E32">
        <w:t>v</w:t>
      </w:r>
      <w:r w:rsidR="00470005">
        <w:t>01-00</w:t>
      </w:r>
      <w:r w:rsidR="00470005" w:rsidRPr="006B3E32">
        <w:rPr>
          <w:rStyle w:val="HideTWBExt"/>
          <w:noProof w:val="0"/>
        </w:rPr>
        <w:t>&lt;/Version&gt;</w:t>
      </w:r>
    </w:fldSimple>
    <w:r w:rsidRPr="006B3E32">
      <w:tab/>
    </w:r>
    <w:r w:rsidRPr="006B3E32">
      <w:fldChar w:fldCharType="begin"/>
    </w:r>
    <w:r w:rsidRPr="006B3E32">
      <w:instrText xml:space="preserve"> PAGE </w:instrText>
    </w:r>
    <w:r w:rsidRPr="006B3E32">
      <w:fldChar w:fldCharType="separate"/>
    </w:r>
    <w:r w:rsidR="00470005">
      <w:rPr>
        <w:noProof/>
      </w:rPr>
      <w:t>168</w:t>
    </w:r>
    <w:r w:rsidRPr="006B3E32">
      <w:fldChar w:fldCharType="end"/>
    </w:r>
    <w:r w:rsidRPr="006B3E32">
      <w:t>/</w:t>
    </w:r>
    <w:fldSimple w:instr=" NUMPAGES ">
      <w:r w:rsidR="00470005">
        <w:rPr>
          <w:noProof/>
        </w:rPr>
        <w:t>178</w:t>
      </w:r>
    </w:fldSimple>
    <w:r w:rsidRPr="006B3E32">
      <w:tab/>
    </w:r>
    <w:fldSimple w:instr=" REF InsideFooter ">
      <w:r w:rsidR="00470005" w:rsidRPr="006B3E32">
        <w:rPr>
          <w:rStyle w:val="HideTWBExt"/>
          <w:noProof w:val="0"/>
        </w:rPr>
        <w:t>&lt;PathFdR&gt;</w:t>
      </w:r>
      <w:r w:rsidR="00470005" w:rsidRPr="009A5840">
        <w:t>AM\1121329ET.docx</w:t>
      </w:r>
      <w:r w:rsidR="00470005" w:rsidRPr="006B3E32">
        <w:rPr>
          <w:rStyle w:val="HideTWBExt"/>
          <w:noProof w:val="0"/>
        </w:rPr>
        <w:t>&lt;/PathFdR&gt;</w:t>
      </w:r>
    </w:fldSimple>
  </w:p>
  <w:p w:rsidR="00922C8B" w:rsidRPr="006B3E32" w:rsidRDefault="00922C8B">
    <w:pPr>
      <w:pStyle w:val="Footer2"/>
    </w:pPr>
    <w:fldSimple w:instr=" DOCPROPERTY &quot;&lt;Extension&gt;&quot; ">
      <w:r w:rsidR="00470005">
        <w:t>ET</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C8B" w:rsidRPr="006B3E32" w:rsidRDefault="00922C8B">
    <w:pPr>
      <w:pStyle w:val="Footer"/>
      <w:tabs>
        <w:tab w:val="right" w:pos="9356"/>
      </w:tabs>
    </w:pPr>
    <w:fldSimple w:instr=" REF InsideFooter ">
      <w:r w:rsidR="00470005" w:rsidRPr="006B3E32">
        <w:rPr>
          <w:rStyle w:val="HideTWBExt"/>
          <w:noProof w:val="0"/>
        </w:rPr>
        <w:t>&lt;PathFdR&gt;</w:t>
      </w:r>
      <w:r w:rsidR="00470005" w:rsidRPr="009A5840">
        <w:t>AM\1121329ET.docx</w:t>
      </w:r>
      <w:r w:rsidR="00470005" w:rsidRPr="006B3E32">
        <w:rPr>
          <w:rStyle w:val="HideTWBExt"/>
          <w:noProof w:val="0"/>
        </w:rPr>
        <w:t>&lt;/PathFdR&gt;</w:t>
      </w:r>
    </w:fldSimple>
    <w:r w:rsidRPr="006B3E32">
      <w:tab/>
    </w:r>
    <w:r w:rsidRPr="006B3E32">
      <w:fldChar w:fldCharType="begin"/>
    </w:r>
    <w:r w:rsidRPr="006B3E32">
      <w:instrText xml:space="preserve"> PAGE </w:instrText>
    </w:r>
    <w:r w:rsidRPr="006B3E32">
      <w:fldChar w:fldCharType="separate"/>
    </w:r>
    <w:r w:rsidR="00470005">
      <w:rPr>
        <w:noProof/>
      </w:rPr>
      <w:t>167</w:t>
    </w:r>
    <w:r w:rsidRPr="006B3E32">
      <w:fldChar w:fldCharType="end"/>
    </w:r>
    <w:r w:rsidRPr="006B3E32">
      <w:t>/</w:t>
    </w:r>
    <w:fldSimple w:instr=" NUMPAGES ">
      <w:r w:rsidR="00470005">
        <w:rPr>
          <w:noProof/>
        </w:rPr>
        <w:t>178</w:t>
      </w:r>
    </w:fldSimple>
    <w:r w:rsidRPr="006B3E32">
      <w:tab/>
    </w:r>
    <w:fldSimple w:instr=" REF OutsideFooter ">
      <w:r w:rsidR="00470005" w:rsidRPr="006B3E32">
        <w:t>PE</w:t>
      </w:r>
      <w:r w:rsidR="00470005" w:rsidRPr="006B3E32">
        <w:rPr>
          <w:rStyle w:val="HideTWBExt"/>
          <w:noProof w:val="0"/>
        </w:rPr>
        <w:t>&lt;NoPE&gt;</w:t>
      </w:r>
      <w:r w:rsidR="00470005">
        <w:t>602.739</w:t>
      </w:r>
      <w:r w:rsidR="00470005" w:rsidRPr="006B3E32">
        <w:rPr>
          <w:rStyle w:val="HideTWBExt"/>
          <w:noProof w:val="0"/>
        </w:rPr>
        <w:t>&lt;/NoPE&gt;&lt;Version&gt;</w:t>
      </w:r>
      <w:r w:rsidR="00470005" w:rsidRPr="006B3E32">
        <w:t>v</w:t>
      </w:r>
      <w:r w:rsidR="00470005">
        <w:t>01-00</w:t>
      </w:r>
      <w:r w:rsidR="00470005" w:rsidRPr="006B3E32">
        <w:rPr>
          <w:rStyle w:val="HideTWBExt"/>
          <w:noProof w:val="0"/>
        </w:rPr>
        <w:t>&lt;/Version&gt;</w:t>
      </w:r>
    </w:fldSimple>
  </w:p>
  <w:p w:rsidR="00922C8B" w:rsidRPr="006B3E32" w:rsidRDefault="00922C8B">
    <w:pPr>
      <w:pStyle w:val="Footer2"/>
    </w:pPr>
    <w:r w:rsidRPr="006B3E32">
      <w:tab/>
    </w:r>
    <w:fldSimple w:instr=" DOCPROPERTY &quot;&lt;Extension&gt;&quot; ">
      <w:r w:rsidR="00470005">
        <w:t>ET</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C8B" w:rsidRPr="006B3E32" w:rsidRDefault="00922C8B">
    <w:pPr>
      <w:pStyle w:val="Footer"/>
    </w:pPr>
    <w:bookmarkStart w:id="1" w:name="InsideFooter"/>
    <w:r w:rsidRPr="006B3E32">
      <w:rPr>
        <w:rStyle w:val="HideTWBExt"/>
        <w:noProof w:val="0"/>
      </w:rPr>
      <w:t>&lt;PathFdR&gt;</w:t>
    </w:r>
    <w:r w:rsidRPr="009A5840">
      <w:t>AM\1121329ET.docx</w:t>
    </w:r>
    <w:r w:rsidRPr="006B3E32">
      <w:rPr>
        <w:rStyle w:val="HideTWBExt"/>
        <w:noProof w:val="0"/>
      </w:rPr>
      <w:t>&lt;/PathFdR&gt;</w:t>
    </w:r>
    <w:bookmarkEnd w:id="1"/>
    <w:r w:rsidRPr="006B3E32">
      <w:tab/>
    </w:r>
    <w:r w:rsidRPr="006B3E32">
      <w:tab/>
    </w:r>
    <w:bookmarkStart w:id="2" w:name="OutsideFooter"/>
    <w:r w:rsidRPr="006B3E32">
      <w:t>PE</w:t>
    </w:r>
    <w:r w:rsidRPr="006B3E32">
      <w:rPr>
        <w:rStyle w:val="HideTWBExt"/>
        <w:noProof w:val="0"/>
      </w:rPr>
      <w:t>&lt;NoPE&gt;</w:t>
    </w:r>
    <w:r>
      <w:t>602.739</w:t>
    </w:r>
    <w:r w:rsidRPr="006B3E32">
      <w:rPr>
        <w:rStyle w:val="HideTWBExt"/>
        <w:noProof w:val="0"/>
      </w:rPr>
      <w:t>&lt;/NoPE&gt;&lt;Version&gt;</w:t>
    </w:r>
    <w:r w:rsidRPr="006B3E32">
      <w:t>v</w:t>
    </w:r>
    <w:r>
      <w:t>01-00</w:t>
    </w:r>
    <w:r w:rsidRPr="006B3E32">
      <w:rPr>
        <w:rStyle w:val="HideTWBExt"/>
        <w:noProof w:val="0"/>
      </w:rPr>
      <w:t>&lt;/Version&gt;</w:t>
    </w:r>
    <w:bookmarkEnd w:id="2"/>
  </w:p>
  <w:p w:rsidR="00922C8B" w:rsidRPr="006B3E32" w:rsidRDefault="00922C8B" w:rsidP="00CC3983">
    <w:pPr>
      <w:pStyle w:val="Footer2"/>
      <w:tabs>
        <w:tab w:val="center" w:pos="4536"/>
      </w:tabs>
    </w:pPr>
    <w:fldSimple w:instr=" DOCPROPERTY &quot;&lt;Extension&gt;&quot; ">
      <w:r w:rsidR="00470005">
        <w:t>ET</w:t>
      </w:r>
    </w:fldSimple>
    <w:r w:rsidRPr="006B3E32">
      <w:rPr>
        <w:color w:val="C0C0C0"/>
      </w:rPr>
      <w:tab/>
    </w:r>
    <w:r>
      <w:rPr>
        <w:b w:val="0"/>
        <w:i/>
        <w:color w:val="C0C0C0"/>
        <w:sz w:val="22"/>
        <w:szCs w:val="22"/>
      </w:rPr>
      <w:t>Ühinenud mitmekesisuses</w:t>
    </w:r>
    <w:r w:rsidRPr="006B3E32">
      <w:rPr>
        <w:color w:val="C0C0C0"/>
      </w:rPr>
      <w:tab/>
    </w:r>
    <w:fldSimple w:instr=" DOCPROPERTY &quot;&lt;Extension&gt;&quot; ">
      <w:r w:rsidR="00470005">
        <w:t>ET</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C8B" w:rsidRPr="006B3E32" w:rsidRDefault="00922C8B">
      <w:r w:rsidRPr="006B3E32">
        <w:separator/>
      </w:r>
    </w:p>
  </w:footnote>
  <w:footnote w:type="continuationSeparator" w:id="0">
    <w:p w:rsidR="00922C8B" w:rsidRPr="006B3E32" w:rsidRDefault="00922C8B">
      <w:r w:rsidRPr="006B3E3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005" w:rsidRDefault="00470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005" w:rsidRDefault="004700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005" w:rsidRDefault="004700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646268 HideTWBExt;}{\*\cs16 \additive \v\cf15 \spriority0 \styrsid6646268 HideTWBInt;}{\s17\ql \li0\ri0\sa120\nowidctlpar\wrapdefault\aspalpha\aspnum\faauto\adjustright\rin0\lin0\itap0 _x000d__x000a_\rtlch\fcs1 \af0\afs20\alang1025 \ltrch\fcs0 \fs24\lang1061\langfe2057\cgrid\langnp1061\langfenp2057 \sbasedon0 \snext17 \slink18 \spriority0 \styrsid6646268 Normal6;}{\*\cs18 \additive \fs24\lang1061\langfe0\langnp1061 _x000d__x000a_\slink17 \slocked \spriority0 \styrsid6646268 Normal6 Char;}{\s19\ql \li0\ri0\nowidctlpar\wrapdefault\aspalpha\aspnum\faauto\adjustright\rin0\lin0\itap0 \rtlch\fcs1 \af0\afs20\alang1025 \ltrch\fcs0 _x000d__x000a_\b\fs24\lang1061\langfe2057\cgrid\langnp1061\langfenp2057 \sbasedon0 \snext19 \slink20 \spriority0 \styrsid6646268 NormalBold;}{\*\cs20 \additive \b\fs24\lang1061\langfe0\langnp1061 \slink19 \slocked \spriority0 \styrsid6646268 NormalBold Char;}{_x000d__x000a_\s21\ql \li0\ri0\sa240\nowidctlpar\wrapdefault\aspalpha\aspnum\faauto\adjustright\rin0\lin0\itap0 \rtlch\fcs1 \af0\afs20\alang1025 \ltrch\fcs0 \i\fs24\lang1024\langfe1024\cgrid\noproof\langnp1061\langfenp2057 _x000d__x000a_\sbasedon0 \snext21 \spriority0 \styrsid6646268 Normal12Italic;}{\s22\qc \li0\ri0\sb240\sa240\keepn\nowidctlpar\wrapdefault\aspalpha\aspnum\faauto\adjustright\rin0\lin0\itap0 \rtlch\fcs1 \af0\afs20\alang1025 \ltrch\fcs0 _x000d__x000a_\i\fs24\lang1024\langfe1024\cgrid\noproof\langnp1061\langfenp2057 \sbasedon0 \snext0 \spriority0 \styrsid6646268 JustificationTitle;}{\s23\qr \li0\ri0\sb240\sa240\nowidctlpar\wrapdefault\aspalpha\aspnum\faauto\adjustright\rin0\lin0\itap0 \rtlch\fcs1 _x000d__x000a_\af0\afs20\alang1025 \ltrch\fcs0 \fs24\lang1024\langfe1024\cgrid\noproof\langnp1061\langfenp2057 \sbasedon0 \snext23 \spriority0 \styrsid6646268 Olang;}{\s24\qc \li0\ri0\sa240\nowidctlpar\wrapdefault\aspalpha\aspnum\faauto\adjustright\rin0\lin0\itap0 _x000d__x000a_\rtlch\fcs1 \af0\afs20\alang1025 \ltrch\fcs0 \i\fs24\lang1061\langfe2057\cgrid\langnp1061\langfenp2057 \sbasedon0 \snext24 \spriority0 \styrsid6646268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5 \spriority0 \styrsid6646268 AMNumberTabs;}}{\*\rsidtbl \rsid24658\rsid735077\rsid2892074\rsid3286887\rsid4666813\rsid6641733\rsid6646268\rsid9636012\rsid11215221_x000d__x000a_\rsid12154954\rsid14424199\rsid15204470\rsid15285974\rsid15950462\rsid16324206\rsid16662270}{\mmathPr\mmathFont34\mbrkBin0\mbrkBinSub0\msmallFrac0\mdispDef1\mlMargin0\mrMargin0\mdefJc1\mwrapIndent1440\mintLim0\mnaryLim1}{\info{\author Zeipe, Diana}_x000d__x000a_{\operator Zeipe, Diana}{\creatim\yr2017\mo3\dy28\hr11\min33}{\revtim\yr2017\mo3\dy28\hr11\min33}{\version1}{\edmins0}{\nofpages1}{\nofwords47}{\nofchars513}{\*\company European Parliament}{\nofcharsws514}{\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6646268\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3286887 \chftnsep _x000d__x000a_\par }}{\*\ftnsepc \ltrpar \pard\plain \ltrpar\ql \li0\ri0\widctlpar\wrapdefault\aspalpha\aspnum\faauto\adjustright\rin0\lin0\itap0 \rtlch\fcs1 \af0\afs20\alang1025 \ltrch\fcs0 \fs24\lang2057\langfe2057\cgrid\langnp2057\langfenp2057 {\rtlch\fcs1 \af0 _x000d__x000a_\ltrch\fcs0 \insrsid3286887 \chftnsepc _x000d__x000a_\par }}{\*\aftnsep \ltrpar \pard\plain \ltrpar\ql \li0\ri0\widctlpar\wrapdefault\aspalpha\aspnum\faauto\adjustright\rin0\lin0\itap0 \rtlch\fcs1 \af0\afs20\alang1025 \ltrch\fcs0 \fs24\lang2057\langfe2057\cgrid\langnp2057\langfenp2057 {\rtlch\fcs1 \af0 _x000d__x000a_\ltrch\fcs0 \insrsid3286887 \chftnsep _x000d__x000a_\par }}{\*\aftnsepc \ltrpar \pard\plain \ltrpar\ql \li0\ri0\widctlpar\wrapdefault\aspalpha\aspnum\faauto\adjustright\rin0\lin0\itap0 \rtlch\fcs1 \af0\afs20\alang1025 \ltrch\fcs0 \fs24\lang2057\langfe2057\cgrid\langnp2057\langfenp2057 {\rtlch\fcs1 \af0 _x000d__x000a_\ltrch\fcs0 \insrsid32868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1\langfe2057\cgrid\langnp1061\langfenp2057 {\rtlch\fcs1 \af0 \ltrch\fcs0 \cs15\b0\v\f1\fs20\cf9\insrsid6646268\charrsid3868003 {\*\bkmkstart restartA}&lt;AmendA&gt;}{_x000d__x000a_\rtlch\fcs1 \af0 \ltrch\fcs0 \insrsid6646268\charrsid3868003 Muudatusettepanek\tab \tab }{\rtlch\fcs1 \af0 \ltrch\fcs0 \cs15\b0\v\f1\fs20\cf9\insrsid6646268\charrsid3868003 &lt;NumAmA&gt;}{\rtlch\fcs1 \af0 \ltrch\fcs0 \insrsid6646268\charrsid3868003 #}{_x000d__x000a_\rtlch\fcs1 \af0 \ltrch\fcs0 \cs16\v\cf15\insrsid6646268\charrsid3868003 ENMIENDA@NRAM@}{\rtlch\fcs1 \af0 \ltrch\fcs0 \insrsid6646268\charrsid3868003 #}{\rtlch\fcs1 \af0 \ltrch\fcs0 \cs15\b0\v\f1\fs20\cf9\insrsid6646268\charrsid3868003 &lt;/NumAmA&gt;}{_x000d__x000a_\rtlch\fcs1 \af0 \ltrch\fcs0 \insrsid6646268\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6646268\charrsid3868003 &lt;RepeatBlock-By&gt;}{\rtlch\fcs1 \af0 \ltrch\fcs0 \insrsid6646268\charrsid3868003 #}{\rtlch\fcs1 \af0 \ltrch\fcs0 \cs16\v\cf15\insrsid6646268\charrsid3868003 &gt;&gt;&gt;@[ZMEMBERSMSG]@}{\rtlch\fcs1 _x000d__x000a_\af0 \ltrch\fcs0 \insrsid6646268\charrsid3868003 #}{\rtlch\fcs1 \af0 \ltrch\fcs0 \cs15\b0\v\f1\fs20\cf9\insrsid6646268\charrsid3868003 &lt;Members&gt;}{\rtlch\fcs1 \af0 \ltrch\fcs0 \cf10\insrsid6646268\charrsid3868003 \u9668\'3f}{\rtlch\fcs1 \af0 \ltrch\fcs0 _x000d__x000a_\insrsid6646268\charrsid3868003 #}{\rtlch\fcs1 \af0 \ltrch\fcs0 \cs16\v\cf15\insrsid6646268\charrsid3868003 TVTMEMBERS@MEMBERS@}{\rtlch\fcs1 \af0 \ltrch\fcs0 \insrsid6646268\charrsid3868003 #}{\rtlch\fcs1 \af0 \ltrch\fcs0 _x000d__x000a_\cf10\insrsid6646268\charrsid3868003 \u9658\'3f}{\rtlch\fcs1 \af0 \ltrch\fcs0 \cs15\b0\v\f1\fs20\cf9\insrsid6646268\charrsid3868003 &lt;/Members&gt;}{\rtlch\fcs1 \af0 \ltrch\fcs0 \insrsid6646268\charrsid3868003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6646268\charrsid3868003 &lt;AuNomDe&gt;&lt;OptDel&gt;}{\rtlch\fcs1 \af0 \ltrch\fcs0 \lang1061\langfe2057\langnp1061\insrsid6646268\charrsid3868003 #}{\rtlch\fcs1 \af0 \ltrch\fcs0 _x000d__x000a_\cs16\v\cf15\lang1061\langfe2057\langnp1061\insrsid6646268\charrsid3868003 MNU[ONBEHALFYES][NOTAPP]@CHOICE@}{\rtlch\fcs1 \af0 \ltrch\fcs0 \lang1061\langfe2057\langnp1061\insrsid6646268\charrsid3868003 #}{\rtlch\fcs1 \af0 \ltrch\fcs0 _x000d__x000a_\cs15\v\f1\fs20\cf9\lang1061\langfe2057\langnp1061\insrsid6646268\charrsid3868003 &lt;/OptDel&gt;&lt;/AuNomDe&gt;}{\rtlch\fcs1 \af0 \ltrch\fcs0 \lang1061\langfe2057\langnp1061\insrsid6646268\charrsid3868003 _x000d__x000a_\par &lt;&lt;&lt;}{\rtlch\fcs1 \af0 \ltrch\fcs0 \cs15\v\f1\fs20\cf9\lang1061\langfe2057\langnp1061\insrsid6646268\charrsid3868003 &lt;/RepeatBlock-By&gt;}{\rtlch\fcs1 \af0 \ltrch\fcs0 \lang1061\langfe2057\langnp1061\insrsid6646268\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6646268\charrsid3868003 &lt;DocAmend&gt;}{\rtlch\fcs1 \af0 \ltrch\fcs0 \insrsid6646268\charrsid3868003 Seadusandliku resolutsiooni projekt}{\rtlch\fcs1 \af0 \ltrch\fcs0 _x000d__x000a_\cs15\b0\v\f1\fs20\cf9\insrsid6646268\charrsid3868003 &lt;/DocAmend&gt;}{\rtlch\fcs1 \af0 \ltrch\fcs0 \insrsid6646268\charrsid3868003 _x000d__x000a_\par }\pard \ltrpar\s19\ql \li0\ri0\nowidctlpar\wrapdefault\aspalpha\aspnum\faauto\adjustright\rin0\lin0\itap0\pararsid16013815 {\rtlch\fcs1 \af0 \ltrch\fcs0 \cs15\b0\v\f1\fs20\cf9\insrsid6646268\charrsid3868003 &lt;Article&gt;}{\rtlch\fcs1 \af0 \ltrch\fcs0 _x000d__x000a_\cf10\insrsid6646268\charrsid3868003 \u9668\'3f}{\rtlch\fcs1 \af0 \ltrch\fcs0 \insrsid6646268\charrsid3868003 #}{\rtlch\fcs1 \af0 \ltrch\fcs0 \cs16\v\cf15\insrsid6646268\charrsid3868003 TVTRESPART@RESPART@}{\rtlch\fcs1 \af0 \ltrch\fcs0 _x000d__x000a_\insrsid6646268\charrsid3868003 #}{\rtlch\fcs1 \af0 \ltrch\fcs0 \cf10\insrsid6646268\charrsid3868003 \u9658\'3f}{\rtlch\fcs1 \af0 \ltrch\fcs0 \cs15\b0\v\f1\fs20\cf9\insrsid6646268\charrsid3868003 &lt;/Article&gt;}{\rtlch\fcs1 \af0 \ltrch\fcs0 _x000d__x000a_\insrsid6646268\charrsid3868003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1\langfe2057\langnp1061\insrsid6646268\charrsid3868003 \cell }\pard \ltrpar\ql \li0\ri0\widctlpar\intbl\wrapdefault\aspalpha\aspnum\faauto\adjustright\rin0\lin0 _x000d__x000a_{\rtlch\fcs1 \af0 \ltrch\fcs0 \lang1061\langfe2057\langnp1061\insrsid6646268\charrsid3868003 \trowd \ltrrow\ts11\trqc\trgaph340\trleft-340\trftsWidth1\trftsWidthB3\trftsWidthA3\trpaddl340\trpaddr340\trpaddfl3\trpaddfr3\tblind0\tblindtype3 \clvertalt_x000d__x000a_\clbrdrt\brdrtbl \clbrdrl\brdrtbl \clbrdrb\brdrtbl \clbrdrr\brdrtbl \cltxlrtb\clftsWidth3\clwWidth9752\clshdrawnil \cellx9412\row \ltrrow}\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1\langfe2057\cgrid\langnp1061\langfenp2057 {\rtlch\fcs1 \af0 \ltrch\fcs0 _x000d__x000a_\insrsid6646268\charrsid3868003 Seadusandliku resolutsiooni projekt\cell Muudatusettepanek\cell }\pard\plain \ltrpar\ql \li0\ri0\widctlpar\intbl\wrapdefault\aspalpha\aspnum\faauto\adjustright\rin0\lin0 \rtlch\fcs1 \af0\afs20\alang1025 \ltrch\fcs0 _x000d__x000a_\fs24\lang2057\langfe2057\cgrid\langnp2057\langfenp2057 {\rtlch\fcs1 \af0 \ltrch\fcs0 \lang1061\langfe2057\langnp1061\insrsid6646268\charrsid3868003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1\langfe2057\cgrid\langnp1061\langfenp2057 {\rtlch\fcs1 \af0 \ltrch\fcs0 _x000d__x000a_\insrsid6646268\charrsid3868003 ##\cell ##}{\rtlch\fcs1 \af0\afs24 \ltrch\fcs0 \insrsid6646268\charrsid3868003 \cell }\pard\plain \ltrpar\ql \li0\ri0\widctlpar\intbl\wrapdefault\aspalpha\aspnum\faauto\adjustright\rin0\lin0 \rtlch\fcs1 _x000d__x000a_\af0\afs20\alang1025 \ltrch\fcs0 \fs24\lang2057\langfe2057\cgrid\langnp2057\langfenp2057 {\rtlch\fcs1 \af0 \ltrch\fcs0 \lang1061\langfe2057\langnp1061\insrsid6646268\charrsid3868003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1\langfenp2057 {\rtlch\fcs1 \af0 _x000d__x000a_\ltrch\fcs0 \noproof0\insrsid6646268\charrsid3868003 Or. }{\rtlch\fcs1 \af0 \ltrch\fcs0 \cs15\v\f1\fs20\cf9\noproof0\insrsid6646268\charrsid3868003 &lt;Original&gt;}{\rtlch\fcs1 \af0 \ltrch\fcs0 \noproof0\insrsid6646268\charrsid3868003 #}{\rtlch\fcs1 \af0 _x000d__x000a_\ltrch\fcs0 \cs16\v\cf15\noproof0\insrsid6646268\charrsid3868003 KEY(MAIN/LANGMIN)sh@ORLANGMSG@}{\rtlch\fcs1 \af0 \ltrch\fcs0 \noproof0\insrsid6646268\charrsid3868003 #}{\rtlch\fcs1 \af0 \ltrch\fcs0 _x000d__x000a_\cs15\v\f1\fs20\cf9\noproof0\insrsid6646268\charrsid3868003 &lt;/Original&gt;}{\rtlch\fcs1 \af0 \ltrch\fcs0 \noproof0\insrsid6646268\charrsid3868003 _x000d__x000a_\par }\pard\plain \ltrpar\s22\qc \li0\ri0\sb240\sa240\keepn\nowidctlpar\wrapdefault\aspalpha\aspnum\faauto\adjustright\rin0\lin0\itap0\pararsid16390444 \rtlch\fcs1 \af0\afs20\alang1025 \ltrch\fcs0 _x000d__x000a_\i\fs24\lang1024\langfe1024\cgrid\noproof\langnp1061\langfenp2057 {\rtlch\fcs1 \af0 \ltrch\fcs0 \cs15\i0\v\f1\fs20\cf9\noproof0\insrsid6646268\charrsid3868003 &lt;TitreJust&gt;}{\rtlch\fcs1 \af0 \ltrch\fcs0 \noproof0\insrsid6646268\charrsid3868003 Selgitus}{_x000d__x000a_\rtlch\fcs1 \af0 \ltrch\fcs0 \cs15\i0\v\f1\fs20\cf9\noproof0\insrsid6646268\charrsid3868003 &lt;/TitreJust&gt;}{\rtlch\fcs1 \af0 \ltrch\fcs0 \noproof0\insrsid6646268\charrsid3868003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6646268\charrsid3868003 &lt;OptDelPrev&gt;}{\rtlch\fcs1 \af0 \ltrch\fcs0 \noproof0\insrsid6646268\charrsid3868003 #}{\rtlch\fcs1 \af0 \ltrch\fcs0 _x000d__x000a_\cs16\v\cf15\noproof0\insrsid6646268\charrsid3868003 MNU[TEXTJUSTYES][TEXTJUSTNO]@CHOICE@}{\rtlch\fcs1 \af0 \ltrch\fcs0 \noproof0\insrsid6646268\charrsid3868003 #}{\rtlch\fcs1 \af0 \ltrch\fcs0 _x000d__x000a_\cs15\i0\v\f1\fs20\cf9\noproof0\insrsid6646268\charrsid3868003 &lt;/OptDelPrev&gt;}{\rtlch\fcs1 \af0 \ltrch\fcs0 \noproof0\insrsid6646268\charrsid3868003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6646268\charrsid3868003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5_x000d__x000a_ebfe9da7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62252 HideTWBExt;}{\*\cs16 \additive \v\cf15 \spriority0 \styrsid8862252 HideTWBInt;}{\s17\ql \li0\ri0\sa120\nowidctlpar\wrapdefault\aspalpha\aspnum\faauto\adjustright\rin0\lin0\itap0 _x000d__x000a_\rtlch\fcs1 \af0\afs20\alang1025 \ltrch\fcs0 \fs24\lang1061\langfe2057\cgrid\langnp1061\langfenp2057 \sbasedon0 \snext17 \slink18 \spriority0 \styrsid8862252 Normal6;}{\*\cs18 \additive \fs24\lang1061\langfe0\langnp1061 _x000d__x000a_\slink17 \slocked \spriority0 \styrsid8862252 Normal6 Char;}{\s19\ql \li0\ri0\nowidctlpar\wrapdefault\aspalpha\aspnum\faauto\adjustright\rin0\lin0\itap0 \rtlch\fcs1 \af0\afs20\alang1025 \ltrch\fcs0 _x000d__x000a_\b\fs24\lang1061\langfe2057\cgrid\langnp1061\langfenp2057 \sbasedon0 \snext19 \slink20 \spriority0 \styrsid8862252 NormalBold;}{\*\cs20 \additive \b\fs24\lang1061\langfe0\langnp1061 \slink19 \slocked \spriority0 \styrsid8862252 NormalBold Char;}{_x000d__x000a_\s21\ql \li0\ri0\sa240\nowidctlpar\wrapdefault\aspalpha\aspnum\faauto\adjustright\rin0\lin0\itap0 \rtlch\fcs1 \af0\afs20\alang1025 \ltrch\fcs0 \i\fs24\lang1024\langfe1024\cgrid\noproof\langnp1061\langfenp2057 _x000d__x000a_\sbasedon0 \snext21 \spriority0 \styrsid8862252 Normal12Italic;}{\s22\qc \li0\ri0\sb240\nowidctlpar\wrapdefault\aspalpha\aspnum\faauto\adjustright\rin0\lin0\itap0 \rtlch\fcs1 \af0\afs20\alang1025 \ltrch\fcs0 _x000d__x000a_\i\fs24\lang1061\langfe2057\cgrid\langnp1061\langfenp2057 \sbasedon0 \snext22 \spriority0 \styrsid8862252 CrossRef;}{\s23\qc \li0\ri0\sb240\sa240\keepn\nowidctlpar\wrapdefault\aspalpha\aspnum\faauto\adjustright\rin0\lin0\itap0 \rtlch\fcs1 _x000d__x000a_\af0\afs20\alang1025 \ltrch\fcs0 \i\fs24\lang1024\langfe1024\cgrid\noproof\langnp1061\langfenp2057 \sbasedon0 \snext0 \spriority0 \styrsid8862252 JustificationTitle;}{_x000d__x000a_\s24\qr \li0\ri0\sb240\sa240\nowidctlpar\wrapdefault\aspalpha\aspnum\faauto\adjustright\rin0\lin0\itap0 \rtlch\fcs1 \af0\afs20\alang1025 \ltrch\fcs0 \fs24\lang1024\langfe1024\cgrid\noproof\langnp1061\langfenp2057 _x000d__x000a_\sbasedon0 \snext24 \spriority0 \styrsid8862252 Olang;}{\s25\qc \li0\ri0\sa240\nowidctlpar\wrapdefault\aspalpha\aspnum\faauto\adjustright\rin0\lin0\itap0 \rtlch\fcs1 \af0\afs20\alang1025 \ltrch\fcs0 _x000d__x000a_\i\fs24\lang1061\langfe2057\cgrid\langnp1061\langfenp2057 \sbasedon0 \snext25 \spriority0 \styrsid886225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6 \spriority0 \styrsid8862252 AMNumberTabs;}}{\*\rsidtbl \rsid24658\rsid735077\rsid2892074\rsid4666813\rsid6641733\rsid8862252\rsid9636012\rsid11215221\rsid12154954_x000d__x000a_\rsid12266746\rsid14424199\rsid15204470\rsid15285974\rsid15950462\rsid16324206\rsid16662270}{\mmathPr\mmathFont34\mbrkBin0\mbrkBinSub0\msmallFrac0\mdispDef1\mlMargin0\mrMargin0\mdefJc1\mwrapIndent1440\mintLim0\mnaryLim1}{\info{\author Zeipe, Diana}_x000d__x000a_{\operator Zeipe, Diana}{\creatim\yr2017\mo3\dy28\hr11\min33}{\revtim\yr2017\mo3\dy28\hr11\min33}{\version1}{\edmins0}{\nofpages1}{\nofwords75}{\nofchars827}{\*\company European Parliament}{\nofcharsws827}{\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8862252\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12266746 \chftnsep _x000d__x000a_\par }}{\*\ftnsepc \ltrpar \pard\plain \ltrpar\ql \li0\ri0\widctlpar\wrapdefault\aspalpha\aspnum\faauto\adjustright\rin0\lin0\itap0 \rtlch\fcs1 \af0\afs20\alang1025 \ltrch\fcs0 \fs24\lang2057\langfe2057\cgrid\langnp2057\langfenp2057 {\rtlch\fcs1 \af0 _x000d__x000a_\ltrch\fcs0 \insrsid12266746 \chftnsepc _x000d__x000a_\par }}{\*\aftnsep \ltrpar \pard\plain \ltrpar\ql \li0\ri0\widctlpar\wrapdefault\aspalpha\aspnum\faauto\adjustright\rin0\lin0\itap0 \rtlch\fcs1 \af0\afs20\alang1025 \ltrch\fcs0 \fs24\lang2057\langfe2057\cgrid\langnp2057\langfenp2057 {\rtlch\fcs1 \af0 _x000d__x000a_\ltrch\fcs0 \insrsid12266746 \chftnsep _x000d__x000a_\par }}{\*\aftnsepc \ltrpar \pard\plain \ltrpar\ql \li0\ri0\widctlpar\wrapdefault\aspalpha\aspnum\faauto\adjustright\rin0\lin0\itap0 \rtlch\fcs1 \af0\afs20\alang1025 \ltrch\fcs0 \fs24\lang2057\langfe2057\cgrid\langnp2057\langfenp2057 {\rtlch\fcs1 \af0 _x000d__x000a_\ltrch\fcs0 \insrsid1226674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1\langfe2057\cgrid\langnp1061\langfenp2057 {\rtlch\fcs1 \af0 \ltrch\fcs0 \cs15\b0\v\f1\fs20\cf9\insrsid8862252\charrsid3868003 {\*\bkmkstart restartB}&lt;AmendB&gt;}{_x000d__x000a_\rtlch\fcs1 \af0 \ltrch\fcs0 \insrsid8862252\charrsid3868003 Muudatusettepanek\tab \tab }{\rtlch\fcs1 \af0 \ltrch\fcs0 \cs15\b0\v\f1\fs20\cf9\insrsid8862252\charrsid3868003 &lt;NumAmB&gt;}{\rtlch\fcs1 \af0 \ltrch\fcs0 \insrsid8862252\charrsid3868003 #}{_x000d__x000a_\rtlch\fcs1 \af0 \ltrch\fcs0 \cs16\v\cf15\insrsid8862252\charrsid3868003 ENMIENDA@NRAM@}{\rtlch\fcs1 \af0 \ltrch\fcs0 \insrsid8862252\charrsid3868003 #}{\rtlch\fcs1 \af0 \ltrch\fcs0 \cs15\b0\v\f1\fs20\cf9\insrsid8862252\charrsid3868003 &lt;/NumAmB&gt;}{_x000d__x000a_\rtlch\fcs1 \af0 \ltrch\fcs0 \insrsid8862252\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8862252\charrsid3868003 &lt;RepeatBlock-By&gt;}{\rtlch\fcs1 \af0 \ltrch\fcs0 \insrsid8862252\charrsid3868003 #}{\rtlch\fcs1 \af0 \ltrch\fcs0 \cs16\v\cf15\insrsid8862252\charrsid3868003 &gt;&gt;&gt;@[ZMEMBERSMSG]@}{\rtlch\fcs1 _x000d__x000a_\af0 \ltrch\fcs0 \insrsid8862252\charrsid3868003 #}{\rtlch\fcs1 \af0 \ltrch\fcs0 \cs15\b0\v\f1\fs20\cf9\insrsid8862252\charrsid3868003 &lt;Members&gt;}{\rtlch\fcs1 \af0 \ltrch\fcs0 \cf10\insrsid8862252\charrsid3868003 \u9668\'3f}{\rtlch\fcs1 \af0 \ltrch\fcs0 _x000d__x000a_\insrsid8862252\charrsid3868003 #}{\rtlch\fcs1 \af0 \ltrch\fcs0 \cs16\v\cf15\insrsid8862252\charrsid3868003 TVTMEMBERS@MEMBERS@}{\rtlch\fcs1 \af0 \ltrch\fcs0 \insrsid8862252\charrsid3868003 #}{\rtlch\fcs1 \af0 \ltrch\fcs0 _x000d__x000a_\cf10\insrsid8862252\charrsid3868003 \u9658\'3f}{\rtlch\fcs1 \af0 \ltrch\fcs0 \cs15\b0\v\f1\fs20\cf9\insrsid8862252\charrsid3868003 &lt;/Members&gt;}{\rtlch\fcs1 \af0 \ltrch\fcs0 \insrsid8862252\charrsid3868003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8862252\charrsid3868003 &lt;AuNomDe&gt;&lt;OptDel&gt;}{\rtlch\fcs1 \af0 \ltrch\fcs0 \lang1061\langfe2057\langnp1061\insrsid8862252\charrsid3868003 #}{\rtlch\fcs1 \af0 \ltrch\fcs0 _x000d__x000a_\cs16\v\cf15\lang1061\langfe2057\langnp1061\insrsid8862252\charrsid3868003 MNU[ONBEHALFYES][NOTAPP]@CHOICE@}{\rtlch\fcs1 \af0 \ltrch\fcs0 \lang1061\langfe2057\langnp1061\insrsid8862252\charrsid3868003 #}{\rtlch\fcs1 \af0 \ltrch\fcs0 _x000d__x000a_\cs15\v\f1\fs20\cf9\lang1061\langfe2057\langnp1061\insrsid8862252\charrsid3868003 &lt;/OptDel&gt;&lt;/AuNomDe&gt;}{\rtlch\fcs1 \af0 \ltrch\fcs0 \lang1061\langfe2057\langnp1061\insrsid8862252\charrsid3868003 _x000d__x000a_\par &lt;&lt;&lt;}{\rtlch\fcs1 \af0 \ltrch\fcs0 \cs15\v\f1\fs20\cf9\lang1061\langfe2057\langnp1061\insrsid8862252\charrsid3868003 &lt;/RepeatBlock-By&gt;}{\rtlch\fcs1 \af0 \ltrch\fcs0 \lang1061\langfe2057\langnp1061\insrsid8862252\charrsid3868003 _x000d__x000a_\par }\pard\plain \ltrpar\s19\ql \li0\ri0\nowidctlpar\wrapdefault\aspalpha\aspnum\faauto\adjustright\rin0\lin0\itap0\pararsid5976803 \rtlch\fcs1 \af0\afs20\alang1025 \ltrch\fcs0 \b\fs24\lang1061\langfe2057\cgrid\langnp1061\langfenp2057 {\rtlch\fcs1 \af0 _x000d__x000a_\ltrch\fcs0 \cs15\b0\v\f1\fs20\cf9\insrsid8862252\charrsid3868003 &lt;DocAmend&gt;}{\rtlch\fcs1 \af0 \ltrch\fcs0 \insrsid8862252\charrsid3868003 #}{\rtlch\fcs1 \af0 \ltrch\fcs0 \cs16\v\cf15\insrsid8862252\charrsid3868003 _x000d__x000a_MNU[OPTPROPOSALCOD][OPTPROPOSALCNS][OPTPROPOSALNLE]@CHOICE@CODEMNU}{\rtlch\fcs1 \af0 \ltrch\fcs0 \insrsid8862252\charrsid3868003 #}{\rtlch\fcs1 \af0 \ltrch\fcs0 \cs15\b0\v\f1\fs20\cf9\insrsid8862252\charrsid3868003 &lt;/DocAmend&gt;}{\rtlch\fcs1 \af0 _x000d__x000a_\ltrch\fcs0 \insrsid8862252\charrsid3868003 _x000d__x000a_\par }\pard \ltrpar\s19\ql \li0\ri0\keepn\nowidctlpar\wrapdefault\aspalpha\aspnum\faauto\adjustright\rin0\lin0\itap0\pararsid10630121 {\rtlch\fcs1 \af0 \ltrch\fcs0 \cs15\b0\v\f1\fs20\cf9\insrsid8862252\charrsid3868003 &lt;Article&gt;}{\rtlch\fcs1 \af0 \ltrch\fcs0 _x000d__x000a_\insrsid8862252\charrsid3868003 #}{\rtlch\fcs1 \af0 \ltrch\fcs0 \cs16\v\cf15\insrsid8862252\charrsid3868003 MNU[OPTAMACTPART][OPTAMACTPART][OPTAMACTPART][AMACTPARTNO][AMACTPARTNO][AMACTPARTNO]@CHOICE@DOCMNU}{\rtlch\fcs1 \af0 \ltrch\fcs0 _x000d__x000a_\insrsid8862252\charrsid3868003 #}{\rtlch\fcs1 \af0 \ltrch\fcs0 \cs15\b0\v\f1\fs20\cf9\insrsid8862252\charrsid3868003 &lt;/Article&gt;}{\rtlch\fcs1 \af0 \ltrch\fcs0 \insrsid8862252\charrsid3868003 _x000d__x000a_\par }\pard\plain \ltrpar\ql \li0\ri0\keepn\widctlpar\wrapdefault\aspalpha\aspnum\faauto\adjustright\rin0\lin0\itap0\pararsid3744759 \rtlch\fcs1 \af0\afs20\alang1025 \ltrch\fcs0 \fs24\lang2057\langfe2057\cgrid\langnp2057\langfenp2057 {\rtlch\fcs1 \af0 _x000d__x000a_\ltrch\fcs0 \cs15\v\f1\fs20\cf9\lang1061\langfe2057\langnp1061\insrsid8862252\charrsid3868003 &lt;DocAmend2&gt;&lt;OptDel&gt;}{\rtlch\fcs1 \af0 \ltrch\fcs0 \lang1061\langfe2057\langnp1061\insrsid8862252\charrsid3868003 #}{\rtlch\fcs1 \af0 \ltrch\fcs0 _x000d__x000a_\cs16\v\cf15\lang1061\langfe2057\langnp1061\insrsid8862252\charrsid3868003 MNU[OPTNRACTYES][NOTAPP]@CHOICE@AMACTMNU}{\rtlch\fcs1 \af0 \ltrch\fcs0 \lang1061\langfe2057\langnp1061\insrsid8862252\charrsid3868003 #}{\rtlch\fcs1 \af0 \ltrch\fcs0 _x000d__x000a_\cs15\v\f1\fs20\cf9\lang1061\langfe2057\langnp1061\insrsid8862252\charrsid3868003 &lt;/OptDel&gt;&lt;/DocAmend2&gt;}{\rtlch\fcs1 \af0 \ltrch\fcs0 \lang1061\langfe2057\langnp1061\insrsid8862252\charrsid3868003 _x000d__x000a_\par }\pard \ltrpar\ql \li0\ri0\widctlpar\wrapdefault\aspalpha\aspnum\faauto\adjustright\rin0\lin0\itap0\pararsid10158853 {\rtlch\fcs1 \af0 \ltrch\fcs0 \cs15\v\f1\fs20\cf9\lang1061\langfe2057\langnp1061\insrsid8862252\charrsid3868003 &lt;Article2&gt;&lt;OptDel&gt;}{_x000d__x000a_\rtlch\fcs1 \af0 \ltrch\fcs0 \lang1061\langfe2057\langnp1061\insrsid8862252\charrsid3868003 #}{\rtlch\fcs1 \af0 \ltrch\fcs0 \cs16\v\cf15\lang1061\langfe2057\langnp1061\insrsid8862252\charrsid3868003 MNU[OPTACTPARTYES][NOTAPP]@CHOICE@AMACTMNU}{\rtlch\fcs1 _x000d__x000a_\af0 \ltrch\fcs0 \lang1061\langfe2057\langnp1061\insrsid8862252\charrsid3868003 #}{\rtlch\fcs1 \af0 \ltrch\fcs0 \cs15\v\f1\fs20\cf9\lang1061\langfe2057\langnp1061\insrsid8862252\charrsid3868003 &lt;/OptDel&gt;&lt;/Article2&gt;}{\rtlch\fcs1 \af0 \ltrch\fcs0 _x000d__x000a_\lang1061\langfe2057\langnp1061\insrsid8862252\charrsid3868003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1\langfe2057\langnp1061\insrsid8862252\charrsid3868003 \cell }\pard \ltrpar\ql \li0\ri0\widctlpar\intbl\wrapdefault\aspalpha\aspnum\faauto\adjustright\rin0\lin0 {\rtlch\fcs1 \af0 \ltrch\fcs0 _x000d__x000a_\lang1061\langfe2057\langnp1061\insrsid8862252\charrsid3868003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1\langfe2057\cgrid\langnp1061\langfenp2057 {\rtlch\fcs1 \af0 \ltrch\fcs0 _x000d__x000a_\insrsid8862252\charrsid3868003 #}{\rtlch\fcs1 \af0 \ltrch\fcs0 \cs16\v\cf15\insrsid8862252\charrsid3868003 MNU[OPTLEFTAMACT][LEFTPROP]@CHOICE@AMACTMNU}{\rtlch\fcs1 \af0 \ltrch\fcs0 \insrsid8862252\charrsid3868003 #\cell Muudatusettepanek\cell _x000d__x000a_}\pard\plain \ltrpar\ql \li0\ri0\widctlpar\intbl\wrapdefault\aspalpha\aspnum\faauto\adjustright\rin0\lin0 \rtlch\fcs1 \af0\afs20\alang1025 \ltrch\fcs0 \fs24\lang2057\langfe2057\cgrid\langnp2057\langfenp2057 {\rtlch\fcs1 \af0 \ltrch\fcs0 _x000d__x000a_\lang1061\langfe2057\langnp1061\insrsid8862252\charrsid3868003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61\langfe2057\cgrid\langnp1061\langfenp2057 {\rtlch\fcs1 \af0 _x000d__x000a_\ltrch\fcs0 \insrsid8862252\charrsid3868003 ##\cell ##}{\rtlch\fcs1 \af0\afs24 \ltrch\fcs0 \insrsid8862252\charrsid3868003 \cell }\pard\plain \ltrpar\ql \li0\ri0\widctlpar\intbl\wrapdefault\aspalpha\aspnum\faauto\adjustright\rin0\lin0 \rtlch\fcs1 _x000d__x000a_\af0\afs20\alang1025 \ltrch\fcs0 \fs24\lang2057\langfe2057\cgrid\langnp2057\langfenp2057 {\rtlch\fcs1 \af0 \ltrch\fcs0 \lang1061\langfe2057\langnp1061\insrsid8862252\charrsid3868003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1\langfenp2057 {\rtlch\fcs1 \af0 _x000d__x000a_\ltrch\fcs0 \noproof0\insrsid8862252\charrsid3868003 Or. }{\rtlch\fcs1 \af0 \ltrch\fcs0 \cs15\v\f1\fs20\cf9\noproof0\insrsid8862252\charrsid3868003 &lt;Original&gt;}{\rtlch\fcs1 \af0 \ltrch\fcs0 \noproof0\insrsid8862252\charrsid3868003 #}{\rtlch\fcs1 \af0 _x000d__x000a_\ltrch\fcs0 \cs16\v\cf15\noproof0\insrsid8862252\charrsid3868003 KEY(MAIN/LANGMIN)sh@ORLANGMSG@}{\rtlch\fcs1 \af0 \ltrch\fcs0 \noproof0\insrsid8862252\charrsid3868003 #}{\rtlch\fcs1 \af0 \ltrch\fcs0 _x000d__x000a_\cs15\v\f1\fs20\cf9\noproof0\insrsid8862252\charrsid3868003 &lt;/Original&gt;}{\rtlch\fcs1 \af0 \ltrch\fcs0 \noproof0\insrsid8862252\charrsid3868003 _x000d__x000a_\par }\pard\plain \ltrpar\s22\qc \li0\ri0\sb240\nowidctlpar\wrapdefault\aspalpha\aspnum\faauto\adjustright\rin0\lin0\itap0\pararsid10630121 \rtlch\fcs1 \af0\afs20\alang1025 \ltrch\fcs0 \i\fs24\lang1061\langfe2057\cgrid\langnp1061\langfenp2057 {\rtlch\fcs1 _x000d__x000a_\af0 \ltrch\fcs0 \cs15\i0\v\f1\fs20\cf9\insrsid8862252\charrsid3868003 &lt;OptDel&gt;}{\rtlch\fcs1 \af0 \ltrch\fcs0 \insrsid8862252\charrsid3868003 #}{\rtlch\fcs1 \af0 \ltrch\fcs0 \cs16\v\cf15\insrsid8862252\charrsid3868003 MNU[CROSSREFNO][CROSSREFYES]@CHOICE@}_x000d__x000a_{\rtlch\fcs1 \af0 \ltrch\fcs0 \insrsid8862252\charrsid3868003 #}{\rtlch\fcs1 \af0 \ltrch\fcs0 \cs15\i0\v\f1\fs20\cf9\insrsid8862252\charrsid3868003 &lt;/OptDel&gt;}{\rtlch\fcs1 \af0 \ltrch\fcs0 \insrsid8862252\charrsid3868003 _x000d__x000a_\par }\pard\plain \ltrpar\s23\qc \li0\ri0\sb240\sa240\keepn\nowidctlpar\wrapdefault\aspalpha\aspnum\faauto\adjustright\rin0\lin0\itap0\pararsid3744759 \rtlch\fcs1 \af0\afs20\alang1025 \ltrch\fcs0 _x000d__x000a_\i\fs24\lang1024\langfe1024\cgrid\noproof\langnp1061\langfenp2057 {\rtlch\fcs1 \af0 \ltrch\fcs0 \cs15\i0\v\f1\fs20\cf9\noproof0\insrsid8862252\charrsid3868003 &lt;TitreJust&gt;}{\rtlch\fcs1 \af0 \ltrch\fcs0 \noproof0\insrsid8862252\charrsid3868003 Selgitus}{_x000d__x000a_\rtlch\fcs1 \af0 \ltrch\fcs0 \cs15\i0\v\f1\fs20\cf9\noproof0\insrsid8862252\charrsid3868003 &lt;/TitreJust&gt;}{\rtlch\fcs1 \af0 \ltrch\fcs0 \noproof0\insrsid8862252\charrsid3868003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8862252\charrsid3868003 &lt;OptDelPrev&gt;}{\rtlch\fcs1 \af0 \ltrch\fcs0 \noproof0\insrsid8862252\charrsid3868003 #}{\rtlch\fcs1 \af0 \ltrch\fcs0 _x000d__x000a_\cs16\v\cf15\noproof0\insrsid8862252\charrsid3868003 MNU[TEXTJUSTYES][TEXTJUSTNO]@CHOICE@}{\rtlch\fcs1 \af0 \ltrch\fcs0 \noproof0\insrsid8862252\charrsid3868003 #}{\rtlch\fcs1 \af0 \ltrch\fcs0 _x000d__x000a_\cs15\i0\v\f1\fs20\cf9\noproof0\insrsid8862252\charrsid3868003 &lt;/OptDelPrev&gt;}{\rtlch\fcs1 \af0 \ltrch\fcs0 \noproof0\insrsid8862252\charrsid3868003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8862252\charrsid3868003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b_x000d__x000a_20ff9da7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ET"/>
    <w:docVar w:name="TXTLANGUEMIN" w:val="et"/>
    <w:docVar w:name="TXTNRFIRSTAM" w:val="96"/>
    <w:docVar w:name="TXTNRLASTAM" w:val="416"/>
    <w:docVar w:name="TXTNRPE" w:val="602.739"/>
    <w:docVar w:name="TXTPEorAP" w:val="PE"/>
    <w:docVar w:name="TXTROUTE" w:val="AM\1121329ET.docx"/>
    <w:docVar w:name="TXTVERSION" w:val="01-00"/>
  </w:docVars>
  <w:rsids>
    <w:rsidRoot w:val="006B3E32"/>
    <w:rsid w:val="000111BD"/>
    <w:rsid w:val="00073830"/>
    <w:rsid w:val="00075DBE"/>
    <w:rsid w:val="00082380"/>
    <w:rsid w:val="000B0781"/>
    <w:rsid w:val="000C1961"/>
    <w:rsid w:val="000E7234"/>
    <w:rsid w:val="000F2A80"/>
    <w:rsid w:val="00126BC4"/>
    <w:rsid w:val="00150057"/>
    <w:rsid w:val="00166CCB"/>
    <w:rsid w:val="0017512B"/>
    <w:rsid w:val="001A4802"/>
    <w:rsid w:val="001B761C"/>
    <w:rsid w:val="001C2054"/>
    <w:rsid w:val="001C502E"/>
    <w:rsid w:val="001D13C9"/>
    <w:rsid w:val="001D5CC4"/>
    <w:rsid w:val="001D7A6E"/>
    <w:rsid w:val="001F0FDD"/>
    <w:rsid w:val="00212EFA"/>
    <w:rsid w:val="00231EA7"/>
    <w:rsid w:val="00235683"/>
    <w:rsid w:val="00236619"/>
    <w:rsid w:val="002574CB"/>
    <w:rsid w:val="00262B3E"/>
    <w:rsid w:val="00280A25"/>
    <w:rsid w:val="00280EA6"/>
    <w:rsid w:val="00285D65"/>
    <w:rsid w:val="002A1C82"/>
    <w:rsid w:val="002B20DF"/>
    <w:rsid w:val="002B6A7B"/>
    <w:rsid w:val="002C5761"/>
    <w:rsid w:val="002F3FB4"/>
    <w:rsid w:val="003003A7"/>
    <w:rsid w:val="00315664"/>
    <w:rsid w:val="00322475"/>
    <w:rsid w:val="0033271E"/>
    <w:rsid w:val="00363AD3"/>
    <w:rsid w:val="003743DE"/>
    <w:rsid w:val="0037660F"/>
    <w:rsid w:val="00384E84"/>
    <w:rsid w:val="003923F7"/>
    <w:rsid w:val="003B3A8B"/>
    <w:rsid w:val="003D466C"/>
    <w:rsid w:val="003E43AC"/>
    <w:rsid w:val="003F21EB"/>
    <w:rsid w:val="003F3B0C"/>
    <w:rsid w:val="00402919"/>
    <w:rsid w:val="00422BB2"/>
    <w:rsid w:val="004367B3"/>
    <w:rsid w:val="00441413"/>
    <w:rsid w:val="00441D7D"/>
    <w:rsid w:val="00461E32"/>
    <w:rsid w:val="00470005"/>
    <w:rsid w:val="00495E20"/>
    <w:rsid w:val="004E0AAC"/>
    <w:rsid w:val="004F2903"/>
    <w:rsid w:val="00547F73"/>
    <w:rsid w:val="00557617"/>
    <w:rsid w:val="00571479"/>
    <w:rsid w:val="005A7EB4"/>
    <w:rsid w:val="005B32E3"/>
    <w:rsid w:val="005B6673"/>
    <w:rsid w:val="005C38F5"/>
    <w:rsid w:val="005E45C1"/>
    <w:rsid w:val="005E50C2"/>
    <w:rsid w:val="00607ABE"/>
    <w:rsid w:val="00621F31"/>
    <w:rsid w:val="00627506"/>
    <w:rsid w:val="006337D4"/>
    <w:rsid w:val="00637384"/>
    <w:rsid w:val="00640001"/>
    <w:rsid w:val="0066168A"/>
    <w:rsid w:val="00665DDA"/>
    <w:rsid w:val="00672807"/>
    <w:rsid w:val="00695CC1"/>
    <w:rsid w:val="006A2838"/>
    <w:rsid w:val="006B3E32"/>
    <w:rsid w:val="006B4B58"/>
    <w:rsid w:val="006B6438"/>
    <w:rsid w:val="006D6B15"/>
    <w:rsid w:val="006F3F81"/>
    <w:rsid w:val="006F4B73"/>
    <w:rsid w:val="006F55E6"/>
    <w:rsid w:val="00702F62"/>
    <w:rsid w:val="007059E9"/>
    <w:rsid w:val="00706049"/>
    <w:rsid w:val="007152AF"/>
    <w:rsid w:val="00734E1D"/>
    <w:rsid w:val="00736FBA"/>
    <w:rsid w:val="00763DCF"/>
    <w:rsid w:val="007659AC"/>
    <w:rsid w:val="0079060C"/>
    <w:rsid w:val="007A42AB"/>
    <w:rsid w:val="007C71DE"/>
    <w:rsid w:val="0081277E"/>
    <w:rsid w:val="00822C94"/>
    <w:rsid w:val="008363E4"/>
    <w:rsid w:val="00851460"/>
    <w:rsid w:val="0087052C"/>
    <w:rsid w:val="00874862"/>
    <w:rsid w:val="00875A9C"/>
    <w:rsid w:val="00887FDC"/>
    <w:rsid w:val="008F0DDD"/>
    <w:rsid w:val="00900CAE"/>
    <w:rsid w:val="0090357C"/>
    <w:rsid w:val="00904AD5"/>
    <w:rsid w:val="009154FF"/>
    <w:rsid w:val="00917A85"/>
    <w:rsid w:val="00922C8B"/>
    <w:rsid w:val="009378AE"/>
    <w:rsid w:val="00966038"/>
    <w:rsid w:val="00977231"/>
    <w:rsid w:val="00995044"/>
    <w:rsid w:val="009A5840"/>
    <w:rsid w:val="009A65D8"/>
    <w:rsid w:val="009B0305"/>
    <w:rsid w:val="009B3FEE"/>
    <w:rsid w:val="00A15973"/>
    <w:rsid w:val="00A233E9"/>
    <w:rsid w:val="00A46736"/>
    <w:rsid w:val="00A507FC"/>
    <w:rsid w:val="00A5426B"/>
    <w:rsid w:val="00A54DBC"/>
    <w:rsid w:val="00A77E84"/>
    <w:rsid w:val="00A845EF"/>
    <w:rsid w:val="00A84C57"/>
    <w:rsid w:val="00A93389"/>
    <w:rsid w:val="00A93F8C"/>
    <w:rsid w:val="00AA0DF6"/>
    <w:rsid w:val="00AB53C3"/>
    <w:rsid w:val="00AB74D6"/>
    <w:rsid w:val="00AC7149"/>
    <w:rsid w:val="00AD7AA7"/>
    <w:rsid w:val="00AE4459"/>
    <w:rsid w:val="00AF25FC"/>
    <w:rsid w:val="00AF2819"/>
    <w:rsid w:val="00B10564"/>
    <w:rsid w:val="00B41B4D"/>
    <w:rsid w:val="00B45E23"/>
    <w:rsid w:val="00B77A45"/>
    <w:rsid w:val="00B8066A"/>
    <w:rsid w:val="00B85286"/>
    <w:rsid w:val="00B90B7F"/>
    <w:rsid w:val="00BA48D2"/>
    <w:rsid w:val="00BC1B1F"/>
    <w:rsid w:val="00BE0C84"/>
    <w:rsid w:val="00C10F61"/>
    <w:rsid w:val="00C22CC4"/>
    <w:rsid w:val="00C35E35"/>
    <w:rsid w:val="00C41E32"/>
    <w:rsid w:val="00C6270E"/>
    <w:rsid w:val="00C75BC1"/>
    <w:rsid w:val="00C92798"/>
    <w:rsid w:val="00CB34F1"/>
    <w:rsid w:val="00CB7B07"/>
    <w:rsid w:val="00CC3983"/>
    <w:rsid w:val="00CD43E4"/>
    <w:rsid w:val="00D00CC7"/>
    <w:rsid w:val="00D100D1"/>
    <w:rsid w:val="00D14FCE"/>
    <w:rsid w:val="00D15308"/>
    <w:rsid w:val="00D1583C"/>
    <w:rsid w:val="00D15D1E"/>
    <w:rsid w:val="00D62D49"/>
    <w:rsid w:val="00D677D5"/>
    <w:rsid w:val="00D755F1"/>
    <w:rsid w:val="00D767AC"/>
    <w:rsid w:val="00D82FCC"/>
    <w:rsid w:val="00DB429F"/>
    <w:rsid w:val="00DC4160"/>
    <w:rsid w:val="00DC6A1B"/>
    <w:rsid w:val="00DD1816"/>
    <w:rsid w:val="00DE672F"/>
    <w:rsid w:val="00DE697E"/>
    <w:rsid w:val="00E15A86"/>
    <w:rsid w:val="00E25DC5"/>
    <w:rsid w:val="00E303B9"/>
    <w:rsid w:val="00E44BB0"/>
    <w:rsid w:val="00E471BE"/>
    <w:rsid w:val="00E57F50"/>
    <w:rsid w:val="00E660E2"/>
    <w:rsid w:val="00EA7B98"/>
    <w:rsid w:val="00EE011D"/>
    <w:rsid w:val="00EF03A3"/>
    <w:rsid w:val="00F27170"/>
    <w:rsid w:val="00F3436B"/>
    <w:rsid w:val="00F3620F"/>
    <w:rsid w:val="00F37676"/>
    <w:rsid w:val="00F459F7"/>
    <w:rsid w:val="00F52225"/>
    <w:rsid w:val="00F5738B"/>
    <w:rsid w:val="00F92B49"/>
    <w:rsid w:val="00F9779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91921CB-F29A-4108-96C4-2E17D4F87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9A5840"/>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link w:val="BalloonText"/>
    <w:rsid w:val="009A5840"/>
    <w:rPr>
      <w:rFonts w:ascii="Tahoma" w:hAnsi="Tahoma" w:cs="Tahoma"/>
      <w:sz w:val="16"/>
      <w:szCs w:val="16"/>
    </w:rPr>
  </w:style>
  <w:style w:type="character" w:customStyle="1" w:styleId="BalloonTextChar0">
    <w:name w:val="Balloon Text Char_0"/>
    <w:link w:val="BalloonText0"/>
    <w:rsid w:val="009A5840"/>
    <w:rPr>
      <w:rFonts w:ascii="Tahoma" w:hAnsi="Tahoma" w:cs="Tahoma"/>
      <w:sz w:val="16"/>
      <w:szCs w:val="16"/>
    </w:rPr>
  </w:style>
  <w:style w:type="paragraph" w:customStyle="1" w:styleId="BalloonText0">
    <w:name w:val="Balloon Text_0"/>
    <w:basedOn w:val="Normal"/>
    <w:link w:val="BalloonTextChar0"/>
    <w:rsid w:val="009A5840"/>
    <w:pPr>
      <w:widowControl/>
    </w:pPr>
    <w:rPr>
      <w:rFonts w:ascii="Tahoma" w:hAnsi="Tahoma" w:cs="Tahoma"/>
      <w:sz w:val="16"/>
      <w:szCs w:val="16"/>
      <w:lang w:val="en-GB"/>
    </w:rPr>
  </w:style>
  <w:style w:type="character" w:customStyle="1" w:styleId="Bold">
    <w:name w:val="Bold"/>
    <w:uiPriority w:val="1"/>
    <w:qFormat/>
    <w:rsid w:val="009A5840"/>
    <w:rPr>
      <w:rFonts w:ascii="Times New Roman" w:hAnsi="Times New Roman"/>
      <w:b/>
      <w:sz w:val="24"/>
      <w:lang w:val="fr-FR"/>
    </w:rPr>
  </w:style>
  <w:style w:type="character" w:customStyle="1" w:styleId="BoldItalic">
    <w:name w:val="BoldItalic"/>
    <w:uiPriority w:val="1"/>
    <w:qFormat/>
    <w:rsid w:val="009A5840"/>
    <w:rPr>
      <w:rFonts w:ascii="Times New Roman" w:hAnsi="Times New Roman"/>
      <w:b/>
      <w:i/>
      <w:sz w:val="24"/>
    </w:rPr>
  </w:style>
  <w:style w:type="paragraph" w:customStyle="1" w:styleId="Center">
    <w:name w:val="Center"/>
    <w:rsid w:val="009A5840"/>
    <w:pPr>
      <w:spacing w:after="120"/>
      <w:jc w:val="center"/>
    </w:pPr>
    <w:rPr>
      <w:color w:val="000000"/>
      <w:lang w:val="en-GB" w:eastAsia="en-GB"/>
    </w:rPr>
  </w:style>
  <w:style w:type="character" w:customStyle="1" w:styleId="DefaultParagraphFont0">
    <w:name w:val="Default Paragraph Font_0"/>
    <w:uiPriority w:val="1"/>
    <w:semiHidden/>
    <w:unhideWhenUsed/>
    <w:rsid w:val="009A5840"/>
  </w:style>
  <w:style w:type="character" w:customStyle="1" w:styleId="FootNoteMarker">
    <w:name w:val="FootNoteMarker"/>
    <w:rsid w:val="009A5840"/>
    <w:rPr>
      <w:color w:val="000000"/>
      <w:vertAlign w:val="superscript"/>
    </w:rPr>
  </w:style>
  <w:style w:type="paragraph" w:customStyle="1" w:styleId="Footer1">
    <w:name w:val="Footer1"/>
    <w:rsid w:val="009A5840"/>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9A5840"/>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9A5840"/>
    <w:rPr>
      <w:rFonts w:ascii="Arial" w:eastAsia="Arial" w:hAnsi="Arial" w:cs="Arial"/>
      <w:b w:val="0"/>
      <w:i/>
      <w:color w:val="C0C0C0"/>
      <w:sz w:val="22"/>
    </w:rPr>
  </w:style>
  <w:style w:type="paragraph" w:customStyle="1" w:styleId="FooterLandscape">
    <w:name w:val="FooterLandscape"/>
    <w:qFormat/>
    <w:rsid w:val="009A5840"/>
    <w:pPr>
      <w:tabs>
        <w:tab w:val="center" w:pos="6804"/>
        <w:tab w:val="center" w:pos="13608"/>
      </w:tabs>
    </w:pPr>
    <w:rPr>
      <w:color w:val="000000"/>
      <w:sz w:val="22"/>
      <w:szCs w:val="24"/>
      <w:lang w:val="en-GB" w:eastAsia="en-GB"/>
    </w:rPr>
  </w:style>
  <w:style w:type="character" w:customStyle="1" w:styleId="Italic">
    <w:name w:val="Italic"/>
    <w:uiPriority w:val="1"/>
    <w:qFormat/>
    <w:rsid w:val="009A5840"/>
    <w:rPr>
      <w:rFonts w:ascii="Times New Roman" w:hAnsi="Times New Roman"/>
      <w:i/>
      <w:sz w:val="24"/>
    </w:rPr>
  </w:style>
  <w:style w:type="numbering" w:customStyle="1" w:styleId="NoList0">
    <w:name w:val="No List_0"/>
    <w:next w:val="NoList"/>
    <w:uiPriority w:val="99"/>
    <w:semiHidden/>
    <w:unhideWhenUsed/>
    <w:rsid w:val="009A5840"/>
  </w:style>
  <w:style w:type="paragraph" w:customStyle="1" w:styleId="Normal0">
    <w:name w:val="Normal_0"/>
    <w:next w:val="Normal"/>
    <w:qFormat/>
    <w:rsid w:val="009A5840"/>
    <w:rPr>
      <w:sz w:val="24"/>
      <w:szCs w:val="24"/>
      <w:lang w:val="en-GB" w:eastAsia="en-GB"/>
    </w:rPr>
  </w:style>
  <w:style w:type="paragraph" w:customStyle="1" w:styleId="Normal6Italic">
    <w:name w:val="Normal6Italic"/>
    <w:basedOn w:val="Normal"/>
    <w:rsid w:val="009A5840"/>
    <w:pPr>
      <w:widowControl/>
      <w:spacing w:after="120"/>
    </w:pPr>
    <w:rPr>
      <w:i/>
      <w:color w:val="000000"/>
      <w:szCs w:val="24"/>
      <w:lang w:val="en-GB"/>
    </w:rPr>
  </w:style>
  <w:style w:type="character" w:customStyle="1" w:styleId="Normal6RomanBI">
    <w:name w:val="Normal6RomanBI"/>
    <w:rsid w:val="009A5840"/>
    <w:rPr>
      <w:rFonts w:ascii="Times New Roman" w:eastAsia="Times New Roman" w:hAnsi="Times New Roman" w:cs="Times New Roman"/>
      <w:b/>
      <w:i/>
      <w:color w:val="000000"/>
      <w:sz w:val="24"/>
    </w:rPr>
  </w:style>
  <w:style w:type="paragraph" w:customStyle="1" w:styleId="RefPE">
    <w:name w:val="RefPE"/>
    <w:basedOn w:val="Normal"/>
    <w:rsid w:val="009A5840"/>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9A5840"/>
    <w:pPr>
      <w:spacing w:after="120"/>
    </w:pPr>
    <w:rPr>
      <w:b/>
      <w:i/>
      <w:color w:val="000000"/>
      <w:sz w:val="24"/>
      <w:szCs w:val="24"/>
      <w:lang w:val="en-GB" w:eastAsia="en-GB"/>
    </w:rPr>
  </w:style>
  <w:style w:type="paragraph" w:customStyle="1" w:styleId="StyleNormalBoldNotBold">
    <w:name w:val="Style NormalBold + Not Bold"/>
    <w:rsid w:val="009A5840"/>
    <w:rPr>
      <w:color w:val="000000"/>
      <w:sz w:val="24"/>
      <w:szCs w:val="24"/>
      <w:lang w:val="en-GB" w:eastAsia="en-GB"/>
    </w:rPr>
  </w:style>
  <w:style w:type="character" w:customStyle="1" w:styleId="Sub">
    <w:name w:val="Sub"/>
    <w:rsid w:val="009A5840"/>
    <w:rPr>
      <w:color w:val="000000"/>
      <w:vertAlign w:val="subscript"/>
    </w:rPr>
  </w:style>
  <w:style w:type="character" w:customStyle="1" w:styleId="SubBold">
    <w:name w:val="SubBold"/>
    <w:rsid w:val="009A5840"/>
    <w:rPr>
      <w:b/>
      <w:color w:val="000000"/>
      <w:vertAlign w:val="subscript"/>
    </w:rPr>
  </w:style>
  <w:style w:type="character" w:customStyle="1" w:styleId="SubBoldItalic">
    <w:name w:val="SubBoldItalic"/>
    <w:rsid w:val="009A5840"/>
    <w:rPr>
      <w:b/>
      <w:i/>
      <w:color w:val="000000"/>
      <w:vertAlign w:val="subscript"/>
    </w:rPr>
  </w:style>
  <w:style w:type="character" w:customStyle="1" w:styleId="SubItalic">
    <w:name w:val="SubItalic"/>
    <w:rsid w:val="009A5840"/>
    <w:rPr>
      <w:i/>
      <w:color w:val="000000"/>
      <w:vertAlign w:val="subscript"/>
    </w:rPr>
  </w:style>
  <w:style w:type="character" w:customStyle="1" w:styleId="Sup">
    <w:name w:val="Sup"/>
    <w:rsid w:val="009A5840"/>
    <w:rPr>
      <w:color w:val="000000"/>
      <w:vertAlign w:val="superscript"/>
    </w:rPr>
  </w:style>
  <w:style w:type="character" w:customStyle="1" w:styleId="SupBold">
    <w:name w:val="SupBold"/>
    <w:rsid w:val="009A5840"/>
    <w:rPr>
      <w:b/>
      <w:color w:val="000000"/>
      <w:vertAlign w:val="superscript"/>
    </w:rPr>
  </w:style>
  <w:style w:type="character" w:customStyle="1" w:styleId="SupBoldItalic">
    <w:name w:val="SupBoldItalic"/>
    <w:rsid w:val="009A5840"/>
    <w:rPr>
      <w:b/>
      <w:i/>
      <w:color w:val="000000"/>
      <w:vertAlign w:val="superscript"/>
    </w:rPr>
  </w:style>
  <w:style w:type="character" w:customStyle="1" w:styleId="SupItalic">
    <w:name w:val="SupItalic"/>
    <w:rsid w:val="009A5840"/>
    <w:rPr>
      <w:i/>
      <w:color w:val="000000"/>
      <w:vertAlign w:val="superscript"/>
    </w:rPr>
  </w:style>
  <w:style w:type="table" w:customStyle="1" w:styleId="TableNormal0">
    <w:name w:val="Table Normal_0"/>
    <w:next w:val="TableNormal"/>
    <w:uiPriority w:val="99"/>
    <w:semiHidden/>
    <w:unhideWhenUsed/>
    <w:rsid w:val="009A5840"/>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9A5840"/>
    <w:rPr>
      <w:rFonts w:ascii="Times New Roman" w:hAnsi="Times New Roman"/>
      <w:sz w:val="24"/>
      <w:u w:val="single"/>
    </w:rPr>
  </w:style>
  <w:style w:type="character" w:customStyle="1" w:styleId="HeaderChar">
    <w:name w:val="Header Char"/>
    <w:link w:val="Header"/>
    <w:rsid w:val="009A5840"/>
    <w:rPr>
      <w:sz w:val="24"/>
      <w:lang w:val="et-EE"/>
    </w:rPr>
  </w:style>
  <w:style w:type="character" w:styleId="FootnoteReference">
    <w:name w:val="footnote reference"/>
    <w:uiPriority w:val="99"/>
    <w:semiHidden/>
    <w:unhideWhenUsed/>
    <w:rsid w:val="00734E1D"/>
    <w:rPr>
      <w:shd w:val="clear" w:color="auto" w:fill="auto"/>
      <w:vertAlign w:val="superscript"/>
    </w:rPr>
  </w:style>
  <w:style w:type="paragraph" w:styleId="FootnoteText">
    <w:name w:val="footnote text"/>
    <w:basedOn w:val="Normal"/>
    <w:link w:val="FootnoteTextChar"/>
    <w:uiPriority w:val="99"/>
    <w:semiHidden/>
    <w:unhideWhenUsed/>
    <w:rsid w:val="00734E1D"/>
    <w:pPr>
      <w:widowControl/>
      <w:ind w:left="720" w:hanging="720"/>
      <w:jc w:val="both"/>
    </w:pPr>
    <w:rPr>
      <w:rFonts w:eastAsia="Calibri"/>
      <w:sz w:val="20"/>
      <w:lang w:eastAsia="et-EE" w:bidi="et-EE"/>
    </w:rPr>
  </w:style>
  <w:style w:type="character" w:customStyle="1" w:styleId="FootnoteTextChar">
    <w:name w:val="Footnote Text Char"/>
    <w:link w:val="FootnoteText"/>
    <w:uiPriority w:val="99"/>
    <w:semiHidden/>
    <w:rsid w:val="00734E1D"/>
    <w:rPr>
      <w:rFonts w:eastAsia="Calibri"/>
      <w:lang w:val="et-EE" w:eastAsia="et-EE" w:bidi="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iped\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178</Pages>
  <Words>34978</Words>
  <Characters>310765</Characters>
  <Application>Microsoft Office Word</Application>
  <DocSecurity>0</DocSecurity>
  <Lines>2589</Lines>
  <Paragraphs>690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AM_Com_LegReport</vt:lpstr>
      <vt:lpstr>AM_Com_LegReport</vt:lpstr>
    </vt:vector>
  </TitlesOfParts>
  <Company/>
  <LinksUpToDate>false</LinksUpToDate>
  <CharactersWithSpaces>345053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Zeipe, Diana</dc:creator>
  <cp:keywords/>
  <dc:description/>
  <cp:lastModifiedBy>LAUREND Mariliis</cp:lastModifiedBy>
  <cp:revision>2</cp:revision>
  <cp:lastPrinted>2007-06-22T13:02:00Z</cp:lastPrinted>
  <dcterms:created xsi:type="dcterms:W3CDTF">2017-04-18T09:31:00Z</dcterms:created>
  <dcterms:modified xsi:type="dcterms:W3CDTF">2017-04-18T09:31:00Z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8.9.0 Build [20161001]</vt:lpwstr>
  </property>
  <property fmtid="{D5CDD505-2E9C-101B-9397-08002B2CF9AE}" pid="4" name="LastEdited with">
    <vt:lpwstr>9.0.0 Build [20170325]</vt:lpwstr>
  </property>
  <property fmtid="{D5CDD505-2E9C-101B-9397-08002B2CF9AE}" pid="5" name="&lt;FdR&gt;">
    <vt:lpwstr>1121329</vt:lpwstr>
  </property>
  <property fmtid="{D5CDD505-2E9C-101B-9397-08002B2CF9AE}" pid="6" name="&lt;Type&gt;">
    <vt:lpwstr>AM</vt:lpwstr>
  </property>
  <property fmtid="{D5CDD505-2E9C-101B-9397-08002B2CF9AE}" pid="7" name="&lt;ModelCod&gt;">
    <vt:lpwstr>C:\Users\zeiped\AppData\Local\DocEP\DOCS\AM\AM_Leg\AM_Com_Leg\AM_Com_LegReport.dot(17/02/2016 12:46:16)</vt:lpwstr>
  </property>
  <property fmtid="{D5CDD505-2E9C-101B-9397-08002B2CF9AE}" pid="8" name="&lt;ModelTra&gt;">
    <vt:lpwstr>C:\Users\zeiped\AppData\Local\DocEP\TRANSFIL\ET\AM_Com_LegReport.ET(06/09/2016 11:03:58)</vt:lpwstr>
  </property>
  <property fmtid="{D5CDD505-2E9C-101B-9397-08002B2CF9AE}" pid="9" name="&lt;Model&gt;">
    <vt:lpwstr>AM_Com_LegReport</vt:lpwstr>
  </property>
  <property fmtid="{D5CDD505-2E9C-101B-9397-08002B2CF9AE}" pid="10" name="FooterPath">
    <vt:lpwstr>AM\1121329ET.docx</vt:lpwstr>
  </property>
  <property fmtid="{D5CDD505-2E9C-101B-9397-08002B2CF9AE}" pid="11" name="PE Number">
    <vt:lpwstr>602.739</vt:lpwstr>
  </property>
  <property fmtid="{D5CDD505-2E9C-101B-9397-08002B2CF9AE}" pid="12" name="Bookout">
    <vt:lpwstr>OK - 2017/04/18 11:31</vt:lpwstr>
  </property>
  <property fmtid="{D5CDD505-2E9C-101B-9397-08002B2CF9AE}" pid="13" name="SubscribeElise">
    <vt:lpwstr/>
  </property>
</Properties>
</file>