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4.1.0.0 -->
  <w:body>
    <w:tbl>
      <w:tblPr>
        <w:jc w:val="center"/>
        <w:tblLayout w:type="fixed"/>
        <w:tblCellMar>
          <w:top w:w="0" w:type="dxa"/>
          <w:left w:w="108" w:type="dxa"/>
          <w:bottom w:w="0" w:type="dxa"/>
          <w:right w:w="108" w:type="dxa"/>
        </w:tblCellMar>
      </w:tblPr>
      <w:tblGrid>
        <w:gridCol w:w="6804"/>
        <w:gridCol w:w="2268"/>
      </w:tblGrid>
      <w:tr>
        <w:tblPrEx>
          <w:jc w:val="center"/>
          <w:tblLayout w:type="fixed"/>
          <w:tblCellMar>
            <w:top w:w="0" w:type="dxa"/>
            <w:left w:w="108" w:type="dxa"/>
            <w:bottom w:w="0" w:type="dxa"/>
            <w:right w:w="108" w:type="dxa"/>
          </w:tblCellMar>
        </w:tblPrEx>
        <w:trPr>
          <w:trHeight w:hRule="exact" w:val="1417"/>
          <w:jc w:val="center"/>
        </w:trPr>
        <w:tc>
          <w:tcPr>
            <w:vAlign w:val="center"/>
          </w:tcPr>
          <w:p w:rsidR="00A77B3E">
            <w:pPr>
              <w:pStyle w:val="EPName"/>
            </w:pPr>
            <w:r>
              <w:t>Europaparlamentet</w:t>
            </w:r>
          </w:p>
          <w:p>
            <w:pPr>
              <w:pStyle w:val="EPTerm"/>
            </w:pPr>
            <w:r>
              <w:t>2014-2019</w:t>
            </w:r>
          </w:p>
        </w:tc>
        <w:tc>
          <w:tcPr/>
          <w:p>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51.02pt;width:91.56pt">
                  <v:imagedata r:id="rId4" o:title=""/>
                </v:shape>
              </w:pict>
            </w:r>
          </w:p>
        </w:tc>
      </w:tr>
    </w:tbl>
    <w:p w:rsidR="00A77B3E">
      <w:pPr>
        <w:pStyle w:val="LineTop"/>
      </w:pPr>
    </w:p>
    <w:p>
      <w:pPr>
        <w:pStyle w:val="ZCommittee"/>
      </w:pPr>
      <w:r>
        <w:rPr>
          <w:rStyle w:val="HideTWBExt"/>
        </w:rPr>
        <w:t>&lt;</w:t>
      </w:r>
      <w:r>
        <w:rPr>
          <w:rStyle w:val="HideTWBExt"/>
        </w:rPr>
        <w:t>Commission</w:t>
      </w:r>
      <w:r>
        <w:rPr>
          <w:rStyle w:val="HideTWBExt"/>
        </w:rPr>
        <w:t>&gt;</w:t>
      </w:r>
      <w:r>
        <w:rPr>
          <w:rStyle w:val="HideTWBInt"/>
        </w:rPr>
        <w:t>{LIBE}</w:t>
      </w:r>
      <w:r>
        <w:t>Utskottet för medborgerliga fri- och rättigheter samt rättsliga och inrikes frågor</w:t>
      </w:r>
      <w:r>
        <w:rPr>
          <w:rStyle w:val="HideTWBExt"/>
        </w:rPr>
        <w:t>&lt;/</w:t>
      </w:r>
      <w:r>
        <w:rPr>
          <w:rStyle w:val="HideTWBExt"/>
        </w:rPr>
        <w:t>Commission</w:t>
      </w:r>
      <w:r>
        <w:rPr>
          <w:rStyle w:val="HideTWBExt"/>
        </w:rPr>
        <w:t>&gt;</w:t>
      </w:r>
    </w:p>
    <w:p>
      <w:pPr>
        <w:pStyle w:val="LineBottom"/>
      </w:pPr>
    </w:p>
    <w:p>
      <w:pPr>
        <w:pStyle w:val="RefProc"/>
      </w:pPr>
      <w:r>
        <w:rPr>
          <w:rStyle w:val="HideTWBExt"/>
        </w:rPr>
        <w:t>&lt;</w:t>
      </w:r>
      <w:r>
        <w:rPr>
          <w:rStyle w:val="HideTWBExt"/>
        </w:rPr>
        <w:t>RefProc</w:t>
      </w:r>
      <w:r>
        <w:rPr>
          <w:rStyle w:val="HideTWBExt"/>
        </w:rPr>
        <w:t>&gt;</w:t>
      </w:r>
      <w:r>
        <w:t>2016/0223</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ZDate"/>
      </w:pPr>
      <w:r>
        <w:rPr>
          <w:rStyle w:val="HideTWBExt"/>
        </w:rPr>
        <w:t>&lt;</w:t>
      </w:r>
      <w:r>
        <w:rPr>
          <w:rStyle w:val="HideTWBExt"/>
        </w:rPr>
        <w:t>Date</w:t>
      </w:r>
      <w:r>
        <w:rPr>
          <w:rStyle w:val="HideTWBExt"/>
        </w:rPr>
        <w:t>&gt;</w:t>
      </w:r>
      <w:r>
        <w:rPr>
          <w:rStyle w:val="HideTWBInt"/>
        </w:rPr>
        <w:t>{</w:t>
      </w:r>
      <w:r>
        <w:rPr>
          <w:rStyle w:val="HideTWBInt"/>
        </w:rPr>
        <w:t>27/03/2017</w:t>
      </w:r>
      <w:r>
        <w:rPr>
          <w:rStyle w:val="HideTWBInt"/>
        </w:rPr>
        <w:t>}</w:t>
      </w:r>
      <w:r>
        <w:t>27.3.2017</w:t>
      </w:r>
      <w:r>
        <w:rPr>
          <w:rStyle w:val="HideTWBExt"/>
        </w:rPr>
        <w:t>&lt;/</w:t>
      </w:r>
      <w:r>
        <w:rPr>
          <w:rStyle w:val="HideTWBExt"/>
        </w:rPr>
        <w:t>Date</w:t>
      </w:r>
      <w:r>
        <w:rPr>
          <w:rStyle w:val="HideTWBExt"/>
        </w:rPr>
        <w:t>&gt;</w:t>
      </w:r>
    </w:p>
    <w:p>
      <w:pPr>
        <w:pStyle w:val="TypeDocAM"/>
      </w:pPr>
      <w:r>
        <w:rPr>
          <w:rStyle w:val="HideTWBExt"/>
        </w:rPr>
        <w:t>&lt;</w:t>
      </w:r>
      <w:r>
        <w:rPr>
          <w:rStyle w:val="HideTWBExt"/>
        </w:rPr>
        <w:t>TypeAM</w:t>
      </w:r>
      <w:r>
        <w:rPr>
          <w:rStyle w:val="HideTWBExt"/>
        </w:rPr>
        <w:t>&gt;</w:t>
      </w:r>
      <w:r>
        <w:t>ÄNDRINGSFÖRSLAG</w:t>
      </w:r>
      <w:r>
        <w:rPr>
          <w:rStyle w:val="HideTWBExt"/>
        </w:rPr>
        <w:t>&lt;/</w:t>
      </w:r>
      <w:r>
        <w:rPr>
          <w:rStyle w:val="HideTWBExt"/>
        </w:rPr>
        <w:t>TypeAM</w:t>
      </w:r>
      <w:r>
        <w:rPr>
          <w:rStyle w:val="HideTWBExt"/>
        </w:rPr>
        <w:t>&gt;</w:t>
      </w:r>
    </w:p>
    <w:p>
      <w:pPr>
        <w:pStyle w:val="NRAMS"/>
      </w:pPr>
      <w:r>
        <w:rPr>
          <w:rStyle w:val="HideTWBExt"/>
        </w:rPr>
        <w:t>&lt;</w:t>
      </w:r>
      <w:r>
        <w:rPr>
          <w:rStyle w:val="HideTWBExt"/>
        </w:rPr>
        <w:t>RangeAM</w:t>
      </w:r>
      <w:r>
        <w:rPr>
          <w:rStyle w:val="HideTWBExt"/>
        </w:rPr>
        <w:t>&gt;</w:t>
      </w:r>
      <w:r>
        <w:t>96</w:t>
      </w:r>
      <w:r>
        <w:t xml:space="preserve"> - </w:t>
      </w:r>
      <w:r>
        <w:t>416</w:t>
      </w:r>
      <w:r>
        <w:rPr>
          <w:rStyle w:val="HideTWBExt"/>
        </w:rPr>
        <w:t>&lt;/</w:t>
      </w:r>
      <w:r>
        <w:rPr>
          <w:rStyle w:val="HideTWBExt"/>
        </w:rPr>
        <w:t>RangeAM</w:t>
      </w:r>
      <w:r>
        <w:rPr>
          <w:rStyle w:val="HideTWBExt"/>
        </w:rPr>
        <w:t>&gt;</w:t>
      </w:r>
    </w:p>
    <w:p>
      <w:pPr>
        <w:pStyle w:val="CoverBold"/>
      </w:pPr>
      <w:r>
        <w:rPr>
          <w:rStyle w:val="HideTWBExt"/>
        </w:rPr>
        <w:t>&lt;</w:t>
      </w:r>
      <w:r>
        <w:rPr>
          <w:rStyle w:val="HideTWBExt"/>
        </w:rPr>
        <w:t>TitreType</w:t>
      </w:r>
      <w:r>
        <w:rPr>
          <w:rStyle w:val="HideTWBExt"/>
        </w:rPr>
        <w:t>&gt;</w:t>
      </w:r>
      <w:r>
        <w:t>Förslag till betänkande</w:t>
      </w:r>
      <w:r>
        <w:rPr>
          <w:rStyle w:val="HideTWBExt"/>
        </w:rPr>
        <w:t>&lt;/</w:t>
      </w:r>
      <w:r>
        <w:rPr>
          <w:rStyle w:val="HideTWBExt"/>
        </w:rPr>
        <w:t>TitreType</w:t>
      </w:r>
      <w:r>
        <w:rPr>
          <w:rStyle w:val="HideTWBExt"/>
        </w:rPr>
        <w:t>&gt;</w:t>
      </w:r>
    </w:p>
    <w:p>
      <w:pPr>
        <w:pStyle w:val="CoverBold"/>
      </w:pPr>
      <w:r>
        <w:rPr>
          <w:rStyle w:val="HideTWBExt"/>
        </w:rPr>
        <w:t>&lt;</w:t>
      </w:r>
      <w:r>
        <w:rPr>
          <w:rStyle w:val="HideTWBExt"/>
        </w:rPr>
        <w:t>Rapporteur</w:t>
      </w:r>
      <w:r>
        <w:rPr>
          <w:rStyle w:val="HideTWBExt"/>
        </w:rPr>
        <w:t>&gt;</w:t>
      </w:r>
      <w:r>
        <w:t>Tanja Fajon</w:t>
      </w:r>
      <w:r>
        <w:rPr>
          <w:rStyle w:val="HideTWBExt"/>
        </w:rPr>
        <w:t>&lt;/</w:t>
      </w:r>
      <w:r>
        <w:rPr>
          <w:rStyle w:val="HideTWBExt"/>
        </w:rPr>
        <w:t>Rapporteur</w:t>
      </w:r>
      <w:r>
        <w:rPr>
          <w:rStyle w:val="HideTWBExt"/>
        </w:rPr>
        <w:t>&gt;</w:t>
      </w:r>
    </w:p>
    <w:p>
      <w:pPr>
        <w:pStyle w:val="Cover24"/>
      </w:pPr>
      <w:r>
        <w:t>(</w:t>
      </w:r>
      <w:r>
        <w:t>PE599.799v02-00</w:t>
      </w:r>
      <w:r>
        <w:t>)</w:t>
      </w:r>
    </w:p>
    <w:p>
      <w:pPr>
        <w:pStyle w:val="Cover24"/>
      </w:pPr>
      <w:r>
        <w:rPr>
          <w:rStyle w:val="HideTWBExt"/>
        </w:rPr>
        <w:t>&lt;</w:t>
      </w:r>
      <w:r>
        <w:rPr>
          <w:rStyle w:val="HideTWBExt"/>
        </w:rPr>
        <w:t>Titre</w:t>
      </w:r>
      <w:r>
        <w:rPr>
          <w:rStyle w:val="HideTWBExt"/>
        </w:rPr>
        <w:t>&gt;</w:t>
      </w:r>
      <w:r>
        <w:t>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 och om ändring av rådets direktiv 2003/109/EG av den 25 november 2003 om varaktigt bosatta tredjelandsmedborgares ställning</w:t>
      </w:r>
      <w:r>
        <w:rPr>
          <w:rStyle w:val="HideTWBExt"/>
        </w:rPr>
        <w:t>&lt;/</w:t>
      </w:r>
      <w:r>
        <w:rPr>
          <w:rStyle w:val="HideTWBExt"/>
        </w:rPr>
        <w:t>Titre</w:t>
      </w:r>
      <w:r>
        <w:rPr>
          <w:rStyle w:val="HideTWBExt"/>
        </w:rPr>
        <w:t>&gt;</w:t>
      </w:r>
    </w:p>
    <w:p>
      <w:pPr>
        <w:pStyle w:val="CoverNormal"/>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Cover24"/>
      </w:pPr>
      <w:r>
        <w:rPr>
          <w:rStyle w:val="HideTWBExt"/>
        </w:rPr>
        <w:t>&lt;</w:t>
      </w:r>
      <w:r>
        <w:rPr>
          <w:rStyle w:val="HideTWBExt"/>
        </w:rPr>
        <w:t>DocRef</w:t>
      </w:r>
      <w:r>
        <w:rPr>
          <w:rStyle w:val="HideTWBExt"/>
        </w:rPr>
        <w:t>&gt;</w:t>
      </w:r>
      <w:r>
        <w:t>(</w:t>
      </w:r>
      <w:r>
        <w:t>COM(2016)0466</w:t>
      </w:r>
      <w:r>
        <w:t xml:space="preserve"> – </w:t>
      </w:r>
      <w:r>
        <w:t>C8-0324/2016</w:t>
      </w:r>
      <w:r>
        <w:t xml:space="preserve"> – </w:t>
      </w:r>
      <w:r>
        <w:t>2016/0223(COD)</w:t>
      </w:r>
      <w:r>
        <w:t>)</w:t>
      </w:r>
      <w:r>
        <w:rPr>
          <w:rStyle w:val="HideTWBExt"/>
        </w:rPr>
        <w:t>&lt;/</w:t>
      </w:r>
      <w:r>
        <w:rPr>
          <w:rStyle w:val="HideTWBExt"/>
        </w:rPr>
        <w:t>DocRef</w:t>
      </w:r>
      <w:r>
        <w:rPr>
          <w:rStyle w:val="HideTWBExt"/>
        </w:rPr>
        <w:t>&gt;</w:t>
      </w:r>
    </w:p>
    <w:p>
      <w:r>
        <w:br w:type="page"/>
      </w:r>
      <w:r>
        <w:t>AM_Com_LegReport</w:t>
      </w:r>
    </w:p>
    <w:p>
      <w:pPr>
        <w:pStyle w:val="AMNumberTabs"/>
      </w:pPr>
      <w:r>
        <w:br w:type="page"/>
      </w:r>
      <w:r>
        <w:rPr>
          <w:rStyle w:val="HideTWBExt"/>
        </w:rPr>
        <w:t>&lt;</w:t>
      </w:r>
      <w:r>
        <w:rPr>
          <w:rStyle w:val="HideTWBExt"/>
        </w:rPr>
        <w:t>RepeatBlock-AmendA</w:t>
      </w:r>
      <w:r>
        <w:rPr>
          <w:rStyle w:val="HideTWBExt"/>
        </w:rPr>
        <w:t>&gt;</w:t>
      </w:r>
      <w:r>
        <w:rPr>
          <w:rStyle w:val="HideTWBExt"/>
        </w:rPr>
        <w:t>&lt;</w:t>
      </w:r>
      <w:r>
        <w:rPr>
          <w:rStyle w:val="HideTWBExt"/>
        </w:rPr>
        <w:t>AmendA</w:t>
      </w:r>
      <w:r>
        <w:rPr>
          <w:rStyle w:val="HideTWBExt"/>
        </w:rPr>
        <w:t>&gt;</w:t>
      </w:r>
      <w:r>
        <w:t>Ändringsförslag</w:t>
      </w:r>
      <w:r>
        <w:t xml:space="preserve"> </w:t>
      </w:r>
      <w:r>
        <w:tab/>
      </w:r>
      <w:r>
        <w:tab/>
      </w:r>
      <w:r>
        <w:rPr>
          <w:rStyle w:val="HideTWBExt"/>
        </w:rPr>
        <w:t>&lt;</w:t>
      </w:r>
      <w:r>
        <w:rPr>
          <w:rStyle w:val="HideTWBExt"/>
        </w:rPr>
        <w:t>NumAmA</w:t>
      </w:r>
      <w:r>
        <w:rPr>
          <w:rStyle w:val="HideTWBExt"/>
        </w:rPr>
        <w:t>&gt;</w:t>
      </w:r>
      <w:r>
        <w:t>96</w:t>
      </w:r>
      <w:r>
        <w:rPr>
          <w:rStyle w:val="HideTWBExt"/>
        </w:rPr>
        <w:t>&lt;/</w:t>
      </w:r>
      <w:r>
        <w:rPr>
          <w:rStyle w:val="HideTWBExt"/>
        </w:rPr>
        <w:t>NumAmA</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Kristina Winberg</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p>
        </w:tc>
        <w:tc>
          <w:tcPr/>
          <w:p>
            <w:pPr>
              <w:pStyle w:val="ColumnHeading"/>
            </w:pPr>
            <w:r>
              <w:t>Förslag om förkastande</w:t>
            </w:r>
          </w:p>
        </w:tc>
      </w:tr>
      <w:tr>
        <w:tblPrEx>
          <w:jc w:val="center"/>
          <w:tblLayout w:type="fixed"/>
          <w:tblCellMar>
            <w:top w:w="0" w:type="dxa"/>
            <w:left w:w="340" w:type="dxa"/>
            <w:bottom w:w="0" w:type="dxa"/>
            <w:right w:w="340" w:type="dxa"/>
          </w:tblCellMar>
        </w:tblPrEx>
        <w:trPr>
          <w:trHeight w:hRule="auto" w:val="0"/>
          <w:jc w:val="center"/>
        </w:trPr>
        <w:tc>
          <w:tcPr/>
          <w:p>
            <w:pPr>
              <w:pStyle w:val="ColumnHeading"/>
            </w:pPr>
          </w:p>
        </w:tc>
        <w:tc>
          <w:tcPr/>
          <w:p>
            <w:pPr>
              <w:pStyle w:val="StyleNormal6TimesNewRomanBoldItalic"/>
            </w:pPr>
            <w:r>
              <w:t>Europaparlamentet förkastar kommissionens förslag till Europaparlamentets och rådets förordning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 och om ändring av rådets direktiv 2003/109/EG av den 25 november 2003 om varaktigt bosatta tredjelandsmedborgares ställning.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AmendA</w:t>
      </w:r>
      <w:r>
        <w:rPr>
          <w:rStyle w:val="HideTWBExt"/>
        </w:rPr>
        <w:t>&gt;</w:t>
      </w:r>
    </w:p>
    <w:p>
      <w:pPr>
        <w:pStyle w:val="AMNumberTabs"/>
      </w:pPr>
      <w:r>
        <w:rPr>
          <w:rStyle w:val="HideTWBExt"/>
        </w:rPr>
        <w:t>&lt;</w:t>
      </w:r>
      <w:r>
        <w:rPr>
          <w:rStyle w:val="HideTWBExt"/>
        </w:rPr>
        <w:t>AmendA</w:t>
      </w:r>
      <w:r>
        <w:rPr>
          <w:rStyle w:val="HideTWBExt"/>
        </w:rPr>
        <w:t>&gt;</w:t>
      </w:r>
      <w:r>
        <w:t>Ändringsförslag</w:t>
      </w:r>
      <w:r>
        <w:t xml:space="preserve"> </w:t>
      </w:r>
      <w:r>
        <w:tab/>
      </w:r>
      <w:r>
        <w:tab/>
      </w:r>
      <w:r>
        <w:rPr>
          <w:rStyle w:val="HideTWBExt"/>
        </w:rPr>
        <w:t>&lt;</w:t>
      </w:r>
      <w:r>
        <w:rPr>
          <w:rStyle w:val="HideTWBExt"/>
        </w:rPr>
        <w:t>NumAmA</w:t>
      </w:r>
      <w:r>
        <w:rPr>
          <w:rStyle w:val="HideTWBExt"/>
        </w:rPr>
        <w:t>&gt;</w:t>
      </w:r>
      <w:r>
        <w:t>97</w:t>
      </w:r>
      <w:r>
        <w:rPr>
          <w:rStyle w:val="HideTWBExt"/>
        </w:rPr>
        <w:t>&lt;/</w:t>
      </w:r>
      <w:r>
        <w:rPr>
          <w:rStyle w:val="HideTWBExt"/>
        </w:rPr>
        <w:t>NumAmA</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Auke Zijlstra</w:t>
      </w:r>
      <w:r>
        <w:t xml:space="preserve">, </w:t>
      </w:r>
      <w:r>
        <w:t>Janice Atkinson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p>
        </w:tc>
        <w:tc>
          <w:tcPr/>
          <w:p>
            <w:pPr>
              <w:pStyle w:val="ColumnHeading"/>
            </w:pPr>
            <w:r>
              <w:t>Förslag om förkastande</w:t>
            </w:r>
          </w:p>
        </w:tc>
      </w:tr>
      <w:tr>
        <w:tblPrEx>
          <w:jc w:val="center"/>
          <w:tblLayout w:type="fixed"/>
          <w:tblCellMar>
            <w:top w:w="0" w:type="dxa"/>
            <w:left w:w="340" w:type="dxa"/>
            <w:bottom w:w="0" w:type="dxa"/>
            <w:right w:w="340" w:type="dxa"/>
          </w:tblCellMar>
        </w:tblPrEx>
        <w:trPr>
          <w:trHeight w:hRule="auto" w:val="0"/>
          <w:jc w:val="center"/>
        </w:trPr>
        <w:tc>
          <w:tcPr/>
          <w:p>
            <w:pPr>
              <w:pStyle w:val="ColumnHeading"/>
            </w:pPr>
          </w:p>
        </w:tc>
        <w:tc>
          <w:tcPr/>
          <w:p>
            <w:pPr>
              <w:pStyle w:val="StyleNormal6TimesNewRomanBoldItalic"/>
            </w:pPr>
            <w:r>
              <w:t>Europaparlamentet förkastar kommissionens förslag till Europaparlamentets och rådets förordning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 och om ändring av rådets direktiv 2003/109/EG av den 25 november 2003 om varaktigt bosatta tredjelandsmedborgares ställning.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AmendA</w:t>
      </w:r>
      <w:r>
        <w:rPr>
          <w:rStyle w:val="HideTWBExt"/>
        </w:rPr>
        <w:t>&gt;</w:t>
      </w:r>
    </w:p>
    <w:p>
      <w:pPr>
        <w:pStyle w:val="AMNumberTabs"/>
      </w:pPr>
      <w:r>
        <w:rPr>
          <w:rStyle w:val="HideTWBExt"/>
        </w:rPr>
        <w:t>&lt;</w:t>
      </w:r>
      <w:r>
        <w:rPr>
          <w:rStyle w:val="HideTWBExt"/>
        </w:rPr>
        <w:t>AmendA</w:t>
      </w:r>
      <w:r>
        <w:rPr>
          <w:rStyle w:val="HideTWBExt"/>
        </w:rPr>
        <w:t>&gt;</w:t>
      </w:r>
      <w:r>
        <w:t>Ändringsförslag</w:t>
      </w:r>
      <w:r>
        <w:t xml:space="preserve"> </w:t>
      </w:r>
      <w:r>
        <w:tab/>
      </w:r>
      <w:r>
        <w:tab/>
      </w:r>
      <w:r>
        <w:rPr>
          <w:rStyle w:val="HideTWBExt"/>
        </w:rPr>
        <w:t>&lt;</w:t>
      </w:r>
      <w:r>
        <w:rPr>
          <w:rStyle w:val="HideTWBExt"/>
        </w:rPr>
        <w:t>NumAmA</w:t>
      </w:r>
      <w:r>
        <w:rPr>
          <w:rStyle w:val="HideTWBExt"/>
        </w:rPr>
        <w:t>&gt;</w:t>
      </w:r>
      <w:r>
        <w:t>98</w:t>
      </w:r>
      <w:r>
        <w:rPr>
          <w:rStyle w:val="HideTWBExt"/>
        </w:rPr>
        <w:t>&lt;/</w:t>
      </w:r>
      <w:r>
        <w:rPr>
          <w:rStyle w:val="HideTWBExt"/>
        </w:rPr>
        <w:t>NumAmA</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p>
        </w:tc>
        <w:tc>
          <w:tcPr/>
          <w:p>
            <w:pPr>
              <w:pStyle w:val="ColumnHeading"/>
            </w:pPr>
            <w:r>
              <w:t>Förslag om förkastande</w:t>
            </w:r>
          </w:p>
        </w:tc>
      </w:tr>
      <w:tr>
        <w:tblPrEx>
          <w:jc w:val="center"/>
          <w:tblLayout w:type="fixed"/>
          <w:tblCellMar>
            <w:top w:w="0" w:type="dxa"/>
            <w:left w:w="340" w:type="dxa"/>
            <w:bottom w:w="0" w:type="dxa"/>
            <w:right w:w="340" w:type="dxa"/>
          </w:tblCellMar>
        </w:tblPrEx>
        <w:trPr>
          <w:trHeight w:hRule="auto" w:val="0"/>
          <w:jc w:val="center"/>
        </w:trPr>
        <w:tc>
          <w:tcPr/>
          <w:p>
            <w:pPr>
              <w:pStyle w:val="ColumnHeading"/>
            </w:pPr>
          </w:p>
        </w:tc>
        <w:tc>
          <w:tcPr/>
          <w:p>
            <w:pPr>
              <w:pStyle w:val="StyleNormal6TimesNewRomanBoldItalic"/>
            </w:pPr>
            <w:r>
              <w:t>Europaparlamentet förkastar kommissionens förslag till Europaparlamentets och rådets förordning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 och om ändring av rådets direktiv 2003/109/EG av den 25 november 2003 om varaktigt bosatta tredjelandsmedborgares ställning.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AmendA</w:t>
      </w:r>
      <w:r>
        <w:rPr>
          <w:rStyle w:val="HideTWBExt"/>
        </w:rPr>
        <w:t>&gt;</w:t>
      </w:r>
    </w:p>
    <w:p>
      <w:pPr>
        <w:pStyle w:val="AMNumberTabs"/>
      </w:pPr>
      <w:r>
        <w:rPr>
          <w:rStyle w:val="HideTWBExt"/>
        </w:rPr>
        <w:t>&lt;</w:t>
      </w:r>
      <w:r>
        <w:rPr>
          <w:rStyle w:val="HideTWBExt"/>
        </w:rPr>
        <w:t>AmendA</w:t>
      </w:r>
      <w:r>
        <w:rPr>
          <w:rStyle w:val="HideTWBExt"/>
        </w:rPr>
        <w:t>&gt;</w:t>
      </w:r>
      <w:r>
        <w:t>Ändringsförslag</w:t>
      </w:r>
      <w:r>
        <w:t xml:space="preserve"> </w:t>
      </w:r>
      <w:r>
        <w:tab/>
      </w:r>
      <w:r>
        <w:tab/>
      </w:r>
      <w:r>
        <w:rPr>
          <w:rStyle w:val="HideTWBExt"/>
        </w:rPr>
        <w:t>&lt;</w:t>
      </w:r>
      <w:r>
        <w:rPr>
          <w:rStyle w:val="HideTWBExt"/>
        </w:rPr>
        <w:t>NumAmA</w:t>
      </w:r>
      <w:r>
        <w:rPr>
          <w:rStyle w:val="HideTWBExt"/>
        </w:rPr>
        <w:t>&gt;</w:t>
      </w:r>
      <w:r>
        <w:t>99</w:t>
      </w:r>
      <w:r>
        <w:rPr>
          <w:rStyle w:val="HideTWBExt"/>
        </w:rPr>
        <w:t>&lt;/</w:t>
      </w:r>
      <w:r>
        <w:rPr>
          <w:rStyle w:val="HideTWBExt"/>
        </w:rPr>
        <w:t>NumAmA</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lagstiftningsresolution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Beaktandeled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Förslag till lagstiftningsresolution</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w:t>
            </w:r>
            <w:r>
              <w:tab/>
            </w:r>
            <w:r>
              <w:rPr>
                <w:rFonts w:ascii="Times New Roman" w:eastAsia="Times New Roman" w:hAnsi="Times New Roman" w:cs="Times New Roman"/>
                <w:b/>
                <w:i/>
                <w:strike w:val="0"/>
                <w:color w:val="000000"/>
                <w:sz w:val="24"/>
                <w:highlight w:val="none"/>
                <w:u w:val="none" w:color="auto"/>
              </w:rPr>
              <w:t>med beaktande av Europeiska ekonomiska och sociala kommitténs yttrande av den 14 december 2016</w:t>
            </w:r>
            <w:r>
              <w:rPr>
                <w:rStyle w:val="SupBoldItalic"/>
              </w:rPr>
              <w:t>1</w:t>
            </w:r>
            <w:r>
              <w:rPr>
                <w:rFonts w:ascii="Times New Roman" w:eastAsia="Times New Roman" w:hAnsi="Times New Roman" w:cs="Times New Roman"/>
                <w:b/>
                <w:i/>
                <w:strike w:val="0"/>
                <w:color w:val="000000"/>
                <w:sz w:val="24"/>
                <w:highlight w:val="none"/>
                <w:u w:val="none" w:color="auto"/>
              </w:rPr>
              <w:t xml:space="preserve"> ,</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1</w:t>
            </w:r>
            <w:r>
              <w:t xml:space="preserve"> </w:t>
            </w:r>
            <w:r>
              <w:rPr>
                <w:rFonts w:ascii="Times New Roman" w:eastAsia="Times New Roman" w:hAnsi="Times New Roman" w:cs="Times New Roman"/>
                <w:b/>
                <w:i/>
                <w:strike w:val="0"/>
                <w:color w:val="000000"/>
                <w:sz w:val="24"/>
                <w:highlight w:val="none"/>
                <w:u w:val="none" w:color="auto"/>
              </w:rPr>
              <w:t>Ännu ej offentliggjort i EUT.</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Europeiska ekonomiska och sociala kommittén (EESK) är ett ”rådgivande” organ som inte i någon större utsträckning visat sig förändra den förda politiken och vars ansvarsområde dessutom överlappar andra instansers ansvarsområden. Den bör därför avskaffas. I syfte att underlätta detta bör Europaparlamentet bortse från dess yttrande och därmed betrakta EESK som ett delvis avskaffat organ i praktiken.</w:t>
      </w:r>
    </w:p>
    <w:p>
      <w:r>
        <w:rPr>
          <w:rStyle w:val="HideTWBExt"/>
        </w:rPr>
        <w:t>&lt;/</w:t>
      </w:r>
      <w:r>
        <w:rPr>
          <w:rStyle w:val="HideTWBExt"/>
        </w:rPr>
        <w:t>AmendA</w:t>
      </w:r>
      <w:r>
        <w:rPr>
          <w:rStyle w:val="HideTWBExt"/>
        </w:rPr>
        <w:t>&gt;</w:t>
      </w:r>
    </w:p>
    <w:p>
      <w:pPr>
        <w:pStyle w:val="AMNumberTabs"/>
      </w:pPr>
      <w:r>
        <w:rPr>
          <w:rStyle w:val="HideTWBExt"/>
        </w:rPr>
        <w:t>&lt;</w:t>
      </w:r>
      <w:r>
        <w:rPr>
          <w:rStyle w:val="HideTWBExt"/>
        </w:rPr>
        <w:t>AmendA</w:t>
      </w:r>
      <w:r>
        <w:rPr>
          <w:rStyle w:val="HideTWBExt"/>
        </w:rPr>
        <w:t>&gt;</w:t>
      </w:r>
      <w:r>
        <w:t>Ändringsförslag</w:t>
      </w:r>
      <w:r>
        <w:t xml:space="preserve"> </w:t>
      </w:r>
      <w:r>
        <w:tab/>
      </w:r>
      <w:r>
        <w:tab/>
      </w:r>
      <w:r>
        <w:rPr>
          <w:rStyle w:val="HideTWBExt"/>
        </w:rPr>
        <w:t>&lt;</w:t>
      </w:r>
      <w:r>
        <w:rPr>
          <w:rStyle w:val="HideTWBExt"/>
        </w:rPr>
        <w:t>NumAmA</w:t>
      </w:r>
      <w:r>
        <w:rPr>
          <w:rStyle w:val="HideTWBExt"/>
        </w:rPr>
        <w:t>&gt;</w:t>
      </w:r>
      <w:r>
        <w:t>100</w:t>
      </w:r>
      <w:r>
        <w:rPr>
          <w:rStyle w:val="HideTWBExt"/>
        </w:rPr>
        <w:t>&lt;/</w:t>
      </w:r>
      <w:r>
        <w:rPr>
          <w:rStyle w:val="HideTWBExt"/>
        </w:rPr>
        <w:t>NumAmA</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lagstiftningsresolution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Beaktandeled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Förslag till lagstiftningsresolution</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w:t>
            </w:r>
            <w:r>
              <w:tab/>
            </w:r>
            <w:r>
              <w:rPr>
                <w:rFonts w:ascii="Times New Roman" w:eastAsia="Times New Roman" w:hAnsi="Times New Roman" w:cs="Times New Roman"/>
                <w:b/>
                <w:i/>
                <w:strike w:val="0"/>
                <w:color w:val="000000"/>
                <w:sz w:val="24"/>
                <w:highlight w:val="none"/>
                <w:u w:val="none" w:color="auto"/>
              </w:rPr>
              <w:t>med beaktande av Regionkommitténs yttrande av den 8 februari 2017</w:t>
            </w:r>
            <w:r>
              <w:rPr>
                <w:rStyle w:val="SupBoldItalic"/>
              </w:rPr>
              <w:t>2</w:t>
            </w:r>
            <w:r>
              <w:rPr>
                <w:rFonts w:ascii="Times New Roman" w:eastAsia="Times New Roman" w:hAnsi="Times New Roman" w:cs="Times New Roman"/>
                <w:b/>
                <w:i/>
                <w:strike w:val="0"/>
                <w:color w:val="000000"/>
                <w:sz w:val="24"/>
                <w:highlight w:val="none"/>
                <w:u w:val="none" w:color="auto"/>
              </w:rPr>
              <w:t xml:space="preserve"> ,</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2</w:t>
            </w:r>
            <w:r>
              <w:t xml:space="preserve"> </w:t>
            </w:r>
            <w:r>
              <w:rPr>
                <w:rFonts w:ascii="Times New Roman" w:eastAsia="Times New Roman" w:hAnsi="Times New Roman" w:cs="Times New Roman"/>
                <w:b/>
                <w:i/>
                <w:strike w:val="0"/>
                <w:color w:val="000000"/>
                <w:sz w:val="24"/>
                <w:highlight w:val="none"/>
                <w:u w:val="none" w:color="auto"/>
              </w:rPr>
              <w:t>Ännu ej offentliggjort i EUT.</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Med tanke på Europaparlamentets stärkta funktion i lagstiftningsförfarandet är den roll som Regionkommittén avsetts spela i utformningen av EU-lagstiftningen inte längre aktuell, varför detta organ bör avskaffas. I syfte att underlätta detta bör Europaparlamentet bortse från dess yttrande och därmed betrakta Regionkommittén som ett delvis avskaffat organ i praktiken.</w:t>
      </w:r>
    </w:p>
    <w:p>
      <w:r>
        <w:rPr>
          <w:rStyle w:val="HideTWBExt"/>
        </w:rPr>
        <w:t>&lt;/</w:t>
      </w:r>
      <w:r>
        <w:rPr>
          <w:rStyle w:val="HideTWBExt"/>
        </w:rPr>
        <w:t>AmendA</w:t>
      </w:r>
      <w:r>
        <w:rPr>
          <w:rStyle w:val="HideTWBExt"/>
        </w:rPr>
        <w:t>&gt;</w:t>
      </w:r>
      <w:r>
        <w:rPr>
          <w:rStyle w:val="HideTWBExt"/>
        </w:rPr>
        <w:t>&lt;/</w:t>
      </w:r>
      <w:r>
        <w:rPr>
          <w:rStyle w:val="HideTWBExt"/>
        </w:rPr>
        <w:t>RepeatBlock-AmendA</w:t>
      </w:r>
      <w:r>
        <w:rPr>
          <w:rStyle w:val="HideTWBExt"/>
        </w:rPr>
        <w:t>&gt;</w:t>
      </w:r>
      <w:r>
        <w:rPr>
          <w:rStyle w:val="HideTWBExt"/>
        </w:rPr>
        <w:t>&lt;</w:t>
      </w:r>
      <w:r>
        <w:rPr>
          <w:rStyle w:val="HideTWBExt"/>
        </w:rPr>
        <w:t>RepeatBlock-AmendB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101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Avdelning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Förslag till</w:t>
            </w:r>
          </w:p>
          <w:p>
            <w:pPr>
              <w:pStyle w:val="Normal6"/>
            </w:pPr>
            <w:r>
              <w:t xml:space="preserve"> EUROPAPARLAMENTETS OCH RÅDETS FÖRORDNING</w:t>
            </w:r>
          </w:p>
          <w:p>
            <w:pPr>
              <w:pStyle w:val="Normal6"/>
            </w:pPr>
            <w:r>
              <w:t>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 och om ändring av rådets direktiv 2003/109/EG av den 25 november 2003 om varaktigt bosatta tredjelandsmedborgares ställning</w:t>
            </w:r>
          </w:p>
        </w:tc>
        <w:tc>
          <w:tcPr/>
          <w:p>
            <w:pPr>
              <w:pStyle w:val="Normal6"/>
            </w:pPr>
            <w:r>
              <w:t>Förslag till</w:t>
            </w:r>
          </w:p>
          <w:p>
            <w:pPr>
              <w:pStyle w:val="Normal6"/>
            </w:pPr>
            <w:r>
              <w:rPr>
                <w:rFonts w:ascii="Times New Roman" w:eastAsia="Times New Roman" w:hAnsi="Times New Roman" w:cs="Times New Roman"/>
                <w:b/>
                <w:i/>
                <w:strike w:val="0"/>
                <w:color w:val="000000"/>
                <w:sz w:val="24"/>
                <w:highlight w:val="none"/>
                <w:u w:val="none" w:color="auto"/>
              </w:rPr>
              <w:t>EUROPAPARLAMENTETS OCH RÅDETS DIREKTIV</w:t>
            </w:r>
            <w:r>
              <w:t xml:space="preserve">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 och om ändring av rådets direktiv 2003/109/EG av den 25 november 2003 om varaktigt bosatta tredjelandsmedborgares ställning</w:t>
            </w:r>
          </w:p>
          <w:p>
            <w:pPr>
              <w:pStyle w:val="Normal6"/>
            </w:pPr>
            <w:r>
              <w:t>(Denna ändring berör hela texten.</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Italic"/>
            </w:pPr>
            <w:r>
              <w:t>Om ändringen antas ska hela texten anpassas i överensstämmelse härmed.)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102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w:t>
            </w:r>
            <w:r>
              <w:tab/>
            </w:r>
            <w:r>
              <w:rPr>
                <w:rFonts w:ascii="Times New Roman" w:eastAsia="Times New Roman" w:hAnsi="Times New Roman" w:cs="Times New Roman"/>
                <w:b/>
                <w:i/>
                <w:strike w:val="0"/>
                <w:color w:val="000000"/>
                <w:sz w:val="24"/>
                <w:highlight w:val="none"/>
                <w:u w:val="none" w:color="auto"/>
              </w:rPr>
              <w:t>Ett antal väsentliga ändringar bör göras av Europaparlamentets och rådets direktiv 2011/95/EU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w:t>
            </w:r>
            <w:r>
              <w:rPr>
                <w:rStyle w:val="SupBoldItalic"/>
              </w:rPr>
              <w:t>31</w:t>
            </w:r>
            <w:r>
              <w:rPr>
                <w:rFonts w:ascii="Times New Roman" w:eastAsia="Times New Roman" w:hAnsi="Times New Roman" w:cs="Times New Roman"/>
                <w:b/>
                <w:i/>
                <w:strike w:val="0"/>
                <w:color w:val="000000"/>
                <w:sz w:val="24"/>
                <w:highlight w:val="none"/>
                <w:u w:val="none" w:color="auto"/>
              </w:rPr>
              <w:t xml:space="preserve"> (omarbetning). För att säkerställa harmonisering och ökad samstämmighet i asylbesluten och vad gäller innehållet i internationellt skydd i syfte att minska incitament att förflytta sig inom Europeiska unionen och för att säkerställa att personer som beviljats internationellt skydd behandlas lika bör det direktivet upphävas och ersättas med en förordning.</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31</w:t>
            </w:r>
            <w:r>
              <w:t xml:space="preserve"> </w:t>
            </w:r>
            <w:r>
              <w:rPr>
                <w:rFonts w:ascii="Times New Roman" w:eastAsia="Times New Roman" w:hAnsi="Times New Roman" w:cs="Times New Roman"/>
                <w:b/>
                <w:i/>
                <w:strike w:val="0"/>
                <w:color w:val="000000"/>
                <w:sz w:val="24"/>
                <w:highlight w:val="none"/>
                <w:u w:val="none" w:color="auto"/>
              </w:rPr>
              <w:t>EGT L 337, 20.12.2011, s. 9.</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Rådets direktiv 2011/95/EU av den 13 december 2011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 förvärrar snarare än rättar till de nuvarande svårigheterna med 1951 års Genèvekonvention. I syfte att ta itu med frågor om berättigande till skydd bör 1951 års Genèvekonvention ändras, medan rådets direktiv 2011/95/EU av den 13 december 2011 bör upphävas.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103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t xml:space="preserve">, </w:t>
      </w:r>
      <w:r>
        <w:t>Malin Björk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Ett antal väsentliga ändringar bör göras av Europaparlamentets och rådets direktiv 2011/95/EU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w:t>
            </w:r>
            <w:r>
              <w:rPr>
                <w:rStyle w:val="Sup"/>
              </w:rPr>
              <w:t>31</w:t>
            </w:r>
            <w:r>
              <w:t xml:space="preserve"> (omarbetning). För att säkerställa harmonisering och ökad samstämmighet i asylbesluten och vad gäller innehållet i internationellt skydd i syfte att </w:t>
            </w:r>
            <w:r>
              <w:rPr>
                <w:rFonts w:ascii="Times New Roman" w:eastAsia="Times New Roman" w:hAnsi="Times New Roman" w:cs="Times New Roman"/>
                <w:b/>
                <w:i/>
                <w:strike w:val="0"/>
                <w:color w:val="000000"/>
                <w:sz w:val="24"/>
                <w:highlight w:val="none"/>
                <w:u w:val="none" w:color="auto"/>
              </w:rPr>
              <w:t xml:space="preserve">minska incitament att förflytta sig inom Europeiska unionen och för att </w:t>
            </w:r>
            <w:r>
              <w:t xml:space="preserve">säkerställa att personer som beviljats internationellt skydd behandlas lika bör det direktivet </w:t>
            </w:r>
            <w:r>
              <w:rPr>
                <w:rFonts w:ascii="Times New Roman" w:eastAsia="Times New Roman" w:hAnsi="Times New Roman" w:cs="Times New Roman"/>
                <w:b/>
                <w:i/>
                <w:strike w:val="0"/>
                <w:color w:val="000000"/>
                <w:sz w:val="24"/>
                <w:highlight w:val="none"/>
                <w:u w:val="none" w:color="auto"/>
              </w:rPr>
              <w:t>upphävas och ersättas med en förordning</w:t>
            </w:r>
            <w:r>
              <w:t>.</w:t>
            </w:r>
          </w:p>
        </w:tc>
        <w:tc>
          <w:tcPr/>
          <w:p>
            <w:pPr>
              <w:pStyle w:val="Normal6"/>
            </w:pPr>
            <w:r>
              <w:t>(1)</w:t>
            </w:r>
            <w:r>
              <w:tab/>
            </w:r>
            <w:r>
              <w:t>Ett antal väsentliga ändringar bör göras av Europaparlamentets och rådets direktiv 2011/95/EU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w:t>
            </w:r>
            <w:r>
              <w:rPr>
                <w:rFonts w:ascii="Times New Roman" w:eastAsia="Times New Roman" w:hAnsi="Times New Roman" w:cs="Times New Roman"/>
                <w:b/>
                <w:i/>
                <w:strike w:val="0"/>
                <w:color w:val="000000"/>
                <w:sz w:val="24"/>
                <w:highlight w:val="none"/>
                <w:u w:val="none" w:color="auto"/>
              </w:rPr>
              <w:t>31</w:t>
            </w:r>
            <w:r>
              <w:t xml:space="preserve"> (omarbetning). För att säkerställa harmonisering och ökad samstämmighet i asylbesluten </w:t>
            </w:r>
            <w:r>
              <w:rPr>
                <w:rFonts w:ascii="Times New Roman" w:eastAsia="Times New Roman" w:hAnsi="Times New Roman" w:cs="Times New Roman"/>
                <w:b/>
                <w:i/>
                <w:strike w:val="0"/>
                <w:color w:val="000000"/>
                <w:sz w:val="24"/>
                <w:highlight w:val="none"/>
                <w:u w:val="none" w:color="auto"/>
              </w:rPr>
              <w:t xml:space="preserve">baserat på stränga skyddsnormer </w:t>
            </w:r>
            <w:r>
              <w:t>och vad gäller innehållet i internationellt skydd i syfte att säkerställa att personer som beviljats internationellt skydd behandlas lika</w:t>
            </w:r>
            <w:r>
              <w:rPr>
                <w:rFonts w:ascii="Times New Roman" w:eastAsia="Times New Roman" w:hAnsi="Times New Roman" w:cs="Times New Roman"/>
                <w:b/>
                <w:i/>
                <w:strike w:val="0"/>
                <w:color w:val="000000"/>
                <w:sz w:val="24"/>
                <w:highlight w:val="none"/>
                <w:u w:val="none" w:color="auto"/>
              </w:rPr>
              <w:t>,</w:t>
            </w:r>
            <w:r>
              <w:t xml:space="preserve"> bör det direktivet </w:t>
            </w:r>
            <w:r>
              <w:rPr>
                <w:rFonts w:ascii="Times New Roman" w:eastAsia="Times New Roman" w:hAnsi="Times New Roman" w:cs="Times New Roman"/>
                <w:b/>
                <w:i/>
                <w:strike w:val="0"/>
                <w:color w:val="000000"/>
                <w:sz w:val="24"/>
                <w:highlight w:val="none"/>
                <w:u w:val="none" w:color="auto"/>
              </w:rPr>
              <w:t>omarbetas</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31</w:t>
            </w:r>
            <w:r>
              <w:t xml:space="preserve"> </w:t>
            </w:r>
            <w:r>
              <w:rPr>
                <w:rFonts w:ascii="Times New Roman" w:eastAsia="Times New Roman" w:hAnsi="Times New Roman" w:cs="Times New Roman"/>
                <w:b/>
                <w:i/>
                <w:strike w:val="0"/>
                <w:color w:val="000000"/>
                <w:sz w:val="24"/>
                <w:highlight w:val="none"/>
                <w:u w:val="none" w:color="auto"/>
              </w:rPr>
              <w:t>EGT L 337, 20.12.2011, s. 9.</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104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Ett antal väsentliga ändringar bör göras av Europaparlamentets och rådets direktiv 2011/95/EU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w:t>
            </w:r>
            <w:r>
              <w:rPr>
                <w:rStyle w:val="Sup"/>
              </w:rPr>
              <w:t>31</w:t>
            </w:r>
            <w:r>
              <w:t xml:space="preserve"> (omarbetning). För att säkerställa harmonisering och ökad samstämmighet i asylbesluten </w:t>
            </w:r>
            <w:r>
              <w:rPr>
                <w:rFonts w:ascii="Times New Roman" w:eastAsia="Times New Roman" w:hAnsi="Times New Roman" w:cs="Times New Roman"/>
                <w:b/>
                <w:i/>
                <w:strike w:val="0"/>
                <w:color w:val="000000"/>
                <w:sz w:val="24"/>
                <w:highlight w:val="none"/>
                <w:u w:val="none" w:color="auto"/>
              </w:rPr>
              <w:t>och vad gäller innehållet i internationellt skydd i syfte att minska incitament att förflytta sig inom Europeiska unionen och för</w:t>
            </w:r>
            <w:r>
              <w:t xml:space="preserve"> att säkerställa att personer som beviljats internationellt skydd behandlas lika </w:t>
            </w:r>
            <w:r>
              <w:rPr>
                <w:rFonts w:ascii="Times New Roman" w:eastAsia="Times New Roman" w:hAnsi="Times New Roman" w:cs="Times New Roman"/>
                <w:b/>
                <w:i/>
                <w:strike w:val="0"/>
                <w:color w:val="000000"/>
                <w:sz w:val="24"/>
                <w:highlight w:val="none"/>
                <w:u w:val="none" w:color="auto"/>
              </w:rPr>
              <w:t>bör det direktivet upphävas och ersättas med en förordning</w:t>
            </w:r>
            <w:r>
              <w:t>.</w:t>
            </w:r>
          </w:p>
        </w:tc>
        <w:tc>
          <w:tcPr/>
          <w:p>
            <w:pPr>
              <w:pStyle w:val="Normal6"/>
            </w:pPr>
            <w:r>
              <w:t>(1)</w:t>
            </w:r>
            <w:r>
              <w:tab/>
            </w:r>
            <w:r>
              <w:t>Ett antal väsentliga ändringar bör göras av Europaparlamentets och rådets direktiv 2011/95/EU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w:t>
            </w:r>
            <w:r>
              <w:rPr>
                <w:rStyle w:val="Sup"/>
              </w:rPr>
              <w:t>31</w:t>
            </w:r>
            <w:r>
              <w:t xml:space="preserve"> (omarbetning). För att säkerställa harmonisering och ökad samstämmighet i asylbesluten </w:t>
            </w:r>
            <w:r>
              <w:rPr>
                <w:rFonts w:ascii="Times New Roman" w:eastAsia="Times New Roman" w:hAnsi="Times New Roman" w:cs="Times New Roman"/>
                <w:b/>
                <w:i/>
                <w:strike w:val="0"/>
                <w:color w:val="000000"/>
                <w:sz w:val="24"/>
                <w:highlight w:val="none"/>
                <w:u w:val="none" w:color="auto"/>
              </w:rPr>
              <w:t>för att uppnå stränga gemensamma normer i samtliga medlemsstater och vad gäller innehållet i internationellt skydd i syfte</w:t>
            </w:r>
            <w:r>
              <w:t xml:space="preserve"> att säkerställa att personer som beviljats internationellt skydd behandlas lika </w:t>
            </w:r>
            <w:r>
              <w:rPr>
                <w:rFonts w:ascii="Times New Roman" w:eastAsia="Times New Roman" w:hAnsi="Times New Roman" w:cs="Times New Roman"/>
                <w:b/>
                <w:i/>
                <w:strike w:val="0"/>
                <w:color w:val="000000"/>
                <w:sz w:val="24"/>
                <w:highlight w:val="none"/>
                <w:u w:val="none" w:color="auto"/>
              </w:rPr>
              <w:t>och i enlighet med stränga normer, bör det direktivet omarbetas</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31</w:t>
            </w:r>
            <w:r>
              <w:t xml:space="preserve"> </w:t>
            </w:r>
            <w:r>
              <w:rPr>
                <w:rFonts w:ascii="Times New Roman" w:eastAsia="Times New Roman" w:hAnsi="Times New Roman" w:cs="Times New Roman"/>
                <w:b/>
                <w:i/>
                <w:strike w:val="0"/>
                <w:color w:val="000000"/>
                <w:sz w:val="24"/>
                <w:highlight w:val="none"/>
                <w:u w:val="none" w:color="auto"/>
              </w:rPr>
              <w:t>EGT</w:t>
            </w:r>
            <w:r>
              <w:t xml:space="preserve"> L 337, 20.12.2011, s. 9.</w:t>
            </w:r>
          </w:p>
        </w:tc>
        <w:tc>
          <w:tcPr/>
          <w:p>
            <w:pPr>
              <w:pStyle w:val="Normal6"/>
            </w:pPr>
            <w:r>
              <w:rPr>
                <w:rStyle w:val="Sup"/>
              </w:rPr>
              <w:t>31</w:t>
            </w:r>
            <w:r>
              <w:t xml:space="preserve"> </w:t>
            </w:r>
            <w:r>
              <w:rPr>
                <w:rFonts w:ascii="Times New Roman" w:eastAsia="Times New Roman" w:hAnsi="Times New Roman" w:cs="Times New Roman"/>
                <w:b/>
                <w:i/>
                <w:strike w:val="0"/>
                <w:color w:val="000000"/>
                <w:sz w:val="24"/>
                <w:highlight w:val="none"/>
                <w:u w:val="none" w:color="auto"/>
              </w:rPr>
              <w:t>EUT</w:t>
            </w:r>
            <w:r>
              <w:t xml:space="preserve"> L 337, 20.12.2011, s. 9.</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105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Lorenzo Fontana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rPr>
                <w:rFonts w:ascii="Times New Roman" w:eastAsia="Times New Roman" w:hAnsi="Times New Roman" w:cs="Times New Roman"/>
                <w:b/>
                <w:i/>
                <w:strike w:val="0"/>
                <w:color w:val="000000"/>
                <w:sz w:val="24"/>
                <w:highlight w:val="none"/>
                <w:u w:val="none" w:color="auto"/>
              </w:rPr>
              <w:t>Ett antal väsentliga ändringar bör</w:t>
            </w:r>
            <w:r>
              <w:t xml:space="preserve"> göras av Europaparlamentets och rådets direktiv 2011/95/EU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w:t>
            </w:r>
            <w:r>
              <w:rPr>
                <w:rStyle w:val="Sup"/>
              </w:rPr>
              <w:t>31</w:t>
            </w:r>
            <w:r>
              <w:t xml:space="preserve"> (omarbetning). För att säkerställa harmonisering och ökad samstämmighet i asylbesluten och vad gäller innehållet i internationellt skydd i syfte att minska incitament att förflytta sig inom Europeiska unionen och för att säkerställa att personer som beviljats internationellt skydd behandlas lika bör det direktivet upphävas och ersättas med en förordning.</w:t>
            </w:r>
          </w:p>
        </w:tc>
        <w:tc>
          <w:tcPr/>
          <w:p>
            <w:pPr>
              <w:pStyle w:val="Normal6"/>
            </w:pPr>
            <w:r>
              <w:t>(1)</w:t>
            </w:r>
            <w:r>
              <w:tab/>
            </w:r>
            <w:r>
              <w:rPr>
                <w:rFonts w:ascii="Times New Roman" w:eastAsia="Times New Roman" w:hAnsi="Times New Roman" w:cs="Times New Roman"/>
                <w:b/>
                <w:i/>
                <w:strike w:val="0"/>
                <w:color w:val="000000"/>
                <w:sz w:val="24"/>
                <w:highlight w:val="none"/>
                <w:u w:val="none" w:color="auto"/>
              </w:rPr>
              <w:t>En väsentlig ändring måste</w:t>
            </w:r>
            <w:r>
              <w:t xml:space="preserve"> göras av Europaparlamentets och rådets direktiv 2011/95/EU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w:t>
            </w:r>
            <w:r>
              <w:rPr>
                <w:rStyle w:val="Sup"/>
              </w:rPr>
              <w:t>31</w:t>
            </w:r>
            <w:r>
              <w:t xml:space="preserve"> (omarbetning). För att säkerställa harmonisering och ökad samstämmighet i asylbesluten och vad gäller innehållet i internationellt skydd i syfte att minska incitament att förflytta sig inom Europeiska unionen och för att säkerställa att personer som beviljats internationellt skydd behandlas lika bör det direktivet upphävas och ersättas med en förordning.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31</w:t>
            </w:r>
            <w:r>
              <w:t xml:space="preserve"> </w:t>
            </w:r>
            <w:r>
              <w:rPr>
                <w:rFonts w:ascii="Times New Roman" w:eastAsia="Times New Roman" w:hAnsi="Times New Roman" w:cs="Times New Roman"/>
                <w:b/>
                <w:i/>
                <w:strike w:val="0"/>
                <w:color w:val="000000"/>
                <w:sz w:val="24"/>
                <w:highlight w:val="none"/>
                <w:u w:val="none" w:color="auto"/>
              </w:rPr>
              <w:t>EGT</w:t>
            </w:r>
            <w:r>
              <w:t xml:space="preserve"> L 337, 20.12.2011, s. 9.</w:t>
            </w:r>
          </w:p>
        </w:tc>
        <w:tc>
          <w:tcPr/>
          <w:p>
            <w:pPr>
              <w:pStyle w:val="Normal6"/>
            </w:pPr>
            <w:r>
              <w:rPr>
                <w:rStyle w:val="Sup"/>
              </w:rPr>
              <w:t>31</w:t>
            </w:r>
            <w:r>
              <w:t xml:space="preserve"> </w:t>
            </w:r>
            <w:r>
              <w:rPr>
                <w:rFonts w:ascii="Times New Roman" w:eastAsia="Times New Roman" w:hAnsi="Times New Roman" w:cs="Times New Roman"/>
                <w:b/>
                <w:i/>
                <w:strike w:val="0"/>
                <w:color w:val="000000"/>
                <w:sz w:val="24"/>
                <w:highlight w:val="none"/>
                <w:u w:val="none" w:color="auto"/>
              </w:rPr>
              <w:t>EUT</w:t>
            </w:r>
            <w:r>
              <w:t xml:space="preserve"> L 337, 20.12.2011, s. 9.</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106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Kinga Gál</w:t>
      </w:r>
      <w:r>
        <w:t xml:space="preserve">, </w:t>
      </w:r>
      <w:r>
        <w:t>Pál Csáky</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Ett antal väsentliga ändringar bör göras av Europaparlamentets och rådets direktiv 2011/95/EU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w:t>
            </w:r>
            <w:r>
              <w:rPr>
                <w:rStyle w:val="Sup"/>
              </w:rPr>
              <w:t>31</w:t>
            </w:r>
            <w:r>
              <w:t xml:space="preserve"> (omarbetning). För att säkerställa </w:t>
            </w:r>
            <w:r>
              <w:rPr>
                <w:rFonts w:ascii="Times New Roman" w:eastAsia="Times New Roman" w:hAnsi="Times New Roman" w:cs="Times New Roman"/>
                <w:b/>
                <w:i/>
                <w:strike w:val="0"/>
                <w:color w:val="000000"/>
                <w:sz w:val="24"/>
                <w:highlight w:val="none"/>
                <w:u w:val="none" w:color="auto"/>
              </w:rPr>
              <w:t xml:space="preserve">harmonisering och </w:t>
            </w:r>
            <w:r>
              <w:t>ökad samstämmighet i asylbesluten och vad gäller innehållet i internationellt skydd i syfte att minska incitament att förflytta sig inom Europeiska unionen och för att säkerställa att personer som beviljats internationellt skydd behandlas lika bör det direktivet upphävas och ersättas med en förordning.</w:t>
            </w:r>
          </w:p>
        </w:tc>
        <w:tc>
          <w:tcPr/>
          <w:p>
            <w:pPr>
              <w:pStyle w:val="Normal6"/>
            </w:pPr>
            <w:r>
              <w:t>(1)</w:t>
            </w:r>
            <w:r>
              <w:tab/>
            </w:r>
            <w:r>
              <w:t>Ett antal väsentliga ändringar bör göras av Europaparlamentets och rådets direktiv 2011/95/EU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w:t>
            </w:r>
            <w:r>
              <w:rPr>
                <w:rStyle w:val="Sup"/>
              </w:rPr>
              <w:t>31</w:t>
            </w:r>
            <w:r>
              <w:t xml:space="preserve"> (omarbetning). För att säkerställa ökad samstämmighet i asylbesluten och vad gäller innehållet i internationellt skydd i syfte att minska incitament att förflytta sig inom Europeiska unionen och för att säkerställa att personer som beviljats internationellt skydd behandlas lika bör det direktivet upphävas och ersättas med en förordning.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31</w:t>
            </w:r>
            <w:r>
              <w:t xml:space="preserve"> </w:t>
            </w:r>
            <w:r>
              <w:rPr>
                <w:rFonts w:ascii="Times New Roman" w:eastAsia="Times New Roman" w:hAnsi="Times New Roman" w:cs="Times New Roman"/>
                <w:b/>
                <w:i/>
                <w:strike w:val="0"/>
                <w:color w:val="000000"/>
                <w:sz w:val="24"/>
                <w:highlight w:val="none"/>
                <w:u w:val="none" w:color="auto"/>
              </w:rPr>
              <w:t>EGT</w:t>
            </w:r>
            <w:r>
              <w:t xml:space="preserve"> L 337, 20.12.2011, s. 9.</w:t>
            </w:r>
          </w:p>
        </w:tc>
        <w:tc>
          <w:tcPr/>
          <w:p>
            <w:pPr>
              <w:pStyle w:val="Normal6"/>
            </w:pPr>
            <w:r>
              <w:rPr>
                <w:rStyle w:val="Sup"/>
              </w:rPr>
              <w:t>31</w:t>
            </w:r>
            <w:r>
              <w:t xml:space="preserve"> </w:t>
            </w:r>
            <w:r>
              <w:rPr>
                <w:rFonts w:ascii="Times New Roman" w:eastAsia="Times New Roman" w:hAnsi="Times New Roman" w:cs="Times New Roman"/>
                <w:b/>
                <w:i/>
                <w:strike w:val="0"/>
                <w:color w:val="000000"/>
                <w:sz w:val="24"/>
                <w:highlight w:val="none"/>
                <w:u w:val="none" w:color="auto"/>
              </w:rPr>
              <w:t>EUT</w:t>
            </w:r>
            <w:r>
              <w:t xml:space="preserve"> L 337, 20.12.2011, s. 9.</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107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w:t>
            </w:r>
            <w:r>
              <w:tab/>
            </w:r>
            <w:r>
              <w:rPr>
                <w:rFonts w:ascii="Times New Roman" w:eastAsia="Times New Roman" w:hAnsi="Times New Roman" w:cs="Times New Roman"/>
                <w:b/>
                <w:i/>
                <w:strike w:val="0"/>
                <w:color w:val="000000"/>
                <w:sz w:val="24"/>
                <w:highlight w:val="none"/>
                <w:u w:val="none" w:color="auto"/>
              </w:rPr>
              <w:t>En gemensam asylpolitik, som omfattar ett gemensamt europeiskt asylsystem grundat på en fullständig och absolut tillämpning av Genèvekonventionen om flyktingars rättsliga ställning av den 28 juli 1951 (nedan kallad Genèvekonventionen), i dess lydelse enligt New York-protokollet av den 31 januari 1967, utgör en integrerad del av Europeiska unionens mål att gradvis inrätta ett område med frihet, säkerhet och rättvisa som är öppet för personer som tvingade av omständigheterna, söker skydd inom unionen på laglig väg. En sådan politik bör bygga på principerna om solidaritet och rättvis fördelning av ansvar, inklusive dess ekonomiska konsekvenser, mellan medlemsstaterna.</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Genèvekonventionen angående flyktingars rättsliga ställning av den 28 juli 1951, i dess lydelse enligt New York-protokollet av den 31 januari 1967 (Genèvekonventionen), har inte blivit föremål för tillräckliga uppdateringar och ändringar för att vara förenlig med dagens verklighet. Den bör därför ändras innan den läggs till grund för lagstiftning på detta område.</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108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Lorenzo Fontana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rPr>
                <w:rFonts w:ascii="Times New Roman" w:eastAsia="Times New Roman" w:hAnsi="Times New Roman" w:cs="Times New Roman"/>
                <w:b/>
                <w:i/>
                <w:strike w:val="0"/>
                <w:color w:val="000000"/>
                <w:sz w:val="24"/>
                <w:highlight w:val="none"/>
                <w:u w:val="none" w:color="auto"/>
              </w:rPr>
              <w:t>En gemensam asylpolitik, som omfattar ett gemensamt europeiskt asylsystem grundat på en fullständig och absolut tillämpning av Genèvekonventionen om flyktingars rättsliga ställning av den 28 juli 1951 (nedan kallad Genèvekonventionen), i dess lydelse enligt New York-protokollet av den 31 januari 1967, utgör en integrerad del av Europeiska unionens mål att gradvis inrätta ett område med frihet, säkerhet och rättvisa som är öppet för personer som tvingade av omständigheterna, söker skydd inom unionen på laglig väg. En sådan politik bör bygga på principerna om solidaritet och rättvis fördelning av ansvar, inklusive dess ekonomiska konsekvenser, mellan medlemsstaterna</w:t>
            </w:r>
            <w:r>
              <w:t>.</w:t>
            </w:r>
          </w:p>
        </w:tc>
        <w:tc>
          <w:tcPr/>
          <w:p>
            <w:pPr>
              <w:pStyle w:val="Normal6"/>
            </w:pPr>
            <w:r>
              <w:t>(2)</w:t>
            </w:r>
            <w:r>
              <w:tab/>
            </w:r>
            <w:r>
              <w:rPr>
                <w:rFonts w:ascii="Times New Roman" w:eastAsia="Times New Roman" w:hAnsi="Times New Roman" w:cs="Times New Roman"/>
                <w:b/>
                <w:i/>
                <w:strike w:val="0"/>
                <w:color w:val="000000"/>
                <w:sz w:val="24"/>
                <w:highlight w:val="none"/>
                <w:u w:val="none" w:color="auto"/>
              </w:rPr>
              <w:t>Asylpolitiken bör regleras av principen om solidaritet och rättvis ansvarsfördelning mellan medlemsstaterna, även i ekonomiskt hänseende, men EU:s erfarenhet på detta område har hittills varit misslyckad. Omplaceringarna, de tiotusentals underåriga som försvunnit och det ökade antalet döda i Medelhavet samt de växande sociala spänningarna är en följd av EU:s bristfälliga politik</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109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 xml:space="preserve">En gemensam asylpolitik, som omfattar ett gemensamt europeiskt asylsystem grundat på en fullständig och absolut tillämpning av Genèvekonventionen om flyktingars rättsliga ställning av den 28 juli 1951 (nedan kallad Genèvekonventionen), i dess lydelse enligt New York-protokollet av den 31 januari 1967, utgör en integrerad del av Europeiska unionens mål att gradvis inrätta ett område med frihet, säkerhet och rättvisa som är öppet för personer som tvingade av omständigheterna, söker skydd inom unionen på laglig väg. En sådan politik bör bygga på </w:t>
            </w:r>
            <w:r>
              <w:rPr>
                <w:rFonts w:ascii="Times New Roman" w:eastAsia="Times New Roman" w:hAnsi="Times New Roman" w:cs="Times New Roman"/>
                <w:b/>
                <w:i/>
                <w:strike w:val="0"/>
                <w:color w:val="000000"/>
                <w:sz w:val="24"/>
                <w:highlight w:val="none"/>
                <w:u w:val="none" w:color="auto"/>
              </w:rPr>
              <w:t>principerna om solidaritet och rättvis fördelning av ansvar, inklusive dess ekonomiska konsekvenser, mellan medlemsstaterna</w:t>
            </w:r>
            <w:r>
              <w:t>.</w:t>
            </w:r>
          </w:p>
        </w:tc>
        <w:tc>
          <w:tcPr/>
          <w:p>
            <w:pPr>
              <w:pStyle w:val="Normal6"/>
            </w:pPr>
            <w:r>
              <w:t>(2)</w:t>
            </w:r>
            <w:r>
              <w:tab/>
            </w:r>
            <w:r>
              <w:t xml:space="preserve">En gemensam asylpolitik, som omfattar ett gemensamt europeiskt asylsystem grundat på en fullständig och absolut tillämpning av Genèvekonventionen om flyktingars rättsliga ställning av den 28 juli 1951 (nedan kallad Genèvekonventionen), i dess lydelse enligt New York-protokollet av den 31 januari 1967, utgör en integrerad del av Europeiska unionens mål att gradvis inrätta ett område med frihet, säkerhet och rättvisa som är öppet för personer som tvingade av omständigheterna, söker skydd inom unionen på laglig väg. En sådan politik bör bygga på </w:t>
            </w:r>
            <w:r>
              <w:rPr>
                <w:rFonts w:ascii="Times New Roman" w:eastAsia="Times New Roman" w:hAnsi="Times New Roman" w:cs="Times New Roman"/>
                <w:b/>
                <w:i/>
                <w:strike w:val="0"/>
                <w:color w:val="000000"/>
                <w:sz w:val="24"/>
                <w:highlight w:val="none"/>
                <w:u w:val="none" w:color="auto"/>
              </w:rPr>
              <w:t>principen om överkomlighet, med beaktande av absorptionsförmågan hos de mottagande samhällena samt maximal självständighet hos personer som beviljats internationellt skydd</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110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Kinga Gál</w:t>
      </w:r>
      <w:r>
        <w:t xml:space="preserve">, </w:t>
      </w:r>
      <w:r>
        <w:t>Pál Csáky</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En gemensam asylpolitik, som omfattar ett gemensamt europeiskt asylsystem grundat på en fullständig och absolut tillämpning av Genèvekonventionen om flyktingars rättsliga ställning av den 28 juli 1951 (nedan kallad Genèvekonventionen), i dess lydelse enligt New York-protokollet av den 31 januari 1967, utgör en integrerad del av Europeiska unionens mål att gradvis inrätta ett område med frihet, säkerhet och rättvisa som är öppet för personer som tvingade av omständigheterna, söker skydd inom unionen på laglig väg. En sådan politik bör bygga på principerna om solidaritet och rättvis fördelning av ansvar</w:t>
            </w:r>
            <w:r>
              <w:rPr>
                <w:rFonts w:ascii="Times New Roman" w:eastAsia="Times New Roman" w:hAnsi="Times New Roman" w:cs="Times New Roman"/>
                <w:b/>
                <w:i/>
                <w:strike w:val="0"/>
                <w:color w:val="000000"/>
                <w:sz w:val="24"/>
                <w:highlight w:val="none"/>
                <w:u w:val="none" w:color="auto"/>
              </w:rPr>
              <w:t>, inklusive dess ekonomiska konsekvenser,</w:t>
            </w:r>
            <w:r>
              <w:t xml:space="preserve"> mellan medlemsstaterna.</w:t>
            </w:r>
          </w:p>
        </w:tc>
        <w:tc>
          <w:tcPr/>
          <w:p>
            <w:pPr>
              <w:pStyle w:val="Normal6"/>
            </w:pPr>
            <w:r>
              <w:t>(2)</w:t>
            </w:r>
            <w:r>
              <w:tab/>
            </w:r>
            <w:r>
              <w:t>En gemensam asylpolitik, som omfattar ett gemensamt europeiskt asylsystem grundat på en fullständig och absolut tillämpning av Genèvekonventionen om flyktingars rättsliga ställning av den 28 juli 1951 (nedan kallad Genèvekonventionen), i dess lydelse enligt New York-protokollet av den 31 januari 1967, utgör en integrerad del av Europeiska unionens mål att gradvis inrätta ett område med frihet, säkerhet och rättvisa som är öppet för personer som tvingade av omständigheterna, söker skydd inom unionen på laglig väg. En sådan politik bör bygga på principerna om solidaritet och rättvis fördelning av ansvar mellan medlemsstaterna.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111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w:t>
            </w:r>
            <w:r>
              <w:tab/>
            </w:r>
            <w:r>
              <w:rPr>
                <w:rFonts w:ascii="Times New Roman" w:eastAsia="Times New Roman" w:hAnsi="Times New Roman" w:cs="Times New Roman"/>
                <w:b/>
                <w:i/>
                <w:strike w:val="0"/>
                <w:color w:val="000000"/>
                <w:sz w:val="24"/>
                <w:highlight w:val="none"/>
                <w:u w:val="none" w:color="auto"/>
              </w:rPr>
              <w:t>Det gemensamma europeiska asylsystemet bygger på gemensamma normer för asylförfaranden, för erkännande och skydd på unionsnivå och för mottagningsvillkor samt ett system för att avgöra vilken medlemsstat som har ansvaret för asylsökande. Trots de framsteg som uppnåtts hittills i den successiva utvecklingen av det gemensamma europeiska asylsystemet, finns det fortfarande betydande skillnader mellan medlemsstaterna vad gäller de förfaranden som används, erkännandegrader, den typ av skydd som beviljas och nivån på de materiella mottagningsvillkor och förmåner som ges de som söker om och beviljas internationellt skydd. Dessa skillnader är viktiga drivkrafter för sekundära förflyttningar och undergräver målet att säkerställa att alla sökande behandlas lika oavsett var i unionen de ansöker.</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Mot bakgrund av medlemsstaternas olika intressen, värderingar, resurser och förmågor att ta emot migranter är det i praktiken inte rimligt att tänka sig att mottagningsvillkoren kan vara desamma överallt och än mindre kan harmoniseras.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112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Lorenzo Fontana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 xml:space="preserve">Det gemensamma europeiska asylsystemet </w:t>
            </w:r>
            <w:r>
              <w:rPr>
                <w:rFonts w:ascii="Times New Roman" w:eastAsia="Times New Roman" w:hAnsi="Times New Roman" w:cs="Times New Roman"/>
                <w:b/>
                <w:i/>
                <w:strike w:val="0"/>
                <w:color w:val="000000"/>
                <w:sz w:val="24"/>
                <w:highlight w:val="none"/>
                <w:u w:val="none" w:color="auto"/>
              </w:rPr>
              <w:t>bygger</w:t>
            </w:r>
            <w:r>
              <w:t xml:space="preserve"> på gemensamma normer för asylförfaranden, för erkännande och skydd på unionsnivå och för mottagningsvillkor samt ett system för att avgöra vilken medlemsstat som har ansvaret för asylsökande. Trots de </w:t>
            </w:r>
            <w:r>
              <w:rPr>
                <w:rFonts w:ascii="Times New Roman" w:eastAsia="Times New Roman" w:hAnsi="Times New Roman" w:cs="Times New Roman"/>
                <w:b/>
                <w:i/>
                <w:strike w:val="0"/>
                <w:color w:val="000000"/>
                <w:sz w:val="24"/>
                <w:highlight w:val="none"/>
                <w:u w:val="none" w:color="auto"/>
              </w:rPr>
              <w:t>framsteg som uppnåtts hittills i den successiva utvecklingen av det gemensamma europeiska asylsystemet, finns det fortfarande betydande skillnader mellan medlemsstaterna vad gäller de förfaranden som används, erkännandegrader, den typ av skydd som beviljas och nivån på de materiella mottagningsvillkor och förmåner som ges de som söker om och beviljas internationellt skydd. Dessa skillnader är viktiga drivkrafter för sekundära förflyttningar och undergräver målet att säkerställa att alla sökande behandlas lika oavsett var i unionen de ansöker</w:t>
            </w:r>
            <w:r>
              <w:t>.</w:t>
            </w:r>
          </w:p>
        </w:tc>
        <w:tc>
          <w:tcPr/>
          <w:p>
            <w:pPr>
              <w:pStyle w:val="Normal6"/>
            </w:pPr>
            <w:r>
              <w:t>(3)</w:t>
            </w:r>
            <w:r>
              <w:tab/>
            </w:r>
            <w:r>
              <w:t xml:space="preserve">Det gemensamma europeiska asylsystemet </w:t>
            </w:r>
            <w:r>
              <w:rPr>
                <w:rFonts w:ascii="Times New Roman" w:eastAsia="Times New Roman" w:hAnsi="Times New Roman" w:cs="Times New Roman"/>
                <w:b/>
                <w:i/>
                <w:strike w:val="0"/>
                <w:color w:val="000000"/>
                <w:sz w:val="24"/>
                <w:highlight w:val="none"/>
                <w:u w:val="none" w:color="auto"/>
              </w:rPr>
              <w:t>bör bygga</w:t>
            </w:r>
            <w:r>
              <w:t xml:space="preserve"> på gemensamma normer för asylförfaranden, för erkännande och skydd på unionsnivå och för mottagningsvillkor samt ett system för att avgöra vilken medlemsstat som har ansvaret för asylsökande. Trots de </w:t>
            </w:r>
            <w:r>
              <w:rPr>
                <w:rFonts w:ascii="Times New Roman" w:eastAsia="Times New Roman" w:hAnsi="Times New Roman" w:cs="Times New Roman"/>
                <w:b/>
                <w:i/>
                <w:strike w:val="0"/>
                <w:color w:val="000000"/>
                <w:sz w:val="24"/>
                <w:highlight w:val="none"/>
                <w:u w:val="none" w:color="auto"/>
              </w:rPr>
              <w:t>hittillsvarande misslyckandena framhärdar EU med politik som ständigt missgynnar de första ankomstländerna</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113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 xml:space="preserve">Det gemensamma europeiska asylsystemet bygger på gemensamma normer för asylförfaranden, för erkännande och skydd på unionsnivå och för mottagningsvillkor samt ett system för att avgöra vilken medlemsstat som har ansvaret för asylsökande. Trots de framsteg som uppnåtts hittills i den successiva utvecklingen av det gemensamma europeiska asylsystemet, finns det fortfarande betydande skillnader mellan medlemsstaterna vad gäller de förfaranden som används, erkännandegrader, den typ av skydd som beviljas och nivån på de materiella mottagningsvillkor och förmåner som ges </w:t>
            </w:r>
            <w:r>
              <w:rPr>
                <w:rFonts w:ascii="Times New Roman" w:eastAsia="Times New Roman" w:hAnsi="Times New Roman" w:cs="Times New Roman"/>
                <w:b/>
                <w:i/>
                <w:strike w:val="0"/>
                <w:color w:val="000000"/>
                <w:sz w:val="24"/>
                <w:highlight w:val="none"/>
                <w:u w:val="none" w:color="auto"/>
              </w:rPr>
              <w:t>de</w:t>
            </w:r>
            <w:r>
              <w:t xml:space="preserve"> som söker om och beviljas internationellt skydd. Dessa skillnader</w:t>
            </w:r>
            <w:r>
              <w:rPr>
                <w:rFonts w:ascii="Times New Roman" w:eastAsia="Times New Roman" w:hAnsi="Times New Roman" w:cs="Times New Roman"/>
                <w:b/>
                <w:i/>
                <w:strike w:val="0"/>
                <w:color w:val="000000"/>
                <w:sz w:val="24"/>
                <w:highlight w:val="none"/>
                <w:u w:val="none" w:color="auto"/>
              </w:rPr>
              <w:t xml:space="preserve"> är viktiga drivkrafter för sekundära förflyttningar och</w:t>
            </w:r>
            <w:r>
              <w:t xml:space="preserve"> undergräver målet att säkerställa att alla sökande behandlas lika oavsett var i unionen de ansöker.</w:t>
            </w:r>
          </w:p>
        </w:tc>
        <w:tc>
          <w:tcPr/>
          <w:p>
            <w:pPr>
              <w:pStyle w:val="Normal6"/>
            </w:pPr>
            <w:r>
              <w:t>(3)</w:t>
            </w:r>
            <w:r>
              <w:tab/>
            </w:r>
            <w:r>
              <w:t xml:space="preserve">Det gemensamma europeiska asylsystemet bygger på gemensamma normer för asylförfaranden, för erkännande och skydd på unionsnivå och för mottagningsvillkor samt ett system för att avgöra vilken medlemsstat som har ansvaret för asylsökande. Trots de framsteg som uppnåtts hittills i den successiva utvecklingen av det gemensamma europeiska asylsystemet, finns det fortfarande betydande skillnader mellan medlemsstaterna vad gäller de förfaranden som används, erkännandegrader, den typ av skydd som beviljas och nivån på de materiella mottagningsvillkor och förmåner som ges </w:t>
            </w:r>
            <w:r>
              <w:rPr>
                <w:rFonts w:ascii="Times New Roman" w:eastAsia="Times New Roman" w:hAnsi="Times New Roman" w:cs="Times New Roman"/>
                <w:b/>
                <w:i/>
                <w:strike w:val="0"/>
                <w:color w:val="000000"/>
                <w:sz w:val="24"/>
                <w:highlight w:val="none"/>
                <w:u w:val="none" w:color="auto"/>
              </w:rPr>
              <w:t>dem</w:t>
            </w:r>
            <w:r>
              <w:t xml:space="preserve"> som söker om och beviljas internationellt skydd. Dessa skillnader undergräver målet att säkerställa att alla sökande behandlas lika oavsett var i unionen de ansöker.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114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 xml:space="preserve">Det gemensamma europeiska asylsystemet bygger på gemensamma normer för asylförfaranden, för erkännande och skydd på unionsnivå och för mottagningsvillkor samt ett system för att avgöra vilken medlemsstat som har ansvaret för asylsökande. Trots de framsteg som uppnåtts hittills i den successiva utvecklingen av det gemensamma europeiska asylsystemet, finns det fortfarande betydande skillnader mellan medlemsstaterna vad gäller de förfaranden som används, erkännandegrader, den typ av skydd som beviljas och nivån på de materiella mottagningsvillkor och förmåner som ges </w:t>
            </w:r>
            <w:r>
              <w:rPr>
                <w:rFonts w:ascii="Times New Roman" w:eastAsia="Times New Roman" w:hAnsi="Times New Roman" w:cs="Times New Roman"/>
                <w:b/>
                <w:i/>
                <w:strike w:val="0"/>
                <w:color w:val="000000"/>
                <w:sz w:val="24"/>
                <w:highlight w:val="none"/>
                <w:u w:val="none" w:color="auto"/>
              </w:rPr>
              <w:t>de</w:t>
            </w:r>
            <w:r>
              <w:t xml:space="preserve"> som söker om och beviljas internationellt skydd. Dessa skillnader</w:t>
            </w:r>
            <w:r>
              <w:rPr>
                <w:rFonts w:ascii="Times New Roman" w:eastAsia="Times New Roman" w:hAnsi="Times New Roman" w:cs="Times New Roman"/>
                <w:b/>
                <w:i/>
                <w:strike w:val="0"/>
                <w:color w:val="000000"/>
                <w:sz w:val="24"/>
                <w:highlight w:val="none"/>
                <w:u w:val="none" w:color="auto"/>
              </w:rPr>
              <w:t xml:space="preserve"> är viktiga drivkrafter för sekundära förflyttningar och</w:t>
            </w:r>
            <w:r>
              <w:t xml:space="preserve"> undergräver målet att säkerställa att alla sökande behandlas lika oavsett var i unionen de ansöker.</w:t>
            </w:r>
          </w:p>
        </w:tc>
        <w:tc>
          <w:tcPr/>
          <w:p>
            <w:pPr>
              <w:pStyle w:val="Normal6"/>
            </w:pPr>
            <w:r>
              <w:t>(3)</w:t>
            </w:r>
            <w:r>
              <w:tab/>
            </w:r>
            <w:r>
              <w:t xml:space="preserve">Det gemensamma europeiska asylsystemet bygger på gemensamma normer för asylförfaranden, för erkännande och skydd på unionsnivå och för mottagningsvillkor samt ett system för att avgöra vilken medlemsstat som har ansvaret för asylsökande. Trots de framsteg som uppnåtts hittills i den successiva utvecklingen av det gemensamma europeiska asylsystemet, finns det fortfarande betydande skillnader mellan medlemsstaterna vad gäller de förfaranden som används, erkännandegrader, den typ av skydd som beviljas och nivån på de materiella mottagningsvillkor och förmåner som ges </w:t>
            </w:r>
            <w:r>
              <w:rPr>
                <w:rFonts w:ascii="Times New Roman" w:eastAsia="Times New Roman" w:hAnsi="Times New Roman" w:cs="Times New Roman"/>
                <w:b/>
                <w:i/>
                <w:strike w:val="0"/>
                <w:color w:val="000000"/>
                <w:sz w:val="24"/>
                <w:highlight w:val="none"/>
                <w:u w:val="none" w:color="auto"/>
              </w:rPr>
              <w:t>dem</w:t>
            </w:r>
            <w:r>
              <w:t xml:space="preserve"> som söker om och beviljas internationellt skydd. Dessa skillnader undergräver målet att säkerställa att alla sökande behandlas lika oavsett var i unionen de ansöker.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115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t xml:space="preserve">, </w:t>
      </w:r>
      <w:r>
        <w:t>Jean Lambert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(3a)</w:t>
            </w:r>
            <w:r>
              <w:tab/>
            </w:r>
            <w:r>
              <w:rPr>
                <w:rFonts w:ascii="Times New Roman" w:eastAsia="Times New Roman" w:hAnsi="Times New Roman" w:cs="Times New Roman"/>
                <w:b/>
                <w:i/>
                <w:strike w:val="0"/>
                <w:color w:val="000000"/>
                <w:sz w:val="24"/>
                <w:highlight w:val="none"/>
                <w:u w:val="none" w:color="auto"/>
              </w:rPr>
              <w:t>För närvarande erkänner medlemsstaterna andra medlemsstaters asylbeslut endast om dessa innebär nekat internationellt skydd. För att säkerställa ett korrekt genomförande av artikel 78.2 i fördraget om Europeiska unionens funktionssätt (EUF-fördraget), där man efterlyser en enhetlig asylstatus som ska gälla i hela unionen, måste medlemsstaterna gå i riktning mot ett ömsesidigt erkännande av asylbeslut som utfärdas av andra medlemsstater och som beviljar behövande personer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Skuggföredraganden håller med föredraganden om att ett fullständigt ömsesidigt erkännande av beslut om internationellt skydd som fattats av medlemsstaterna kommer att krävas för att få till stånd en verkligt enhetlig status för internationellt skydd i unionen.</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116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w:t>
            </w:r>
            <w:r>
              <w:tab/>
            </w:r>
            <w:r>
              <w:rPr>
                <w:rFonts w:ascii="Times New Roman" w:eastAsia="Times New Roman" w:hAnsi="Times New Roman" w:cs="Times New Roman"/>
                <w:b/>
                <w:i/>
                <w:strike w:val="0"/>
                <w:color w:val="000000"/>
                <w:sz w:val="24"/>
                <w:highlight w:val="none"/>
                <w:u w:val="none" w:color="auto"/>
              </w:rPr>
              <w:t>I sitt meddelande av den 6 april 2016</w:t>
            </w:r>
            <w:r>
              <w:rPr>
                <w:rStyle w:val="SupBoldItalic"/>
              </w:rPr>
              <w:t>32</w:t>
            </w:r>
            <w:r>
              <w:rPr>
                <w:rFonts w:ascii="Times New Roman" w:eastAsia="Times New Roman" w:hAnsi="Times New Roman" w:cs="Times New Roman"/>
                <w:b/>
                <w:i/>
                <w:strike w:val="0"/>
                <w:color w:val="000000"/>
                <w:sz w:val="24"/>
                <w:highlight w:val="none"/>
                <w:u w:val="none" w:color="auto"/>
              </w:rPr>
              <w:t xml:space="preserve"> redogjorde kommissionen för sina alternativ för förbättring av det gemensamma europeiska asylsystemet, nämligen att inrätta ett hållbart och rättvist system för att avgöra vilken medlemsstat som ansvarar för att pröva asylansökan, att förstärka Eurodacsystemet, att åstadkomma mer konsekvens i EU:s asylsystem, att förebygga sekundär förflyttning inom Europeiska unionen, och ett nytt uppdrag för EU:s stödkontor för asylfrågor. Meddelandet ligger i linje med uppmaningarna från Europeiska rådet den 18–19 februari 2016</w:t>
            </w:r>
            <w:r>
              <w:rPr>
                <w:rStyle w:val="SupBoldItalic"/>
              </w:rPr>
              <w:t>33</w:t>
            </w:r>
            <w:r>
              <w:rPr>
                <w:rFonts w:ascii="Times New Roman" w:eastAsia="Times New Roman" w:hAnsi="Times New Roman" w:cs="Times New Roman"/>
                <w:b/>
                <w:i/>
                <w:strike w:val="0"/>
                <w:color w:val="000000"/>
                <w:sz w:val="24"/>
                <w:highlight w:val="none"/>
                <w:u w:val="none" w:color="auto"/>
              </w:rPr>
              <w:t xml:space="preserve"> om att göra framsteg i riktning mot en reformering av EU:s befintliga regelverk så att en human och effektiv asylpolitik kan säkerställas. Det föreslås också en väg framåt i linje med den övergripande strategi för migration som Europaparlamentet angav i sitt initiativbetänkande av den 12 april 2016.</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32</w:t>
            </w:r>
            <w:r>
              <w:t xml:space="preserve"> </w:t>
            </w:r>
            <w:r>
              <w:rPr>
                <w:rFonts w:ascii="Times New Roman" w:eastAsia="Times New Roman" w:hAnsi="Times New Roman" w:cs="Times New Roman"/>
                <w:b/>
                <w:i/>
                <w:strike w:val="0"/>
                <w:color w:val="000000"/>
                <w:sz w:val="24"/>
                <w:highlight w:val="none"/>
                <w:u w:val="none" w:color="auto"/>
              </w:rPr>
              <w:t>COM(2016) 197 final.</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33</w:t>
            </w:r>
            <w:r>
              <w:t xml:space="preserve"> </w:t>
            </w:r>
            <w:r>
              <w:rPr>
                <w:rFonts w:ascii="Times New Roman" w:eastAsia="Times New Roman" w:hAnsi="Times New Roman" w:cs="Times New Roman"/>
                <w:b/>
                <w:i/>
                <w:strike w:val="0"/>
                <w:color w:val="000000"/>
                <w:sz w:val="24"/>
                <w:highlight w:val="none"/>
                <w:u w:val="none" w:color="auto"/>
              </w:rPr>
              <w:t>EUCO 19.2.2016, SN 1/16.</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Mot bakgrund av medlemsstaternas olika intressen, värderingar, resurser och förmågor att ta emot migranter är det i praktiken inte rimligt att tänka sig att lagstiftning kommer att leda till en ändamålsenlig och harmoniserad gemensam asylpolitik.</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117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I sitt meddelande av den 6 april 2016</w:t>
            </w:r>
            <w:r>
              <w:rPr>
                <w:rStyle w:val="Sup"/>
              </w:rPr>
              <w:t>32</w:t>
            </w:r>
            <w:r>
              <w:t xml:space="preserve"> redogjorde kommissionen för sina alternativ för förbättring av det gemensamma europeiska asylsystemet, nämligen att inrätta ett hållbart och rättvist system för att avgöra vilken medlemsstat som ansvarar för att pröva asylansökan, att förstärka Eurodacsystemet, att åstadkomma mer konsekvens i EU:s asylsystem, att förebygga sekundär förflyttning inom Europeiska unionen, och ett nytt uppdrag för EU:s stödkontor för asylfrågor. Meddelandet ligger i linje med uppmaningarna från Europeiska rådet den 18–19 februari 2016</w:t>
            </w:r>
            <w:r>
              <w:rPr>
                <w:rStyle w:val="Sup"/>
              </w:rPr>
              <w:t>33</w:t>
            </w:r>
            <w:r>
              <w:t xml:space="preserve"> om att göra framsteg i riktning mot en reformering av EU:s befintliga regelverk så att en human och effektiv asylpolitik kan säkerställas. Det </w:t>
            </w:r>
            <w:r>
              <w:rPr>
                <w:rFonts w:ascii="Times New Roman" w:eastAsia="Times New Roman" w:hAnsi="Times New Roman" w:cs="Times New Roman"/>
                <w:b/>
                <w:i/>
                <w:strike w:val="0"/>
                <w:color w:val="000000"/>
                <w:sz w:val="24"/>
                <w:highlight w:val="none"/>
                <w:u w:val="none" w:color="auto"/>
              </w:rPr>
              <w:t>föreslås också en väg framåt i linje med</w:t>
            </w:r>
            <w:r>
              <w:t xml:space="preserve"> den övergripande strategi för migration som Europaparlamentet angav i sitt initiativbetänkande av den 12 april 2016.</w:t>
            </w:r>
          </w:p>
        </w:tc>
        <w:tc>
          <w:tcPr/>
          <w:p>
            <w:pPr>
              <w:pStyle w:val="Normal6"/>
            </w:pPr>
            <w:r>
              <w:t>(4)</w:t>
            </w:r>
            <w:r>
              <w:tab/>
            </w:r>
            <w:r>
              <w:t>I sitt meddelande av den 6 april 2016</w:t>
            </w:r>
            <w:r>
              <w:rPr>
                <w:rStyle w:val="Sup"/>
              </w:rPr>
              <w:t>32</w:t>
            </w:r>
            <w:r>
              <w:t xml:space="preserve"> redogjorde kommissionen för sina alternativ för förbättring av det gemensamma europeiska asylsystemet, nämligen att inrätta ett hållbart och rättvist system för att avgöra vilken medlemsstat som ansvarar för att pröva asylansökan, att förstärka Eurodacsystemet, att åstadkomma mer konsekvens i EU:s asylsystem, att förebygga sekundär förflyttning inom Europeiska unionen, och ett nytt uppdrag för EU:s stödkontor för asylfrågor</w:t>
            </w:r>
            <w:r>
              <w:rPr>
                <w:rFonts w:ascii="Times New Roman" w:eastAsia="Times New Roman" w:hAnsi="Times New Roman" w:cs="Times New Roman"/>
                <w:b/>
                <w:i/>
                <w:strike w:val="0"/>
                <w:color w:val="000000"/>
                <w:sz w:val="24"/>
                <w:highlight w:val="none"/>
                <w:u w:val="none" w:color="auto"/>
              </w:rPr>
              <w:t xml:space="preserve"> (stödkontoret)</w:t>
            </w:r>
            <w:r>
              <w:t>. Meddelandet ligger i linje med uppmaningarna från Europeiska rådet den 18–19 februari 2016</w:t>
            </w:r>
            <w:r>
              <w:rPr>
                <w:rStyle w:val="Sup"/>
              </w:rPr>
              <w:t>33</w:t>
            </w:r>
            <w:r>
              <w:t xml:space="preserve"> om att göra framsteg i riktning mot en reformering av EU:s befintliga regelverk så att en human och effektiv asylpolitik kan säkerställas. Det </w:t>
            </w:r>
            <w:r>
              <w:rPr>
                <w:rFonts w:ascii="Times New Roman" w:eastAsia="Times New Roman" w:hAnsi="Times New Roman" w:cs="Times New Roman"/>
                <w:b/>
                <w:i/>
                <w:strike w:val="0"/>
                <w:color w:val="000000"/>
                <w:sz w:val="24"/>
                <w:highlight w:val="none"/>
                <w:u w:val="none" w:color="auto"/>
              </w:rPr>
              <w:t>ignorerar dock fullständigt rekommendationerna i</w:t>
            </w:r>
            <w:r>
              <w:t xml:space="preserve"> den övergripande strategi för migration som Europaparlamentet angav i sitt initiativbetänkande av den 12 april 2016.</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32</w:t>
            </w:r>
            <w:r>
              <w:t xml:space="preserve"> </w:t>
            </w:r>
            <w:r>
              <w:rPr>
                <w:rFonts w:ascii="Times New Roman" w:eastAsia="Times New Roman" w:hAnsi="Times New Roman" w:cs="Times New Roman"/>
                <w:b/>
                <w:i/>
                <w:strike w:val="0"/>
                <w:color w:val="000000"/>
                <w:sz w:val="24"/>
                <w:highlight w:val="none"/>
                <w:u w:val="none" w:color="auto"/>
              </w:rPr>
              <w:t>COM(2016) 197 final</w:t>
            </w:r>
            <w:r>
              <w:t>.</w:t>
            </w:r>
          </w:p>
        </w:tc>
        <w:tc>
          <w:tcPr/>
          <w:p>
            <w:pPr>
              <w:pStyle w:val="Normal6"/>
            </w:pPr>
            <w:r>
              <w:rPr>
                <w:rStyle w:val="Sup"/>
              </w:rPr>
              <w:t>32</w:t>
            </w:r>
            <w:r>
              <w:t xml:space="preserve"> </w:t>
            </w:r>
            <w:r>
              <w:rPr>
                <w:rFonts w:ascii="Times New Roman" w:eastAsia="Times New Roman" w:hAnsi="Times New Roman" w:cs="Times New Roman"/>
                <w:b/>
                <w:i/>
                <w:strike w:val="0"/>
                <w:color w:val="000000"/>
                <w:sz w:val="24"/>
                <w:highlight w:val="none"/>
                <w:u w:val="none" w:color="auto"/>
              </w:rPr>
              <w:t>COM(2016)0197</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33</w:t>
            </w:r>
            <w:r>
              <w:t xml:space="preserve"> </w:t>
            </w:r>
            <w:r>
              <w:t>EUCO 19.2.2016, SN 1/16.</w:t>
            </w:r>
          </w:p>
        </w:tc>
        <w:tc>
          <w:tcPr/>
          <w:p>
            <w:pPr>
              <w:pStyle w:val="Normal6"/>
            </w:pPr>
            <w:r>
              <w:rPr>
                <w:rStyle w:val="Sup"/>
              </w:rPr>
              <w:t>33</w:t>
            </w:r>
            <w:r>
              <w:t xml:space="preserve"> </w:t>
            </w:r>
            <w:r>
              <w:t>EUCO 19.2.2016, SN 1/16.</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118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I sitt meddelande av den 6 april 2016</w:t>
            </w:r>
            <w:r>
              <w:rPr>
                <w:rStyle w:val="Sup"/>
              </w:rPr>
              <w:t>32</w:t>
            </w:r>
            <w:r>
              <w:t xml:space="preserve"> redogjorde kommissionen för sina alternativ för förbättring av det gemensamma europeiska asylsystemet, nämligen att inrätta ett hållbart och rättvist system för att avgöra vilken medlemsstat som ansvarar för att pröva asylansökan, att förstärka Eurodacsystemet, att åstadkomma mer konsekvens i EU:s asylsystem, </w:t>
            </w:r>
            <w:r>
              <w:rPr>
                <w:rFonts w:ascii="Times New Roman" w:eastAsia="Times New Roman" w:hAnsi="Times New Roman" w:cs="Times New Roman"/>
                <w:b/>
                <w:i/>
                <w:strike w:val="0"/>
                <w:color w:val="000000"/>
                <w:sz w:val="24"/>
                <w:highlight w:val="none"/>
                <w:u w:val="none" w:color="auto"/>
              </w:rPr>
              <w:t xml:space="preserve">att förebygga sekundär förflyttning inom Europeiska unionen, </w:t>
            </w:r>
            <w:r>
              <w:t>och ett nytt uppdrag för EU:s stödkontor för asylfrågor. Meddelandet ligger i linje med uppmaningarna från Europeiska rådet den 18–19 februari 2016</w:t>
            </w:r>
            <w:r>
              <w:rPr>
                <w:rStyle w:val="Sup"/>
              </w:rPr>
              <w:t>33</w:t>
            </w:r>
            <w:r>
              <w:t xml:space="preserve"> om att göra framsteg i riktning mot en reformering av EU:s befintliga regelverk så att en human och effektiv asylpolitik kan säkerställas. Det föreslås också en väg framåt i linje med den övergripande strategi för migration som Europaparlamentet angav i sitt initiativbetänkande av den 12 april 2016.</w:t>
            </w:r>
          </w:p>
        </w:tc>
        <w:tc>
          <w:tcPr/>
          <w:p>
            <w:pPr>
              <w:pStyle w:val="Normal6"/>
            </w:pPr>
            <w:r>
              <w:t>(4)</w:t>
            </w:r>
            <w:r>
              <w:tab/>
            </w:r>
            <w:r>
              <w:t>I sitt meddelande av den 6 april 2016</w:t>
            </w:r>
            <w:r>
              <w:rPr>
                <w:rStyle w:val="Sup"/>
              </w:rPr>
              <w:t>32</w:t>
            </w:r>
            <w:r>
              <w:t xml:space="preserve"> redogjorde kommissionen för sina alternativ för förbättring av det gemensamma europeiska asylsystemet, nämligen att inrätta ett hållbart och rättvist system för att avgöra vilken medlemsstat som ansvarar för att pröva asylansökan, att förstärka Eurodacsystemet, att åstadkomma mer konsekvens i EU:s asylsystem, och ett nytt uppdrag för EU:s stödkontor för asylfrågor. Meddelandet ligger i linje med uppmaningarna från Europeiska rådet den 18–19 februari 2016</w:t>
            </w:r>
            <w:r>
              <w:rPr>
                <w:rStyle w:val="Sup"/>
              </w:rPr>
              <w:t>33</w:t>
            </w:r>
            <w:r>
              <w:t xml:space="preserve"> om att göra framsteg i riktning mot en reformering av EU:s befintliga regelverk så att en human och effektiv asylpolitik </w:t>
            </w:r>
            <w:r>
              <w:rPr>
                <w:rFonts w:ascii="Times New Roman" w:eastAsia="Times New Roman" w:hAnsi="Times New Roman" w:cs="Times New Roman"/>
                <w:b/>
                <w:i/>
                <w:strike w:val="0"/>
                <w:color w:val="000000"/>
                <w:sz w:val="24"/>
                <w:highlight w:val="none"/>
                <w:u w:val="none" w:color="auto"/>
              </w:rPr>
              <w:t xml:space="preserve">samt lika stränga normer överallt i unionen </w:t>
            </w:r>
            <w:r>
              <w:t>kan säkerställas. Det föreslås också en väg framåt</w:t>
            </w:r>
            <w:r>
              <w:rPr>
                <w:rFonts w:ascii="Times New Roman" w:eastAsia="Times New Roman" w:hAnsi="Times New Roman" w:cs="Times New Roman"/>
                <w:b/>
                <w:i/>
                <w:strike w:val="0"/>
                <w:color w:val="000000"/>
                <w:sz w:val="24"/>
                <w:highlight w:val="none"/>
                <w:u w:val="none" w:color="auto"/>
              </w:rPr>
              <w:t xml:space="preserve"> delvis</w:t>
            </w:r>
            <w:r>
              <w:t xml:space="preserve"> i linje med den övergripande strategi för migration som Europaparlamentet angav i sitt initiativbetänkande av den 12 april 2016.</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32</w:t>
            </w:r>
            <w:r>
              <w:t xml:space="preserve"> </w:t>
            </w:r>
            <w:r>
              <w:rPr>
                <w:rFonts w:ascii="Times New Roman" w:eastAsia="Times New Roman" w:hAnsi="Times New Roman" w:cs="Times New Roman"/>
                <w:b/>
                <w:i/>
                <w:strike w:val="0"/>
                <w:color w:val="000000"/>
                <w:sz w:val="24"/>
                <w:highlight w:val="none"/>
                <w:u w:val="none" w:color="auto"/>
              </w:rPr>
              <w:t>COM(2016) 197 final</w:t>
            </w:r>
            <w:r>
              <w:t>.</w:t>
            </w:r>
          </w:p>
        </w:tc>
        <w:tc>
          <w:tcPr/>
          <w:p>
            <w:pPr>
              <w:pStyle w:val="Normal6"/>
            </w:pPr>
            <w:r>
              <w:rPr>
                <w:rStyle w:val="Sup"/>
              </w:rPr>
              <w:t>32</w:t>
            </w:r>
            <w:r>
              <w:t xml:space="preserve"> </w:t>
            </w:r>
            <w:r>
              <w:rPr>
                <w:rFonts w:ascii="Times New Roman" w:eastAsia="Times New Roman" w:hAnsi="Times New Roman" w:cs="Times New Roman"/>
                <w:b/>
                <w:i/>
                <w:strike w:val="0"/>
                <w:color w:val="000000"/>
                <w:sz w:val="24"/>
                <w:highlight w:val="none"/>
                <w:u w:val="none" w:color="auto"/>
              </w:rPr>
              <w:t>COM(2016)0197</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33</w:t>
            </w:r>
            <w:r>
              <w:t xml:space="preserve"> </w:t>
            </w:r>
            <w:r>
              <w:t>EUCO 19.2.2016, SN 1/16.</w:t>
            </w:r>
          </w:p>
        </w:tc>
        <w:tc>
          <w:tcPr/>
          <w:p>
            <w:pPr>
              <w:pStyle w:val="Normal6"/>
            </w:pPr>
            <w:r>
              <w:rPr>
                <w:rStyle w:val="Sup"/>
              </w:rPr>
              <w:t>33</w:t>
            </w:r>
            <w:r>
              <w:t xml:space="preserve"> </w:t>
            </w:r>
            <w:r>
              <w:t>EUCO 19.2.2016, SN 1/16.</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119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I sitt meddelande av den 6 april 2016</w:t>
            </w:r>
            <w:r>
              <w:rPr>
                <w:rStyle w:val="Sup"/>
              </w:rPr>
              <w:t>32</w:t>
            </w:r>
            <w:r>
              <w:t xml:space="preserve"> redogjorde kommissionen för sina alternativ för förbättring av det gemensamma europeiska asylsystemet, nämligen att inrätta ett </w:t>
            </w:r>
            <w:r>
              <w:rPr>
                <w:rFonts w:ascii="Times New Roman" w:eastAsia="Times New Roman" w:hAnsi="Times New Roman" w:cs="Times New Roman"/>
                <w:b/>
                <w:i/>
                <w:strike w:val="0"/>
                <w:color w:val="000000"/>
                <w:sz w:val="24"/>
                <w:highlight w:val="none"/>
                <w:u w:val="none" w:color="auto"/>
              </w:rPr>
              <w:t xml:space="preserve">hållbart och rättvist </w:t>
            </w:r>
            <w:r>
              <w:t>system för att avgöra vilken medlemsstat som ansvarar för att pröva asylansökan, att förstärka Eurodacsystemet, att åstadkomma mer konsekvens i EU:s asylsystem, att förebygga sekundär förflyttning inom Europeiska unionen, och ett nytt uppdrag för EU:s stödkontor för asylfrågor. Meddelandet ligger i linje med uppmaningarna från Europeiska rådet den 18–19 februari 2016</w:t>
            </w:r>
            <w:r>
              <w:rPr>
                <w:rStyle w:val="Sup"/>
              </w:rPr>
              <w:t>33</w:t>
            </w:r>
            <w:r>
              <w:t xml:space="preserve"> om att göra framsteg i riktning mot en reformering av EU:s befintliga regelverk så att en human och effektiv asylpolitik kan säkerställas. Det föreslås också en väg framåt i linje med den övergripande strategi för migration som Europaparlamentet angav i sitt initiativbetänkande av den 12 april 2016.</w:t>
            </w:r>
          </w:p>
        </w:tc>
        <w:tc>
          <w:tcPr/>
          <w:p>
            <w:pPr>
              <w:pStyle w:val="Normal6"/>
            </w:pPr>
            <w:r>
              <w:t>(4)</w:t>
            </w:r>
            <w:r>
              <w:tab/>
            </w:r>
            <w:r>
              <w:t>I sitt meddelande av den 6 april 2016</w:t>
            </w:r>
            <w:r>
              <w:rPr>
                <w:rStyle w:val="Sup"/>
              </w:rPr>
              <w:t>32</w:t>
            </w:r>
            <w:r>
              <w:t xml:space="preserve"> redogjorde kommissionen för sina alternativ för förbättring av det gemensamma europeiska asylsystemet, nämligen att inrätta ett system för att avgöra vilken medlemsstat som ansvarar för att pröva asylansökan, att förstärka Eurodacsystemet, att åstadkomma mer konsekvens i EU:s asylsystem, att förebygga sekundär förflyttning inom Europeiska unionen, och ett nytt uppdrag för EU:s stödkontor för asylfrågor. Meddelandet ligger i linje med uppmaningarna från Europeiska rådet den 18–19 februari 2016</w:t>
            </w:r>
            <w:r>
              <w:rPr>
                <w:rStyle w:val="Sup"/>
              </w:rPr>
              <w:t>33</w:t>
            </w:r>
            <w:r>
              <w:t xml:space="preserve"> om att göra framsteg i riktning mot en reformering av EU:s befintliga regelverk så att en human och effektiv asylpolitik kan säkerställas. Det föreslås också en väg framåt i linje med den övergripande strategi för migration som Europaparlamentet angav i sitt initiativbetänkande av den 12 april 2016.</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32</w:t>
            </w:r>
            <w:r>
              <w:t xml:space="preserve"> </w:t>
            </w:r>
            <w:r>
              <w:rPr>
                <w:rFonts w:ascii="Times New Roman" w:eastAsia="Times New Roman" w:hAnsi="Times New Roman" w:cs="Times New Roman"/>
                <w:b/>
                <w:i/>
                <w:strike w:val="0"/>
                <w:color w:val="000000"/>
                <w:sz w:val="24"/>
                <w:highlight w:val="none"/>
                <w:u w:val="none" w:color="auto"/>
              </w:rPr>
              <w:t>COM(2016) 197 final</w:t>
            </w:r>
            <w:r>
              <w:t>.</w:t>
            </w:r>
          </w:p>
        </w:tc>
        <w:tc>
          <w:tcPr/>
          <w:p>
            <w:pPr>
              <w:pStyle w:val="Normal6"/>
            </w:pPr>
            <w:r>
              <w:rPr>
                <w:rStyle w:val="Sup"/>
              </w:rPr>
              <w:t>32</w:t>
            </w:r>
            <w:r>
              <w:t xml:space="preserve"> </w:t>
            </w:r>
            <w:r>
              <w:rPr>
                <w:rFonts w:ascii="Times New Roman" w:eastAsia="Times New Roman" w:hAnsi="Times New Roman" w:cs="Times New Roman"/>
                <w:b/>
                <w:i/>
                <w:strike w:val="0"/>
                <w:color w:val="000000"/>
                <w:sz w:val="24"/>
                <w:highlight w:val="none"/>
                <w:u w:val="none" w:color="auto"/>
              </w:rPr>
              <w:t>COM(2016)0197</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33</w:t>
            </w:r>
            <w:r>
              <w:t xml:space="preserve"> </w:t>
            </w:r>
            <w:r>
              <w:t>EUCO 19.2.2016, SN 1/16.</w:t>
            </w:r>
          </w:p>
        </w:tc>
        <w:tc>
          <w:tcPr/>
          <w:p>
            <w:pPr>
              <w:pStyle w:val="Normal6"/>
            </w:pPr>
            <w:r>
              <w:rPr>
                <w:rStyle w:val="Sup"/>
              </w:rPr>
              <w:t>33</w:t>
            </w:r>
            <w:r>
              <w:t xml:space="preserve"> </w:t>
            </w:r>
            <w:r>
              <w:t>EUCO 19.2.2016, SN 1/16.</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120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(4a)</w:t>
            </w:r>
            <w:r>
              <w:tab/>
            </w:r>
            <w:r>
              <w:rPr>
                <w:rFonts w:ascii="Times New Roman" w:eastAsia="Times New Roman" w:hAnsi="Times New Roman" w:cs="Times New Roman"/>
                <w:b/>
                <w:i/>
                <w:strike w:val="0"/>
                <w:color w:val="000000"/>
                <w:sz w:val="24"/>
                <w:highlight w:val="none"/>
                <w:u w:val="none" w:color="auto"/>
              </w:rPr>
              <w:t>Genèvekonventionen utgör grundstenen i det folkrättsliga systemet för skydd av flyktingar.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Genom detta ändringsförslag återinförs skäl 4 i ingressen till 2011 års skyddsdirektiv.</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121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 xml:space="preserve">För att </w:t>
            </w:r>
            <w:r>
              <w:rPr>
                <w:rFonts w:ascii="Times New Roman" w:eastAsia="Times New Roman" w:hAnsi="Times New Roman" w:cs="Times New Roman"/>
                <w:b/>
                <w:i/>
                <w:strike w:val="0"/>
                <w:color w:val="000000"/>
                <w:sz w:val="24"/>
                <w:highlight w:val="none"/>
                <w:u w:val="none" w:color="auto"/>
              </w:rPr>
              <w:t>det gemensamma europeiska asylsystemet, inbegripet Dublinsystemet, ska fungera väl</w:t>
            </w:r>
            <w:r>
              <w:t xml:space="preserve"> bör avsevärda framsteg göras i fråga om samstämmigheten i de nationella asylsystemen, med särskild hänsyn tagen till skillnaderna i erkännandegrad och typ av skyddsstatus i medlemsstaterna. </w:t>
            </w:r>
            <w:r>
              <w:rPr>
                <w:rFonts w:ascii="Times New Roman" w:eastAsia="Times New Roman" w:hAnsi="Times New Roman" w:cs="Times New Roman"/>
                <w:b/>
                <w:i/>
                <w:strike w:val="0"/>
                <w:color w:val="000000"/>
                <w:sz w:val="24"/>
                <w:highlight w:val="none"/>
                <w:u w:val="none" w:color="auto"/>
              </w:rPr>
              <w:t>Dessutom bör regler om omprövning av beviljad status</w:t>
            </w:r>
            <w:r>
              <w:t xml:space="preserve"> stärkas för att säkerställa att skydd</w:t>
            </w:r>
            <w:r>
              <w:rPr>
                <w:rFonts w:ascii="Times New Roman" w:eastAsia="Times New Roman" w:hAnsi="Times New Roman" w:cs="Times New Roman"/>
                <w:b/>
                <w:i/>
                <w:strike w:val="0"/>
                <w:color w:val="000000"/>
                <w:sz w:val="24"/>
                <w:highlight w:val="none"/>
                <w:u w:val="none" w:color="auto"/>
              </w:rPr>
              <w:t xml:space="preserve"> endast</w:t>
            </w:r>
            <w:r>
              <w:t xml:space="preserve"> beviljas </w:t>
            </w:r>
            <w:r>
              <w:rPr>
                <w:rFonts w:ascii="Times New Roman" w:eastAsia="Times New Roman" w:hAnsi="Times New Roman" w:cs="Times New Roman"/>
                <w:b/>
                <w:i/>
                <w:strike w:val="0"/>
                <w:color w:val="000000"/>
                <w:sz w:val="24"/>
                <w:highlight w:val="none"/>
                <w:u w:val="none" w:color="auto"/>
              </w:rPr>
              <w:t>de</w:t>
            </w:r>
            <w:r>
              <w:t xml:space="preserve"> som behöver det</w:t>
            </w:r>
            <w:r>
              <w:rPr>
                <w:rFonts w:ascii="Times New Roman" w:eastAsia="Times New Roman" w:hAnsi="Times New Roman" w:cs="Times New Roman"/>
                <w:b/>
                <w:i/>
                <w:strike w:val="0"/>
                <w:color w:val="000000"/>
                <w:sz w:val="24"/>
                <w:highlight w:val="none"/>
                <w:u w:val="none" w:color="auto"/>
              </w:rPr>
              <w:t xml:space="preserve"> och under den tid det fortfarande behövs. Vidare bör skillnader i praxis i fråga om giltighetstiden för uppehållstillstånd undvikas</w:t>
            </w:r>
            <w:r>
              <w:t>, och de rättigheter som tillerkänns de personer som beviljats internationellt skydd bör ytterligare klargöras och harmoniseras.</w:t>
            </w:r>
          </w:p>
        </w:tc>
        <w:tc>
          <w:tcPr/>
          <w:p>
            <w:pPr>
              <w:pStyle w:val="Normal6"/>
            </w:pPr>
            <w:r>
              <w:t>(5)</w:t>
            </w:r>
            <w:r>
              <w:tab/>
            </w:r>
            <w:r>
              <w:rPr>
                <w:rFonts w:ascii="Times New Roman" w:eastAsia="Times New Roman" w:hAnsi="Times New Roman" w:cs="Times New Roman"/>
                <w:b/>
                <w:i/>
                <w:strike w:val="0"/>
                <w:color w:val="000000"/>
                <w:sz w:val="24"/>
                <w:highlight w:val="none"/>
                <w:u w:val="none" w:color="auto"/>
              </w:rPr>
              <w:t xml:space="preserve">En gemensam unionspolitik om internationellt skydd bör baseras på en enhetlig status. </w:t>
            </w:r>
            <w:r>
              <w:t xml:space="preserve">För att </w:t>
            </w:r>
            <w:r>
              <w:rPr>
                <w:rFonts w:ascii="Times New Roman" w:eastAsia="Times New Roman" w:hAnsi="Times New Roman" w:cs="Times New Roman"/>
                <w:b/>
                <w:i/>
                <w:strike w:val="0"/>
                <w:color w:val="000000"/>
                <w:sz w:val="24"/>
                <w:highlight w:val="none"/>
                <w:u w:val="none" w:color="auto"/>
              </w:rPr>
              <w:t>gå i riktning mot ett välfungerande gemensamt europeiskt asylsystem som bygger på stränga skyddsnotmer</w:t>
            </w:r>
            <w:r>
              <w:t xml:space="preserve"> bör avsevärda framsteg göras i fråga om </w:t>
            </w:r>
            <w:r>
              <w:rPr>
                <w:rFonts w:ascii="Times New Roman" w:eastAsia="Times New Roman" w:hAnsi="Times New Roman" w:cs="Times New Roman"/>
                <w:b/>
                <w:i/>
                <w:strike w:val="0"/>
                <w:color w:val="000000"/>
                <w:sz w:val="24"/>
                <w:highlight w:val="none"/>
                <w:u w:val="none" w:color="auto"/>
              </w:rPr>
              <w:t xml:space="preserve">utbyte av bästa metoder och </w:t>
            </w:r>
            <w:r>
              <w:t xml:space="preserve">samstämmigheten i de nationella asylsystemen, med särskild hänsyn tagen till skillnaderna i erkännandegrad och typ av skyddsstatus i medlemsstaterna. </w:t>
            </w:r>
            <w:r>
              <w:rPr>
                <w:rFonts w:ascii="Times New Roman" w:eastAsia="Times New Roman" w:hAnsi="Times New Roman" w:cs="Times New Roman"/>
                <w:b/>
                <w:i/>
                <w:strike w:val="0"/>
                <w:color w:val="000000"/>
                <w:sz w:val="24"/>
                <w:highlight w:val="none"/>
                <w:u w:val="none" w:color="auto"/>
              </w:rPr>
              <w:t>Samtidigt är det viktigt att inte överhopa medlemsstaternas myndigheter med administrativa uppgifter. Därför bör regler</w:t>
            </w:r>
            <w:r>
              <w:t xml:space="preserve"> stärkas för att säkerställa att skydd beviljas </w:t>
            </w:r>
            <w:r>
              <w:rPr>
                <w:rFonts w:ascii="Times New Roman" w:eastAsia="Times New Roman" w:hAnsi="Times New Roman" w:cs="Times New Roman"/>
                <w:b/>
                <w:i/>
                <w:strike w:val="0"/>
                <w:color w:val="000000"/>
                <w:sz w:val="24"/>
                <w:highlight w:val="none"/>
                <w:u w:val="none" w:color="auto"/>
              </w:rPr>
              <w:t>dem</w:t>
            </w:r>
            <w:r>
              <w:t xml:space="preserve"> som behöver det</w:t>
            </w:r>
            <w:r>
              <w:rPr>
                <w:rFonts w:ascii="Times New Roman" w:eastAsia="Times New Roman" w:hAnsi="Times New Roman" w:cs="Times New Roman"/>
                <w:b/>
                <w:i/>
                <w:strike w:val="0"/>
                <w:color w:val="000000"/>
                <w:sz w:val="24"/>
                <w:highlight w:val="none"/>
                <w:u w:val="none" w:color="auto"/>
              </w:rPr>
              <w:t>. Vidare bör det fastställas en harmoniserad giltighetstid för uppehållstillstånd, där det – i samråd med berörda parter – bör tas fullständig hänsyn till medlemsstaternas befintliga bästa metoder</w:t>
            </w:r>
            <w:r>
              <w:t>, och de rättigheter som tillerkänns de personer som beviljats internationellt skydd bör ytterligare klargöras och harmoniseras.</w:t>
            </w:r>
            <w:r>
              <w:br/>
            </w:r>
            <w:r>
              <w:rPr>
                <w:rFonts w:ascii="Times New Roman" w:eastAsia="Times New Roman" w:hAnsi="Times New Roman" w:cs="Times New Roman"/>
                <w:b/>
                <w:i/>
                <w:strike w:val="0"/>
                <w:color w:val="000000"/>
                <w:sz w:val="24"/>
                <w:highlight w:val="none"/>
                <w:u w:val="none" w:color="auto"/>
              </w:rPr>
              <w:t>Medlemsstaterna bör icke desto mindre ha möjlighet att tillämpa förmånligare normer med avseende på giltighetstiden för uppehållstillstånd.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Skuggföredraganden håller med föredraganden om att den harmoniserade giltighetstiden för uppehållstillstånd som beviljas personer i behov av internationellt skydd bör ta fullständig hänsyn till befintliga bästa metoder runt om i medlemsstaterna och inte bör baseras på principen ”kapplöpning mot botten”.</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122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Lorenzo Fontana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 xml:space="preserve">För att det gemensamma europeiska asylsystemet, inbegripet Dublinsystemet, ska fungera väl bör avsevärda framsteg göras </w:t>
            </w:r>
            <w:r>
              <w:rPr>
                <w:rFonts w:ascii="Times New Roman" w:eastAsia="Times New Roman" w:hAnsi="Times New Roman" w:cs="Times New Roman"/>
                <w:b/>
                <w:i/>
                <w:strike w:val="0"/>
                <w:color w:val="000000"/>
                <w:sz w:val="24"/>
                <w:highlight w:val="none"/>
                <w:u w:val="none" w:color="auto"/>
              </w:rPr>
              <w:t>i fråga om samstämmigheten i de nationella asylsystemen, med särskild hänsyn tagen till skillnaderna i erkännandegrad och typ av skyddsstatus i medlemsstaterna. Dessutom bör regler om omprövning av beviljad status stärkas för att</w:t>
            </w:r>
            <w:r>
              <w:t xml:space="preserve"> säkerställa att skydd endast </w:t>
            </w:r>
            <w:r>
              <w:rPr>
                <w:rFonts w:ascii="Times New Roman" w:eastAsia="Times New Roman" w:hAnsi="Times New Roman" w:cs="Times New Roman"/>
                <w:b/>
                <w:i/>
                <w:strike w:val="0"/>
                <w:color w:val="000000"/>
                <w:sz w:val="24"/>
                <w:highlight w:val="none"/>
                <w:u w:val="none" w:color="auto"/>
              </w:rPr>
              <w:t>beviljas de som behöver det och under den tid det fortfarande behövs. Vidare bör skillnader i praxis i fråga om giltighetstiden för uppehållstillstånd undvikas, och de rättigheter som tillerkänns de personer som beviljats internationellt skydd bör ytterligare klargöras och harmoniseras</w:t>
            </w:r>
            <w:r>
              <w:t>.</w:t>
            </w:r>
          </w:p>
        </w:tc>
        <w:tc>
          <w:tcPr/>
          <w:p>
            <w:pPr>
              <w:pStyle w:val="Normal6"/>
            </w:pPr>
            <w:r>
              <w:t>(5)</w:t>
            </w:r>
            <w:r>
              <w:tab/>
            </w:r>
            <w:r>
              <w:t xml:space="preserve">För att det gemensamma europeiska asylsystemet, inbegripet Dublinsystemet, ska fungera väl bör avsevärda framsteg göras </w:t>
            </w:r>
            <w:r>
              <w:rPr>
                <w:rFonts w:ascii="Times New Roman" w:eastAsia="Times New Roman" w:hAnsi="Times New Roman" w:cs="Times New Roman"/>
                <w:b/>
                <w:i/>
                <w:strike w:val="0"/>
                <w:color w:val="000000"/>
                <w:sz w:val="24"/>
                <w:highlight w:val="none"/>
                <w:u w:val="none" w:color="auto"/>
              </w:rPr>
              <w:t>för att få till stånd en radikal förändring av hela invandringspolitiken. Därför är det lämpligt att stärka återvändandepolitiken och</w:t>
            </w:r>
            <w:r>
              <w:t xml:space="preserve"> säkerställa att skydd </w:t>
            </w:r>
            <w:r>
              <w:rPr>
                <w:rFonts w:ascii="Times New Roman" w:eastAsia="Times New Roman" w:hAnsi="Times New Roman" w:cs="Times New Roman"/>
                <w:b/>
                <w:i/>
                <w:strike w:val="0"/>
                <w:color w:val="000000"/>
                <w:sz w:val="24"/>
                <w:highlight w:val="none"/>
                <w:u w:val="none" w:color="auto"/>
              </w:rPr>
              <w:t xml:space="preserve">beviljas </w:t>
            </w:r>
            <w:r>
              <w:t xml:space="preserve">endast </w:t>
            </w:r>
            <w:r>
              <w:rPr>
                <w:rFonts w:ascii="Times New Roman" w:eastAsia="Times New Roman" w:hAnsi="Times New Roman" w:cs="Times New Roman"/>
                <w:b/>
                <w:i/>
                <w:strike w:val="0"/>
                <w:color w:val="000000"/>
                <w:sz w:val="24"/>
                <w:highlight w:val="none"/>
                <w:u w:val="none" w:color="auto"/>
              </w:rPr>
              <w:t>dem som har rätt till det</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123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Alessandra Mussolini</w:t>
      </w:r>
      <w:r>
        <w:t xml:space="preserve">, </w:t>
      </w:r>
      <w:r>
        <w:t>Elissavet Vozemberg-Vrionidi</w:t>
      </w:r>
      <w:r>
        <w:t xml:space="preserve">, </w:t>
      </w:r>
      <w:r>
        <w:t>Frank Engel</w:t>
      </w:r>
      <w:r>
        <w:t xml:space="preserve">, </w:t>
      </w:r>
      <w:r>
        <w:t>Barbara Matera</w:t>
      </w:r>
      <w:r>
        <w:t xml:space="preserve">, </w:t>
      </w:r>
      <w:r>
        <w:t>Salvatore Domenico Pogliese</w:t>
      </w:r>
      <w:r>
        <w:t xml:space="preserve">, </w:t>
      </w:r>
      <w:r>
        <w:t>József Nagy</w:t>
      </w:r>
      <w:r>
        <w:t xml:space="preserve">, </w:t>
      </w:r>
      <w:r>
        <w:t>Carlos Coelho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 xml:space="preserve">För att det gemensamma europeiska asylsystemet, inbegripet Dublinsystemet, ska fungera väl bör avsevärda framsteg göras i fråga om samstämmigheten i de nationella asylsystemen, med särskild hänsyn tagen till skillnaderna i erkännandegrad och typ av skyddsstatus i medlemsstaterna. Dessutom bör regler om omprövning av beviljad status stärkas för att säkerställa att skydd endast beviljas </w:t>
            </w:r>
            <w:r>
              <w:rPr>
                <w:rFonts w:ascii="Times New Roman" w:eastAsia="Times New Roman" w:hAnsi="Times New Roman" w:cs="Times New Roman"/>
                <w:b/>
                <w:i/>
                <w:strike w:val="0"/>
                <w:color w:val="000000"/>
                <w:sz w:val="24"/>
                <w:highlight w:val="none"/>
                <w:u w:val="none" w:color="auto"/>
              </w:rPr>
              <w:t>de</w:t>
            </w:r>
            <w:r>
              <w:t xml:space="preserve"> som behöver det och under den tid det fortfarande behövs. Vidare bör skillnader i praxis i fråga om giltighetstiden för uppehållstillstånd undvikas, och de rättigheter som tillerkänns de personer som beviljats internationellt skydd bör ytterligare klargöras och harmoniseras.</w:t>
            </w:r>
          </w:p>
        </w:tc>
        <w:tc>
          <w:tcPr/>
          <w:p>
            <w:pPr>
              <w:pStyle w:val="Normal6"/>
            </w:pPr>
            <w:r>
              <w:t>(5)</w:t>
            </w:r>
            <w:r>
              <w:tab/>
            </w:r>
            <w:r>
              <w:t xml:space="preserve">För att det gemensamma europeiska asylsystemet, inbegripet Dublinsystemet, ska fungera väl bör avsevärda framsteg göras i fråga om samstämmigheten i de nationella asylsystemen, med särskild hänsyn tagen till skillnaderna i erkännandegrad och typ av skyddsstatus i medlemsstaterna. Dessutom bör regler om omprövning av beviljad status stärkas för att säkerställa att skydd endast beviljas </w:t>
            </w:r>
            <w:r>
              <w:rPr>
                <w:rFonts w:ascii="Times New Roman" w:eastAsia="Times New Roman" w:hAnsi="Times New Roman" w:cs="Times New Roman"/>
                <w:b/>
                <w:i/>
                <w:strike w:val="0"/>
                <w:color w:val="000000"/>
                <w:sz w:val="24"/>
                <w:highlight w:val="none"/>
                <w:u w:val="none" w:color="auto"/>
              </w:rPr>
              <w:t>dem</w:t>
            </w:r>
            <w:r>
              <w:t xml:space="preserve"> som behöver det och under den tid det fortfarande behövs. Vidare bör skillnader i praxis i fråga om giltighetstiden för uppehållstillstånd undvikas, och de rättigheter som tillerkänns de personer som beviljats internationellt skydd bör ytterligare klargöras och harmoniseras</w:t>
            </w:r>
            <w:r>
              <w:rPr>
                <w:rFonts w:ascii="Times New Roman" w:eastAsia="Times New Roman" w:hAnsi="Times New Roman" w:cs="Times New Roman"/>
                <w:b/>
                <w:i/>
                <w:strike w:val="0"/>
                <w:color w:val="000000"/>
                <w:sz w:val="24"/>
                <w:highlight w:val="none"/>
                <w:u w:val="none" w:color="auto"/>
              </w:rPr>
              <w:t>, med beaktande av de rättsliga skillnaderna mellan flyktingstatus och status som subsidiärt skyddsbehövande</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Samtidigt som det är godtagbart att harmonisera giltighetstiden för uppehållstillstånd med koppling till de två olika typerna av status i fråga om internationellt skydd, framstår det som lämpligt att i detta sammanhang understryka att den rättsliga skillnaden mellan dem bör upprätthållas eftersom de utgör resultaten av två olika rättsliga bakgrunder. Flyktingstatus omfattas av Genèvekonventionen, medan status som subsidiärt skyddsbehövande infördes först i EU-lagstiftningen genom direktiv 2004/83/EG.</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124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 xml:space="preserve">För att det gemensamma europeiska asylsystemet, inbegripet Dublinsystemet, ska fungera väl bör avsevärda framsteg göras i fråga om samstämmigheten i de nationella asylsystemen, med särskild hänsyn tagen till skillnaderna i erkännandegrad och typ av skyddsstatus i medlemsstaterna. </w:t>
            </w:r>
            <w:r>
              <w:rPr>
                <w:rFonts w:ascii="Times New Roman" w:eastAsia="Times New Roman" w:hAnsi="Times New Roman" w:cs="Times New Roman"/>
                <w:b/>
                <w:i/>
                <w:strike w:val="0"/>
                <w:color w:val="000000"/>
                <w:sz w:val="24"/>
                <w:highlight w:val="none"/>
                <w:u w:val="none" w:color="auto"/>
              </w:rPr>
              <w:t xml:space="preserve">Dessutom bör regler om omprövning av beviljad status stärkas för att säkerställa att skydd endast beviljas de som behöver det och under den tid det fortfarande behövs. </w:t>
            </w:r>
            <w:r>
              <w:t>Vidare bör skillnader i praxis i fråga om giltighetstiden för uppehållstillstånd undvikas, och de rättigheter som tillerkänns de personer som beviljats internationellt skydd bör ytterligare klargöras och harmoniseras.</w:t>
            </w:r>
          </w:p>
        </w:tc>
        <w:tc>
          <w:tcPr/>
          <w:p>
            <w:pPr>
              <w:pStyle w:val="Normal6"/>
            </w:pPr>
            <w:r>
              <w:t>(5)</w:t>
            </w:r>
            <w:r>
              <w:tab/>
            </w:r>
            <w:r>
              <w:t>För att det gemensamma europeiska asylsystemet, inbegripet Dublinsystemet, ska fungera väl bör avsevärda framsteg göras i fråga om samstämmigheten i de nationella asylsystemen, med särskild hänsyn tagen till skillnaderna i erkännandegrad och typ av skyddsstatus i medlemsstaterna. Vidare bör skillnader i praxis i fråga om giltighetstiden för uppehållstillstånd undvikas, och de rättigheter som tillerkänns de personer som beviljats internationellt skydd bör ytterligare klargöras och harmoniseras</w:t>
            </w:r>
            <w:r>
              <w:rPr>
                <w:rFonts w:ascii="Times New Roman" w:eastAsia="Times New Roman" w:hAnsi="Times New Roman" w:cs="Times New Roman"/>
                <w:b/>
                <w:i/>
                <w:strike w:val="0"/>
                <w:color w:val="000000"/>
                <w:sz w:val="24"/>
                <w:highlight w:val="none"/>
                <w:u w:val="none" w:color="auto"/>
              </w:rPr>
              <w:t xml:space="preserve"> för att säkerställa att lika stränga skyddsnormer uppnås i samtliga medlemsstater</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125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 xml:space="preserve">För att det gemensamma europeiska asylsystemet, inbegripet Dublinsystemet, ska fungera väl bör avsevärda framsteg göras i fråga om samstämmigheten i de nationella asylsystemen, med särskild hänsyn tagen till skillnaderna i erkännandegrad och typ av skyddsstatus i medlemsstaterna. Dessutom bör regler om omprövning av beviljad status stärkas för att säkerställa att skydd endast beviljas </w:t>
            </w:r>
            <w:r>
              <w:rPr>
                <w:rFonts w:ascii="Times New Roman" w:eastAsia="Times New Roman" w:hAnsi="Times New Roman" w:cs="Times New Roman"/>
                <w:b/>
                <w:i/>
                <w:strike w:val="0"/>
                <w:color w:val="000000"/>
                <w:sz w:val="24"/>
                <w:highlight w:val="none"/>
                <w:u w:val="none" w:color="auto"/>
              </w:rPr>
              <w:t>de</w:t>
            </w:r>
            <w:r>
              <w:t xml:space="preserve"> som behöver det och under den tid det fortfarande behövs. Vidare bör skillnader i praxis i fråga om giltighetstiden för uppehållstillstånd undvikas, och de rättigheter som tillerkänns de personer som beviljats internationellt skydd bör ytterligare klargöras och harmoniseras.</w:t>
            </w:r>
          </w:p>
        </w:tc>
        <w:tc>
          <w:tcPr/>
          <w:p>
            <w:pPr>
              <w:pStyle w:val="Normal6"/>
            </w:pPr>
            <w:r>
              <w:t>(5)</w:t>
            </w:r>
            <w:r>
              <w:tab/>
            </w:r>
            <w:r>
              <w:t xml:space="preserve">För att det gemensamma europeiska asylsystemet, inbegripet Dublinsystemet, ska fungera väl bör avsevärda framsteg göras i fråga om samstämmigheten i de nationella asylsystemen, med särskild hänsyn tagen till skillnaderna i erkännandegrad och typ av skyddsstatus i medlemsstaterna. Dessutom bör regler om omprövning av beviljad status stärkas för att säkerställa att skydd endast beviljas </w:t>
            </w:r>
            <w:r>
              <w:rPr>
                <w:rFonts w:ascii="Times New Roman" w:eastAsia="Times New Roman" w:hAnsi="Times New Roman" w:cs="Times New Roman"/>
                <w:b/>
                <w:i/>
                <w:strike w:val="0"/>
                <w:color w:val="000000"/>
                <w:sz w:val="24"/>
                <w:highlight w:val="none"/>
                <w:u w:val="none" w:color="auto"/>
              </w:rPr>
              <w:t>dem</w:t>
            </w:r>
            <w:r>
              <w:t xml:space="preserve"> som behöver det och under den tid det fortfarande behövs. Vidare bör skillnader i praxis i fråga om giltighetstiden för uppehållstillstånd undvikas, och de rättigheter som tillerkänns de personer som beviljats internationellt skydd bör ytterligare klargöras</w:t>
            </w:r>
            <w:r>
              <w:rPr>
                <w:rFonts w:ascii="Times New Roman" w:eastAsia="Times New Roman" w:hAnsi="Times New Roman" w:cs="Times New Roman"/>
                <w:b/>
                <w:i/>
                <w:strike w:val="0"/>
                <w:color w:val="000000"/>
                <w:sz w:val="24"/>
                <w:highlight w:val="none"/>
                <w:u w:val="none" w:color="auto"/>
              </w:rPr>
              <w:t>, begränsas</w:t>
            </w:r>
            <w:r>
              <w:t xml:space="preserve"> och harmoniseras.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126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 xml:space="preserve">För att det gemensamma europeiska asylsystemet, inbegripet Dublinsystemet, ska fungera väl bör avsevärda framsteg göras i fråga om samstämmigheten i de nationella asylsystemen, med särskild hänsyn tagen till skillnaderna i erkännandegrad och typ av skyddsstatus i medlemsstaterna. Dessutom </w:t>
            </w:r>
            <w:r>
              <w:rPr>
                <w:rFonts w:ascii="Times New Roman" w:eastAsia="Times New Roman" w:hAnsi="Times New Roman" w:cs="Times New Roman"/>
                <w:b/>
                <w:i/>
                <w:strike w:val="0"/>
                <w:color w:val="000000"/>
                <w:sz w:val="24"/>
                <w:highlight w:val="none"/>
                <w:u w:val="none" w:color="auto"/>
              </w:rPr>
              <w:t>bör regler om omprövning av beviljad status</w:t>
            </w:r>
            <w:r>
              <w:t xml:space="preserve"> stärkas för att säkerställa att skydd endast beviljas de som behöver det</w:t>
            </w:r>
            <w:r>
              <w:rPr>
                <w:rFonts w:ascii="Times New Roman" w:eastAsia="Times New Roman" w:hAnsi="Times New Roman" w:cs="Times New Roman"/>
                <w:b/>
                <w:i/>
                <w:strike w:val="0"/>
                <w:color w:val="000000"/>
                <w:sz w:val="24"/>
                <w:highlight w:val="none"/>
                <w:u w:val="none" w:color="auto"/>
              </w:rPr>
              <w:t xml:space="preserve"> och under den tid det fortfarande behövs</w:t>
            </w:r>
            <w:r>
              <w:t>. Vidare bör skillnader i praxis i fråga om giltighetstiden för uppehållstillstånd undvikas, och de rättigheter som tillerkänns de personer som beviljats internationellt skydd bör ytterligare klargöras och harmoniseras.</w:t>
            </w:r>
          </w:p>
        </w:tc>
        <w:tc>
          <w:tcPr/>
          <w:p>
            <w:pPr>
              <w:pStyle w:val="Normal6"/>
            </w:pPr>
            <w:r>
              <w:t>(5)</w:t>
            </w:r>
            <w:r>
              <w:tab/>
            </w:r>
            <w:r>
              <w:t xml:space="preserve">För att det gemensamma europeiska asylsystemet, inbegripet Dublinsystemet, ska fungera väl bör avsevärda framsteg göras i fråga om samstämmigheten i de nationella asylsystemen, med särskild hänsyn tagen till skillnaderna i erkännandegrad och typ av skyddsstatus i medlemsstaterna. Dessutom </w:t>
            </w:r>
            <w:r>
              <w:rPr>
                <w:rFonts w:ascii="Times New Roman" w:eastAsia="Times New Roman" w:hAnsi="Times New Roman" w:cs="Times New Roman"/>
                <w:b/>
                <w:i/>
                <w:strike w:val="0"/>
                <w:color w:val="000000"/>
                <w:sz w:val="24"/>
                <w:highlight w:val="none"/>
                <w:u w:val="none" w:color="auto"/>
              </w:rPr>
              <w:t>är det angeläget att inte belasta statsförvaltningen, och reglerna om statusen bör därför</w:t>
            </w:r>
            <w:r>
              <w:t xml:space="preserve"> stärkas för att säkerställa att skydd endast beviljas de som behöver det. Vidare bör skillnader i praxis i fråga om giltighetstiden för uppehållstillstånd undvikas, och de rättigheter som tillerkänns de personer som beviljats internationellt skydd bör ytterligare klargöras och harmoniseras.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127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Kinga Gál</w:t>
      </w:r>
      <w:r>
        <w:t xml:space="preserve">, </w:t>
      </w:r>
      <w:r>
        <w:t>Pál Csáky</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 xml:space="preserve">För att det gemensamma europeiska asylsystemet, inbegripet Dublinsystemet, ska fungera väl bör avsevärda framsteg göras i fråga om samstämmigheten i de nationella asylsystemen, med särskild hänsyn tagen till skillnaderna i erkännandegrad och typ av skyddsstatus i medlemsstaterna. Dessutom bör regler om omprövning av beviljad status stärkas för att säkerställa att skydd endast beviljas </w:t>
            </w:r>
            <w:r>
              <w:rPr>
                <w:rFonts w:ascii="Times New Roman" w:eastAsia="Times New Roman" w:hAnsi="Times New Roman" w:cs="Times New Roman"/>
                <w:b/>
                <w:i/>
                <w:strike w:val="0"/>
                <w:color w:val="000000"/>
                <w:sz w:val="24"/>
                <w:highlight w:val="none"/>
                <w:u w:val="none" w:color="auto"/>
              </w:rPr>
              <w:t>de</w:t>
            </w:r>
            <w:r>
              <w:t xml:space="preserve"> som behöver det och under den tid det fortfarande behövs. Vidare bör skillnader i praxis i fråga om giltighetstiden för uppehållstillstånd undvikas, och de rättigheter som tillerkänns de personer som beviljats internationellt skydd bör ytterligare klargöras</w:t>
            </w:r>
            <w:r>
              <w:rPr>
                <w:rFonts w:ascii="Times New Roman" w:eastAsia="Times New Roman" w:hAnsi="Times New Roman" w:cs="Times New Roman"/>
                <w:b/>
                <w:i/>
                <w:strike w:val="0"/>
                <w:color w:val="000000"/>
                <w:sz w:val="24"/>
                <w:highlight w:val="none"/>
                <w:u w:val="none" w:color="auto"/>
              </w:rPr>
              <w:t xml:space="preserve"> och harmoniseras</w:t>
            </w:r>
            <w:r>
              <w:t>.</w:t>
            </w:r>
          </w:p>
        </w:tc>
        <w:tc>
          <w:tcPr/>
          <w:p>
            <w:pPr>
              <w:pStyle w:val="Normal6"/>
            </w:pPr>
            <w:r>
              <w:t>(5)</w:t>
            </w:r>
            <w:r>
              <w:tab/>
            </w:r>
            <w:r>
              <w:t xml:space="preserve">För att det gemensamma europeiska asylsystemet, inbegripet Dublinsystemet, ska fungera väl bör avsevärda framsteg göras i fråga om samstämmigheten i de nationella asylsystemen, med särskild hänsyn tagen till skillnaderna i erkännandegrad och typ av skyddsstatus i medlemsstaterna. Dessutom bör regler om omprövning av beviljad status stärkas för att säkerställa att skydd endast beviljas </w:t>
            </w:r>
            <w:r>
              <w:rPr>
                <w:rFonts w:ascii="Times New Roman" w:eastAsia="Times New Roman" w:hAnsi="Times New Roman" w:cs="Times New Roman"/>
                <w:b/>
                <w:i/>
                <w:strike w:val="0"/>
                <w:color w:val="000000"/>
                <w:sz w:val="24"/>
                <w:highlight w:val="none"/>
                <w:u w:val="none" w:color="auto"/>
              </w:rPr>
              <w:t>dem</w:t>
            </w:r>
            <w:r>
              <w:t xml:space="preserve"> som behöver det och under den tid det fortfarande behövs. Vidare bör skillnader i praxis i fråga om giltighetstiden för uppehållstillstånd undvikas, och de rättigheter som tillerkänns de personer som beviljats internationellt skydd bör ytterligare klargöras.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128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(5a)</w:t>
            </w:r>
            <w:r>
              <w:tab/>
            </w:r>
            <w:r>
              <w:rPr>
                <w:rFonts w:ascii="Times New Roman" w:eastAsia="Times New Roman" w:hAnsi="Times New Roman" w:cs="Times New Roman"/>
                <w:b/>
                <w:i/>
                <w:strike w:val="0"/>
                <w:color w:val="000000"/>
                <w:sz w:val="24"/>
                <w:highlight w:val="none"/>
                <w:u w:val="none" w:color="auto"/>
              </w:rPr>
              <w:t>Det är lämpligt att harmonisera giltighetstiden för de uppehållstillstånd som beviljas flyktingar och personer som innehar status som subsidiärt skyddsbehövande, i syfte att utveckla ett gemensamt europeiskt asylsystem och uppmuntra personer som beviljats internationellt skydd att stanna i den medlemsstat som beviljat skyddet. Giltighetstiden för uppehållstillstånden bör därför vara 5 år för flyktingar och 1 år för personer som innehar status som subsidiärt skyddsbehövande. De medlemsstater som redan erbjuder en längre giltighetstid för uppehållstillstånd kan emellertid välja en period om 10 år för flyktingar och 5 år för personer som innehar status som subsidiärt skyddsbehövande.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Detta skäl har lagts till med anledning av tillämpningen av artikel 26.</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129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Kinga Gál</w:t>
      </w:r>
      <w:r>
        <w:t xml:space="preserve">, </w:t>
      </w:r>
      <w:r>
        <w:t>Pál Csáky</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(6)</w:t>
            </w:r>
            <w:r>
              <w:tab/>
            </w:r>
            <w:r>
              <w:rPr>
                <w:rFonts w:ascii="Times New Roman" w:eastAsia="Times New Roman" w:hAnsi="Times New Roman" w:cs="Times New Roman"/>
                <w:b/>
                <w:i/>
                <w:strike w:val="0"/>
                <w:color w:val="000000"/>
                <w:sz w:val="24"/>
                <w:highlight w:val="none"/>
                <w:u w:val="none" w:color="auto"/>
              </w:rPr>
              <w:t>En förordning är därför nödvändig för att säkerställa en enhetligare harmoniseringsnivå i hela unionen och för att tillhandahålla en högre nivå av rättssäkerhet och öppenhet.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130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(6)</w:t>
            </w:r>
            <w:r>
              <w:tab/>
            </w:r>
            <w:r>
              <w:rPr>
                <w:rFonts w:ascii="Times New Roman" w:eastAsia="Times New Roman" w:hAnsi="Times New Roman" w:cs="Times New Roman"/>
                <w:b/>
                <w:i/>
                <w:strike w:val="0"/>
                <w:color w:val="000000"/>
                <w:sz w:val="24"/>
                <w:highlight w:val="none"/>
                <w:u w:val="none" w:color="auto"/>
              </w:rPr>
              <w:t>En förordning är därför nödvändig för att säkerställa en enhetligare harmoniseringsnivå i hela unionen och för att tillhandahålla en högre nivå av rättssäkerhet och öppenhet.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131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(6)</w:t>
            </w:r>
            <w:r>
              <w:tab/>
            </w:r>
            <w:r>
              <w:rPr>
                <w:rFonts w:ascii="Times New Roman" w:eastAsia="Times New Roman" w:hAnsi="Times New Roman" w:cs="Times New Roman"/>
                <w:b/>
                <w:i/>
                <w:strike w:val="0"/>
                <w:color w:val="000000"/>
                <w:sz w:val="24"/>
                <w:highlight w:val="none"/>
                <w:u w:val="none" w:color="auto"/>
              </w:rPr>
              <w:t>En förordning</w:t>
            </w:r>
            <w:r>
              <w:t xml:space="preserve"> är därför </w:t>
            </w:r>
            <w:r>
              <w:rPr>
                <w:rFonts w:ascii="Times New Roman" w:eastAsia="Times New Roman" w:hAnsi="Times New Roman" w:cs="Times New Roman"/>
                <w:b/>
                <w:i/>
                <w:strike w:val="0"/>
                <w:color w:val="000000"/>
                <w:sz w:val="24"/>
                <w:highlight w:val="none"/>
                <w:u w:val="none" w:color="auto"/>
              </w:rPr>
              <w:t>nödvändig</w:t>
            </w:r>
            <w:r>
              <w:t xml:space="preserve"> för att säkerställa en enhetligare harmoniseringsnivå i hela unionen och för att tillhandahålla en högre nivå av rättssäkerhet och öppenhet.</w:t>
            </w:r>
          </w:p>
        </w:tc>
        <w:tc>
          <w:tcPr/>
          <w:p>
            <w:pPr>
              <w:pStyle w:val="Normal6"/>
            </w:pPr>
            <w:r>
              <w:t>(6)</w:t>
            </w:r>
            <w:r>
              <w:tab/>
            </w:r>
            <w:r>
              <w:rPr>
                <w:rFonts w:ascii="Times New Roman" w:eastAsia="Times New Roman" w:hAnsi="Times New Roman" w:cs="Times New Roman"/>
                <w:b/>
                <w:i/>
                <w:strike w:val="0"/>
                <w:color w:val="000000"/>
                <w:sz w:val="24"/>
                <w:highlight w:val="none"/>
                <w:u w:val="none" w:color="auto"/>
              </w:rPr>
              <w:t>Ett direktiv</w:t>
            </w:r>
            <w:r>
              <w:t xml:space="preserve"> är därför </w:t>
            </w:r>
            <w:r>
              <w:rPr>
                <w:rFonts w:ascii="Times New Roman" w:eastAsia="Times New Roman" w:hAnsi="Times New Roman" w:cs="Times New Roman"/>
                <w:b/>
                <w:i/>
                <w:strike w:val="0"/>
                <w:color w:val="000000"/>
                <w:sz w:val="24"/>
                <w:highlight w:val="none"/>
                <w:u w:val="none" w:color="auto"/>
              </w:rPr>
              <w:t>nödvändigt</w:t>
            </w:r>
            <w:r>
              <w:t xml:space="preserve"> för att säkerställa</w:t>
            </w:r>
            <w:r>
              <w:rPr>
                <w:rFonts w:ascii="Times New Roman" w:eastAsia="Times New Roman" w:hAnsi="Times New Roman" w:cs="Times New Roman"/>
                <w:b/>
                <w:i/>
                <w:strike w:val="0"/>
                <w:color w:val="000000"/>
                <w:sz w:val="24"/>
                <w:highlight w:val="none"/>
                <w:u w:val="none" w:color="auto"/>
              </w:rPr>
              <w:t xml:space="preserve"> ett genomförande av lika stränga skyddsnormer och</w:t>
            </w:r>
            <w:r>
              <w:t xml:space="preserve"> en enhetligare harmoniseringsnivå i hela unionen och för att tillhandahålla en högre nivå av rättssäkerhet och öppenhet.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132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(7)</w:t>
            </w:r>
            <w:r>
              <w:tab/>
            </w:r>
            <w:r>
              <w:t>Huvudsyftet med denna förordning är dels att säkerställa att medlemsstaterna tillämpar gemensamma kriterier för att fastställa vilka personer som har ett verkligt behov av internationellt skydd, dels att säkerställa att en gemensam uppsättning rättigheter är tillgänglig för dessa personer i samtliga medlemsstater.</w:t>
            </w:r>
          </w:p>
        </w:tc>
        <w:tc>
          <w:tcPr/>
          <w:p>
            <w:pPr>
              <w:pStyle w:val="Normal6"/>
            </w:pPr>
            <w:r>
              <w:t>(7)</w:t>
            </w:r>
            <w:r>
              <w:tab/>
            </w:r>
            <w:r>
              <w:t xml:space="preserve">Huvudsyftet med denna förordning är dels att säkerställa att medlemsstaterna tillämpar gemensamma kriterier för att fastställa vilka personer som har ett verkligt behov av internationellt skydd, dels att säkerställa att en gemensam uppsättning rättigheter är tillgänglig för dessa personer i samtliga medlemsstater. </w:t>
            </w:r>
            <w:r>
              <w:rPr>
                <w:rFonts w:ascii="Times New Roman" w:eastAsia="Times New Roman" w:hAnsi="Times New Roman" w:cs="Times New Roman"/>
                <w:b/>
                <w:i/>
                <w:strike w:val="0"/>
                <w:color w:val="000000"/>
                <w:sz w:val="24"/>
                <w:highlight w:val="none"/>
                <w:u w:val="none" w:color="auto"/>
              </w:rPr>
              <w:t xml:space="preserve">Förtydligandet av kriterierna för att identifiera de personer som har ett verkligt behov av internationellt skydd bör också göra det möjligt att på ett mer effektivt och systematiskt sätt återsända de personer som inte har rätt till ett sådant skydd. </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133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t xml:space="preserve">, </w:t>
      </w:r>
      <w:r>
        <w:t>Helga Stevens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(7)</w:t>
            </w:r>
            <w:r>
              <w:tab/>
            </w:r>
            <w:r>
              <w:t>Huvudsyftet med denna förordning är dels att säkerställa att medlemsstaterna tillämpar gemensamma kriterier för att fastställa vilka personer som har ett verkligt behov av internationellt skydd, dels att säkerställa att en gemensam uppsättning rättigheter är tillgänglig för dessa personer i samtliga medlemsstater.</w:t>
            </w:r>
          </w:p>
        </w:tc>
        <w:tc>
          <w:tcPr/>
          <w:p>
            <w:pPr>
              <w:pStyle w:val="Normal6"/>
            </w:pPr>
            <w:r>
              <w:t>(7)</w:t>
            </w:r>
            <w:r>
              <w:tab/>
            </w:r>
            <w:r>
              <w:t xml:space="preserve">Huvudsyftet med denna förordning är dels att säkerställa att medlemsstaterna tillämpar gemensamma kriterier för att fastställa vilka personer som har ett verkligt behov av internationellt skydd, dels att säkerställa att en gemensam uppsättning rättigheter är tillgänglig för dessa personer i samtliga medlemsstater. </w:t>
            </w:r>
            <w:r>
              <w:rPr>
                <w:rFonts w:ascii="Times New Roman" w:eastAsia="Times New Roman" w:hAnsi="Times New Roman" w:cs="Times New Roman"/>
                <w:b/>
                <w:i/>
                <w:strike w:val="0"/>
                <w:color w:val="000000"/>
                <w:sz w:val="24"/>
                <w:highlight w:val="none"/>
                <w:u w:val="none" w:color="auto"/>
              </w:rPr>
              <w:t>Vidare bör principen om att motverka missbruk av medlemsstaternas asylsystem vägleda utformningen av denna förordning.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134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Alessandra Mussolini</w:t>
      </w:r>
      <w:r>
        <w:t xml:space="preserve">, </w:t>
      </w:r>
      <w:r>
        <w:t>Elissavet Vozemberg-Vrionidi</w:t>
      </w:r>
      <w:r>
        <w:t xml:space="preserve">, </w:t>
      </w:r>
      <w:r>
        <w:t>Frank Engel</w:t>
      </w:r>
      <w:r>
        <w:t xml:space="preserve">, </w:t>
      </w:r>
      <w:r>
        <w:t>Barbara Matera</w:t>
      </w:r>
      <w:r>
        <w:t xml:space="preserve">, </w:t>
      </w:r>
      <w:r>
        <w:t>Salvatore Domenico Pogliese</w:t>
      </w:r>
      <w:r>
        <w:t xml:space="preserve">, </w:t>
      </w:r>
      <w:r>
        <w:t>József Nagy</w:t>
      </w:r>
      <w:r>
        <w:t xml:space="preserve">, </w:t>
      </w:r>
      <w:r>
        <w:t>Carlos Coelho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(7)</w:t>
            </w:r>
            <w:r>
              <w:tab/>
            </w:r>
            <w:r>
              <w:t xml:space="preserve">Huvudsyftet med denna förordning är dels att säkerställa att medlemsstaterna tillämpar gemensamma kriterier för att fastställa vilka personer som har ett verkligt behov av internationellt skydd, dels att säkerställa att en gemensam uppsättning rättigheter är tillgänglig för </w:t>
            </w:r>
            <w:r>
              <w:rPr>
                <w:rFonts w:ascii="Times New Roman" w:eastAsia="Times New Roman" w:hAnsi="Times New Roman" w:cs="Times New Roman"/>
                <w:b/>
                <w:i/>
                <w:strike w:val="0"/>
                <w:color w:val="000000"/>
                <w:sz w:val="24"/>
                <w:highlight w:val="none"/>
                <w:u w:val="none" w:color="auto"/>
              </w:rPr>
              <w:t>dessa</w:t>
            </w:r>
            <w:r>
              <w:t xml:space="preserve"> personer i samtliga medlemsstater.</w:t>
            </w:r>
          </w:p>
        </w:tc>
        <w:tc>
          <w:tcPr/>
          <w:p>
            <w:pPr>
              <w:pStyle w:val="Normal6"/>
            </w:pPr>
            <w:r>
              <w:t>(7)</w:t>
            </w:r>
            <w:r>
              <w:tab/>
            </w:r>
            <w:r>
              <w:t xml:space="preserve">Huvudsyftet med denna förordning är dels att säkerställa att medlemsstaterna tillämpar gemensamma kriterier för att fastställa vilka personer som har ett verkligt behov av internationellt skydd, dels att säkerställa att en gemensam uppsättning rättigheter är tillgänglig för </w:t>
            </w:r>
            <w:r>
              <w:rPr>
                <w:rFonts w:ascii="Times New Roman" w:eastAsia="Times New Roman" w:hAnsi="Times New Roman" w:cs="Times New Roman"/>
                <w:b/>
                <w:i/>
                <w:strike w:val="0"/>
                <w:color w:val="000000"/>
                <w:sz w:val="24"/>
                <w:highlight w:val="none"/>
                <w:u w:val="none" w:color="auto"/>
              </w:rPr>
              <w:t>flyktingar och</w:t>
            </w:r>
            <w:r>
              <w:t xml:space="preserve"> personer</w:t>
            </w:r>
            <w:r>
              <w:rPr>
                <w:rFonts w:ascii="Times New Roman" w:eastAsia="Times New Roman" w:hAnsi="Times New Roman" w:cs="Times New Roman"/>
                <w:b/>
                <w:i/>
                <w:strike w:val="0"/>
                <w:color w:val="000000"/>
                <w:sz w:val="24"/>
                <w:highlight w:val="none"/>
                <w:u w:val="none" w:color="auto"/>
              </w:rPr>
              <w:t xml:space="preserve"> som beviljats internationellt skydd</w:t>
            </w:r>
            <w:r>
              <w:t xml:space="preserve"> i samtliga medlemsstater.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Denna differentiering avser det som föreskrivs i artikel 34.2.</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135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(7)</w:t>
            </w:r>
            <w:r>
              <w:tab/>
            </w:r>
            <w:r>
              <w:t xml:space="preserve">Huvudsyftet med </w:t>
            </w:r>
            <w:r>
              <w:rPr>
                <w:rFonts w:ascii="Times New Roman" w:eastAsia="Times New Roman" w:hAnsi="Times New Roman" w:cs="Times New Roman"/>
                <w:b/>
                <w:i/>
                <w:strike w:val="0"/>
                <w:color w:val="000000"/>
                <w:sz w:val="24"/>
                <w:highlight w:val="none"/>
                <w:u w:val="none" w:color="auto"/>
              </w:rPr>
              <w:t>denna förordning</w:t>
            </w:r>
            <w:r>
              <w:t xml:space="preserve"> är dels att säkerställa att medlemsstaterna tillämpar gemensamma kriterier för att fastställa vilka personer som har ett </w:t>
            </w:r>
            <w:r>
              <w:rPr>
                <w:rFonts w:ascii="Times New Roman" w:eastAsia="Times New Roman" w:hAnsi="Times New Roman" w:cs="Times New Roman"/>
                <w:b/>
                <w:i/>
                <w:strike w:val="0"/>
                <w:color w:val="000000"/>
                <w:sz w:val="24"/>
                <w:highlight w:val="none"/>
                <w:u w:val="none" w:color="auto"/>
              </w:rPr>
              <w:t xml:space="preserve">verkligt </w:t>
            </w:r>
            <w:r>
              <w:t xml:space="preserve">behov av internationellt skydd, dels att säkerställa att en gemensam uppsättning rättigheter är tillgänglig för </w:t>
            </w:r>
            <w:r>
              <w:rPr>
                <w:rFonts w:ascii="Times New Roman" w:eastAsia="Times New Roman" w:hAnsi="Times New Roman" w:cs="Times New Roman"/>
                <w:b/>
                <w:i/>
                <w:strike w:val="0"/>
                <w:color w:val="000000"/>
                <w:sz w:val="24"/>
                <w:highlight w:val="none"/>
                <w:u w:val="none" w:color="auto"/>
              </w:rPr>
              <w:t>dessa</w:t>
            </w:r>
            <w:r>
              <w:t xml:space="preserve"> personer i samtliga medlemsstater.</w:t>
            </w:r>
          </w:p>
        </w:tc>
        <w:tc>
          <w:tcPr/>
          <w:p>
            <w:pPr>
              <w:pStyle w:val="Normal6"/>
            </w:pPr>
            <w:r>
              <w:t>(7)</w:t>
            </w:r>
            <w:r>
              <w:tab/>
            </w:r>
            <w:r>
              <w:t xml:space="preserve">Huvudsyftet med </w:t>
            </w:r>
            <w:r>
              <w:rPr>
                <w:rFonts w:ascii="Times New Roman" w:eastAsia="Times New Roman" w:hAnsi="Times New Roman" w:cs="Times New Roman"/>
                <w:b/>
                <w:i/>
                <w:strike w:val="0"/>
                <w:color w:val="000000"/>
                <w:sz w:val="24"/>
                <w:highlight w:val="none"/>
                <w:u w:val="none" w:color="auto"/>
              </w:rPr>
              <w:t>detta direktiv</w:t>
            </w:r>
            <w:r>
              <w:t xml:space="preserve"> är dels att säkerställa att medlemsstaterna tillämpar gemensamma kriterier för att fastställa vilka personer som har ett behov av internationellt skydd, dels att säkerställa att en gemensam uppsättning rättigheter är tillgänglig för </w:t>
            </w:r>
            <w:r>
              <w:rPr>
                <w:rFonts w:ascii="Times New Roman" w:eastAsia="Times New Roman" w:hAnsi="Times New Roman" w:cs="Times New Roman"/>
                <w:b/>
                <w:i/>
                <w:strike w:val="0"/>
                <w:color w:val="000000"/>
                <w:sz w:val="24"/>
                <w:highlight w:val="none"/>
                <w:u w:val="none" w:color="auto"/>
              </w:rPr>
              <w:t>alla</w:t>
            </w:r>
            <w:r>
              <w:t xml:space="preserve"> personer</w:t>
            </w:r>
            <w:r>
              <w:rPr>
                <w:rFonts w:ascii="Times New Roman" w:eastAsia="Times New Roman" w:hAnsi="Times New Roman" w:cs="Times New Roman"/>
                <w:b/>
                <w:i/>
                <w:strike w:val="0"/>
                <w:color w:val="000000"/>
                <w:sz w:val="24"/>
                <w:highlight w:val="none"/>
                <w:u w:val="none" w:color="auto"/>
              </w:rPr>
              <w:t xml:space="preserve"> i behov av internationellt skydd</w:t>
            </w:r>
            <w:r>
              <w:t xml:space="preserve"> i samtliga medlemsstater.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Italic"/>
            </w:pPr>
            <w:r>
              <w:t>(Denna ändring berör hela texten. Om ändringen antas ska hela texten anpassas i överensstämmelse härmed.)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136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(7)</w:t>
            </w:r>
            <w:r>
              <w:tab/>
            </w:r>
            <w:r>
              <w:t xml:space="preserve">Huvudsyftet med denna förordning är dels att säkerställa att medlemsstaterna tillämpar </w:t>
            </w:r>
            <w:r>
              <w:rPr>
                <w:rFonts w:ascii="Times New Roman" w:eastAsia="Times New Roman" w:hAnsi="Times New Roman" w:cs="Times New Roman"/>
                <w:b/>
                <w:i/>
                <w:strike w:val="0"/>
                <w:color w:val="000000"/>
                <w:sz w:val="24"/>
                <w:highlight w:val="none"/>
                <w:u w:val="none" w:color="auto"/>
              </w:rPr>
              <w:t>gemensamma</w:t>
            </w:r>
            <w:r>
              <w:t xml:space="preserve"> kriterier för att fastställa vilka personer som har ett verkligt behov av internationellt skydd, dels att säkerställa att en </w:t>
            </w:r>
            <w:r>
              <w:rPr>
                <w:rFonts w:ascii="Times New Roman" w:eastAsia="Times New Roman" w:hAnsi="Times New Roman" w:cs="Times New Roman"/>
                <w:b/>
                <w:i/>
                <w:strike w:val="0"/>
                <w:color w:val="000000"/>
                <w:sz w:val="24"/>
                <w:highlight w:val="none"/>
                <w:u w:val="none" w:color="auto"/>
              </w:rPr>
              <w:t>gemensam uppsättning</w:t>
            </w:r>
            <w:r>
              <w:t xml:space="preserve"> rättigheter är tillgänglig för dessa personer i samtliga medlemsstater.</w:t>
            </w:r>
          </w:p>
        </w:tc>
        <w:tc>
          <w:tcPr/>
          <w:p>
            <w:pPr>
              <w:pStyle w:val="Normal6"/>
            </w:pPr>
            <w:r>
              <w:t>(7)</w:t>
            </w:r>
            <w:r>
              <w:tab/>
            </w:r>
            <w:r>
              <w:t xml:space="preserve">Huvudsyftet med denna förordning är dels att säkerställa att medlemsstaterna tillämpar </w:t>
            </w:r>
            <w:r>
              <w:rPr>
                <w:rFonts w:ascii="Times New Roman" w:eastAsia="Times New Roman" w:hAnsi="Times New Roman" w:cs="Times New Roman"/>
                <w:b/>
                <w:i/>
                <w:strike w:val="0"/>
                <w:color w:val="000000"/>
                <w:sz w:val="24"/>
                <w:highlight w:val="none"/>
                <w:u w:val="none" w:color="auto"/>
              </w:rPr>
              <w:t>en uppsättning grundläggande</w:t>
            </w:r>
            <w:r>
              <w:t xml:space="preserve"> kriterier för att fastställa vilka personer som har ett verkligt behov av internationellt skydd, dels att säkerställa att en </w:t>
            </w:r>
            <w:r>
              <w:rPr>
                <w:rFonts w:ascii="Times New Roman" w:eastAsia="Times New Roman" w:hAnsi="Times New Roman" w:cs="Times New Roman"/>
                <w:b/>
                <w:i/>
                <w:strike w:val="0"/>
                <w:color w:val="000000"/>
                <w:sz w:val="24"/>
                <w:highlight w:val="none"/>
                <w:u w:val="none" w:color="auto"/>
              </w:rPr>
              <w:t>uppsättning grundläggande</w:t>
            </w:r>
            <w:r>
              <w:t xml:space="preserve"> rättigheter är tillgänglig för dessa personer i samtliga medlemsstater.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137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(7)</w:t>
            </w:r>
            <w:r>
              <w:tab/>
            </w:r>
            <w:r>
              <w:t xml:space="preserve">Huvudsyftet med </w:t>
            </w:r>
            <w:r>
              <w:rPr>
                <w:rFonts w:ascii="Times New Roman" w:eastAsia="Times New Roman" w:hAnsi="Times New Roman" w:cs="Times New Roman"/>
                <w:b/>
                <w:i/>
                <w:strike w:val="0"/>
                <w:color w:val="000000"/>
                <w:sz w:val="24"/>
                <w:highlight w:val="none"/>
                <w:u w:val="none" w:color="auto"/>
              </w:rPr>
              <w:t>denna förordning</w:t>
            </w:r>
            <w:r>
              <w:t xml:space="preserve"> är dels att säkerställa att medlemsstaterna tillämpar gemensamma kriterier för att fastställa vilka personer som har ett</w:t>
            </w:r>
            <w:r>
              <w:rPr>
                <w:rFonts w:ascii="Times New Roman" w:eastAsia="Times New Roman" w:hAnsi="Times New Roman" w:cs="Times New Roman"/>
                <w:b/>
                <w:i/>
                <w:strike w:val="0"/>
                <w:color w:val="000000"/>
                <w:sz w:val="24"/>
                <w:highlight w:val="none"/>
                <w:u w:val="none" w:color="auto"/>
              </w:rPr>
              <w:t xml:space="preserve"> verkligt</w:t>
            </w:r>
            <w:r>
              <w:t xml:space="preserve"> behov av internationellt skydd, dels att säkerställa att en gemensam uppsättning rättigheter är tillgänglig för dessa personer i samtliga medlemsstater.</w:t>
            </w:r>
          </w:p>
        </w:tc>
        <w:tc>
          <w:tcPr/>
          <w:p>
            <w:pPr>
              <w:pStyle w:val="Normal6"/>
            </w:pPr>
            <w:r>
              <w:t>(7)</w:t>
            </w:r>
            <w:r>
              <w:tab/>
            </w:r>
            <w:r>
              <w:t xml:space="preserve">Huvudsyftet med </w:t>
            </w:r>
            <w:r>
              <w:rPr>
                <w:rFonts w:ascii="Times New Roman" w:eastAsia="Times New Roman" w:hAnsi="Times New Roman" w:cs="Times New Roman"/>
                <w:b/>
                <w:i/>
                <w:strike w:val="0"/>
                <w:color w:val="000000"/>
                <w:sz w:val="24"/>
                <w:highlight w:val="none"/>
                <w:u w:val="none" w:color="auto"/>
              </w:rPr>
              <w:t>detta direktiv</w:t>
            </w:r>
            <w:r>
              <w:t xml:space="preserve"> är dels att säkerställa att medlemsstaterna tillämpar gemensamma kriterier för att fastställa vilka personer som har ett behov av internationellt skydd, dels att säkerställa att en gemensam uppsättning rättigheter är tillgänglig för dessa personer i samtliga medlemsstater.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138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Lorenzo Fontana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(7)</w:t>
            </w:r>
            <w:r>
              <w:tab/>
            </w:r>
            <w:r>
              <w:t xml:space="preserve">Huvudsyftet med denna förordning är dels att säkerställa att medlemsstaterna tillämpar gemensamma kriterier för att fastställa vilka personer som har </w:t>
            </w:r>
            <w:r>
              <w:rPr>
                <w:rFonts w:ascii="Times New Roman" w:eastAsia="Times New Roman" w:hAnsi="Times New Roman" w:cs="Times New Roman"/>
                <w:b/>
                <w:i/>
                <w:strike w:val="0"/>
                <w:color w:val="000000"/>
                <w:sz w:val="24"/>
                <w:highlight w:val="none"/>
                <w:u w:val="none" w:color="auto"/>
              </w:rPr>
              <w:t>ett verkligt behov av</w:t>
            </w:r>
            <w:r>
              <w:t xml:space="preserve"> internationellt skydd, dels att säkerställa att en gemensam uppsättning rättigheter är tillgänglig för dessa personer i samtliga medlemsstater.</w:t>
            </w:r>
          </w:p>
        </w:tc>
        <w:tc>
          <w:tcPr/>
          <w:p>
            <w:pPr>
              <w:pStyle w:val="Normal6"/>
            </w:pPr>
            <w:r>
              <w:t>(7)</w:t>
            </w:r>
            <w:r>
              <w:tab/>
            </w:r>
            <w:r>
              <w:t>Huvudsyftet med denna förordning är dels att säkerställa att medlemsstaterna tillämpar gemensamma kriterier för att fastställa vilka personer som har </w:t>
            </w:r>
            <w:r>
              <w:rPr>
                <w:rFonts w:ascii="Times New Roman" w:eastAsia="Times New Roman" w:hAnsi="Times New Roman" w:cs="Times New Roman"/>
                <w:b/>
                <w:i/>
                <w:strike w:val="0"/>
                <w:color w:val="000000"/>
                <w:sz w:val="24"/>
                <w:highlight w:val="none"/>
                <w:u w:val="none" w:color="auto"/>
              </w:rPr>
              <w:t>rätt till</w:t>
            </w:r>
            <w:r>
              <w:t xml:space="preserve"> internationellt skydd, dels att säkerställa att en gemensam uppsättning rättigheter är tillgänglig för dessa personer i samtliga medlemsstater.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139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Lorenzo Fontana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(8)</w:t>
            </w:r>
            <w:r>
              <w:tab/>
            </w:r>
            <w:r>
              <w:rPr>
                <w:rFonts w:ascii="Times New Roman" w:eastAsia="Times New Roman" w:hAnsi="Times New Roman" w:cs="Times New Roman"/>
                <w:b/>
                <w:i/>
                <w:strike w:val="0"/>
                <w:color w:val="000000"/>
                <w:sz w:val="24"/>
                <w:highlight w:val="none"/>
                <w:u w:val="none" w:color="auto"/>
              </w:rPr>
              <w:t>Den vidare tillnärmningen av reglerna om erkännande och innebörd av flyktingstatus och status som subsidiärt skyddsbehövande bör också bidra till att begränsa sekundära förflyttningar mellan medlemsstaterna för personer som ansöker om internationellt skydd, när sådana förflyttningar endast motiverats av skillnader i de nationella rättsliga åtgärder som vidtagits för att införliva det skyddsdirektiv som ersätts genom denna förordning.</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140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(8)</w:t>
            </w:r>
            <w:r>
              <w:tab/>
            </w:r>
            <w:r>
              <w:rPr>
                <w:rFonts w:ascii="Times New Roman" w:eastAsia="Times New Roman" w:hAnsi="Times New Roman" w:cs="Times New Roman"/>
                <w:b/>
                <w:i/>
                <w:strike w:val="0"/>
                <w:color w:val="000000"/>
                <w:sz w:val="24"/>
                <w:highlight w:val="none"/>
                <w:u w:val="none" w:color="auto"/>
              </w:rPr>
              <w:t>Den vidare tillnärmningen av reglerna om erkännande och innebörd av flyktingstatus och status som subsidiärt skyddsbehövande bör också bidra till att begränsa sekundära förflyttningar mellan medlemsstaterna för personer som ansöker om internationellt skydd, när sådana förflyttningar endast motiverats av skillnader i de nationella rättsliga åtgärder som vidtagits för att införliva det skyddsdirektiv som ersätts genom denna förordning.</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141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(8)</w:t>
            </w:r>
            <w:r>
              <w:tab/>
            </w:r>
            <w:r>
              <w:t xml:space="preserve">Den vidare tillnärmningen av reglerna om erkännande och innebörd av flyktingstatus och status som subsidiärt skyddsbehövande bör också bidra till att </w:t>
            </w:r>
            <w:r>
              <w:rPr>
                <w:rFonts w:ascii="Times New Roman" w:eastAsia="Times New Roman" w:hAnsi="Times New Roman" w:cs="Times New Roman"/>
                <w:b/>
                <w:i/>
                <w:strike w:val="0"/>
                <w:color w:val="000000"/>
                <w:sz w:val="24"/>
                <w:highlight w:val="none"/>
                <w:u w:val="none" w:color="auto"/>
              </w:rPr>
              <w:t>begränsa sekundära förflyttningar mellan medlemsstaterna för personer som ansöker om internationellt skydd, när sådana förflyttningar endast motiverats av skillnader i de nationella rättsliga åtgärder som vidtagits för att införliva det skyddsdirektiv som ersätts genom denna förordning</w:t>
            </w:r>
            <w:r>
              <w:t>.</w:t>
            </w:r>
          </w:p>
        </w:tc>
        <w:tc>
          <w:tcPr/>
          <w:p>
            <w:pPr>
              <w:pStyle w:val="Normal6"/>
            </w:pPr>
            <w:r>
              <w:t>(8)</w:t>
            </w:r>
            <w:r>
              <w:tab/>
            </w:r>
            <w:r>
              <w:t xml:space="preserve">Den vidare tillnärmningen av reglerna om erkännande och innebörd av flyktingstatus och status som subsidiärt skyddsbehövande bör också bidra till att </w:t>
            </w:r>
            <w:r>
              <w:rPr>
                <w:rFonts w:ascii="Times New Roman" w:eastAsia="Times New Roman" w:hAnsi="Times New Roman" w:cs="Times New Roman"/>
                <w:b/>
                <w:i/>
                <w:strike w:val="0"/>
                <w:color w:val="000000"/>
                <w:sz w:val="24"/>
                <w:highlight w:val="none"/>
                <w:u w:val="none" w:color="auto"/>
              </w:rPr>
              <w:t>stränga skyddsnormer uppnås överallt i unionen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142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(8)</w:t>
            </w:r>
            <w:r>
              <w:tab/>
            </w:r>
            <w:r>
              <w:t xml:space="preserve">Den vidare tillnärmningen av reglerna om erkännande och innebörd av flyktingstatus och status som subsidiärt skyddsbehövande </w:t>
            </w:r>
            <w:r>
              <w:rPr>
                <w:rFonts w:ascii="Times New Roman" w:eastAsia="Times New Roman" w:hAnsi="Times New Roman" w:cs="Times New Roman"/>
                <w:b/>
                <w:i/>
                <w:strike w:val="0"/>
                <w:color w:val="000000"/>
                <w:sz w:val="24"/>
                <w:highlight w:val="none"/>
                <w:u w:val="none" w:color="auto"/>
              </w:rPr>
              <w:t>bör</w:t>
            </w:r>
            <w:r>
              <w:t xml:space="preserve"> också bidra till att begränsa sekundära förflyttningar mellan medlemsstaterna för personer som ansöker om internationellt skydd, när sådana förflyttningar endast motiverats av skillnader i de nationella rättsliga åtgärder som vidtagits för att införliva det skyddsdirektiv som ersätts genom denna förordning.</w:t>
            </w:r>
          </w:p>
        </w:tc>
        <w:tc>
          <w:tcPr/>
          <w:p>
            <w:pPr>
              <w:pStyle w:val="Normal6"/>
            </w:pPr>
            <w:r>
              <w:t>(8)</w:t>
            </w:r>
            <w:r>
              <w:tab/>
            </w:r>
            <w:r>
              <w:t>Den vidare tillnärmningen av reglerna om erkännande och innebörd av flyktingstatus och status som subsidiärt skyddsbehövande </w:t>
            </w:r>
            <w:r>
              <w:rPr>
                <w:rFonts w:ascii="Times New Roman" w:eastAsia="Times New Roman" w:hAnsi="Times New Roman" w:cs="Times New Roman"/>
                <w:b/>
                <w:i/>
                <w:strike w:val="0"/>
                <w:color w:val="000000"/>
                <w:sz w:val="24"/>
                <w:highlight w:val="none"/>
                <w:u w:val="none" w:color="auto"/>
              </w:rPr>
              <w:t>skulle</w:t>
            </w:r>
            <w:r>
              <w:t xml:space="preserve"> också</w:t>
            </w:r>
            <w:r>
              <w:rPr>
                <w:rFonts w:ascii="Times New Roman" w:eastAsia="Times New Roman" w:hAnsi="Times New Roman" w:cs="Times New Roman"/>
                <w:b/>
                <w:i/>
                <w:strike w:val="0"/>
                <w:color w:val="000000"/>
                <w:sz w:val="24"/>
                <w:highlight w:val="none"/>
                <w:u w:val="none" w:color="auto"/>
              </w:rPr>
              <w:t xml:space="preserve"> kunna</w:t>
            </w:r>
            <w:r>
              <w:t xml:space="preserve"> bidra till att begränsa sekundära förflyttningar mellan medlemsstaterna för personer som ansöker om internationellt skydd, när sådana förflyttningar endast motiverats av skillnader i de nationella rättsliga åtgärder som vidtagits för att införliva det skyddsdirektiv som ersätts genom denna förordning.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143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(9)</w:t>
            </w:r>
            <w:r>
              <w:tab/>
            </w:r>
            <w:r>
              <w:rPr>
                <w:rFonts w:ascii="Times New Roman" w:eastAsia="Times New Roman" w:hAnsi="Times New Roman" w:cs="Times New Roman"/>
                <w:b/>
                <w:i/>
                <w:strike w:val="0"/>
                <w:color w:val="000000"/>
                <w:sz w:val="24"/>
                <w:highlight w:val="none"/>
                <w:u w:val="none" w:color="auto"/>
              </w:rPr>
              <w:t>Denna förordning</w:t>
            </w:r>
            <w:r>
              <w:t xml:space="preserve"> är inte </w:t>
            </w:r>
            <w:r>
              <w:rPr>
                <w:rFonts w:ascii="Times New Roman" w:eastAsia="Times New Roman" w:hAnsi="Times New Roman" w:cs="Times New Roman"/>
                <w:b/>
                <w:i/>
                <w:strike w:val="0"/>
                <w:color w:val="000000"/>
                <w:sz w:val="24"/>
                <w:highlight w:val="none"/>
                <w:u w:val="none" w:color="auto"/>
              </w:rPr>
              <w:t>tillämplig</w:t>
            </w:r>
            <w:r>
              <w:t xml:space="preserve"> på andra typer av nationell humanitär status som medlemsstaterna beviljar enligt sin nationella rätt till </w:t>
            </w:r>
            <w:r>
              <w:rPr>
                <w:rFonts w:ascii="Times New Roman" w:eastAsia="Times New Roman" w:hAnsi="Times New Roman" w:cs="Times New Roman"/>
                <w:b/>
                <w:i/>
                <w:strike w:val="0"/>
                <w:color w:val="000000"/>
                <w:sz w:val="24"/>
                <w:highlight w:val="none"/>
                <w:u w:val="none" w:color="auto"/>
              </w:rPr>
              <w:t>de</w:t>
            </w:r>
            <w:r>
              <w:t xml:space="preserve"> som inte uppfyller kraven för att betecknas som flykting eller subsidiärt skyddsbehövande.</w:t>
            </w:r>
            <w:r>
              <w:rPr>
                <w:rFonts w:ascii="Times New Roman" w:eastAsia="Times New Roman" w:hAnsi="Times New Roman" w:cs="Times New Roman"/>
                <w:b/>
                <w:i/>
                <w:strike w:val="0"/>
                <w:color w:val="000000"/>
                <w:sz w:val="24"/>
                <w:highlight w:val="none"/>
                <w:u w:val="none" w:color="auto"/>
              </w:rPr>
              <w:t xml:space="preserve"> Om sådan status beviljas bör det ske på ett sådant sätt att det inte medför risk för förväxling med internationellt skydd.</w:t>
            </w:r>
          </w:p>
        </w:tc>
        <w:tc>
          <w:tcPr/>
          <w:p>
            <w:pPr>
              <w:pStyle w:val="Normal6"/>
            </w:pPr>
            <w:r>
              <w:t>(9)</w:t>
            </w:r>
            <w:r>
              <w:tab/>
            </w:r>
            <w:r>
              <w:rPr>
                <w:rFonts w:ascii="Times New Roman" w:eastAsia="Times New Roman" w:hAnsi="Times New Roman" w:cs="Times New Roman"/>
                <w:b/>
                <w:i/>
                <w:strike w:val="0"/>
                <w:color w:val="000000"/>
                <w:sz w:val="24"/>
                <w:highlight w:val="none"/>
                <w:u w:val="none" w:color="auto"/>
              </w:rPr>
              <w:t>Detta direktiv</w:t>
            </w:r>
            <w:r>
              <w:t xml:space="preserve"> är inte </w:t>
            </w:r>
            <w:r>
              <w:rPr>
                <w:rFonts w:ascii="Times New Roman" w:eastAsia="Times New Roman" w:hAnsi="Times New Roman" w:cs="Times New Roman"/>
                <w:b/>
                <w:i/>
                <w:strike w:val="0"/>
                <w:color w:val="000000"/>
                <w:sz w:val="24"/>
                <w:highlight w:val="none"/>
                <w:u w:val="none" w:color="auto"/>
              </w:rPr>
              <w:t>tillämpligt</w:t>
            </w:r>
            <w:r>
              <w:t xml:space="preserve"> på andra typer av nationell humanitär status som medlemsstaterna beviljar enligt sin nationella rätt till </w:t>
            </w:r>
            <w:r>
              <w:rPr>
                <w:rFonts w:ascii="Times New Roman" w:eastAsia="Times New Roman" w:hAnsi="Times New Roman" w:cs="Times New Roman"/>
                <w:b/>
                <w:i/>
                <w:strike w:val="0"/>
                <w:color w:val="000000"/>
                <w:sz w:val="24"/>
                <w:highlight w:val="none"/>
                <w:u w:val="none" w:color="auto"/>
              </w:rPr>
              <w:t>dem</w:t>
            </w:r>
            <w:r>
              <w:t xml:space="preserve"> som inte uppfyller kraven för att betecknas som flykting eller subsidiärt skyddsbehövande.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144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(9)</w:t>
            </w:r>
            <w:r>
              <w:tab/>
            </w:r>
            <w:r>
              <w:t xml:space="preserve">Denna förordning är inte tillämplig på andra typer av nationell humanitär status som medlemsstaterna beviljar enligt sin nationella rätt till </w:t>
            </w:r>
            <w:r>
              <w:rPr>
                <w:rFonts w:ascii="Times New Roman" w:eastAsia="Times New Roman" w:hAnsi="Times New Roman" w:cs="Times New Roman"/>
                <w:b/>
                <w:i/>
                <w:strike w:val="0"/>
                <w:color w:val="000000"/>
                <w:sz w:val="24"/>
                <w:highlight w:val="none"/>
                <w:u w:val="none" w:color="auto"/>
              </w:rPr>
              <w:t>de</w:t>
            </w:r>
            <w:r>
              <w:t xml:space="preserve"> som inte uppfyller kraven för att betecknas som flykting eller subsidiärt skyddsbehövande.</w:t>
            </w:r>
            <w:r>
              <w:rPr>
                <w:rFonts w:ascii="Times New Roman" w:eastAsia="Times New Roman" w:hAnsi="Times New Roman" w:cs="Times New Roman"/>
                <w:b/>
                <w:i/>
                <w:strike w:val="0"/>
                <w:color w:val="000000"/>
                <w:sz w:val="24"/>
                <w:highlight w:val="none"/>
                <w:u w:val="none" w:color="auto"/>
              </w:rPr>
              <w:t xml:space="preserve"> Om sådan status beviljas bör det ske på ett sådant sätt att det inte medför risk för förväxling med internationellt skydd.</w:t>
            </w:r>
          </w:p>
        </w:tc>
        <w:tc>
          <w:tcPr/>
          <w:p>
            <w:pPr>
              <w:pStyle w:val="Normal6"/>
            </w:pPr>
            <w:r>
              <w:t>(9)</w:t>
            </w:r>
            <w:r>
              <w:tab/>
            </w:r>
            <w:r>
              <w:t xml:space="preserve">Denna förordning är inte tillämplig på andra typer av nationell humanitär status som medlemsstaterna beviljar enligt sin nationella rätt till </w:t>
            </w:r>
            <w:r>
              <w:rPr>
                <w:rFonts w:ascii="Times New Roman" w:eastAsia="Times New Roman" w:hAnsi="Times New Roman" w:cs="Times New Roman"/>
                <w:b/>
                <w:i/>
                <w:strike w:val="0"/>
                <w:color w:val="000000"/>
                <w:sz w:val="24"/>
                <w:highlight w:val="none"/>
                <w:u w:val="none" w:color="auto"/>
              </w:rPr>
              <w:t>dem</w:t>
            </w:r>
            <w:r>
              <w:t xml:space="preserve"> som inte uppfyller kraven för att betecknas som flykting eller subsidiärt skyddsbehövande.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Skuggföredraganden håller med föredraganden om att det – så länge som det finns nationella statusar för humanitärt skydd – är mycket svårt att se att det inte skulle finnas risk för förväxling med flyktingstatus och status som subsidiärt skyddsbehövande.</w:t>
      </w:r>
    </w:p>
    <w:p>
      <w:pPr>
        <w:pStyle w:val="Normal12Italic"/>
      </w:pPr>
      <w:r>
        <w:t>Ändringsförslag i linje med ändringsförslag nedan till artikel 3 i förordningen.</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145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(10)</w:t>
            </w:r>
            <w:r>
              <w:tab/>
            </w:r>
            <w:r>
              <w:rPr>
                <w:rFonts w:ascii="Times New Roman" w:eastAsia="Times New Roman" w:hAnsi="Times New Roman" w:cs="Times New Roman"/>
                <w:b/>
                <w:i/>
                <w:strike w:val="0"/>
                <w:color w:val="000000"/>
                <w:sz w:val="24"/>
                <w:highlight w:val="none"/>
                <w:u w:val="none" w:color="auto"/>
              </w:rPr>
              <w:t>Personer som sökt och beviljats vidarebosättning bör beviljas internationellt skydd. Bestämmelserna i denna förordning om innehållet i internationellt skydd bör således gälla, inbegripet reglerna som avskräcker från sekundära förflyttningar.</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146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(10)</w:t>
            </w:r>
            <w:r>
              <w:tab/>
            </w:r>
            <w:r>
              <w:rPr>
                <w:rFonts w:ascii="Times New Roman" w:eastAsia="Times New Roman" w:hAnsi="Times New Roman" w:cs="Times New Roman"/>
                <w:b/>
                <w:i/>
                <w:strike w:val="0"/>
                <w:color w:val="000000"/>
                <w:sz w:val="24"/>
                <w:highlight w:val="none"/>
                <w:u w:val="none" w:color="auto"/>
              </w:rPr>
              <w:t>Personer</w:t>
            </w:r>
            <w:r>
              <w:t xml:space="preserve"> </w:t>
            </w:r>
            <w:r>
              <w:rPr>
                <w:rFonts w:ascii="Times New Roman" w:eastAsia="Times New Roman" w:hAnsi="Times New Roman" w:cs="Times New Roman"/>
                <w:b/>
                <w:i/>
                <w:strike w:val="0"/>
                <w:color w:val="000000"/>
                <w:sz w:val="24"/>
                <w:highlight w:val="none"/>
                <w:u w:val="none" w:color="auto"/>
              </w:rPr>
              <w:t>som sökt och beviljats vidarebosättning bör beviljas internationellt skydd. Bestämmelserna i denna förordning</w:t>
            </w:r>
            <w:r>
              <w:t xml:space="preserve"> om innehållet i internationellt skydd </w:t>
            </w:r>
            <w:r>
              <w:rPr>
                <w:rFonts w:ascii="Times New Roman" w:eastAsia="Times New Roman" w:hAnsi="Times New Roman" w:cs="Times New Roman"/>
                <w:b/>
                <w:i/>
                <w:strike w:val="0"/>
                <w:color w:val="000000"/>
                <w:sz w:val="24"/>
                <w:highlight w:val="none"/>
                <w:u w:val="none" w:color="auto"/>
              </w:rPr>
              <w:t>bör således gälla, inbegripet reglerna som avskräcker från sekundära förflyttningar</w:t>
            </w:r>
            <w:r>
              <w:t>.</w:t>
            </w:r>
          </w:p>
        </w:tc>
        <w:tc>
          <w:tcPr/>
          <w:p>
            <w:pPr>
              <w:pStyle w:val="Normal6"/>
            </w:pPr>
            <w:r>
              <w:t>(10)</w:t>
            </w:r>
            <w:r>
              <w:tab/>
            </w:r>
            <w:r>
              <w:rPr>
                <w:rFonts w:ascii="Times New Roman" w:eastAsia="Times New Roman" w:hAnsi="Times New Roman" w:cs="Times New Roman"/>
                <w:b/>
                <w:i/>
                <w:strike w:val="0"/>
                <w:color w:val="000000"/>
                <w:sz w:val="24"/>
                <w:highlight w:val="none"/>
                <w:u w:val="none" w:color="auto"/>
              </w:rPr>
              <w:t xml:space="preserve">Vidarebosatta </w:t>
            </w:r>
            <w:r>
              <w:rPr>
                <w:rFonts w:ascii="Times New Roman" w:eastAsia="Times New Roman" w:hAnsi="Times New Roman" w:cs="Times New Roman"/>
                <w:b/>
                <w:i/>
                <w:strike w:val="0"/>
                <w:color w:val="000000"/>
                <w:sz w:val="24"/>
                <w:highlight w:val="none"/>
                <w:u w:val="none" w:color="auto"/>
              </w:rPr>
              <w:t>personer</w:t>
            </w:r>
            <w:r>
              <w:t xml:space="preserve"> </w:t>
            </w:r>
            <w:r>
              <w:rPr>
                <w:rFonts w:ascii="Times New Roman" w:eastAsia="Times New Roman" w:hAnsi="Times New Roman" w:cs="Times New Roman"/>
                <w:b/>
                <w:i/>
                <w:strike w:val="0"/>
                <w:color w:val="000000"/>
                <w:sz w:val="24"/>
                <w:highlight w:val="none"/>
                <w:u w:val="none" w:color="auto"/>
              </w:rPr>
              <w:t>bör beviljas internationellt skydd i syfte att uppnå en hållbar situation. Därför bör de bestämmelser</w:t>
            </w:r>
            <w:r>
              <w:t xml:space="preserve"> om innehållet i internationellt skydd </w:t>
            </w:r>
            <w:r>
              <w:rPr>
                <w:rFonts w:ascii="Times New Roman" w:eastAsia="Times New Roman" w:hAnsi="Times New Roman" w:cs="Times New Roman"/>
                <w:b/>
                <w:i/>
                <w:strike w:val="0"/>
                <w:color w:val="000000"/>
                <w:sz w:val="24"/>
                <w:highlight w:val="none"/>
                <w:u w:val="none" w:color="auto"/>
              </w:rPr>
              <w:t>som finns i asylregelverket tillämpas från och med den tidpunkt då vidarebosatta personer anländer till medlemsstaternas territorium</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147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(10)</w:t>
            </w:r>
            <w:r>
              <w:tab/>
            </w:r>
            <w:r>
              <w:t>Personer som sökt och beviljats vidarebosättning bör beviljas internationellt skydd. Bestämmelserna i denna förordning om innehållet i internationellt skydd bör således gälla</w:t>
            </w:r>
            <w:r>
              <w:rPr>
                <w:rFonts w:ascii="Times New Roman" w:eastAsia="Times New Roman" w:hAnsi="Times New Roman" w:cs="Times New Roman"/>
                <w:b/>
                <w:i/>
                <w:strike w:val="0"/>
                <w:color w:val="000000"/>
                <w:sz w:val="24"/>
                <w:highlight w:val="none"/>
                <w:u w:val="none" w:color="auto"/>
              </w:rPr>
              <w:t>, inbegripet reglerna som avskräcker från sekundära förflyttningar</w:t>
            </w:r>
            <w:r>
              <w:t>.</w:t>
            </w:r>
          </w:p>
        </w:tc>
        <w:tc>
          <w:tcPr/>
          <w:p>
            <w:pPr>
              <w:pStyle w:val="Normal6"/>
            </w:pPr>
            <w:r>
              <w:t>(10)</w:t>
            </w:r>
            <w:r>
              <w:tab/>
            </w:r>
            <w:r>
              <w:t>Personer som sökt och beviljats vidarebosättning bör beviljas internationellt skydd. Bestämmelserna i denna förordning om innehållet i internationellt skydd bör således gälla.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148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(10)</w:t>
            </w:r>
            <w:r>
              <w:tab/>
            </w:r>
            <w:r>
              <w:t xml:space="preserve">Personer som sökt och beviljats vidarebosättning bör beviljas internationellt skydd. Bestämmelserna i </w:t>
            </w:r>
            <w:r>
              <w:rPr>
                <w:rFonts w:ascii="Times New Roman" w:eastAsia="Times New Roman" w:hAnsi="Times New Roman" w:cs="Times New Roman"/>
                <w:b/>
                <w:i/>
                <w:strike w:val="0"/>
                <w:color w:val="000000"/>
                <w:sz w:val="24"/>
                <w:highlight w:val="none"/>
                <w:u w:val="none" w:color="auto"/>
              </w:rPr>
              <w:t>denna förordning</w:t>
            </w:r>
            <w:r>
              <w:t xml:space="preserve"> om innehållet i internationellt skydd bör således gälla</w:t>
            </w:r>
            <w:r>
              <w:rPr>
                <w:rFonts w:ascii="Times New Roman" w:eastAsia="Times New Roman" w:hAnsi="Times New Roman" w:cs="Times New Roman"/>
                <w:b/>
                <w:i/>
                <w:strike w:val="0"/>
                <w:color w:val="000000"/>
                <w:sz w:val="24"/>
                <w:highlight w:val="none"/>
                <w:u w:val="none" w:color="auto"/>
              </w:rPr>
              <w:t>, inbegripet reglerna som avskräcker från sekundära förflyttningar</w:t>
            </w:r>
            <w:r>
              <w:t>.</w:t>
            </w:r>
          </w:p>
        </w:tc>
        <w:tc>
          <w:tcPr/>
          <w:p>
            <w:pPr>
              <w:pStyle w:val="Normal6"/>
            </w:pPr>
            <w:r>
              <w:t>(10)</w:t>
            </w:r>
            <w:r>
              <w:tab/>
            </w:r>
            <w:r>
              <w:t xml:space="preserve">Personer som sökt och beviljats vidarebosättning bör beviljas internationellt skydd. Bestämmelserna i </w:t>
            </w:r>
            <w:r>
              <w:rPr>
                <w:rFonts w:ascii="Times New Roman" w:eastAsia="Times New Roman" w:hAnsi="Times New Roman" w:cs="Times New Roman"/>
                <w:b/>
                <w:i/>
                <w:strike w:val="0"/>
                <w:color w:val="000000"/>
                <w:sz w:val="24"/>
                <w:highlight w:val="none"/>
                <w:u w:val="none" w:color="auto"/>
              </w:rPr>
              <w:t>detta direktiv</w:t>
            </w:r>
            <w:r>
              <w:t xml:space="preserve"> om innehållet i internationellt skydd bör således gälla.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149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Lorenzo Fontana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(11)</w:t>
            </w:r>
            <w:r>
              <w:tab/>
            </w:r>
            <w:r>
              <w:t xml:space="preserve">Denna förordning står i överensstämmelse med de grundläggande </w:t>
            </w:r>
            <w:r>
              <w:rPr>
                <w:rFonts w:ascii="Times New Roman" w:eastAsia="Times New Roman" w:hAnsi="Times New Roman" w:cs="Times New Roman"/>
                <w:b/>
                <w:i/>
                <w:strike w:val="0"/>
                <w:color w:val="000000"/>
                <w:sz w:val="24"/>
                <w:highlight w:val="none"/>
                <w:u w:val="none" w:color="auto"/>
              </w:rPr>
              <w:t xml:space="preserve">rättigheter och principer som erkänns särskilt i Europeiska unionens stadga om de grundläggande </w:t>
            </w:r>
            <w:r>
              <w:t>rättigheterna</w:t>
            </w:r>
            <w:r>
              <w:rPr>
                <w:rFonts w:ascii="Times New Roman" w:eastAsia="Times New Roman" w:hAnsi="Times New Roman" w:cs="Times New Roman"/>
                <w:b/>
                <w:i/>
                <w:strike w:val="0"/>
                <w:color w:val="000000"/>
                <w:sz w:val="24"/>
                <w:highlight w:val="none"/>
                <w:u w:val="none" w:color="auto"/>
              </w:rPr>
              <w:t xml:space="preserve"> (nedan kallad stadgan). Denna förordning syftar särskilt till att säkerställa full respekt för den mänskliga värdigheten och de asylsökandes och deras medföljande familjemedlemmars rätt till asyl, och till att främja tillämpningen av stadgans artiklar om människans värdighet, respekt för privatlivet och familjelivet, yttrandefrihet och informationsfrihet, rätt till utbildning, fritt yrkesval och rätt att arbeta, näringsfrihet, rätt till asyl, icke-diskriminering, barnets rättigheter, social trygghet och socialt stöd samt hälsoskydd, och bör därför genomföras på ett sätt som överensstämmer med detta ändamål</w:t>
            </w:r>
            <w:r>
              <w:t>.</w:t>
            </w:r>
          </w:p>
        </w:tc>
        <w:tc>
          <w:tcPr/>
          <w:p>
            <w:pPr>
              <w:pStyle w:val="Normal6"/>
            </w:pPr>
            <w:r>
              <w:t>(11)</w:t>
            </w:r>
            <w:r>
              <w:tab/>
            </w:r>
            <w:r>
              <w:t>Denna förordning står i överensstämmelse med de grundläggande rättigheterna.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150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(11)</w:t>
            </w:r>
            <w:r>
              <w:tab/>
            </w:r>
            <w:r>
              <w:t>Denna förordning står i överensstämmelse med de grundläggande rättigheter och principer som erkänns särskilt i Europeiska unionens stadga om de grundläggande rättigheterna (nedan kallad stadgan). Denna förordning syftar särskilt till att säkerställa full respekt för den mänskliga värdigheten och de asylsökandes och deras medföljande familjemedlemmars rätt till asyl</w:t>
            </w:r>
            <w:r>
              <w:rPr>
                <w:rFonts w:ascii="Times New Roman" w:eastAsia="Times New Roman" w:hAnsi="Times New Roman" w:cs="Times New Roman"/>
                <w:b/>
                <w:i/>
                <w:strike w:val="0"/>
                <w:color w:val="000000"/>
                <w:sz w:val="24"/>
                <w:highlight w:val="none"/>
                <w:u w:val="none" w:color="auto"/>
              </w:rPr>
              <w:t>, och till att främja tillämpningen av stadgans artiklar om människans värdighet, respekt för privatlivet och familjelivet, yttrandefrihet och informationsfrihet, rätt till utbildning, fritt yrkesval och rätt att arbeta, näringsfrihet, rätt till asyl, icke-diskriminering, barnets rättigheter, social trygghet och socialt stöd samt hälsoskydd, och bör därför genomföras på ett sätt som överensstämmer med detta ändamål</w:t>
            </w:r>
            <w:r>
              <w:t>.</w:t>
            </w:r>
          </w:p>
        </w:tc>
        <w:tc>
          <w:tcPr/>
          <w:p>
            <w:pPr>
              <w:pStyle w:val="Normal6"/>
            </w:pPr>
            <w:r>
              <w:t>(11)</w:t>
            </w:r>
            <w:r>
              <w:tab/>
            </w:r>
            <w:r>
              <w:t>Denna förordning står i överensstämmelse med de grundläggande rättigheter och principer som erkänns särskilt i Europeiska unionens stadga om de grundläggande rättigheterna (nedan kallad stadgan). Denna förordning syftar särskilt till att säkerställa full respekt för den mänskliga värdigheten och de asylsökandes och deras medföljande familjemedlemmars rätt till asyl.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151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(11)</w:t>
            </w:r>
            <w:r>
              <w:tab/>
            </w:r>
            <w:r>
              <w:t>Denna förordning står i överensstämmelse med de grundläggande rättigheter och principer som erkänns särskilt i Europeiska unionens stadga om de grundläggande rättigheterna (nedan kallad stadgan). Denna förordning syftar särskilt till att säkerställa full respekt för den mänskliga värdigheten och de asylsökandes och deras medföljande familjemedlemmars rätt till asyl, och till att främja tillämpningen av stadgans artiklar om människans värdighet, respekt för privatlivet och familjelivet, yttrandefrihet och informationsfrihet, rätt till utbildning, fritt yrkesval och rätt att arbeta, näringsfrihet, rätt till asyl, icke-diskriminering, barnets rättigheter, social trygghet och socialt stöd samt hälsoskydd, och bör därför genomföras på ett sätt som överensstämmer med detta ändamål.</w:t>
            </w:r>
          </w:p>
        </w:tc>
        <w:tc>
          <w:tcPr/>
          <w:p>
            <w:pPr>
              <w:pStyle w:val="Normal6"/>
            </w:pPr>
            <w:r>
              <w:t>(11)</w:t>
            </w:r>
            <w:r>
              <w:tab/>
            </w:r>
            <w:r>
              <w:t>Denna förordning står i överensstämmelse med de grundläggande rättigheter och principer som erkänns särskilt i Europeiska unionens stadga om de grundläggande rättigheterna (nedan kallad stadgan)</w:t>
            </w:r>
            <w:r>
              <w:rPr>
                <w:rFonts w:ascii="Times New Roman" w:eastAsia="Times New Roman" w:hAnsi="Times New Roman" w:cs="Times New Roman"/>
                <w:b/>
                <w:i/>
                <w:strike w:val="0"/>
                <w:color w:val="000000"/>
                <w:sz w:val="24"/>
                <w:highlight w:val="none"/>
                <w:u w:val="none" w:color="auto"/>
              </w:rPr>
              <w:t>, Europakonventionen om de mänskliga rättigheterna och den europeiska sociala stadgan</w:t>
            </w:r>
            <w:r>
              <w:t>. Denna förordning syftar särskilt till att säkerställa full respekt för den mänskliga värdigheten och de asylsökandes och deras medföljande familjemedlemmars rätt till asyl, och till att främja tillämpningen av</w:t>
            </w:r>
            <w:r>
              <w:rPr>
                <w:rFonts w:ascii="Times New Roman" w:eastAsia="Times New Roman" w:hAnsi="Times New Roman" w:cs="Times New Roman"/>
                <w:b/>
                <w:i/>
                <w:strike w:val="0"/>
                <w:color w:val="000000"/>
                <w:sz w:val="24"/>
                <w:highlight w:val="none"/>
                <w:u w:val="none" w:color="auto"/>
              </w:rPr>
              <w:t xml:space="preserve"> stadgans, Europakonventionens och den europeiska sociala</w:t>
            </w:r>
            <w:r>
              <w:t xml:space="preserve"> stadgans artiklar om människans värdighet, respekt för privatlivet och familjelivet, </w:t>
            </w:r>
            <w:r>
              <w:rPr>
                <w:rFonts w:ascii="Times New Roman" w:eastAsia="Times New Roman" w:hAnsi="Times New Roman" w:cs="Times New Roman"/>
                <w:b/>
                <w:i/>
                <w:strike w:val="0"/>
                <w:color w:val="000000"/>
                <w:sz w:val="24"/>
                <w:highlight w:val="none"/>
                <w:u w:val="none" w:color="auto"/>
              </w:rPr>
              <w:t xml:space="preserve">skydd vid avlägsnande, utvisning och utlämning, </w:t>
            </w:r>
            <w:r>
              <w:t xml:space="preserve">yttrandefrihet och informationsfrihet, rätt till utbildning, fritt yrkesval och rätt att arbeta, näringsfrihet, rätt till asyl, icke-diskriminering, </w:t>
            </w:r>
            <w:r>
              <w:rPr>
                <w:rFonts w:ascii="Times New Roman" w:eastAsia="Times New Roman" w:hAnsi="Times New Roman" w:cs="Times New Roman"/>
                <w:b/>
                <w:i/>
                <w:strike w:val="0"/>
                <w:color w:val="000000"/>
                <w:sz w:val="24"/>
                <w:highlight w:val="none"/>
                <w:u w:val="none" w:color="auto"/>
              </w:rPr>
              <w:t xml:space="preserve">principen om jämlikhet, </w:t>
            </w:r>
            <w:r>
              <w:t>barnets rättigheter</w:t>
            </w:r>
            <w:r>
              <w:rPr>
                <w:rFonts w:ascii="Times New Roman" w:eastAsia="Times New Roman" w:hAnsi="Times New Roman" w:cs="Times New Roman"/>
                <w:b/>
                <w:i/>
                <w:strike w:val="0"/>
                <w:color w:val="000000"/>
                <w:sz w:val="24"/>
                <w:highlight w:val="none"/>
                <w:u w:val="none" w:color="auto"/>
              </w:rPr>
              <w:t xml:space="preserve"> och åtnjutande av sociala rättigheter</w:t>
            </w:r>
            <w:r>
              <w:t>,</w:t>
            </w:r>
            <w:r>
              <w:rPr>
                <w:rFonts w:ascii="Times New Roman" w:eastAsia="Times New Roman" w:hAnsi="Times New Roman" w:cs="Times New Roman"/>
                <w:b/>
                <w:i/>
                <w:strike w:val="0"/>
                <w:color w:val="000000"/>
                <w:sz w:val="24"/>
                <w:highlight w:val="none"/>
                <w:u w:val="none" w:color="auto"/>
              </w:rPr>
              <w:t xml:space="preserve"> inbegripet</w:t>
            </w:r>
            <w:r>
              <w:t xml:space="preserve"> social trygghet och socialt stöd samt hälsoskydd, och bör därför genomföras på ett sätt som överensstämmer med detta ändamål.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152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(11)</w:t>
            </w:r>
            <w:r>
              <w:tab/>
            </w:r>
            <w:r>
              <w:rPr>
                <w:rFonts w:ascii="Times New Roman" w:eastAsia="Times New Roman" w:hAnsi="Times New Roman" w:cs="Times New Roman"/>
                <w:b/>
                <w:i/>
                <w:strike w:val="0"/>
                <w:color w:val="000000"/>
                <w:sz w:val="24"/>
                <w:highlight w:val="none"/>
                <w:u w:val="none" w:color="auto"/>
              </w:rPr>
              <w:t>Denna förordning</w:t>
            </w:r>
            <w:r>
              <w:t xml:space="preserve"> står i överensstämmelse med de grundläggande rättigheter och principer som erkänns särskilt i Europeiska unionens stadga om de grundläggande rättigheterna (nedan kallad stadgan). </w:t>
            </w:r>
            <w:r>
              <w:rPr>
                <w:rFonts w:ascii="Times New Roman" w:eastAsia="Times New Roman" w:hAnsi="Times New Roman" w:cs="Times New Roman"/>
                <w:b/>
                <w:i/>
                <w:strike w:val="0"/>
                <w:color w:val="000000"/>
                <w:sz w:val="24"/>
                <w:highlight w:val="none"/>
                <w:u w:val="none" w:color="auto"/>
              </w:rPr>
              <w:t>Denna förordning</w:t>
            </w:r>
            <w:r>
              <w:t xml:space="preserve"> syftar särskilt till att säkerställa full respekt för den mänskliga värdigheten och de asylsökandes och deras medföljande familjemedlemmars rätt till asyl, och till att främja tillämpningen av stadgans artiklar om människans värdighet, respekt för privatlivet och familjelivet, yttrandefrihet och informationsfrihet, rätt till utbildning, fritt yrkesval och rätt att arbeta, näringsfrihet, rätt till asyl, icke-diskriminering, barnets rättigheter, social trygghet och socialt stöd samt hälsoskydd, och bör därför genomföras på ett sätt som överensstämmer med detta ändamål.</w:t>
            </w:r>
          </w:p>
        </w:tc>
        <w:tc>
          <w:tcPr/>
          <w:p>
            <w:pPr>
              <w:pStyle w:val="Normal6"/>
            </w:pPr>
            <w:r>
              <w:t>(11)</w:t>
            </w:r>
            <w:r>
              <w:tab/>
            </w:r>
            <w:r>
              <w:rPr>
                <w:rFonts w:ascii="Times New Roman" w:eastAsia="Times New Roman" w:hAnsi="Times New Roman" w:cs="Times New Roman"/>
                <w:b/>
                <w:i/>
                <w:strike w:val="0"/>
                <w:color w:val="000000"/>
                <w:sz w:val="24"/>
                <w:highlight w:val="none"/>
                <w:u w:val="none" w:color="auto"/>
              </w:rPr>
              <w:t>Detta direktiv</w:t>
            </w:r>
            <w:r>
              <w:t xml:space="preserve"> står i överensstämmelse med de grundläggande rättigheter och principer som erkänns särskilt i Europeiska unionens stadga om de grundläggande rättigheterna (nedan kallad stadgan). </w:t>
            </w:r>
            <w:r>
              <w:rPr>
                <w:rFonts w:ascii="Times New Roman" w:eastAsia="Times New Roman" w:hAnsi="Times New Roman" w:cs="Times New Roman"/>
                <w:b/>
                <w:i/>
                <w:strike w:val="0"/>
                <w:color w:val="000000"/>
                <w:sz w:val="24"/>
                <w:highlight w:val="none"/>
                <w:u w:val="none" w:color="auto"/>
              </w:rPr>
              <w:t>Detta direktiv</w:t>
            </w:r>
            <w:r>
              <w:t xml:space="preserve"> syftar särskilt till att säkerställa full respekt för den mänskliga värdigheten och de asylsökandes och deras medföljande familjemedlemmars rätt till asyl, och till att främja tillämpningen av stadgans artiklar om människans värdighet, respekt för privatlivet och familjelivet, yttrandefrihet och informationsfrihet, rätt till utbildning, fritt yrkesval och rätt att arbeta, näringsfrihet, rätt till asyl, icke-diskriminering, barnets rättigheter, social trygghet och socialt stöd samt hälsoskydd, och bör därför genomföras på ett sätt som överensstämmer med detta ändamål.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153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(12)</w:t>
            </w:r>
            <w:r>
              <w:tab/>
            </w:r>
            <w:r>
              <w:t xml:space="preserve">När det gäller behandlingen av personer som omfattas av </w:t>
            </w:r>
            <w:r>
              <w:rPr>
                <w:rFonts w:ascii="Times New Roman" w:eastAsia="Times New Roman" w:hAnsi="Times New Roman" w:cs="Times New Roman"/>
                <w:b/>
                <w:i/>
                <w:strike w:val="0"/>
                <w:color w:val="000000"/>
                <w:sz w:val="24"/>
                <w:highlight w:val="none"/>
                <w:u w:val="none" w:color="auto"/>
              </w:rPr>
              <w:t>denna förordning</w:t>
            </w:r>
            <w:r>
              <w:t xml:space="preserve"> är medlemsstaterna bundna av sina skyldigheter enligt de internationella rättsliga instrument som de är parter i, </w:t>
            </w:r>
            <w:r>
              <w:rPr>
                <w:rFonts w:ascii="Times New Roman" w:eastAsia="Times New Roman" w:hAnsi="Times New Roman" w:cs="Times New Roman"/>
                <w:b/>
                <w:i/>
                <w:strike w:val="0"/>
                <w:color w:val="000000"/>
                <w:sz w:val="24"/>
                <w:highlight w:val="none"/>
                <w:u w:val="none" w:color="auto"/>
              </w:rPr>
              <w:t>inbegripet</w:t>
            </w:r>
            <w:r>
              <w:t xml:space="preserve"> de instrument som förbjuder diskriminering.</w:t>
            </w:r>
          </w:p>
        </w:tc>
        <w:tc>
          <w:tcPr/>
          <w:p>
            <w:pPr>
              <w:pStyle w:val="Normal6"/>
            </w:pPr>
            <w:r>
              <w:t>(12)</w:t>
            </w:r>
            <w:r>
              <w:tab/>
            </w:r>
            <w:r>
              <w:t xml:space="preserve">När det gäller behandlingen av personer som omfattas av </w:t>
            </w:r>
            <w:r>
              <w:rPr>
                <w:rFonts w:ascii="Times New Roman" w:eastAsia="Times New Roman" w:hAnsi="Times New Roman" w:cs="Times New Roman"/>
                <w:b/>
                <w:i/>
                <w:strike w:val="0"/>
                <w:color w:val="000000"/>
                <w:sz w:val="24"/>
                <w:highlight w:val="none"/>
                <w:u w:val="none" w:color="auto"/>
              </w:rPr>
              <w:t>detta direktiv</w:t>
            </w:r>
            <w:r>
              <w:t xml:space="preserve"> är medlemsstaterna bundna av sina skyldigheter enligt de internationella rättsliga instrument som de är parter i, </w:t>
            </w:r>
            <w:r>
              <w:rPr>
                <w:rFonts w:ascii="Times New Roman" w:eastAsia="Times New Roman" w:hAnsi="Times New Roman" w:cs="Times New Roman"/>
                <w:b/>
                <w:i/>
                <w:strike w:val="0"/>
                <w:color w:val="000000"/>
                <w:sz w:val="24"/>
                <w:highlight w:val="none"/>
                <w:u w:val="none" w:color="auto"/>
              </w:rPr>
              <w:t>särskilt</w:t>
            </w:r>
            <w:r>
              <w:t xml:space="preserve"> de instrument som förbjuder diskriminering.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154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(13)</w:t>
            </w:r>
            <w:r>
              <w:tab/>
            </w:r>
            <w:r>
              <w:t>Resurser från asyl-, migrations- och integrationsfonden bör användas för att på lämpligt sätt stödja medlemsstaternas arbete med att genomföra de normer som fastställs genom förordningen, särskilt de medlemsstater vars asylsystem utsätts för ett särskilt och oproportionerligt hårt tryck, främst på grund av deras geografiska eller demografiska situation.</w:t>
            </w:r>
          </w:p>
        </w:tc>
        <w:tc>
          <w:tcPr/>
          <w:p>
            <w:pPr>
              <w:pStyle w:val="Normal6"/>
            </w:pPr>
            <w:r>
              <w:t>(13)</w:t>
            </w:r>
            <w:r>
              <w:tab/>
            </w:r>
            <w:r>
              <w:t xml:space="preserve">Resurser från asyl-, migrations- och integrationsfonden bör användas för att på lämpligt sätt stödja medlemsstaternas arbete med att genomföra de normer som fastställs genom förordningen, särskilt de medlemsstater vars asylsystem utsätts för ett särskilt och oproportionerligt hårt tryck, främst på grund av deras geografiska eller demografiska situation. </w:t>
            </w:r>
            <w:r>
              <w:rPr>
                <w:rFonts w:ascii="Times New Roman" w:eastAsia="Times New Roman" w:hAnsi="Times New Roman" w:cs="Times New Roman"/>
                <w:b/>
                <w:i/>
                <w:strike w:val="0"/>
                <w:color w:val="000000"/>
                <w:sz w:val="24"/>
                <w:highlight w:val="none"/>
                <w:u w:val="none" w:color="auto"/>
              </w:rPr>
              <w:t>Dessutom bör medlemsstaterna, på alla styresnivåer, till fullo utnyttja de möjligheter som ges genom medel som inte är direkt kopplade till asyl- och migrationspolitiken men som kan användas för att finansiera åtgärder på området, exempelvis integrationsåtgärder, såsom dem som är tillgängliga inom Europeiska socialfonden, fonden för europeiskt bistånd till dem som har det sämst ställt, Horisont 2020, Europeiska regionala utvecklingsfonden och programmet Rättigheter, jämlikhet och medborgarskap. Lokala och regionala myndigheter bör få direkt tillgång till dessa medel för åtgärder som direkt omfattas av deras ansvarsområden.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155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(13)</w:t>
            </w:r>
            <w:r>
              <w:tab/>
            </w:r>
            <w:r>
              <w:t xml:space="preserve">Resurser från asyl-, migrations- och integrationsfonden bör användas för att på lämpligt sätt stödja medlemsstaternas arbete med att genomföra de normer som fastställs genom </w:t>
            </w:r>
            <w:r>
              <w:rPr>
                <w:rFonts w:ascii="Times New Roman" w:eastAsia="Times New Roman" w:hAnsi="Times New Roman" w:cs="Times New Roman"/>
                <w:b/>
                <w:i/>
                <w:strike w:val="0"/>
                <w:color w:val="000000"/>
                <w:sz w:val="24"/>
                <w:highlight w:val="none"/>
                <w:u w:val="none" w:color="auto"/>
              </w:rPr>
              <w:t>förordningen</w:t>
            </w:r>
            <w:r>
              <w:t xml:space="preserve">, särskilt de medlemsstater </w:t>
            </w:r>
            <w:r>
              <w:rPr>
                <w:rFonts w:ascii="Times New Roman" w:eastAsia="Times New Roman" w:hAnsi="Times New Roman" w:cs="Times New Roman"/>
                <w:b/>
                <w:i/>
                <w:strike w:val="0"/>
                <w:color w:val="000000"/>
                <w:sz w:val="24"/>
                <w:highlight w:val="none"/>
                <w:u w:val="none" w:color="auto"/>
              </w:rPr>
              <w:t>vars asylsystem utsätts för ett särskilt och oproportionerligt hårt tryck</w:t>
            </w:r>
            <w:r>
              <w:t xml:space="preserve">, främst på grund av </w:t>
            </w:r>
            <w:r>
              <w:rPr>
                <w:rFonts w:ascii="Times New Roman" w:eastAsia="Times New Roman" w:hAnsi="Times New Roman" w:cs="Times New Roman"/>
                <w:b/>
                <w:i/>
                <w:strike w:val="0"/>
                <w:color w:val="000000"/>
                <w:sz w:val="24"/>
                <w:highlight w:val="none"/>
                <w:u w:val="none" w:color="auto"/>
              </w:rPr>
              <w:t>deras</w:t>
            </w:r>
            <w:r>
              <w:t xml:space="preserve"> geografiska eller demografiska situation.</w:t>
            </w:r>
          </w:p>
        </w:tc>
        <w:tc>
          <w:tcPr/>
          <w:p>
            <w:pPr>
              <w:pStyle w:val="Normal6"/>
            </w:pPr>
            <w:r>
              <w:t>(13)</w:t>
            </w:r>
            <w:r>
              <w:tab/>
            </w:r>
            <w:r>
              <w:t xml:space="preserve">Resurser från asyl-, migrations- och integrationsfonden bör användas för att på lämpligt sätt stödja medlemsstaternas arbete med att genomföra de </w:t>
            </w:r>
            <w:r>
              <w:rPr>
                <w:rFonts w:ascii="Times New Roman" w:eastAsia="Times New Roman" w:hAnsi="Times New Roman" w:cs="Times New Roman"/>
                <w:b/>
                <w:i/>
                <w:strike w:val="0"/>
                <w:color w:val="000000"/>
                <w:sz w:val="24"/>
                <w:highlight w:val="none"/>
                <w:u w:val="none" w:color="auto"/>
              </w:rPr>
              <w:t xml:space="preserve">stränga </w:t>
            </w:r>
            <w:r>
              <w:t xml:space="preserve">normer som fastställs genom </w:t>
            </w:r>
            <w:r>
              <w:rPr>
                <w:rFonts w:ascii="Times New Roman" w:eastAsia="Times New Roman" w:hAnsi="Times New Roman" w:cs="Times New Roman"/>
                <w:b/>
                <w:i/>
                <w:strike w:val="0"/>
                <w:color w:val="000000"/>
                <w:sz w:val="24"/>
                <w:highlight w:val="none"/>
                <w:u w:val="none" w:color="auto"/>
              </w:rPr>
              <w:t>direktivet</w:t>
            </w:r>
            <w:r>
              <w:t xml:space="preserve">, särskilt </w:t>
            </w:r>
            <w:r>
              <w:rPr>
                <w:rFonts w:ascii="Times New Roman" w:eastAsia="Times New Roman" w:hAnsi="Times New Roman" w:cs="Times New Roman"/>
                <w:b/>
                <w:i/>
                <w:strike w:val="0"/>
                <w:color w:val="000000"/>
                <w:sz w:val="24"/>
                <w:highlight w:val="none"/>
                <w:u w:val="none" w:color="auto"/>
              </w:rPr>
              <w:t xml:space="preserve">när det gäller att främja långsiktig integration av personer som beviljats internationellt skydd och tillhandahålla stöd till </w:t>
            </w:r>
            <w:r>
              <w:t xml:space="preserve">de medlemsstater </w:t>
            </w:r>
            <w:r>
              <w:rPr>
                <w:rFonts w:ascii="Times New Roman" w:eastAsia="Times New Roman" w:hAnsi="Times New Roman" w:cs="Times New Roman"/>
                <w:b/>
                <w:i/>
                <w:strike w:val="0"/>
                <w:color w:val="000000"/>
                <w:sz w:val="24"/>
                <w:highlight w:val="none"/>
                <w:u w:val="none" w:color="auto"/>
              </w:rPr>
              <w:t>som ställs inför utmaningar med avseende på säkerställande av stränga normer som en del av respektive asylsystem</w:t>
            </w:r>
            <w:r>
              <w:t xml:space="preserve">, främst på grund av </w:t>
            </w:r>
            <w:r>
              <w:rPr>
                <w:rFonts w:ascii="Times New Roman" w:eastAsia="Times New Roman" w:hAnsi="Times New Roman" w:cs="Times New Roman"/>
                <w:b/>
                <w:i/>
                <w:strike w:val="0"/>
                <w:color w:val="000000"/>
                <w:sz w:val="24"/>
                <w:highlight w:val="none"/>
                <w:u w:val="none" w:color="auto"/>
              </w:rPr>
              <w:t>de berörda medlemsstaternas</w:t>
            </w:r>
            <w:r>
              <w:t xml:space="preserve"> geografiska eller demografiska situation. </w:t>
            </w:r>
            <w:r>
              <w:rPr>
                <w:rFonts w:ascii="Times New Roman" w:eastAsia="Times New Roman" w:hAnsi="Times New Roman" w:cs="Times New Roman"/>
                <w:b/>
                <w:i/>
                <w:strike w:val="0"/>
                <w:color w:val="000000"/>
                <w:sz w:val="24"/>
                <w:highlight w:val="none"/>
                <w:u w:val="none" w:color="auto"/>
              </w:rPr>
              <w:t>I detta syfte bör adekvat finansiering göras tillgänglig för lokala och regionala myndigheter, internationella organisationer och organisationer från det civila samhället, även genom en möjlighet för de lokala och regionala myndigheterna att få direkt tillgång till asyl-, migrations- och integrationsfonden.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156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Alessandra Mussolini</w:t>
      </w:r>
      <w:r>
        <w:t xml:space="preserve">, </w:t>
      </w:r>
      <w:r>
        <w:t>Elissavet Vozemberg-Vrionidi</w:t>
      </w:r>
      <w:r>
        <w:t xml:space="preserve">, </w:t>
      </w:r>
      <w:r>
        <w:t>Barbara Matera</w:t>
      </w:r>
      <w:r>
        <w:t xml:space="preserve">, </w:t>
      </w:r>
      <w:r>
        <w:t>Salvatore Domenico Pogliese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(13)</w:t>
            </w:r>
            <w:r>
              <w:tab/>
            </w:r>
            <w:r>
              <w:t xml:space="preserve">Resurser från asyl-, migrations- och integrationsfonden bör användas för att på lämpligt sätt stödja medlemsstaternas arbete med att genomföra de normer som fastställs genom förordningen, </w:t>
            </w:r>
            <w:r>
              <w:rPr>
                <w:rFonts w:ascii="Times New Roman" w:eastAsia="Times New Roman" w:hAnsi="Times New Roman" w:cs="Times New Roman"/>
                <w:b/>
                <w:i/>
                <w:strike w:val="0"/>
                <w:color w:val="000000"/>
                <w:sz w:val="24"/>
                <w:highlight w:val="none"/>
                <w:u w:val="none" w:color="auto"/>
              </w:rPr>
              <w:t>särskilt</w:t>
            </w:r>
            <w:r>
              <w:t xml:space="preserve"> de medlemsstater vars asylsystem utsätts för ett särskilt och oproportionerligt hårt tryck, främst på grund av deras geografiska eller demografiska situation.</w:t>
            </w:r>
          </w:p>
        </w:tc>
        <w:tc>
          <w:tcPr/>
          <w:p>
            <w:pPr>
              <w:pStyle w:val="Normal6"/>
            </w:pPr>
            <w:r>
              <w:t>(13)</w:t>
            </w:r>
            <w:r>
              <w:tab/>
            </w:r>
            <w:r>
              <w:t xml:space="preserve">Resurser från asyl-, migrations- och integrationsfonden bör användas för att på lämpligt sätt stödja medlemsstaternas arbete med att genomföra de normer som fastställs genom förordningen, </w:t>
            </w:r>
            <w:r>
              <w:rPr>
                <w:rFonts w:ascii="Times New Roman" w:eastAsia="Times New Roman" w:hAnsi="Times New Roman" w:cs="Times New Roman"/>
                <w:b/>
                <w:i/>
                <w:strike w:val="0"/>
                <w:color w:val="000000"/>
                <w:sz w:val="24"/>
                <w:highlight w:val="none"/>
                <w:u w:val="none" w:color="auto"/>
              </w:rPr>
              <w:t>med prioritering av</w:t>
            </w:r>
            <w:r>
              <w:t xml:space="preserve"> de medlemsstater vars asylsystem utsätts för ett särskilt och oproportionerligt hårt tryck, främst på grund av deras geografiska eller demografiska situation. </w:t>
            </w:r>
            <w:r>
              <w:rPr>
                <w:rFonts w:ascii="Times New Roman" w:eastAsia="Times New Roman" w:hAnsi="Times New Roman" w:cs="Times New Roman"/>
                <w:b/>
                <w:i/>
                <w:strike w:val="0"/>
                <w:color w:val="000000"/>
                <w:sz w:val="24"/>
                <w:highlight w:val="none"/>
                <w:u w:val="none" w:color="auto"/>
              </w:rPr>
              <w:t>Sådant stöd bör vara begränsat till asyl-, migrations- och integrationsfonden, in linje med den allmänna principen om undvikande av dubbelfinansiering.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Förbudet mot dubbelfinansiering är en allmän princip för ESI-fonderna. Det är därför viktigt att se till att varje europeisk fond används för de ändamål som den inrättats för.</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157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Kinga Gál</w:t>
      </w:r>
      <w:r>
        <w:t xml:space="preserve">, </w:t>
      </w:r>
      <w:r>
        <w:t>Pál Csáky</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(13)</w:t>
            </w:r>
            <w:r>
              <w:tab/>
            </w:r>
            <w:r>
              <w:t xml:space="preserve">Resurser från asyl-, migrations- och integrationsfonden bör användas för att på lämpligt sätt stödja medlemsstaternas arbete med att genomföra de normer som fastställs genom förordningen, särskilt de medlemsstater vars asylsystem utsätts för ett särskilt och oproportionerligt hårt tryck, främst på grund av deras geografiska </w:t>
            </w:r>
            <w:r>
              <w:rPr>
                <w:rFonts w:ascii="Times New Roman" w:eastAsia="Times New Roman" w:hAnsi="Times New Roman" w:cs="Times New Roman"/>
                <w:b/>
                <w:i/>
                <w:strike w:val="0"/>
                <w:color w:val="000000"/>
                <w:sz w:val="24"/>
                <w:highlight w:val="none"/>
                <w:u w:val="none" w:color="auto"/>
              </w:rPr>
              <w:t xml:space="preserve">eller demografiska </w:t>
            </w:r>
            <w:r>
              <w:t>situation.</w:t>
            </w:r>
          </w:p>
        </w:tc>
        <w:tc>
          <w:tcPr/>
          <w:p>
            <w:pPr>
              <w:pStyle w:val="Normal6"/>
            </w:pPr>
            <w:r>
              <w:t>(13)</w:t>
            </w:r>
            <w:r>
              <w:tab/>
            </w:r>
            <w:r>
              <w:t>Resurser från asyl-, migrations- och integrationsfonden bör användas för att på lämpligt sätt stödja medlemsstaternas arbete med att genomföra de normer som fastställs genom förordningen, särskilt de medlemsstater vars asylsystem utsätts för ett särskilt och oproportionerligt hårt tryck, främst på grund av deras geografiska situation.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158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(14)</w:t>
            </w:r>
            <w:r>
              <w:tab/>
            </w:r>
            <w:r>
              <w:t xml:space="preserve">Europeiska unionens asylbyrå bör ge lämpligt stöd för tillämpningen av denna förordning, särskilt genom att tillhandahålla experter för att bistå medlemsstaternas myndigheter med att ta emot, registrera och pröva ansökningar om internationellt skydd, lämna uppdaterad information om tredjeländer, inbegripet information om ursprungsländer, och andra relevanta riktlinjer och verktyg. När medlemsstaternas myndigheter tillämpar denna förordning bör de beakta operativa standarder, vägledande riktlinjer och bästa praxis som utvecklats av Europeiska unionens asylbyrå. Vid bedömningen av ansökningar om internationellt skydd bör medlemsstaternas myndigheter ta särskild hänsyn till den information, de rapporter, den gemensamma analys och den vägledning om situationen i ursprungsländer som utvecklats av Europeiska unionens asylbyrå och de europeiska nätverken för information om ursprungsländer i enlighet med artiklarna 8 och 10 i </w:t>
            </w:r>
            <w:r>
              <w:rPr>
                <w:rFonts w:ascii="Times New Roman" w:eastAsia="Times New Roman" w:hAnsi="Times New Roman" w:cs="Times New Roman"/>
                <w:b/>
                <w:i/>
                <w:strike w:val="0"/>
                <w:color w:val="000000"/>
                <w:sz w:val="24"/>
                <w:highlight w:val="none"/>
                <w:u w:val="none" w:color="auto"/>
              </w:rPr>
              <w:t>förordning (EU) XXX/XX [Förordning om</w:t>
            </w:r>
            <w:r>
              <w:t xml:space="preserve"> Europeiska unionens </w:t>
            </w:r>
            <w:r>
              <w:rPr>
                <w:rFonts w:ascii="Times New Roman" w:eastAsia="Times New Roman" w:hAnsi="Times New Roman" w:cs="Times New Roman"/>
                <w:b/>
                <w:i/>
                <w:strike w:val="0"/>
                <w:color w:val="000000"/>
                <w:sz w:val="24"/>
                <w:highlight w:val="none"/>
                <w:u w:val="none" w:color="auto"/>
              </w:rPr>
              <w:t>asylbyrå]</w:t>
            </w:r>
            <w:r>
              <w:rPr>
                <w:rStyle w:val="SupBoldItalic"/>
              </w:rPr>
              <w:t>34</w:t>
            </w:r>
            <w:r>
              <w:rPr>
                <w:rFonts w:ascii="Times New Roman" w:eastAsia="Times New Roman" w:hAnsi="Times New Roman" w:cs="Times New Roman"/>
                <w:b/>
                <w:i/>
                <w:strike w:val="0"/>
                <w:color w:val="000000"/>
                <w:sz w:val="24"/>
                <w:highlight w:val="none"/>
                <w:u w:val="none" w:color="auto"/>
              </w:rPr>
              <w:t xml:space="preserve"> </w:t>
            </w:r>
            <w:r>
              <w:t>.</w:t>
            </w:r>
          </w:p>
        </w:tc>
        <w:tc>
          <w:tcPr/>
          <w:p>
            <w:pPr>
              <w:pStyle w:val="Normal6"/>
            </w:pPr>
            <w:r>
              <w:t>(14)</w:t>
            </w:r>
            <w:r>
              <w:tab/>
            </w:r>
            <w:r>
              <w:t xml:space="preserve">Europeiska unionens asylbyrå bör ge lämpligt stöd för tillämpningen av denna förordning, särskilt genom att tillhandahålla experter för att bistå medlemsstaternas myndigheter med att ta emot, registrera och pröva ansökningar om internationellt skydd, lämna uppdaterad information om tredjeländer, inbegripet information om ursprungsländer, och andra relevanta riktlinjer och verktyg. När medlemsstaternas myndigheter tillämpar denna förordning bör de beakta operativa standarder, vägledande riktlinjer och bästa praxis som utvecklats av Europeiska unionens asylbyrå. Vid bedömningen av ansökningar om internationellt skydd bör medlemsstaternas myndigheter ta särskild hänsyn till den information, de rapporter, den gemensamma analys och den vägledning om situationen i ursprungsländer som utvecklats av Europeiska unionens asylbyrå och de europeiska nätverken för information om ursprungsländer i enlighet med artiklarna 8 och 10 i </w:t>
            </w:r>
            <w:r>
              <w:rPr>
                <w:rFonts w:ascii="Times New Roman" w:eastAsia="Times New Roman" w:hAnsi="Times New Roman" w:cs="Times New Roman"/>
                <w:b/>
                <w:i/>
                <w:strike w:val="0"/>
                <w:color w:val="000000"/>
                <w:sz w:val="24"/>
                <w:highlight w:val="none"/>
                <w:u w:val="none" w:color="auto"/>
              </w:rPr>
              <w:t>förordningen</w:t>
            </w:r>
            <w:r>
              <w:rPr>
                <w:rStyle w:val="SupBoldItalic"/>
              </w:rPr>
              <w:t>34</w:t>
            </w:r>
            <w:r>
              <w:rPr>
                <w:rFonts w:ascii="Times New Roman" w:eastAsia="Times New Roman" w:hAnsi="Times New Roman" w:cs="Times New Roman"/>
                <w:b/>
                <w:i/>
                <w:strike w:val="0"/>
                <w:color w:val="000000"/>
                <w:sz w:val="24"/>
                <w:highlight w:val="none"/>
                <w:u w:val="none" w:color="auto"/>
              </w:rPr>
              <w:t>. För att tillämpa den här förordningen bör</w:t>
            </w:r>
            <w:r>
              <w:t xml:space="preserve"> Europeiska unionens </w:t>
            </w:r>
            <w:r>
              <w:rPr>
                <w:rFonts w:ascii="Times New Roman" w:eastAsia="Times New Roman" w:hAnsi="Times New Roman" w:cs="Times New Roman"/>
                <w:b/>
                <w:i/>
                <w:strike w:val="0"/>
                <w:color w:val="000000"/>
                <w:sz w:val="24"/>
                <w:highlight w:val="none"/>
                <w:u w:val="none" w:color="auto"/>
              </w:rPr>
              <w:t>byrå och medlemsstaterna ta hänsyn till information som lämnas av FN:s flyktingkommissarie och av icke-statliga organisationer som är verksamma på plats</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34</w:t>
            </w:r>
            <w:r>
              <w:t xml:space="preserve"> </w:t>
            </w:r>
            <w:r>
              <w:t>COM(2016) 271 final.</w:t>
            </w:r>
          </w:p>
        </w:tc>
        <w:tc>
          <w:tcPr/>
          <w:p>
            <w:pPr>
              <w:pStyle w:val="Normal6"/>
            </w:pPr>
            <w:r>
              <w:rPr>
                <w:rStyle w:val="SupBoldItalic"/>
              </w:rPr>
              <w:t>34</w:t>
            </w:r>
            <w:r>
              <w:t xml:space="preserve"> </w:t>
            </w:r>
            <w:r>
              <w:t>COM(2016) 271 final.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159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(14)</w:t>
            </w:r>
            <w:r>
              <w:tab/>
            </w:r>
            <w:r>
              <w:t>Europeiska unionens asylbyrå bör ge lämpligt stöd för tillämpningen av denna förordning</w:t>
            </w:r>
            <w:r>
              <w:rPr>
                <w:rFonts w:ascii="Times New Roman" w:eastAsia="Times New Roman" w:hAnsi="Times New Roman" w:cs="Times New Roman"/>
                <w:b/>
                <w:i/>
                <w:strike w:val="0"/>
                <w:color w:val="000000"/>
                <w:sz w:val="24"/>
                <w:highlight w:val="none"/>
                <w:u w:val="none" w:color="auto"/>
              </w:rPr>
              <w:t>, särskilt genom att tillhandahålla experter för att bistå medlemsstaternas myndigheter med att ta emot, registrera och pröva ansökningar om internationellt skydd, lämna uppdaterad information om tredjeländer, inbegripet information om ursprungsländer, och andra relevanta riktlinjer och verktyg</w:t>
            </w:r>
            <w:r>
              <w:t xml:space="preserve">. När medlemsstaternas myndigheter </w:t>
            </w:r>
            <w:r>
              <w:rPr>
                <w:rFonts w:ascii="Times New Roman" w:eastAsia="Times New Roman" w:hAnsi="Times New Roman" w:cs="Times New Roman"/>
                <w:b/>
                <w:i/>
                <w:strike w:val="0"/>
                <w:color w:val="000000"/>
                <w:sz w:val="24"/>
                <w:highlight w:val="none"/>
                <w:u w:val="none" w:color="auto"/>
              </w:rPr>
              <w:t>tillämpar</w:t>
            </w:r>
            <w:r>
              <w:t xml:space="preserve"> denna förordning </w:t>
            </w:r>
            <w:r>
              <w:rPr>
                <w:rFonts w:ascii="Times New Roman" w:eastAsia="Times New Roman" w:hAnsi="Times New Roman" w:cs="Times New Roman"/>
                <w:b/>
                <w:i/>
                <w:strike w:val="0"/>
                <w:color w:val="000000"/>
                <w:sz w:val="24"/>
                <w:highlight w:val="none"/>
                <w:u w:val="none" w:color="auto"/>
              </w:rPr>
              <w:t>bör de beakta operativa standarder,</w:t>
            </w:r>
            <w:r>
              <w:t xml:space="preserve"> vägledande riktlinjer och bästa praxis som utvecklats av </w:t>
            </w:r>
            <w:r>
              <w:rPr>
                <w:rFonts w:ascii="Times New Roman" w:eastAsia="Times New Roman" w:hAnsi="Times New Roman" w:cs="Times New Roman"/>
                <w:b/>
                <w:i/>
                <w:strike w:val="0"/>
                <w:color w:val="000000"/>
                <w:sz w:val="24"/>
                <w:highlight w:val="none"/>
                <w:u w:val="none" w:color="auto"/>
              </w:rPr>
              <w:t>Europeiska unionens asylbyrå</w:t>
            </w:r>
            <w:r>
              <w:t xml:space="preserve">. Vid bedömningen av ansökningar om internationellt skydd </w:t>
            </w:r>
            <w:r>
              <w:rPr>
                <w:rFonts w:ascii="Times New Roman" w:eastAsia="Times New Roman" w:hAnsi="Times New Roman" w:cs="Times New Roman"/>
                <w:b/>
                <w:i/>
                <w:strike w:val="0"/>
                <w:color w:val="000000"/>
                <w:sz w:val="24"/>
                <w:highlight w:val="none"/>
                <w:u w:val="none" w:color="auto"/>
              </w:rPr>
              <w:t>bör</w:t>
            </w:r>
            <w:r>
              <w:t xml:space="preserve"> medlemsstaternas myndigheter ta </w:t>
            </w:r>
            <w:r>
              <w:rPr>
                <w:rFonts w:ascii="Times New Roman" w:eastAsia="Times New Roman" w:hAnsi="Times New Roman" w:cs="Times New Roman"/>
                <w:b/>
                <w:i/>
                <w:strike w:val="0"/>
                <w:color w:val="000000"/>
                <w:sz w:val="24"/>
                <w:highlight w:val="none"/>
                <w:u w:val="none" w:color="auto"/>
              </w:rPr>
              <w:t xml:space="preserve">särskild </w:t>
            </w:r>
            <w:r>
              <w:t>hänsyn till den information, de rapporter, den gemensamma analys och den vägledning om situationen i ursprungsländer som utvecklats av Europeiska unionens asylbyrå och de europeiska nätverken för information om ursprungsländer i enlighet med artiklarna 8 och 10 i förordning (EU) XXX/XX [Förordning om Europeiska unionens asylbyrå]</w:t>
            </w:r>
            <w:r>
              <w:rPr>
                <w:rStyle w:val="Sup"/>
              </w:rPr>
              <w:t>34</w:t>
            </w:r>
            <w:r>
              <w:t>.</w:t>
            </w:r>
          </w:p>
        </w:tc>
        <w:tc>
          <w:tcPr/>
          <w:p>
            <w:pPr>
              <w:pStyle w:val="Normal6"/>
            </w:pPr>
            <w:r>
              <w:t>(14)</w:t>
            </w:r>
            <w:r>
              <w:tab/>
            </w:r>
            <w:r>
              <w:t xml:space="preserve">Europeiska unionens asylbyrå bör ge lämpligt stöd för tillämpningen av denna förordning. När medlemsstaternas myndigheter </w:t>
            </w:r>
            <w:r>
              <w:rPr>
                <w:rFonts w:ascii="Times New Roman" w:eastAsia="Times New Roman" w:hAnsi="Times New Roman" w:cs="Times New Roman"/>
                <w:b/>
                <w:i/>
                <w:strike w:val="0"/>
                <w:color w:val="000000"/>
                <w:sz w:val="24"/>
                <w:highlight w:val="none"/>
                <w:u w:val="none" w:color="auto"/>
              </w:rPr>
              <w:t>genomför</w:t>
            </w:r>
            <w:r>
              <w:t xml:space="preserve"> denna förordning </w:t>
            </w:r>
            <w:r>
              <w:rPr>
                <w:rFonts w:ascii="Times New Roman" w:eastAsia="Times New Roman" w:hAnsi="Times New Roman" w:cs="Times New Roman"/>
                <w:b/>
                <w:i/>
                <w:strike w:val="0"/>
                <w:color w:val="000000"/>
                <w:sz w:val="24"/>
                <w:highlight w:val="none"/>
                <w:u w:val="none" w:color="auto"/>
              </w:rPr>
              <w:t>skulle de kunna beakta</w:t>
            </w:r>
            <w:r>
              <w:t xml:space="preserve"> vägledande riktlinjer och bästa praxis som utvecklats av </w:t>
            </w:r>
            <w:r>
              <w:rPr>
                <w:rFonts w:ascii="Times New Roman" w:eastAsia="Times New Roman" w:hAnsi="Times New Roman" w:cs="Times New Roman"/>
                <w:b/>
                <w:i/>
                <w:strike w:val="0"/>
                <w:color w:val="000000"/>
                <w:sz w:val="24"/>
                <w:highlight w:val="none"/>
                <w:u w:val="none" w:color="auto"/>
              </w:rPr>
              <w:t>byrån</w:t>
            </w:r>
            <w:r>
              <w:t xml:space="preserve">. Vid bedömningen av ansökningar om internationellt skydd </w:t>
            </w:r>
            <w:r>
              <w:rPr>
                <w:rFonts w:ascii="Times New Roman" w:eastAsia="Times New Roman" w:hAnsi="Times New Roman" w:cs="Times New Roman"/>
                <w:b/>
                <w:i/>
                <w:strike w:val="0"/>
                <w:color w:val="000000"/>
                <w:sz w:val="24"/>
                <w:highlight w:val="none"/>
                <w:u w:val="none" w:color="auto"/>
              </w:rPr>
              <w:t>kan</w:t>
            </w:r>
            <w:r>
              <w:t xml:space="preserve"> medlemsstaternas myndigheter ta hänsyn till den information, de rapporter, den gemensamma analys och den vägledning om situationen i ursprungsländer som utvecklats av Europeiska unionens asylbyrå och de europeiska nätverken för information om ursprungsländer i enlighet med artiklarna 8 och 10 i förordning (EU) XXX/XX [Förordning om Europeiska unionens asylbyrå]</w:t>
            </w:r>
            <w:r>
              <w:rPr>
                <w:rStyle w:val="Sup"/>
              </w:rPr>
              <w:t>34</w:t>
            </w:r>
            <w:r>
              <w:t xml:space="preserve">. </w:t>
            </w:r>
            <w:r>
              <w:rPr>
                <w:rFonts w:ascii="Times New Roman" w:eastAsia="Times New Roman" w:hAnsi="Times New Roman" w:cs="Times New Roman"/>
                <w:b/>
                <w:i/>
                <w:strike w:val="0"/>
                <w:color w:val="000000"/>
                <w:sz w:val="24"/>
                <w:highlight w:val="none"/>
                <w:u w:val="none" w:color="auto"/>
              </w:rPr>
              <w:t>När medlemsstaterna bedömer ansökningar om internationellt skydd måste de dessutom ta hänsyn till all relevant information från FN:s flyktingkommissariat och organisationer från det civila samhället som är aktiva på plats.</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COM(2016) 271 final</w:t>
            </w:r>
            <w:r>
              <w:t>.</w:t>
            </w:r>
          </w:p>
        </w:tc>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COM(2016)0271</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160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(14)</w:t>
            </w:r>
            <w:r>
              <w:tab/>
            </w:r>
            <w:r>
              <w:t xml:space="preserve">Europeiska unionens asylbyrå bör ge lämpligt stöd för tillämpningen av </w:t>
            </w:r>
            <w:r>
              <w:rPr>
                <w:rFonts w:ascii="Times New Roman" w:eastAsia="Times New Roman" w:hAnsi="Times New Roman" w:cs="Times New Roman"/>
                <w:b/>
                <w:i/>
                <w:strike w:val="0"/>
                <w:color w:val="000000"/>
                <w:sz w:val="24"/>
                <w:highlight w:val="none"/>
                <w:u w:val="none" w:color="auto"/>
              </w:rPr>
              <w:t>denna förordning</w:t>
            </w:r>
            <w:r>
              <w:t xml:space="preserve">, särskilt genom att tillhandahålla experter för att bistå medlemsstaternas myndigheter med att ta emot, registrera och pröva ansökningar om internationellt skydd, lämna uppdaterad information om tredjeländer, inbegripet information om ursprungsländer, och andra relevanta riktlinjer och verktyg. När medlemsstaternas myndigheter </w:t>
            </w:r>
            <w:r>
              <w:rPr>
                <w:rFonts w:ascii="Times New Roman" w:eastAsia="Times New Roman" w:hAnsi="Times New Roman" w:cs="Times New Roman"/>
                <w:b/>
                <w:i/>
                <w:strike w:val="0"/>
                <w:color w:val="000000"/>
                <w:sz w:val="24"/>
                <w:highlight w:val="none"/>
                <w:u w:val="none" w:color="auto"/>
              </w:rPr>
              <w:t>tillämpar denna förordning</w:t>
            </w:r>
            <w:r>
              <w:t xml:space="preserve"> bör de beakta operativa standarder, vägledande riktlinjer och bästa praxis som utvecklats av Europeiska unionens asylbyrå. Vid bedömningen av ansökningar om internationellt skydd bör medlemsstaternas myndigheter ta särskild hänsyn till den information, de rapporter, den gemensamma analys och den vägledning om situationen i ursprungsländer som utvecklats av Europeiska unionens asylbyrå och de europeiska nätverken för information om ursprungsländer i enlighet med artiklarna 8 och 10 i förordning (EU) XXX/XX [Förordning om Europeiska unionens asylbyrå]</w:t>
            </w:r>
            <w:r>
              <w:rPr>
                <w:rStyle w:val="Sup"/>
              </w:rPr>
              <w:t>34</w:t>
            </w:r>
            <w:r>
              <w:t>.</w:t>
            </w:r>
          </w:p>
        </w:tc>
        <w:tc>
          <w:tcPr/>
          <w:p>
            <w:pPr>
              <w:pStyle w:val="Normal6"/>
            </w:pPr>
            <w:r>
              <w:t>(14)</w:t>
            </w:r>
            <w:r>
              <w:tab/>
            </w:r>
            <w:r>
              <w:t xml:space="preserve">Europeiska unionens asylbyrå bör ge lämpligt stöd för tillämpningen av </w:t>
            </w:r>
            <w:r>
              <w:rPr>
                <w:rFonts w:ascii="Times New Roman" w:eastAsia="Times New Roman" w:hAnsi="Times New Roman" w:cs="Times New Roman"/>
                <w:b/>
                <w:i/>
                <w:strike w:val="0"/>
                <w:color w:val="000000"/>
                <w:sz w:val="24"/>
                <w:highlight w:val="none"/>
                <w:u w:val="none" w:color="auto"/>
              </w:rPr>
              <w:t>detta direktiv</w:t>
            </w:r>
            <w:r>
              <w:t xml:space="preserve">, särskilt genom att tillhandahålla experter för att bistå medlemsstaternas myndigheter med att ta emot, registrera och pröva ansökningar om internationellt skydd, lämna uppdaterad information om tredjeländer, inbegripet information om ursprungsländer, och andra relevanta riktlinjer och verktyg. När medlemsstaternas myndigheter </w:t>
            </w:r>
            <w:r>
              <w:rPr>
                <w:rFonts w:ascii="Times New Roman" w:eastAsia="Times New Roman" w:hAnsi="Times New Roman" w:cs="Times New Roman"/>
                <w:b/>
                <w:i/>
                <w:strike w:val="0"/>
                <w:color w:val="000000"/>
                <w:sz w:val="24"/>
                <w:highlight w:val="none"/>
                <w:u w:val="none" w:color="auto"/>
              </w:rPr>
              <w:t>införlivar och genomför detta direktiv</w:t>
            </w:r>
            <w:r>
              <w:t xml:space="preserve"> bör de beakta operativa standarder, vägledande riktlinjer och bästa praxis som utvecklats av Europeiska unionens asylbyrå. Vid bedömningen av ansökningar om internationellt skydd bör medlemsstaternas myndigheter ta särskild hänsyn till den information, de rapporter, den gemensamma analys och den vägledning om situationen i ursprungsländer som utvecklats av Europeiska unionens asylbyrå och de europeiska nätverken för information om ursprungsländer i enlighet med artiklarna 8 och 10 i förordning (EU) XXX/XX [Förordning om Europeiska unionens asylbyrå]</w:t>
            </w:r>
            <w:r>
              <w:rPr>
                <w:rStyle w:val="Sup"/>
              </w:rPr>
              <w:t>34</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COM(2016) 271 final</w:t>
            </w:r>
            <w:r>
              <w:t>.</w:t>
            </w:r>
          </w:p>
        </w:tc>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COM(2016)0271</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161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Pál Csáky</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(14)</w:t>
            </w:r>
            <w:r>
              <w:tab/>
            </w:r>
            <w:r>
              <w:t xml:space="preserve">Europeiska unionens asylbyrå bör ge lämpligt stöd för tillämpningen av denna förordning, särskilt genom att tillhandahålla experter för att bistå medlemsstaternas myndigheter med att ta emot, registrera och pröva ansökningar om internationellt skydd, lämna uppdaterad information om tredjeländer, inbegripet information om ursprungsländer, och andra relevanta riktlinjer och verktyg. När medlemsstaternas myndigheter tillämpar denna förordning bör de beakta operativa standarder, vägledande riktlinjer och bästa praxis som utvecklats av Europeiska unionens asylbyrå. Vid bedömningen av ansökningar om internationellt skydd bör medlemsstaternas myndigheter ta </w:t>
            </w:r>
            <w:r>
              <w:rPr>
                <w:rFonts w:ascii="Times New Roman" w:eastAsia="Times New Roman" w:hAnsi="Times New Roman" w:cs="Times New Roman"/>
                <w:b/>
                <w:i/>
                <w:strike w:val="0"/>
                <w:color w:val="000000"/>
                <w:sz w:val="24"/>
                <w:highlight w:val="none"/>
                <w:u w:val="none" w:color="auto"/>
              </w:rPr>
              <w:t xml:space="preserve">särskild </w:t>
            </w:r>
            <w:r>
              <w:t>hänsyn till den information, de rapporter, den gemensamma analys och den vägledning om situationen i ursprungsländer som utvecklats av Europeiska unionens asylbyrå och de europeiska nätverken för information om ursprungsländer i enlighet med artiklarna 8 och 10 i förordning (EU) XXX/XX [Förordning om Europeiska unionens asylbyrå]</w:t>
            </w:r>
            <w:r>
              <w:rPr>
                <w:rStyle w:val="Sup"/>
              </w:rPr>
              <w:t>34</w:t>
            </w:r>
            <w:r>
              <w:t>.</w:t>
            </w:r>
          </w:p>
        </w:tc>
        <w:tc>
          <w:tcPr/>
          <w:p>
            <w:pPr>
              <w:pStyle w:val="Normal6"/>
            </w:pPr>
            <w:r>
              <w:t>(14)</w:t>
            </w:r>
            <w:r>
              <w:tab/>
            </w:r>
            <w:r>
              <w:t>Europeiska unionens asylbyrå bör ge lämpligt stöd för tillämpningen av denna förordning, särskilt genom att tillhandahålla experter för att bistå medlemsstaternas myndigheter med att ta emot, registrera och pröva ansökningar om internationellt skydd, lämna uppdaterad information om tredjeländer, inbegripet information om ursprungsländer, och andra relevanta riktlinjer och verktyg. När medlemsstaternas myndigheter tillämpar denna förordning bör de beakta operativa standarder, vägledande riktlinjer och bästa praxis som utvecklats av Europeiska unionens asylbyrå. Vid bedömningen av ansökningar om internationellt skydd bör medlemsstaternas myndigheter ta hänsyn till den information, de rapporter, den gemensamma analys och den vägledning om situationen i ursprungsländer som utvecklats av Europeiska unionens asylbyrå och de europeiska nätverken för information om ursprungsländer i enlighet med artiklarna 8 och 10 i förordning (EU) XXX/XX [Förordning om Europeiska unionens asylbyrå]</w:t>
            </w:r>
            <w:r>
              <w:rPr>
                <w:rStyle w:val="Sup"/>
              </w:rPr>
              <w:t>34</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COM(2016) 271 final</w:t>
            </w:r>
            <w:r>
              <w:t>.</w:t>
            </w:r>
          </w:p>
        </w:tc>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COM(2016)0271</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162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(14)</w:t>
            </w:r>
            <w:r>
              <w:tab/>
            </w:r>
            <w:r>
              <w:t>Europeiska unionens asylbyrå bör ge lämpligt stöd för tillämpningen av denna förordning, särskilt genom att tillhandahålla experter för att bistå medlemsstaternas myndigheter med att ta emot</w:t>
            </w:r>
            <w:r>
              <w:rPr>
                <w:rFonts w:ascii="Times New Roman" w:eastAsia="Times New Roman" w:hAnsi="Times New Roman" w:cs="Times New Roman"/>
                <w:b/>
                <w:i/>
                <w:strike w:val="0"/>
                <w:color w:val="000000"/>
                <w:sz w:val="24"/>
                <w:highlight w:val="none"/>
                <w:u w:val="none" w:color="auto"/>
              </w:rPr>
              <w:t>, registrera och pröva</w:t>
            </w:r>
            <w:r>
              <w:t xml:space="preserve"> ansökningar om internationellt skydd, lämna uppdaterad information om tredjeländer, inbegripet information om ursprungsländer, och andra relevanta riktlinjer och verktyg. När medlemsstaternas myndigheter tillämpar denna förordning </w:t>
            </w:r>
            <w:r>
              <w:rPr>
                <w:rFonts w:ascii="Times New Roman" w:eastAsia="Times New Roman" w:hAnsi="Times New Roman" w:cs="Times New Roman"/>
                <w:b/>
                <w:i/>
                <w:strike w:val="0"/>
                <w:color w:val="000000"/>
                <w:sz w:val="24"/>
                <w:highlight w:val="none"/>
                <w:u w:val="none" w:color="auto"/>
              </w:rPr>
              <w:t>bör</w:t>
            </w:r>
            <w:r>
              <w:t xml:space="preserve"> de beakta operativa standarder, vägledande riktlinjer och bästa praxis som utvecklats av Europeiska unionens asylbyrå. Vid bedömningen av ansökningar om internationellt skydd </w:t>
            </w:r>
            <w:r>
              <w:rPr>
                <w:rFonts w:ascii="Times New Roman" w:eastAsia="Times New Roman" w:hAnsi="Times New Roman" w:cs="Times New Roman"/>
                <w:b/>
                <w:i/>
                <w:strike w:val="0"/>
                <w:color w:val="000000"/>
                <w:sz w:val="24"/>
                <w:highlight w:val="none"/>
                <w:u w:val="none" w:color="auto"/>
              </w:rPr>
              <w:t>bör</w:t>
            </w:r>
            <w:r>
              <w:t xml:space="preserve"> medlemsstaternas myndigheter ta särskild hänsyn till den information, de rapporter, den gemensamma analys och den vägledning om situationen i ursprungsländer som utvecklats av Europeiska unionens asylbyrå och de europeiska nätverken för information om ursprungsländer i enlighet med artiklarna 8 och 10 i förordning (EU) XXX/XX [Förordning om Europeiska unionens asylbyrå]</w:t>
            </w:r>
            <w:r>
              <w:rPr>
                <w:rStyle w:val="Sup"/>
              </w:rPr>
              <w:t>34</w:t>
            </w:r>
            <w:r>
              <w:t>.</w:t>
            </w:r>
          </w:p>
        </w:tc>
        <w:tc>
          <w:tcPr/>
          <w:p>
            <w:pPr>
              <w:pStyle w:val="Normal6"/>
            </w:pPr>
            <w:r>
              <w:t>(14)</w:t>
            </w:r>
            <w:r>
              <w:tab/>
            </w:r>
            <w:r>
              <w:t>Europeiska unionens asylbyrå bör ge lämpligt stöd för tillämpningen av denna förordning, särskilt genom att tillhandahålla experter för att bistå medlemsstaternas myndigheter med att ta emot</w:t>
            </w:r>
            <w:r>
              <w:rPr>
                <w:rFonts w:ascii="Times New Roman" w:eastAsia="Times New Roman" w:hAnsi="Times New Roman" w:cs="Times New Roman"/>
                <w:b/>
                <w:i/>
                <w:strike w:val="0"/>
                <w:color w:val="000000"/>
                <w:sz w:val="24"/>
                <w:highlight w:val="none"/>
                <w:u w:val="none" w:color="auto"/>
              </w:rPr>
              <w:t xml:space="preserve"> och registrera</w:t>
            </w:r>
            <w:r>
              <w:t xml:space="preserve"> ansökningar om internationellt skydd, lämna uppdaterad information om tredjeländer, inbegripet information om ursprungsländer, och andra relevanta riktlinjer och verktyg. När medlemsstaternas myndigheter tillämpar denna förordning </w:t>
            </w:r>
            <w:r>
              <w:rPr>
                <w:rFonts w:ascii="Times New Roman" w:eastAsia="Times New Roman" w:hAnsi="Times New Roman" w:cs="Times New Roman"/>
                <w:b/>
                <w:i/>
                <w:strike w:val="0"/>
                <w:color w:val="000000"/>
                <w:sz w:val="24"/>
                <w:highlight w:val="none"/>
                <w:u w:val="none" w:color="auto"/>
              </w:rPr>
              <w:t>kan</w:t>
            </w:r>
            <w:r>
              <w:t xml:space="preserve"> de beakta operativa standarder, vägledande riktlinjer och bästa praxis som utvecklats av Europeiska unionens asylbyrå. Vid bedömningen av ansökningar om internationellt skydd </w:t>
            </w:r>
            <w:r>
              <w:rPr>
                <w:rFonts w:ascii="Times New Roman" w:eastAsia="Times New Roman" w:hAnsi="Times New Roman" w:cs="Times New Roman"/>
                <w:b/>
                <w:i/>
                <w:strike w:val="0"/>
                <w:color w:val="000000"/>
                <w:sz w:val="24"/>
                <w:highlight w:val="none"/>
                <w:u w:val="none" w:color="auto"/>
              </w:rPr>
              <w:t>kan</w:t>
            </w:r>
            <w:r>
              <w:t xml:space="preserve"> medlemsstaternas myndigheter ta särskild hänsyn till den information, de rapporter, den gemensamma analys och den vägledning om situationen i ursprungsländer som utvecklats av Europeiska unionens asylbyrå och de europeiska nätverken för information om ursprungsländer i enlighet med artiklarna 8 och 10 i förordning (EU) XXX/XX [Förordning om Europeiska unionens asylbyrå]</w:t>
            </w:r>
            <w:r>
              <w:rPr>
                <w:rStyle w:val="Sup"/>
              </w:rPr>
              <w:t>34</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COM(2016) 271 final</w:t>
            </w:r>
            <w:r>
              <w:t>.</w:t>
            </w:r>
          </w:p>
        </w:tc>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COM(2016)0271</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163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(15)</w:t>
            </w:r>
            <w:r>
              <w:tab/>
            </w:r>
            <w:r>
              <w:t>Vid tillämpningen av denna förordning bör i första hand hänsyn tas till barnets bästa, i enlighet med Förenta nationernas konvention från 1989 om barnets rättigheter. Vid en bedömning av barnets bästa bör medlemsstaternas myndigheter särskilt beakta principen om sammanhållning av familjer, den underåriges välfärd och sociala utveckling, överväganden om trygghet och säkerhet och den underåriges åsikter i förhållande till hans eller hennes ålder och mognad.</w:t>
            </w:r>
          </w:p>
        </w:tc>
        <w:tc>
          <w:tcPr/>
          <w:p>
            <w:pPr>
              <w:pStyle w:val="Normal6"/>
            </w:pPr>
            <w:r>
              <w:t>(15)</w:t>
            </w:r>
            <w:r>
              <w:tab/>
            </w:r>
            <w:r>
              <w:t xml:space="preserve">Vid tillämpningen av denna förordning bör i första hand hänsyn tas till barnets bästa, i enlighet med Förenta nationernas konvention från 1989 om barnets rättigheter. Vid en bedömning av barnets bästa bör medlemsstaternas myndigheter särskilt beakta principen om sammanhållning av familjer, den underåriges välfärd och sociala utveckling, överväganden om trygghet och säkerhet och den underåriges åsikter i förhållande till hans eller hennes ålder och mognad. </w:t>
            </w:r>
            <w:r>
              <w:rPr>
                <w:rFonts w:ascii="Times New Roman" w:eastAsia="Times New Roman" w:hAnsi="Times New Roman" w:cs="Times New Roman"/>
                <w:b/>
                <w:i/>
                <w:strike w:val="0"/>
                <w:color w:val="000000"/>
                <w:sz w:val="24"/>
                <w:highlight w:val="none"/>
                <w:u w:val="none" w:color="auto"/>
              </w:rPr>
              <w:t>Ansökande barn som sedan fyller 18 innan ett beslut fattats om deras ansökan skulle på så sätt fortfarande omfattas av principen om sammanhållning av familjer.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164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(15)</w:t>
            </w:r>
            <w:r>
              <w:tab/>
            </w:r>
            <w:r>
              <w:t xml:space="preserve">Vid tillämpningen av </w:t>
            </w:r>
            <w:r>
              <w:rPr>
                <w:rFonts w:ascii="Times New Roman" w:eastAsia="Times New Roman" w:hAnsi="Times New Roman" w:cs="Times New Roman"/>
                <w:b/>
                <w:i/>
                <w:strike w:val="0"/>
                <w:color w:val="000000"/>
                <w:sz w:val="24"/>
                <w:highlight w:val="none"/>
                <w:u w:val="none" w:color="auto"/>
              </w:rPr>
              <w:t>denna förordning</w:t>
            </w:r>
            <w:r>
              <w:t xml:space="preserve"> bör i första hand hänsyn tas till barnets bästa, i enlighet med Förenta nationernas konvention från 1989 om barnets rättigheter. Vid en bedömning av barnets bästa bör medlemsstaternas myndigheter särskilt beakta principen om sammanhållning av familjer, den underåriges välfärd och sociala utveckling, överväganden om trygghet och säkerhet och den underåriges åsikter i förhållande till hans eller hennes ålder och mognad.</w:t>
            </w:r>
          </w:p>
        </w:tc>
        <w:tc>
          <w:tcPr/>
          <w:p>
            <w:pPr>
              <w:pStyle w:val="Normal6"/>
            </w:pPr>
            <w:r>
              <w:t>(15)</w:t>
            </w:r>
            <w:r>
              <w:tab/>
            </w:r>
            <w:r>
              <w:t xml:space="preserve">Vid tillämpningen av </w:t>
            </w:r>
            <w:r>
              <w:rPr>
                <w:rFonts w:ascii="Times New Roman" w:eastAsia="Times New Roman" w:hAnsi="Times New Roman" w:cs="Times New Roman"/>
                <w:b/>
                <w:i/>
                <w:strike w:val="0"/>
                <w:color w:val="000000"/>
                <w:sz w:val="24"/>
                <w:highlight w:val="none"/>
                <w:u w:val="none" w:color="auto"/>
              </w:rPr>
              <w:t>detta direktiv</w:t>
            </w:r>
            <w:r>
              <w:t xml:space="preserve"> bör i första hand hänsyn tas till barnets bästa, i enlighet med Förenta nationernas konvention från 1989 om barnets rättigheter. Vid en bedömning av barnets bästa bör medlemsstaternas myndigheter särskilt beakta principen om sammanhållning av familjer, den underåriges välfärd och sociala utveckling, överväganden om trygghet och säkerhet och den underåriges åsikter i förhållande till hans eller hennes ålder och mognad.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165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Lorenzo Fontana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(16)</w:t>
            </w:r>
            <w:r>
              <w:tab/>
            </w:r>
            <w:r>
              <w:t xml:space="preserve">Begreppet familjemedlemmar bör </w:t>
            </w:r>
            <w:r>
              <w:rPr>
                <w:rFonts w:ascii="Times New Roman" w:eastAsia="Times New Roman" w:hAnsi="Times New Roman" w:cs="Times New Roman"/>
                <w:b/>
                <w:i/>
                <w:strike w:val="0"/>
                <w:color w:val="000000"/>
                <w:sz w:val="24"/>
                <w:highlight w:val="none"/>
                <w:u w:val="none" w:color="auto"/>
              </w:rPr>
              <w:t>ta hänsyn till de särskilda omständigheter av olika slag som kan förekomma vid fall av beroendeställning och till den särskilda omsorg som bör ägnas åt att tillvarata barnets bästa. Det bör också återspegla hur de nuvarande migrationstendenserna verkligen ser ut, nämligen att sökande ofta anländer till medlemsstaternas territorium efter en längre transitperiod. Begreppet bör därför omfatta familjer som har bildats utanför ursprungslandet, men före ankomsten till medlemsstens territorium.</w:t>
            </w:r>
          </w:p>
        </w:tc>
        <w:tc>
          <w:tcPr/>
          <w:p>
            <w:pPr>
              <w:pStyle w:val="Normal6"/>
            </w:pPr>
            <w:r>
              <w:t>(16)</w:t>
            </w:r>
            <w:r>
              <w:tab/>
            </w:r>
            <w:r>
              <w:t>Begreppet familjemedlemmar bör </w:t>
            </w:r>
            <w:r>
              <w:rPr>
                <w:rFonts w:ascii="Times New Roman" w:eastAsia="Times New Roman" w:hAnsi="Times New Roman" w:cs="Times New Roman"/>
                <w:b/>
                <w:i/>
                <w:strike w:val="0"/>
                <w:color w:val="000000"/>
                <w:sz w:val="24"/>
                <w:highlight w:val="none"/>
                <w:u w:val="none" w:color="auto"/>
              </w:rPr>
              <w:t xml:space="preserve">hänföra sig till värdlandets rättssystem. </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166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t xml:space="preserve">, </w:t>
      </w:r>
      <w:r>
        <w:t>Cornelia Ernst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(16)</w:t>
            </w:r>
            <w:r>
              <w:tab/>
            </w:r>
            <w:r>
              <w:t>Begreppet familjemedlemmar bör ta hänsyn till de särskilda omständigheter av olika slag som kan förekomma vid fall av beroendeställning och till den särskilda omsorg som bör ägnas åt att tillvarata barnets bästa. Det bör också återspegla hur de nuvarande migrationstendenserna verkligen ser ut, nämligen att sökande ofta anländer till medlemsstaternas territorium efter en längre transitperiod. Begreppet bör därför omfatta familjer som har bildats utanför ursprungslandet</w:t>
            </w:r>
            <w:r>
              <w:rPr>
                <w:rFonts w:ascii="Times New Roman" w:eastAsia="Times New Roman" w:hAnsi="Times New Roman" w:cs="Times New Roman"/>
                <w:b/>
                <w:i/>
                <w:strike w:val="0"/>
                <w:color w:val="000000"/>
                <w:sz w:val="24"/>
                <w:highlight w:val="none"/>
                <w:u w:val="none" w:color="auto"/>
              </w:rPr>
              <w:t>, men före</w:t>
            </w:r>
            <w:r>
              <w:t xml:space="preserve"> ankomsten till medlemsstens territorium.</w:t>
            </w:r>
          </w:p>
        </w:tc>
        <w:tc>
          <w:tcPr/>
          <w:p>
            <w:pPr>
              <w:pStyle w:val="Normal6"/>
            </w:pPr>
            <w:r>
              <w:t>(16)</w:t>
            </w:r>
            <w:r>
              <w:tab/>
            </w:r>
            <w:r>
              <w:t xml:space="preserve">Begreppet familjemedlemmar bör ta hänsyn till </w:t>
            </w:r>
            <w:r>
              <w:rPr>
                <w:rFonts w:ascii="Times New Roman" w:eastAsia="Times New Roman" w:hAnsi="Times New Roman" w:cs="Times New Roman"/>
                <w:b/>
                <w:i/>
                <w:strike w:val="0"/>
                <w:color w:val="000000"/>
                <w:sz w:val="24"/>
                <w:highlight w:val="none"/>
                <w:u w:val="none" w:color="auto"/>
              </w:rPr>
              <w:t xml:space="preserve">olika familjekonstellationer och nya typer av familjer, till </w:t>
            </w:r>
            <w:r>
              <w:t xml:space="preserve">de särskilda omständigheter av olika slag som kan förekomma vid fall av beroendeställning och till den särskilda omsorg som bör ägnas åt att tillvarata barnets bästa. Det bör också återspegla hur de nuvarande migrationstendenserna verkligen ser ut, nämligen att sökande ofta anländer till medlemsstaternas territorium efter en längre transitperiod. Begreppet bör därför omfatta </w:t>
            </w:r>
            <w:r>
              <w:rPr>
                <w:rFonts w:ascii="Times New Roman" w:eastAsia="Times New Roman" w:hAnsi="Times New Roman" w:cs="Times New Roman"/>
                <w:b/>
                <w:i/>
                <w:strike w:val="0"/>
                <w:color w:val="000000"/>
                <w:sz w:val="24"/>
                <w:highlight w:val="none"/>
                <w:u w:val="none" w:color="auto"/>
              </w:rPr>
              <w:t xml:space="preserve">både </w:t>
            </w:r>
            <w:r>
              <w:t>familjer som har bildats utanför ursprungslandet</w:t>
            </w:r>
            <w:r>
              <w:rPr>
                <w:rFonts w:ascii="Times New Roman" w:eastAsia="Times New Roman" w:hAnsi="Times New Roman" w:cs="Times New Roman"/>
                <w:b/>
                <w:i/>
                <w:strike w:val="0"/>
                <w:color w:val="000000"/>
                <w:sz w:val="24"/>
                <w:highlight w:val="none"/>
                <w:u w:val="none" w:color="auto"/>
              </w:rPr>
              <w:t xml:space="preserve"> och familjer som har bildats efter</w:t>
            </w:r>
            <w:r>
              <w:t xml:space="preserve"> ankomsten till medlemsstens territorium</w:t>
            </w:r>
            <w:r>
              <w:rPr>
                <w:rFonts w:ascii="Times New Roman" w:eastAsia="Times New Roman" w:hAnsi="Times New Roman" w:cs="Times New Roman"/>
                <w:b/>
                <w:i/>
                <w:strike w:val="0"/>
                <w:color w:val="000000"/>
                <w:sz w:val="24"/>
                <w:highlight w:val="none"/>
                <w:u w:val="none" w:color="auto"/>
              </w:rPr>
              <w:t>, under alla omständigheter med undantag för tvångsäktenskap. När det gäller begreppen make/maka och ogift partner bör ingen åtskillnad göras mellan makar eller sådana partner på grund av kön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Skuggföredraganden håller med föredraganden om att familjer som bildats efter ankomsten till medlemsstatens territorium bör omfattas av definitionen av begreppet familjemedlemmar. Skuggföredraganden håller också med föredraganden om att tvångsäktenskap – oavsett var – bör uteslutas.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167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t xml:space="preserve">, </w:t>
      </w:r>
      <w:r>
        <w:t>Helga Stevens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(16)</w:t>
            </w:r>
            <w:r>
              <w:tab/>
            </w:r>
            <w:r>
              <w:t>Begreppet familjemedlemmar bör ta hänsyn till de särskilda omständigheter av olika slag som kan förekomma vid fall av beroendeställning och</w:t>
            </w:r>
            <w:r>
              <w:rPr>
                <w:rFonts w:ascii="Times New Roman" w:eastAsia="Times New Roman" w:hAnsi="Times New Roman" w:cs="Times New Roman"/>
                <w:b/>
                <w:i/>
                <w:strike w:val="0"/>
                <w:color w:val="000000"/>
                <w:sz w:val="24"/>
                <w:highlight w:val="none"/>
                <w:u w:val="none" w:color="auto"/>
              </w:rPr>
              <w:t xml:space="preserve"> till</w:t>
            </w:r>
            <w:r>
              <w:t xml:space="preserve"> den särskilda omsorg som bör ägnas åt att tillvarata barnets bästa.</w:t>
            </w:r>
            <w:r>
              <w:rPr>
                <w:rFonts w:ascii="Times New Roman" w:eastAsia="Times New Roman" w:hAnsi="Times New Roman" w:cs="Times New Roman"/>
                <w:b/>
                <w:i/>
                <w:strike w:val="0"/>
                <w:color w:val="000000"/>
                <w:sz w:val="24"/>
                <w:highlight w:val="none"/>
                <w:u w:val="none" w:color="auto"/>
              </w:rPr>
              <w:t xml:space="preserve"> Det bör också återspegla hur de nuvarande migrationstendenserna verkligen ser ut, nämligen att sökande ofta anländer till medlemsstaternas territorium efter en längre transitperiod. Begreppet bör därför omfatta familjer som har bildats utanför ursprungslandet, men före ankomsten till medlemsstens territorium.</w:t>
            </w:r>
          </w:p>
        </w:tc>
        <w:tc>
          <w:tcPr/>
          <w:p>
            <w:pPr>
              <w:pStyle w:val="Normal6"/>
            </w:pPr>
            <w:r>
              <w:t>(16)</w:t>
            </w:r>
            <w:r>
              <w:tab/>
            </w:r>
            <w:r>
              <w:t xml:space="preserve">Begreppet familjemedlemmar bör ta hänsyn till de </w:t>
            </w:r>
            <w:r>
              <w:rPr>
                <w:rFonts w:ascii="Times New Roman" w:eastAsia="Times New Roman" w:hAnsi="Times New Roman" w:cs="Times New Roman"/>
                <w:b/>
                <w:i/>
                <w:strike w:val="0"/>
                <w:color w:val="000000"/>
                <w:sz w:val="24"/>
                <w:highlight w:val="none"/>
                <w:u w:val="none" w:color="auto"/>
              </w:rPr>
              <w:t>principer som fastställs i rådets direktiv 2003/86/EG</w:t>
            </w:r>
            <w:r>
              <w:rPr>
                <w:rStyle w:val="SupBoldItalic"/>
              </w:rPr>
              <w:t>1a</w:t>
            </w:r>
            <w:r>
              <w:rPr>
                <w:rFonts w:ascii="Times New Roman" w:eastAsia="Times New Roman" w:hAnsi="Times New Roman" w:cs="Times New Roman"/>
                <w:b/>
                <w:i/>
                <w:strike w:val="0"/>
                <w:color w:val="000000"/>
                <w:sz w:val="24"/>
                <w:highlight w:val="none"/>
                <w:u w:val="none" w:color="auto"/>
              </w:rPr>
              <w:t xml:space="preserve">, där man betonar den centrala familjeenheten, de </w:t>
            </w:r>
            <w:r>
              <w:t>särskilda omständigheter av olika slag som kan förekomma vid fall av beroendeställning och den särskilda omsorg som bör ägnas åt att tillvarata barnets bästa.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Style w:val="SupBoldItalic"/>
              </w:rPr>
              <w:t>1a</w:t>
            </w:r>
            <w:r>
              <w:t xml:space="preserve"> </w:t>
            </w:r>
            <w:r>
              <w:rPr>
                <w:rFonts w:ascii="Times New Roman" w:eastAsia="Times New Roman" w:hAnsi="Times New Roman" w:cs="Times New Roman"/>
                <w:b/>
                <w:i/>
                <w:strike w:val="0"/>
                <w:color w:val="000000"/>
                <w:sz w:val="24"/>
                <w:highlight w:val="none"/>
                <w:u w:val="none" w:color="auto"/>
              </w:rPr>
              <w:t>Rådets direktiv 2003/86/EG av den 22 september 2003 om rätt till familjeåterförening, EUT L 251, 3.10.2003, s. 12.</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168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(16)</w:t>
            </w:r>
            <w:r>
              <w:tab/>
            </w:r>
            <w:r>
              <w:t xml:space="preserve">Begreppet familjemedlemmar bör ta hänsyn till de särskilda omständigheter av olika slag som kan förekomma vid fall av beroendeställning och till den särskilda omsorg som bör ägnas åt att tillvarata barnets bästa. Det bör också återspegla hur de nuvarande migrationstendenserna verkligen ser ut, nämligen att sökande ofta anländer till medlemsstaternas territorium efter en längre transitperiod. Begreppet bör därför omfatta familjer som har bildats utanför ursprungslandet, </w:t>
            </w:r>
            <w:r>
              <w:rPr>
                <w:rFonts w:ascii="Times New Roman" w:eastAsia="Times New Roman" w:hAnsi="Times New Roman" w:cs="Times New Roman"/>
                <w:b/>
                <w:i/>
                <w:strike w:val="0"/>
                <w:color w:val="000000"/>
                <w:sz w:val="24"/>
                <w:highlight w:val="none"/>
                <w:u w:val="none" w:color="auto"/>
              </w:rPr>
              <w:t>men före</w:t>
            </w:r>
            <w:r>
              <w:t xml:space="preserve"> ankomsten till </w:t>
            </w:r>
            <w:r>
              <w:rPr>
                <w:rFonts w:ascii="Times New Roman" w:eastAsia="Times New Roman" w:hAnsi="Times New Roman" w:cs="Times New Roman"/>
                <w:b/>
                <w:i/>
                <w:strike w:val="0"/>
                <w:color w:val="000000"/>
                <w:sz w:val="24"/>
                <w:highlight w:val="none"/>
                <w:u w:val="none" w:color="auto"/>
              </w:rPr>
              <w:t>medlemsstens</w:t>
            </w:r>
            <w:r>
              <w:t xml:space="preserve"> territorium.</w:t>
            </w:r>
          </w:p>
        </w:tc>
        <w:tc>
          <w:tcPr/>
          <w:p>
            <w:pPr>
              <w:pStyle w:val="Normal6"/>
            </w:pPr>
            <w:r>
              <w:t>(16)</w:t>
            </w:r>
            <w:r>
              <w:tab/>
            </w:r>
            <w:r>
              <w:t xml:space="preserve">Begreppet familjemedlemmar bör ta hänsyn till </w:t>
            </w:r>
            <w:r>
              <w:rPr>
                <w:rFonts w:ascii="Times New Roman" w:eastAsia="Times New Roman" w:hAnsi="Times New Roman" w:cs="Times New Roman"/>
                <w:b/>
                <w:i/>
                <w:strike w:val="0"/>
                <w:color w:val="000000"/>
                <w:sz w:val="24"/>
                <w:highlight w:val="none"/>
                <w:u w:val="none" w:color="auto"/>
              </w:rPr>
              <w:t xml:space="preserve">olika befintliga familjekonstellationer, till </w:t>
            </w:r>
            <w:r>
              <w:t xml:space="preserve">de särskilda omständigheter av olika slag som kan förekomma vid fall av beroendeställning och till den särskilda omsorg som bör ägnas åt att tillvarata barnets bästa. Det bör också återspegla hur de nuvarande migrationstendenserna verkligen ser ut, nämligen att sökande ofta anländer till medlemsstaternas territorium efter en längre transitperiod. Begreppet bör därför omfatta </w:t>
            </w:r>
            <w:r>
              <w:rPr>
                <w:rFonts w:ascii="Times New Roman" w:eastAsia="Times New Roman" w:hAnsi="Times New Roman" w:cs="Times New Roman"/>
                <w:b/>
                <w:i/>
                <w:strike w:val="0"/>
                <w:color w:val="000000"/>
                <w:sz w:val="24"/>
                <w:highlight w:val="none"/>
                <w:u w:val="none" w:color="auto"/>
              </w:rPr>
              <w:t xml:space="preserve">dels </w:t>
            </w:r>
            <w:r>
              <w:t>familjer som har bildats utanför ursprungslandet, </w:t>
            </w:r>
            <w:r>
              <w:rPr>
                <w:rFonts w:ascii="Times New Roman" w:eastAsia="Times New Roman" w:hAnsi="Times New Roman" w:cs="Times New Roman"/>
                <w:b/>
                <w:i/>
                <w:strike w:val="0"/>
                <w:color w:val="000000"/>
                <w:sz w:val="24"/>
                <w:highlight w:val="none"/>
                <w:u w:val="none" w:color="auto"/>
              </w:rPr>
              <w:t>dels familjer som bildats efter</w:t>
            </w:r>
            <w:r>
              <w:t xml:space="preserve"> ankomsten till </w:t>
            </w:r>
            <w:r>
              <w:rPr>
                <w:rFonts w:ascii="Times New Roman" w:eastAsia="Times New Roman" w:hAnsi="Times New Roman" w:cs="Times New Roman"/>
                <w:b/>
                <w:i/>
                <w:strike w:val="0"/>
                <w:color w:val="000000"/>
                <w:sz w:val="24"/>
                <w:highlight w:val="none"/>
                <w:u w:val="none" w:color="auto"/>
              </w:rPr>
              <w:t>medlemsstatens</w:t>
            </w:r>
            <w:r>
              <w:t xml:space="preserve"> territorium. </w:t>
            </w:r>
            <w:r>
              <w:rPr>
                <w:rFonts w:ascii="Times New Roman" w:eastAsia="Times New Roman" w:hAnsi="Times New Roman" w:cs="Times New Roman"/>
                <w:b/>
                <w:i/>
                <w:strike w:val="0"/>
                <w:color w:val="000000"/>
                <w:sz w:val="24"/>
                <w:highlight w:val="none"/>
                <w:u w:val="none" w:color="auto"/>
              </w:rPr>
              <w:t>Begreppet får dock inte på några som helst villkor inbegripa tvångsäktenskap.</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169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(16)</w:t>
            </w:r>
            <w:r>
              <w:tab/>
            </w:r>
            <w:r>
              <w:t xml:space="preserve">Begreppet familjemedlemmar bör ta hänsyn till de särskilda omständigheter av olika slag som kan förekomma vid fall av beroendeställning och till den särskilda omsorg som bör ägnas åt att tillvarata barnets bästa. Det bör också återspegla hur de nuvarande migrationstendenserna verkligen ser ut, nämligen att sökande ofta anländer till medlemsstaternas territorium efter en längre transitperiod. Begreppet bör därför omfatta familjer som har bildats utanför ursprungslandet, </w:t>
            </w:r>
            <w:r>
              <w:rPr>
                <w:rFonts w:ascii="Times New Roman" w:eastAsia="Times New Roman" w:hAnsi="Times New Roman" w:cs="Times New Roman"/>
                <w:b/>
                <w:i/>
                <w:strike w:val="0"/>
                <w:color w:val="000000"/>
                <w:sz w:val="24"/>
                <w:highlight w:val="none"/>
                <w:u w:val="none" w:color="auto"/>
              </w:rPr>
              <w:t>men före</w:t>
            </w:r>
            <w:r>
              <w:t xml:space="preserve"> ankomsten till medlemsstens territorium.</w:t>
            </w:r>
          </w:p>
        </w:tc>
        <w:tc>
          <w:tcPr/>
          <w:p>
            <w:pPr>
              <w:pStyle w:val="Normal6"/>
            </w:pPr>
            <w:r>
              <w:t>(16)</w:t>
            </w:r>
            <w:r>
              <w:tab/>
            </w:r>
            <w:r>
              <w:t xml:space="preserve">Begreppet familjemedlemmar bör ta hänsyn till de särskilda omständigheter av olika slag som kan förekomma vid fall av beroendeställning och till den särskilda omsorg som bör ägnas åt att tillvarata barnets bästa. Det bör också återspegla hur de nuvarande migrationstendenserna verkligen ser ut, nämligen att sökande ofta anländer till medlemsstaternas territorium efter en längre transitperiod. Begreppet bör därför omfatta familjer som har bildats utanför ursprungslandet, </w:t>
            </w:r>
            <w:r>
              <w:rPr>
                <w:rFonts w:ascii="Times New Roman" w:eastAsia="Times New Roman" w:hAnsi="Times New Roman" w:cs="Times New Roman"/>
                <w:b/>
                <w:i/>
                <w:strike w:val="0"/>
                <w:color w:val="000000"/>
                <w:sz w:val="24"/>
                <w:highlight w:val="none"/>
                <w:u w:val="none" w:color="auto"/>
              </w:rPr>
              <w:t>antingen före eller efter</w:t>
            </w:r>
            <w:r>
              <w:t xml:space="preserve"> ankomsten till medlemsstens territorium.</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170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(17)</w:t>
            </w:r>
            <w:r>
              <w:tab/>
            </w:r>
            <w:r>
              <w:rPr>
                <w:rFonts w:ascii="Times New Roman" w:eastAsia="Times New Roman" w:hAnsi="Times New Roman" w:cs="Times New Roman"/>
                <w:b/>
                <w:i/>
                <w:strike w:val="0"/>
                <w:color w:val="000000"/>
                <w:sz w:val="24"/>
                <w:highlight w:val="none"/>
                <w:u w:val="none" w:color="auto"/>
              </w:rPr>
              <w:t>Denna förordning</w:t>
            </w:r>
            <w:r>
              <w:t xml:space="preserve"> påverkar inte tillämpningen av protokollet om asyl för medborgare i Europeiska unionens medlemsstater, som fogats till fördraget om Europeiska unionen (EU-fördraget) och EUF-fördraget.</w:t>
            </w:r>
          </w:p>
        </w:tc>
        <w:tc>
          <w:tcPr/>
          <w:p>
            <w:pPr>
              <w:pStyle w:val="Normal6"/>
            </w:pPr>
            <w:r>
              <w:t>(17)</w:t>
            </w:r>
            <w:r>
              <w:tab/>
            </w:r>
            <w:r>
              <w:rPr>
                <w:rFonts w:ascii="Times New Roman" w:eastAsia="Times New Roman" w:hAnsi="Times New Roman" w:cs="Times New Roman"/>
                <w:b/>
                <w:i/>
                <w:strike w:val="0"/>
                <w:color w:val="000000"/>
                <w:sz w:val="24"/>
                <w:highlight w:val="none"/>
                <w:u w:val="none" w:color="auto"/>
              </w:rPr>
              <w:t>Detta direktiv</w:t>
            </w:r>
            <w:r>
              <w:t xml:space="preserve"> påverkar inte tillämpningen av protokollet om asyl för medborgare i Europeiska unionens medlemsstater, som fogats till fördraget om Europeiska unionen (EU-fördraget) och EUF-fördraget.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171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(19)</w:t>
            </w:r>
            <w:r>
              <w:tab/>
            </w:r>
            <w:r>
              <w:rPr>
                <w:rFonts w:ascii="Times New Roman" w:eastAsia="Times New Roman" w:hAnsi="Times New Roman" w:cs="Times New Roman"/>
                <w:b/>
                <w:i/>
                <w:strike w:val="0"/>
                <w:color w:val="000000"/>
                <w:sz w:val="24"/>
                <w:highlight w:val="none"/>
                <w:u w:val="none" w:color="auto"/>
              </w:rPr>
              <w:t>Samråd med Förenta nationernas flyktingkommissariat kan ge medlemsstaternas myndigheter värdefull vägledning när det gäller att fastställa flyktingstatus enligt artikel 1 i Genèvekonventionen.</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172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Lorenzo Fontana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(20)</w:t>
            </w:r>
            <w:r>
              <w:tab/>
            </w:r>
            <w:r>
              <w:rPr>
                <w:rFonts w:ascii="Times New Roman" w:eastAsia="Times New Roman" w:hAnsi="Times New Roman" w:cs="Times New Roman"/>
                <w:b/>
                <w:i/>
                <w:strike w:val="0"/>
                <w:color w:val="000000"/>
                <w:sz w:val="24"/>
                <w:highlight w:val="none"/>
                <w:u w:val="none" w:color="auto"/>
              </w:rPr>
              <w:t>Det bör fastställas normer för definitionen och innebörden av flyktingstatus för att vägleda medlemsstaternas behöriga myndigheter vid tillämpningen av Genèvekonventionen</w:t>
            </w:r>
            <w:r>
              <w:t>.</w:t>
            </w:r>
          </w:p>
        </w:tc>
        <w:tc>
          <w:tcPr/>
          <w:p>
            <w:pPr>
              <w:pStyle w:val="Normal6"/>
            </w:pPr>
            <w:r>
              <w:t>(20)</w:t>
            </w:r>
            <w:r>
              <w:tab/>
            </w:r>
            <w:r>
              <w:rPr>
                <w:rFonts w:ascii="Times New Roman" w:eastAsia="Times New Roman" w:hAnsi="Times New Roman" w:cs="Times New Roman"/>
                <w:b/>
                <w:i/>
                <w:strike w:val="0"/>
                <w:color w:val="000000"/>
                <w:sz w:val="24"/>
                <w:highlight w:val="none"/>
                <w:u w:val="none" w:color="auto"/>
              </w:rPr>
              <w:t>EU och många medlemsstater har hittills misslyckats med att respektera kriterierna för flyktingstatus, eftersom det stora flertalet av de personer som tas emot i Europa – vilket empiriskt framgår av det italienska fallet – inte är flyktingar, utan ekonomiska migranter som sedan stannar kvar på europeisk mark och underblåser sociala spänningar</w:t>
            </w:r>
            <w:r>
              <w:t>.</w:t>
            </w:r>
            <w:r>
              <w:rPr>
                <w:rFonts w:ascii="Times New Roman" w:eastAsia="Times New Roman" w:hAnsi="Times New Roman" w:cs="Times New Roman"/>
                <w:b/>
                <w:i/>
                <w:strike w:val="0"/>
                <w:color w:val="000000"/>
                <w:sz w:val="24"/>
                <w:highlight w:val="none"/>
                <w:u w:val="none" w:color="auto"/>
              </w:rPr>
              <w:t xml:space="preserve"> </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173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Lorenzo Fontana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(21)</w:t>
            </w:r>
            <w:r>
              <w:tab/>
            </w:r>
            <w:r>
              <w:rPr>
                <w:rFonts w:ascii="Times New Roman" w:eastAsia="Times New Roman" w:hAnsi="Times New Roman" w:cs="Times New Roman"/>
                <w:b/>
                <w:i/>
                <w:strike w:val="0"/>
                <w:color w:val="000000"/>
                <w:sz w:val="24"/>
                <w:highlight w:val="none"/>
                <w:u w:val="none" w:color="auto"/>
              </w:rPr>
              <w:t>Det är nödvändigt att införa gemensamma kriterier för när asylsökande kan erkännas som flyktingar i den mening som avses i artikel 1 i Genèvekonventionen.</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En asylsökande är inte en flykting. En flykting är en person som beviljats flyktingstatus efter det att hans eller hennes asylansökan har behandlats.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174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(21)</w:t>
            </w:r>
            <w:r>
              <w:tab/>
            </w:r>
            <w:r>
              <w:t xml:space="preserve">Det är nödvändigt att införa </w:t>
            </w:r>
            <w:r>
              <w:rPr>
                <w:rFonts w:ascii="Times New Roman" w:eastAsia="Times New Roman" w:hAnsi="Times New Roman" w:cs="Times New Roman"/>
                <w:b/>
                <w:i/>
                <w:strike w:val="0"/>
                <w:color w:val="000000"/>
                <w:sz w:val="24"/>
                <w:highlight w:val="none"/>
                <w:u w:val="none" w:color="auto"/>
              </w:rPr>
              <w:t>gemensamma</w:t>
            </w:r>
            <w:r>
              <w:t xml:space="preserve"> kriterier för när asylsökande kan erkännas som flyktingar i den mening som avses i artikel 1 i Genèvekonventionen.</w:t>
            </w:r>
          </w:p>
        </w:tc>
        <w:tc>
          <w:tcPr/>
          <w:p>
            <w:pPr>
              <w:pStyle w:val="Normal6"/>
            </w:pPr>
            <w:r>
              <w:t>(21)</w:t>
            </w:r>
            <w:r>
              <w:tab/>
            </w:r>
            <w:r>
              <w:t xml:space="preserve">Det är nödvändigt att införa </w:t>
            </w:r>
            <w:r>
              <w:rPr>
                <w:rFonts w:ascii="Times New Roman" w:eastAsia="Times New Roman" w:hAnsi="Times New Roman" w:cs="Times New Roman"/>
                <w:b/>
                <w:i/>
                <w:strike w:val="0"/>
                <w:color w:val="000000"/>
                <w:sz w:val="24"/>
                <w:highlight w:val="none"/>
                <w:u w:val="none" w:color="auto"/>
              </w:rPr>
              <w:t>grundläggande</w:t>
            </w:r>
            <w:r>
              <w:t xml:space="preserve"> kriterier för när asylsökande kan erkännas som flyktingar i den mening som avses i artikel 1 i Genèvekonventionen.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175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21a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(21a)</w:t>
            </w:r>
            <w:r>
              <w:tab/>
            </w:r>
            <w:r>
              <w:rPr>
                <w:rFonts w:ascii="Times New Roman" w:eastAsia="Times New Roman" w:hAnsi="Times New Roman" w:cs="Times New Roman"/>
                <w:b/>
                <w:i/>
                <w:strike w:val="0"/>
                <w:color w:val="000000"/>
                <w:sz w:val="24"/>
                <w:highlight w:val="none"/>
                <w:u w:val="none" w:color="auto"/>
              </w:rPr>
              <w:t>Bevisbördan ligger i princip på sökanden när det gäller att styrka ansökan, medan skyldigheten att kontrollera och utvärdera alla relevanta fakta delas mellan sökanden och den beslutande myndigheten. I fall där aspekter av sökandens påståenden inte stöds av dokumentation eller andra bevis bör vederbörande hellre frias än fällas om han eller hon har gjort en genuin ansträngning för att styrka sin ansökan och inkommit med alla aspekter som finns att tillgå för vederbörande, och om vederbörandes redogörelse anses vara sammanhängande och trovärdig.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Se motiveringen till artikel 4.5.</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176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(22)</w:t>
            </w:r>
            <w:r>
              <w:tab/>
            </w:r>
            <w:r>
              <w:t>Det är särskilt nödvändigt att införa en gemensam uppfattning av följande begrepp: skyddsbehov på plats (sur place), upphov till skada och källor till skydd</w:t>
            </w:r>
            <w:r>
              <w:rPr>
                <w:rFonts w:ascii="Times New Roman" w:eastAsia="Times New Roman" w:hAnsi="Times New Roman" w:cs="Times New Roman"/>
                <w:b/>
                <w:i/>
                <w:strike w:val="0"/>
                <w:color w:val="000000"/>
                <w:sz w:val="24"/>
                <w:highlight w:val="none"/>
                <w:u w:val="none" w:color="auto"/>
              </w:rPr>
              <w:t>, internt skydd</w:t>
            </w:r>
            <w:r>
              <w:t xml:space="preserve"> samt begreppet förföljelse, inklusive orsakerna till förföljelse.</w:t>
            </w:r>
          </w:p>
        </w:tc>
        <w:tc>
          <w:tcPr/>
          <w:p>
            <w:pPr>
              <w:pStyle w:val="Normal6"/>
            </w:pPr>
            <w:r>
              <w:t>(22)</w:t>
            </w:r>
            <w:r>
              <w:tab/>
            </w:r>
            <w:r>
              <w:t>Det är särskilt nödvändigt att införa en gemensam uppfattning av följande begrepp: skyddsbehov på plats (sur place), upphov till skada och källor till skydd samt begreppet förföljelse, inklusive orsakerna till förföljelse.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177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(22)</w:t>
            </w:r>
            <w:r>
              <w:tab/>
            </w:r>
            <w:r>
              <w:t>Det är särskilt nödvändigt att införa en gemensam uppfattning av följande begrepp: skyddsbehov på plats (sur place), upphov till skada och källor till skydd</w:t>
            </w:r>
            <w:r>
              <w:rPr>
                <w:rFonts w:ascii="Times New Roman" w:eastAsia="Times New Roman" w:hAnsi="Times New Roman" w:cs="Times New Roman"/>
                <w:b/>
                <w:i/>
                <w:strike w:val="0"/>
                <w:color w:val="000000"/>
                <w:sz w:val="24"/>
                <w:highlight w:val="none"/>
                <w:u w:val="none" w:color="auto"/>
              </w:rPr>
              <w:t>, internt skydd</w:t>
            </w:r>
            <w:r>
              <w:t xml:space="preserve"> samt begreppet förföljelse, inklusive orsakerna till förföljelse.</w:t>
            </w:r>
          </w:p>
        </w:tc>
        <w:tc>
          <w:tcPr/>
          <w:p>
            <w:pPr>
              <w:pStyle w:val="Normal6"/>
            </w:pPr>
            <w:r>
              <w:t>(22)</w:t>
            </w:r>
            <w:r>
              <w:tab/>
            </w:r>
            <w:r>
              <w:t>Det är särskilt nödvändigt att införa en gemensam uppfattning av följande begrepp: skyddsbehov på plats (sur place), upphov till skada och källor till skydd samt begreppet förföljelse, inklusive orsakerna till förföljelse.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Precis som föredraganden anser inte skuggföredraganden att begreppet internationellt skydd är tillräckligt väl utarbetat, tydligt eller säkert för att det ska kunna tillämpas på ett fullständigt harmoniserat sätt.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178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(23)</w:t>
            </w:r>
            <w:r>
              <w:tab/>
            </w:r>
            <w:r>
              <w:t xml:space="preserve">Skydd kan ges </w:t>
            </w:r>
            <w:r>
              <w:rPr>
                <w:rFonts w:ascii="Times New Roman" w:eastAsia="Times New Roman" w:hAnsi="Times New Roman" w:cs="Times New Roman"/>
                <w:b/>
                <w:i/>
                <w:strike w:val="0"/>
                <w:color w:val="000000"/>
                <w:sz w:val="24"/>
                <w:highlight w:val="none"/>
                <w:u w:val="none" w:color="auto"/>
              </w:rPr>
              <w:t xml:space="preserve">antingen </w:t>
            </w:r>
            <w:r>
              <w:t>av staten</w:t>
            </w:r>
            <w:r>
              <w:rPr>
                <w:rFonts w:ascii="Times New Roman" w:eastAsia="Times New Roman" w:hAnsi="Times New Roman" w:cs="Times New Roman"/>
                <w:b/>
                <w:i/>
                <w:strike w:val="0"/>
                <w:color w:val="000000"/>
                <w:sz w:val="24"/>
                <w:highlight w:val="none"/>
                <w:u w:val="none" w:color="auto"/>
              </w:rPr>
              <w:t xml:space="preserve"> eller av sådana parter eller organisationer, inklusive internationella organisationer, som uppfyller villkoren i denna förordning och som kontrollerar en region eller ett större område på statens territorium, samt</w:t>
            </w:r>
            <w:r>
              <w:t xml:space="preserve"> har viljan och förmågan att </w:t>
            </w:r>
            <w:r>
              <w:rPr>
                <w:rFonts w:ascii="Times New Roman" w:eastAsia="Times New Roman" w:hAnsi="Times New Roman" w:cs="Times New Roman"/>
                <w:b/>
                <w:i/>
                <w:strike w:val="0"/>
                <w:color w:val="000000"/>
                <w:sz w:val="24"/>
                <w:highlight w:val="none"/>
                <w:u w:val="none" w:color="auto"/>
              </w:rPr>
              <w:t>erbjuda</w:t>
            </w:r>
            <w:r>
              <w:t xml:space="preserve"> skydd. Skyddet bör vara verksamt och av icke-tillfällig natur.</w:t>
            </w:r>
          </w:p>
        </w:tc>
        <w:tc>
          <w:tcPr/>
          <w:p>
            <w:pPr>
              <w:pStyle w:val="Normal6"/>
            </w:pPr>
            <w:r>
              <w:t>(23)</w:t>
            </w:r>
            <w:r>
              <w:tab/>
            </w:r>
            <w:r>
              <w:t>Skydd kan ges av staten</w:t>
            </w:r>
            <w:r>
              <w:rPr>
                <w:rFonts w:ascii="Times New Roman" w:eastAsia="Times New Roman" w:hAnsi="Times New Roman" w:cs="Times New Roman"/>
                <w:b/>
                <w:i/>
                <w:strike w:val="0"/>
                <w:color w:val="000000"/>
                <w:sz w:val="24"/>
                <w:highlight w:val="none"/>
                <w:u w:val="none" w:color="auto"/>
              </w:rPr>
              <w:t>, om den</w:t>
            </w:r>
            <w:r>
              <w:t xml:space="preserve"> har viljan och förmågan att </w:t>
            </w:r>
            <w:r>
              <w:rPr>
                <w:rFonts w:ascii="Times New Roman" w:eastAsia="Times New Roman" w:hAnsi="Times New Roman" w:cs="Times New Roman"/>
                <w:b/>
                <w:i/>
                <w:strike w:val="0"/>
                <w:color w:val="000000"/>
                <w:sz w:val="24"/>
                <w:highlight w:val="none"/>
                <w:u w:val="none" w:color="auto"/>
              </w:rPr>
              <w:t>säkerställa</w:t>
            </w:r>
            <w:r>
              <w:t xml:space="preserve"> skydd. Skyddet bör vara verksamt och av icke-tillfällig natur.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179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(23)</w:t>
            </w:r>
            <w:r>
              <w:tab/>
            </w:r>
            <w:r>
              <w:t xml:space="preserve">Skydd kan ges </w:t>
            </w:r>
            <w:r>
              <w:rPr>
                <w:rFonts w:ascii="Times New Roman" w:eastAsia="Times New Roman" w:hAnsi="Times New Roman" w:cs="Times New Roman"/>
                <w:b/>
                <w:i/>
                <w:strike w:val="0"/>
                <w:color w:val="000000"/>
                <w:sz w:val="24"/>
                <w:highlight w:val="none"/>
                <w:u w:val="none" w:color="auto"/>
              </w:rPr>
              <w:t>antingen av staten eller av sådana parter eller organisationer, inklusive internationella organisationer, som uppfyller villkoren i denna förordning och som kontrollerar en region eller ett större område på statens territorium, samt</w:t>
            </w:r>
            <w:r>
              <w:t xml:space="preserve"> har viljan och förmågan att erbjuda skydd. Skyddet bör vara verksamt och av icke-tillfällig natur.</w:t>
            </w:r>
          </w:p>
        </w:tc>
        <w:tc>
          <w:tcPr/>
          <w:p>
            <w:pPr>
              <w:pStyle w:val="Normal6"/>
            </w:pPr>
            <w:r>
              <w:t>(23)</w:t>
            </w:r>
            <w:r>
              <w:tab/>
            </w:r>
            <w:r>
              <w:t xml:space="preserve">Skydd kan ges </w:t>
            </w:r>
            <w:r>
              <w:rPr>
                <w:rFonts w:ascii="Times New Roman" w:eastAsia="Times New Roman" w:hAnsi="Times New Roman" w:cs="Times New Roman"/>
                <w:b/>
                <w:i/>
                <w:strike w:val="0"/>
                <w:color w:val="000000"/>
                <w:sz w:val="24"/>
                <w:highlight w:val="none"/>
                <w:u w:val="none" w:color="auto"/>
              </w:rPr>
              <w:t>endast av en stat, om dess myndigheter</w:t>
            </w:r>
            <w:r>
              <w:t xml:space="preserve"> har viljan och förmågan att erbjuda skydd. Skyddet bör vara verksamt och av icke-tillfällig natur.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180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(23)</w:t>
            </w:r>
            <w:r>
              <w:tab/>
            </w:r>
            <w:r>
              <w:t xml:space="preserve">Skydd kan ges </w:t>
            </w:r>
            <w:r>
              <w:rPr>
                <w:rFonts w:ascii="Times New Roman" w:eastAsia="Times New Roman" w:hAnsi="Times New Roman" w:cs="Times New Roman"/>
                <w:b/>
                <w:i/>
                <w:strike w:val="0"/>
                <w:color w:val="000000"/>
                <w:sz w:val="24"/>
                <w:highlight w:val="none"/>
                <w:u w:val="none" w:color="auto"/>
              </w:rPr>
              <w:t>antingen av staten eller av sådana parter eller organisationer, inklusive internationella organisationer,</w:t>
            </w:r>
            <w:r>
              <w:t xml:space="preserve"> som uppfyller villkoren i denna förordning</w:t>
            </w:r>
            <w:r>
              <w:rPr>
                <w:rFonts w:ascii="Times New Roman" w:eastAsia="Times New Roman" w:hAnsi="Times New Roman" w:cs="Times New Roman"/>
                <w:b/>
                <w:i/>
                <w:strike w:val="0"/>
                <w:color w:val="000000"/>
                <w:sz w:val="24"/>
                <w:highlight w:val="none"/>
                <w:u w:val="none" w:color="auto"/>
              </w:rPr>
              <w:t xml:space="preserve"> och som kontrollerar en region eller ett större område på statens territorium,</w:t>
            </w:r>
            <w:r>
              <w:t xml:space="preserve"> samt har viljan och förmågan att erbjuda skydd. Skyddet bör vara verksamt och av icke-tillfällig natur.</w:t>
            </w:r>
          </w:p>
        </w:tc>
        <w:tc>
          <w:tcPr/>
          <w:p>
            <w:pPr>
              <w:pStyle w:val="Normal6"/>
            </w:pPr>
            <w:r>
              <w:t>(23)</w:t>
            </w:r>
            <w:r>
              <w:tab/>
            </w:r>
            <w:r>
              <w:t xml:space="preserve">Skydd kan ges </w:t>
            </w:r>
            <w:r>
              <w:rPr>
                <w:rFonts w:ascii="Times New Roman" w:eastAsia="Times New Roman" w:hAnsi="Times New Roman" w:cs="Times New Roman"/>
                <w:b/>
                <w:i/>
                <w:strike w:val="0"/>
                <w:color w:val="000000"/>
                <w:sz w:val="24"/>
                <w:highlight w:val="none"/>
                <w:u w:val="none" w:color="auto"/>
              </w:rPr>
              <w:t>av stater</w:t>
            </w:r>
            <w:r>
              <w:t xml:space="preserve"> som uppfyller villkoren i denna förordning samt har viljan och förmågan att erbjuda skydd. Skyddet bör vara verksamt och av icke-tillfällig natur.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According to the 1951 refugee convention, as amended in 1967, the only protection actor is the State [Art. 1A(2)]:</w:t>
      </w:r>
    </w:p>
    <w:p>
      <w:pPr>
        <w:pStyle w:val="Normal12Italic"/>
      </w:pPr>
      <w:r>
        <w:t>“For the purposes of the present Convention, the term “refugee” shall apply to any person who:</w:t>
      </w:r>
    </w:p>
    <w:p>
      <w:pPr>
        <w:pStyle w:val="Normal12Italic"/>
      </w:pPr>
      <w:r>
        <w:t>…</w:t>
      </w:r>
    </w:p>
    <w:p>
      <w:pPr>
        <w:pStyle w:val="Normal12Italic"/>
      </w:pPr>
      <w: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181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t xml:space="preserve">, </w:t>
      </w:r>
      <w:r>
        <w:t>Helga Stevens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(23)</w:t>
            </w:r>
            <w:r>
              <w:tab/>
            </w:r>
            <w:r>
              <w:t>Skydd kan ges antingen av staten eller av sådana parter eller organisationer, inklusive internationella organisationer, som uppfyller villkoren i denna förordning och som kontrollerar en region eller ett större område på statens territorium, samt har viljan och förmågan att erbjuda skydd. Skyddet bör vara verksamt</w:t>
            </w:r>
            <w:r>
              <w:rPr>
                <w:rFonts w:ascii="Times New Roman" w:eastAsia="Times New Roman" w:hAnsi="Times New Roman" w:cs="Times New Roman"/>
                <w:b/>
                <w:i/>
                <w:strike w:val="0"/>
                <w:color w:val="000000"/>
                <w:sz w:val="24"/>
                <w:highlight w:val="none"/>
                <w:u w:val="none" w:color="auto"/>
              </w:rPr>
              <w:t xml:space="preserve"> och av icke-tillfällig natur</w:t>
            </w:r>
            <w:r>
              <w:t>.</w:t>
            </w:r>
          </w:p>
        </w:tc>
        <w:tc>
          <w:tcPr/>
          <w:p>
            <w:pPr>
              <w:pStyle w:val="Normal6"/>
            </w:pPr>
            <w:r>
              <w:t>(23)</w:t>
            </w:r>
            <w:r>
              <w:tab/>
            </w:r>
            <w:r>
              <w:t>Skydd kan ges antingen av staten eller av sådana parter eller organisationer, inklusive internationella organisationer, som uppfyller villkoren i denna förordning och som kontrollerar en region eller ett större område på statens territorium, samt har viljan och förmågan att erbjuda skydd. Skyddet bör vara verksamt.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182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Lorenzo Fontana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(23)</w:t>
            </w:r>
            <w:r>
              <w:tab/>
            </w:r>
            <w:r>
              <w:t xml:space="preserve">Skydd kan ges antingen av staten eller av sådana </w:t>
            </w:r>
            <w:r>
              <w:rPr>
                <w:rFonts w:ascii="Times New Roman" w:eastAsia="Times New Roman" w:hAnsi="Times New Roman" w:cs="Times New Roman"/>
                <w:b/>
                <w:i/>
                <w:strike w:val="0"/>
                <w:color w:val="000000"/>
                <w:sz w:val="24"/>
                <w:highlight w:val="none"/>
                <w:u w:val="none" w:color="auto"/>
              </w:rPr>
              <w:t xml:space="preserve">parter eller </w:t>
            </w:r>
            <w:r>
              <w:t>organisationer, inklusive internationella organisationer, som uppfyller villkoren i denna förordning och som kontrollerar en region eller ett större område på statens territorium, samt har viljan och förmågan att erbjuda skydd. Skyddet bör vara verksamt och av icke-tillfällig natur.</w:t>
            </w:r>
          </w:p>
        </w:tc>
        <w:tc>
          <w:tcPr/>
          <w:p>
            <w:pPr>
              <w:pStyle w:val="Normal6"/>
            </w:pPr>
            <w:r>
              <w:t>(23)</w:t>
            </w:r>
            <w:r>
              <w:tab/>
            </w:r>
            <w:r>
              <w:t>Skydd kan ges antingen av staten eller av sådana organisationer, inklusive internationella organisationer, som uppfyller villkoren i denna förordning och som kontrollerar en region eller ett större område på statens territorium, samt har viljan och förmågan att erbjuda skydd. Skyddet bör vara verksamt och av icke-tillfällig natur.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183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(24)</w:t>
            </w:r>
            <w:r>
              <w:tab/>
            </w:r>
            <w:r>
              <w:rPr>
                <w:rFonts w:ascii="Times New Roman" w:eastAsia="Times New Roman" w:hAnsi="Times New Roman" w:cs="Times New Roman"/>
                <w:b/>
                <w:i/>
                <w:strike w:val="0"/>
                <w:color w:val="000000"/>
                <w:sz w:val="24"/>
                <w:highlight w:val="none"/>
                <w:u w:val="none" w:color="auto"/>
              </w:rPr>
              <w:t>Internt skydd mot förföljelse eller allvarlig skada bör vara faktiskt tillgängligt för sökanden i en del av ursprungslandet som han eller hon på ett säkert och lagligt sätt kan resa till och beviljas rätt till inresa i samt där han eller hon rimligen kan förväntas bosätta sig. Bedömningen av om sådant internt skydd finns bör vara en integrerad del av bedömningen av ansökan om internationellt skydd och bör genomföras när den beslutande myndigheten väl har fastställt att kriterierna för att vara berättigad till internationellt skydd annars skulle tillämpas. Det bör ankomma på den beslutande myndigheten att visa att internt skydd finns tillgängligt.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184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(24)</w:t>
            </w:r>
            <w:r>
              <w:tab/>
            </w:r>
            <w:r>
              <w:rPr>
                <w:rFonts w:ascii="Times New Roman" w:eastAsia="Times New Roman" w:hAnsi="Times New Roman" w:cs="Times New Roman"/>
                <w:b/>
                <w:i/>
                <w:strike w:val="0"/>
                <w:color w:val="000000"/>
                <w:sz w:val="24"/>
                <w:highlight w:val="none"/>
                <w:u w:val="none" w:color="auto"/>
              </w:rPr>
              <w:t>Internt skydd mot förföljelse eller allvarlig skada bör vara faktiskt tillgängligt för sökanden i en del av ursprungslandet som han eller hon på ett säkert och lagligt sätt kan resa till och beviljas rätt till inresa i samt där han eller hon rimligen kan förväntas bosätta sig. Bedömningen av om sådant internt skydd finns bör vara en integrerad del av bedömningen av ansökan om internationellt skydd och bör genomföras när den beslutande myndigheten väl har fastställt att kriterierna för att vara berättigad till internationellt skydd annars skulle tillämpas. Det bör ankomma på den beslutande myndigheten att visa att internt skydd finns tillgängligt.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185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(24)</w:t>
            </w:r>
            <w:r>
              <w:tab/>
            </w:r>
            <w:r>
              <w:rPr>
                <w:rFonts w:ascii="Times New Roman" w:eastAsia="Times New Roman" w:hAnsi="Times New Roman" w:cs="Times New Roman"/>
                <w:b/>
                <w:i/>
                <w:strike w:val="0"/>
                <w:color w:val="000000"/>
                <w:sz w:val="24"/>
                <w:highlight w:val="none"/>
                <w:u w:val="none" w:color="auto"/>
              </w:rPr>
              <w:t>Internt skydd mot förföljelse eller allvarlig skada bör vara faktiskt tillgängligt för sökanden i en del av ursprungslandet som han eller hon på ett säkert och lagligt sätt kan resa till och beviljas rätt till inresa i samt där han eller hon rimligen kan förväntas bosätta sig. Bedömningen av om sådant internt skydd finns bör vara en integrerad del av bedömningen av ansökan om internationellt skydd och bör genomföras när den beslutande myndigheten väl har fastställt att kriterierna för att vara berättigad till internationellt skydd annars skulle tillämpas. Det bör ankomma på den beslutande myndigheten att visa att internt skydd finns tillgängligt.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Begreppet internt skydd härrör inte från 1951 års flyktingkonvention, och det medför ytterligare ett urvalskriterium för flyktingstatus utöver de kriterier som föreskrivs i artikel 1 A i flyktingkonventionen, vilket medför en risk för att sökande som har rätt till skydd enligt konventionen lämnas utan skydd enligt EU-lagstiftningen.</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186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Alessandra Mussolini</w:t>
      </w:r>
      <w:r>
        <w:t xml:space="preserve">, </w:t>
      </w:r>
      <w:r>
        <w:t>Elissavet Vozemberg-Vrionidi</w:t>
      </w:r>
      <w:r>
        <w:t xml:space="preserve">, </w:t>
      </w:r>
      <w:r>
        <w:t>Frank Engel</w:t>
      </w:r>
      <w:r>
        <w:t xml:space="preserve">, </w:t>
      </w:r>
      <w:r>
        <w:t>Barbara Matera</w:t>
      </w:r>
      <w:r>
        <w:t xml:space="preserve">, </w:t>
      </w:r>
      <w:r>
        <w:t>Salvatore Domenico Pogliese</w:t>
      </w:r>
      <w:r>
        <w:t xml:space="preserve">, </w:t>
      </w:r>
      <w:r>
        <w:t>Carlos Coelho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(24)</w:t>
            </w:r>
            <w:r>
              <w:tab/>
            </w:r>
            <w:r>
              <w:t xml:space="preserve">Internt skydd mot förföljelse eller allvarlig skada bör vara faktiskt tillgängligt för sökanden i en del av ursprungslandet som han eller hon på ett säkert och lagligt sätt kan resa till och beviljas rätt till inresa i samt där han eller hon rimligen kan förväntas bosätta sig. Bedömningen av om sådant internt skydd finns </w:t>
            </w:r>
            <w:r>
              <w:rPr>
                <w:rFonts w:ascii="Times New Roman" w:eastAsia="Times New Roman" w:hAnsi="Times New Roman" w:cs="Times New Roman"/>
                <w:b/>
                <w:i/>
                <w:strike w:val="0"/>
                <w:color w:val="000000"/>
                <w:sz w:val="24"/>
                <w:highlight w:val="none"/>
                <w:u w:val="none" w:color="auto"/>
              </w:rPr>
              <w:t>bör</w:t>
            </w:r>
            <w:r>
              <w:t xml:space="preserve"> vara en</w:t>
            </w:r>
            <w:r>
              <w:rPr>
                <w:rFonts w:ascii="Times New Roman" w:eastAsia="Times New Roman" w:hAnsi="Times New Roman" w:cs="Times New Roman"/>
                <w:b/>
                <w:i/>
                <w:strike w:val="0"/>
                <w:color w:val="000000"/>
                <w:sz w:val="24"/>
                <w:highlight w:val="none"/>
                <w:u w:val="none" w:color="auto"/>
              </w:rPr>
              <w:t xml:space="preserve"> integrerad</w:t>
            </w:r>
            <w:r>
              <w:t xml:space="preserve"> del av bedömningen av ansökan om internationellt skydd och bör genomföras när den beslutande myndigheten väl har fastställt att kriterierna för att vara berättigad till internationellt skydd annars skulle tillämpas. Det bör ankomma på den beslutande myndigheten att visa att internt skydd finns tillgängligt.</w:t>
            </w:r>
          </w:p>
        </w:tc>
        <w:tc>
          <w:tcPr/>
          <w:p>
            <w:pPr>
              <w:pStyle w:val="Normal6"/>
            </w:pPr>
            <w:r>
              <w:t>(24)</w:t>
            </w:r>
            <w:r>
              <w:tab/>
            </w:r>
            <w:r>
              <w:t xml:space="preserve">Internt skydd mot förföljelse eller allvarlig skada bör vara faktiskt tillgängligt för sökanden i en del av ursprungslandet som han eller hon på ett säkert och lagligt sätt kan resa till och beviljas rätt till inresa i samt där han eller hon rimligen kan förväntas bosätta sig. Bedömningen av om sådant internt skydd finns </w:t>
            </w:r>
            <w:r>
              <w:rPr>
                <w:rFonts w:ascii="Times New Roman" w:eastAsia="Times New Roman" w:hAnsi="Times New Roman" w:cs="Times New Roman"/>
                <w:b/>
                <w:i/>
                <w:strike w:val="0"/>
                <w:color w:val="000000"/>
                <w:sz w:val="24"/>
                <w:highlight w:val="none"/>
                <w:u w:val="none" w:color="auto"/>
              </w:rPr>
              <w:t>kan</w:t>
            </w:r>
            <w:r>
              <w:t xml:space="preserve"> vara en del av bedömningen av ansökan om internationellt skydd och bör genomföras när den beslutande myndigheten väl har fastställt att kriterierna för att vara berättigad till internationellt skydd annars skulle tillämpas. Det bör ankomma på den beslutande myndigheten att visa att internt skydd finns tillgängligt. </w:t>
            </w:r>
            <w:r>
              <w:rPr>
                <w:rFonts w:ascii="Times New Roman" w:eastAsia="Times New Roman" w:hAnsi="Times New Roman" w:cs="Times New Roman"/>
                <w:b/>
                <w:i/>
                <w:strike w:val="0"/>
                <w:color w:val="000000"/>
                <w:sz w:val="24"/>
                <w:highlight w:val="none"/>
                <w:u w:val="none" w:color="auto"/>
              </w:rPr>
              <w:t>Sökanden bör emellertid samarbeta med den beslutande myndigheten i syfte att fastställa huruvida villkoren för internt skydd är uppfyllda i en del av vederbörandes ursprungsland.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Samtidigt som det bör ankomma på den beslutande myndigheten att visa att internt skydd finns tillgängligt, krävs det också att sökanden hjälper den beslutande myndigheten i arbetet med att fastställa huruvida villkoren för internt skydd är uppfyllda, detta genom att tillhandahålla relevant information och besvara samtliga frågor som ställs.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187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Kinga Gál</w:t>
      </w:r>
      <w:r>
        <w:t xml:space="preserve">, </w:t>
      </w:r>
      <w:r>
        <w:t>Pál Csáky</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(24)</w:t>
            </w:r>
            <w:r>
              <w:tab/>
            </w:r>
            <w:r>
              <w:t>Internt skydd mot förföljelse eller allvarlig skada bör vara faktiskt tillgängligt för sökanden i en del av ursprungslandet som han eller hon på ett säkert och lagligt sätt kan resa till och beviljas rätt till inresa i samt där han eller hon rimligen kan förväntas bosätta sig. Bedömningen av om sådant internt skydd finns bör vara en integrerad del av bedömningen av ansökan om internationellt skydd och bör genomföras när den beslutande myndigheten väl har fastställt att kriterierna för att vara berättigad till internationellt skydd annars skulle tillämpas.</w:t>
            </w:r>
            <w:r>
              <w:rPr>
                <w:rFonts w:ascii="Times New Roman" w:eastAsia="Times New Roman" w:hAnsi="Times New Roman" w:cs="Times New Roman"/>
                <w:b/>
                <w:i/>
                <w:strike w:val="0"/>
                <w:color w:val="000000"/>
                <w:sz w:val="24"/>
                <w:highlight w:val="none"/>
                <w:u w:val="none" w:color="auto"/>
              </w:rPr>
              <w:t xml:space="preserve"> Det bör ankomma på den beslutande myndigheten att visa att internt skydd finns tillgängligt.</w:t>
            </w:r>
          </w:p>
        </w:tc>
        <w:tc>
          <w:tcPr/>
          <w:p>
            <w:pPr>
              <w:pStyle w:val="Normal6"/>
            </w:pPr>
            <w:r>
              <w:t>(24)</w:t>
            </w:r>
            <w:r>
              <w:tab/>
            </w:r>
            <w:r>
              <w:t>Internt skydd mot förföljelse eller allvarlig skada bör vara faktiskt tillgängligt för sökanden i en del av ursprungslandet som han eller hon på ett säkert och lagligt sätt kan resa till och beviljas rätt till inresa i samt där han eller hon rimligen kan förväntas bosätta sig. Bedömningen av om sådant internt skydd finns bör vara en integrerad del av bedömningen av ansökan om internationellt skydd och bör genomföras när den beslutande myndigheten väl har fastställt att kriterierna för att vara berättigad till internationellt skydd annars skulle tillämpas.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188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(24)</w:t>
            </w:r>
            <w:r>
              <w:tab/>
            </w:r>
            <w:r>
              <w:t xml:space="preserve">Internt skydd mot förföljelse eller allvarlig skada bör vara faktiskt tillgängligt för sökanden i en del av ursprungslandet som han eller hon på ett säkert och lagligt sätt kan resa till och beviljas rätt till inresa i samt där han eller hon rimligen kan förväntas bosätta sig. Bedömningen av om sådant internt skydd finns bör vara en integrerad del av bedömningen av ansökan om internationellt skydd och bör genomföras när den beslutande myndigheten </w:t>
            </w:r>
            <w:r>
              <w:rPr>
                <w:rFonts w:ascii="Times New Roman" w:eastAsia="Times New Roman" w:hAnsi="Times New Roman" w:cs="Times New Roman"/>
                <w:b/>
                <w:i/>
                <w:strike w:val="0"/>
                <w:color w:val="000000"/>
                <w:sz w:val="24"/>
                <w:highlight w:val="none"/>
                <w:u w:val="none" w:color="auto"/>
              </w:rPr>
              <w:t xml:space="preserve">väl </w:t>
            </w:r>
            <w:r>
              <w:t xml:space="preserve">har fastställt att kriterierna för att vara berättigad till internationellt skydd annars skulle tillämpas. Det bör ankomma på </w:t>
            </w:r>
            <w:r>
              <w:rPr>
                <w:rFonts w:ascii="Times New Roman" w:eastAsia="Times New Roman" w:hAnsi="Times New Roman" w:cs="Times New Roman"/>
                <w:b/>
                <w:i/>
                <w:strike w:val="0"/>
                <w:color w:val="000000"/>
                <w:sz w:val="24"/>
                <w:highlight w:val="none"/>
                <w:u w:val="none" w:color="auto"/>
              </w:rPr>
              <w:t>den beslutande myndigheten</w:t>
            </w:r>
            <w:r>
              <w:t xml:space="preserve"> att visa att internt skydd finns tillgängligt.</w:t>
            </w:r>
          </w:p>
        </w:tc>
        <w:tc>
          <w:tcPr/>
          <w:p>
            <w:pPr>
              <w:pStyle w:val="Normal6"/>
            </w:pPr>
            <w:r>
              <w:t>(24)</w:t>
            </w:r>
            <w:r>
              <w:tab/>
            </w:r>
            <w:r>
              <w:t xml:space="preserve">Internt skydd mot förföljelse eller allvarlig skada bör vara faktiskt tillgängligt för sökanden i en del av ursprungslandet som han eller hon på ett säkert och lagligt sätt kan resa till och beviljas rätt till inresa i samt där han eller hon rimligen kan förväntas bosätta sig. Bedömningen av om sådant internt skydd finns bör vara en integrerad del av bedömningen av ansökan om internationellt skydd och bör genomföras </w:t>
            </w:r>
            <w:r>
              <w:rPr>
                <w:rFonts w:ascii="Times New Roman" w:eastAsia="Times New Roman" w:hAnsi="Times New Roman" w:cs="Times New Roman"/>
                <w:b/>
                <w:i/>
                <w:strike w:val="0"/>
                <w:color w:val="000000"/>
                <w:sz w:val="24"/>
                <w:highlight w:val="none"/>
                <w:u w:val="none" w:color="auto"/>
              </w:rPr>
              <w:t xml:space="preserve">senast </w:t>
            </w:r>
            <w:r>
              <w:t xml:space="preserve">när den beslutande myndigheten har fastställt att kriterierna för att vara berättigad till internationellt skydd annars skulle tillämpas. Det bör ankomma på </w:t>
            </w:r>
            <w:r>
              <w:rPr>
                <w:rFonts w:ascii="Times New Roman" w:eastAsia="Times New Roman" w:hAnsi="Times New Roman" w:cs="Times New Roman"/>
                <w:b/>
                <w:i/>
                <w:strike w:val="0"/>
                <w:color w:val="000000"/>
                <w:sz w:val="24"/>
                <w:highlight w:val="none"/>
                <w:u w:val="none" w:color="auto"/>
              </w:rPr>
              <w:t>sökanden</w:t>
            </w:r>
            <w:r>
              <w:t xml:space="preserve"> att visa att internt skydd</w:t>
            </w:r>
            <w:r>
              <w:rPr>
                <w:rFonts w:ascii="Times New Roman" w:eastAsia="Times New Roman" w:hAnsi="Times New Roman" w:cs="Times New Roman"/>
                <w:b/>
                <w:i/>
                <w:strike w:val="0"/>
                <w:color w:val="000000"/>
                <w:sz w:val="24"/>
                <w:highlight w:val="none"/>
                <w:u w:val="none" w:color="auto"/>
              </w:rPr>
              <w:t xml:space="preserve"> inte</w:t>
            </w:r>
            <w:r>
              <w:t xml:space="preserve"> finns tillgängligt.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189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Alessandra Mussolini</w:t>
      </w:r>
      <w:r>
        <w:t xml:space="preserve">, </w:t>
      </w:r>
      <w:r>
        <w:t>Elissavet Vozemberg-Vrionidi</w:t>
      </w:r>
      <w:r>
        <w:t xml:space="preserve">, </w:t>
      </w:r>
      <w:r>
        <w:t>Frank Engel</w:t>
      </w:r>
      <w:r>
        <w:t xml:space="preserve">, </w:t>
      </w:r>
      <w:r>
        <w:t>Barbara Matera</w:t>
      </w:r>
      <w:r>
        <w:t xml:space="preserve">, </w:t>
      </w:r>
      <w:r>
        <w:t>Salvatore Domenico Pogliese</w:t>
      </w:r>
      <w:r>
        <w:t xml:space="preserve">, </w:t>
      </w:r>
      <w:r>
        <w:t>József Nagy</w:t>
      </w:r>
      <w:r>
        <w:t xml:space="preserve">, </w:t>
      </w:r>
      <w:r>
        <w:t>Carlos Coelho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24a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(24a)</w:t>
            </w:r>
            <w:r>
              <w:tab/>
            </w:r>
            <w:r>
              <w:rPr>
                <w:rFonts w:ascii="Times New Roman" w:eastAsia="Times New Roman" w:hAnsi="Times New Roman" w:cs="Times New Roman"/>
                <w:b/>
                <w:i/>
                <w:strike w:val="0"/>
                <w:color w:val="000000"/>
                <w:sz w:val="24"/>
                <w:highlight w:val="none"/>
                <w:u w:val="none" w:color="auto"/>
              </w:rPr>
              <w:t>Bedömningen av barnets bästa bör vara de behöriga myndigheternas primära hänsyn när de bedömer villkoren för internt skydd i fall av underåriga.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Detta skäl har anpassats till ändringsförslaget till artikel 8.4a (ny).</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190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(25)</w:t>
            </w:r>
            <w:r>
              <w:tab/>
            </w:r>
            <w:r>
              <w:rPr>
                <w:rFonts w:ascii="Times New Roman" w:eastAsia="Times New Roman" w:hAnsi="Times New Roman" w:cs="Times New Roman"/>
                <w:b/>
                <w:i/>
                <w:strike w:val="0"/>
                <w:color w:val="000000"/>
                <w:sz w:val="24"/>
                <w:highlight w:val="none"/>
                <w:u w:val="none" w:color="auto"/>
              </w:rPr>
              <w:t>I de fall då staten eller statens företrädare är de aktörer som utövar förföljelse eller ger upphov till allvarlig skada bör det finnas en presumtion för att sökanden inte kan ges effektivt skydd. Om sökanden är ett ensamkommande barn bör tillgången till lämpliga omsorgs- och förmyndararrangemang som är till det ensamkommande barnets bästa utgöra en del av bedömningen av om effektivt skydd är tillgängligt.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I linje med ändringsförslag nedan om att stryka artikel 8.</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191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(25)</w:t>
            </w:r>
            <w:r>
              <w:tab/>
            </w:r>
            <w:r>
              <w:t xml:space="preserve">I de fall då staten eller statens företrädare </w:t>
            </w:r>
            <w:r>
              <w:rPr>
                <w:rFonts w:ascii="Times New Roman" w:eastAsia="Times New Roman" w:hAnsi="Times New Roman" w:cs="Times New Roman"/>
                <w:b/>
                <w:i/>
                <w:strike w:val="0"/>
                <w:color w:val="000000"/>
                <w:sz w:val="24"/>
                <w:highlight w:val="none"/>
                <w:u w:val="none" w:color="auto"/>
              </w:rPr>
              <w:t>är</w:t>
            </w:r>
            <w:r>
              <w:t xml:space="preserve"> de aktörer som utövar förföljelse eller ger upphov till allvarlig skada bör det finnas en presumtion för att sökanden inte kan ges effektivt skydd.</w:t>
            </w:r>
            <w:r>
              <w:rPr>
                <w:rFonts w:ascii="Times New Roman" w:eastAsia="Times New Roman" w:hAnsi="Times New Roman" w:cs="Times New Roman"/>
                <w:b/>
                <w:i/>
                <w:strike w:val="0"/>
                <w:color w:val="000000"/>
                <w:sz w:val="24"/>
                <w:highlight w:val="none"/>
                <w:u w:val="none" w:color="auto"/>
              </w:rPr>
              <w:t xml:space="preserve"> Om sökanden är ett ensamkommande barn bör tillgången till lämpliga omsorgs- och förmyndararrangemang som är till det ensamkommande barnets bästa utgöra en del av bedömningen av om effektivt skydd är tillgängligt.</w:t>
            </w:r>
          </w:p>
        </w:tc>
        <w:tc>
          <w:tcPr/>
          <w:p>
            <w:pPr>
              <w:pStyle w:val="Normal6"/>
            </w:pPr>
            <w:r>
              <w:t>(25)</w:t>
            </w:r>
            <w:r>
              <w:tab/>
            </w:r>
            <w:r>
              <w:t>I de fall då staten eller statens företrädare </w:t>
            </w:r>
            <w:r>
              <w:rPr>
                <w:rFonts w:ascii="Times New Roman" w:eastAsia="Times New Roman" w:hAnsi="Times New Roman" w:cs="Times New Roman"/>
                <w:b/>
                <w:i/>
                <w:strike w:val="0"/>
                <w:color w:val="000000"/>
                <w:sz w:val="24"/>
                <w:highlight w:val="none"/>
                <w:u w:val="none" w:color="auto"/>
              </w:rPr>
              <w:t>fastställs vara</w:t>
            </w:r>
            <w:r>
              <w:t xml:space="preserve"> de aktörer som utövar förföljelse eller ger upphov till allvarlig skada bör det finnas en presumtion för att sökanden inte kan ges effektivt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192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(26)</w:t>
            </w:r>
            <w:r>
              <w:tab/>
            </w:r>
            <w:r>
              <w:t>När underåriga ansöker om internationellt skydd är det nödvändigt att medlemsstaterna vid sin prövning beaktar former av förföljelse som är specifika för barn.</w:t>
            </w:r>
          </w:p>
        </w:tc>
        <w:tc>
          <w:tcPr/>
          <w:p>
            <w:pPr>
              <w:pStyle w:val="Normal6"/>
            </w:pPr>
            <w:r>
              <w:t>(26)</w:t>
            </w:r>
            <w:r>
              <w:tab/>
            </w:r>
            <w:r>
              <w:t>När underåriga ansöker om internationellt skydd är det nödvändigt att medlemsstaterna vid sin prövning beaktar former av förföljelse</w:t>
            </w:r>
            <w:r>
              <w:rPr>
                <w:rFonts w:ascii="Times New Roman" w:eastAsia="Times New Roman" w:hAnsi="Times New Roman" w:cs="Times New Roman"/>
                <w:b/>
                <w:i/>
                <w:strike w:val="0"/>
                <w:color w:val="000000"/>
                <w:sz w:val="24"/>
                <w:highlight w:val="none"/>
                <w:u w:val="none" w:color="auto"/>
              </w:rPr>
              <w:t>, människohandel och exploatering</w:t>
            </w:r>
            <w:r>
              <w:t xml:space="preserve"> som är specifika för barn</w:t>
            </w:r>
            <w:r>
              <w:rPr>
                <w:rFonts w:ascii="Times New Roman" w:eastAsia="Times New Roman" w:hAnsi="Times New Roman" w:cs="Times New Roman"/>
                <w:b/>
                <w:i/>
                <w:strike w:val="0"/>
                <w:color w:val="000000"/>
                <w:sz w:val="24"/>
                <w:highlight w:val="none"/>
                <w:u w:val="none" w:color="auto"/>
              </w:rPr>
              <w:t xml:space="preserve"> eller avsaknaden av skydd mot sådan förföljelse</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193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(26)</w:t>
            </w:r>
            <w:r>
              <w:tab/>
            </w:r>
            <w:r>
              <w:t>När underåriga ansöker om internationellt skydd är det nödvändigt att medlemsstaterna vid sin prövning beaktar former av förföljelse som är specifika för barn.</w:t>
            </w:r>
          </w:p>
        </w:tc>
        <w:tc>
          <w:tcPr/>
          <w:p>
            <w:pPr>
              <w:pStyle w:val="Normal6"/>
            </w:pPr>
            <w:r>
              <w:t>(26)</w:t>
            </w:r>
            <w:r>
              <w:tab/>
            </w:r>
            <w:r>
              <w:t xml:space="preserve">När underåriga ansöker om internationellt skydd är det nödvändigt att medlemsstaterna vid sin prövning beaktar </w:t>
            </w:r>
            <w:r>
              <w:rPr>
                <w:rFonts w:ascii="Times New Roman" w:eastAsia="Times New Roman" w:hAnsi="Times New Roman" w:cs="Times New Roman"/>
                <w:b/>
                <w:i/>
                <w:strike w:val="0"/>
                <w:color w:val="000000"/>
                <w:sz w:val="24"/>
                <w:highlight w:val="none"/>
                <w:u w:val="none" w:color="auto"/>
              </w:rPr>
              <w:t xml:space="preserve">de </w:t>
            </w:r>
            <w:r>
              <w:t>former av förföljelse</w:t>
            </w:r>
            <w:r>
              <w:rPr>
                <w:rFonts w:ascii="Times New Roman" w:eastAsia="Times New Roman" w:hAnsi="Times New Roman" w:cs="Times New Roman"/>
                <w:b/>
                <w:i/>
                <w:strike w:val="0"/>
                <w:color w:val="000000"/>
                <w:sz w:val="24"/>
                <w:highlight w:val="none"/>
                <w:u w:val="none" w:color="auto"/>
              </w:rPr>
              <w:t xml:space="preserve"> och de olika former av utnyttjande, eller brist på skydd,</w:t>
            </w:r>
            <w:r>
              <w:t xml:space="preserve"> som är specifika för barn.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194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(27)</w:t>
            </w:r>
            <w:r>
              <w:tab/>
            </w:r>
            <w:r>
              <w:t xml:space="preserve">Ett av villkoren för att kunna betraktas som flykting i den mening som avses i artikel 1 A i Genèvekonventionen är att det finns ett orsakssamband mellan förföljelsegrunderna, nämligen ras, religion, nationalitet, politisk åskådning eller tillhörighet till </w:t>
            </w:r>
            <w:r>
              <w:rPr>
                <w:rFonts w:ascii="Times New Roman" w:eastAsia="Times New Roman" w:hAnsi="Times New Roman" w:cs="Times New Roman"/>
                <w:b/>
                <w:i/>
                <w:strike w:val="0"/>
                <w:color w:val="000000"/>
                <w:sz w:val="24"/>
                <w:highlight w:val="none"/>
                <w:u w:val="none" w:color="auto"/>
              </w:rPr>
              <w:t xml:space="preserve">en </w:t>
            </w:r>
            <w:r>
              <w:t>viss samhällsgrupp, och förföljelsen eller avsaknaden av skydd mot förföljelse.</w:t>
            </w:r>
          </w:p>
        </w:tc>
        <w:tc>
          <w:tcPr/>
          <w:p>
            <w:pPr>
              <w:pStyle w:val="Normal6"/>
            </w:pPr>
            <w:r>
              <w:t>(27)</w:t>
            </w:r>
            <w:r>
              <w:tab/>
            </w:r>
            <w:r>
              <w:t>Ett av villkoren för att kunna betraktas som flykting i den mening som avses i artikel 1 A i Genèvekonventionen är att det finns ett orsakssamband mellan förföljelsegrunderna, nämligen ras, religion</w:t>
            </w:r>
            <w:r>
              <w:rPr>
                <w:rFonts w:ascii="Times New Roman" w:eastAsia="Times New Roman" w:hAnsi="Times New Roman" w:cs="Times New Roman"/>
                <w:b/>
                <w:i/>
                <w:strike w:val="0"/>
                <w:color w:val="000000"/>
                <w:sz w:val="24"/>
                <w:highlight w:val="none"/>
                <w:u w:val="none" w:color="auto"/>
              </w:rPr>
              <w:t xml:space="preserve"> eller annan trosuppfattning</w:t>
            </w:r>
            <w:r>
              <w:t>, nationalitet, politisk åskådning eller tillhörighet till viss samhällsgrupp</w:t>
            </w:r>
            <w:r>
              <w:rPr>
                <w:rFonts w:ascii="Times New Roman" w:eastAsia="Times New Roman" w:hAnsi="Times New Roman" w:cs="Times New Roman"/>
                <w:b/>
                <w:i/>
                <w:strike w:val="0"/>
                <w:color w:val="000000"/>
                <w:sz w:val="24"/>
                <w:highlight w:val="none"/>
                <w:u w:val="none" w:color="auto"/>
              </w:rPr>
              <w:t xml:space="preserve"> eller politisk åskådning</w:t>
            </w:r>
            <w:r>
              <w:t>, och förföljelsen eller avsaknaden av skydd mot förföljelse.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195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(28)</w:t>
            </w:r>
            <w:r>
              <w:tab/>
            </w:r>
            <w:r>
              <w:rPr>
                <w:rFonts w:ascii="Times New Roman" w:eastAsia="Times New Roman" w:hAnsi="Times New Roman" w:cs="Times New Roman"/>
                <w:b/>
                <w:i/>
                <w:strike w:val="0"/>
                <w:color w:val="000000"/>
                <w:sz w:val="24"/>
                <w:highlight w:val="none"/>
                <w:u w:val="none" w:color="auto"/>
              </w:rPr>
              <w:t>Det är också nödvändigt att införa ett gemensamt begrepp för förföljelsegrunden ”tillhörighet till viss samhällsgrupp”. Vid definitionen av viss samhällsgrupp bör hänsyn tas till faktorer som hänger samman med sökandens kön, inbegripet könsidentitet och sexuell läggning, som kan ha samband med vissa rättstraditioner eller seder som leder till t.ex. könsstympning, tvångssterilisering eller tvångsabort, i den mån de har samband med den sökandes välgrundade fruktan för förföljelse.</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196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Traian Ungureanu</w:t>
      </w:r>
      <w:r>
        <w:t xml:space="preserve">, </w:t>
      </w:r>
      <w:r>
        <w:t>Artis Pabriks</w:t>
      </w:r>
      <w:r>
        <w:t xml:space="preserve">, </w:t>
      </w:r>
      <w:r>
        <w:t>Tomáš Zdechovský</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(28)</w:t>
            </w:r>
            <w:r>
              <w:tab/>
            </w:r>
            <w:r>
              <w:rPr>
                <w:rFonts w:ascii="Times New Roman" w:eastAsia="Times New Roman" w:hAnsi="Times New Roman" w:cs="Times New Roman"/>
                <w:b/>
                <w:i/>
                <w:strike w:val="0"/>
                <w:color w:val="000000"/>
                <w:sz w:val="24"/>
                <w:highlight w:val="none"/>
                <w:u w:val="none" w:color="auto"/>
              </w:rPr>
              <w:t>Det är också nödvändigt att införa ett gemensamt begrepp för förföljelsegrunden ”tillhörighet till viss samhällsgrupp”. Vid definitionen av viss samhällsgrupp bör hänsyn tas till faktorer som hänger samman med sökandens kön, inbegripet könsidentitet och sexuell läggning, som kan ha samband med vissa rättstraditioner eller seder som leder till t.ex. könsstympning, tvångssterilisering eller tvångsabort, i den mån de har samband med den sökandes välgrundade fruktan för förföljelse.</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197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(28)</w:t>
            </w:r>
            <w:r>
              <w:tab/>
            </w:r>
            <w:r>
              <w:t>Det är också nödvändigt att införa ett gemensamt begrepp för förföljelsegrunden ”tillhörighet till viss samhällsgrupp”.</w:t>
            </w:r>
            <w:r>
              <w:rPr>
                <w:rFonts w:ascii="Times New Roman" w:eastAsia="Times New Roman" w:hAnsi="Times New Roman" w:cs="Times New Roman"/>
                <w:b/>
                <w:i/>
                <w:strike w:val="0"/>
                <w:color w:val="000000"/>
                <w:sz w:val="24"/>
                <w:highlight w:val="none"/>
                <w:u w:val="none" w:color="auto"/>
              </w:rPr>
              <w:t xml:space="preserve"> Vid definitionen av viss samhällsgrupp bör hänsyn tas till faktorer som hänger samman med sökandens kön, inbegripet könsidentitet och sexuell läggning, som kan ha samband med vissa rättstraditioner eller seder som leder till t.ex. könsstympning, tvångssterilisering eller tvångsabort, i den mån de har samband med den sökandes välgrundade fruktan för förföljelse.</w:t>
            </w:r>
          </w:p>
        </w:tc>
        <w:tc>
          <w:tcPr/>
          <w:p>
            <w:pPr>
              <w:pStyle w:val="Normal6"/>
            </w:pPr>
            <w:r>
              <w:t>(28)</w:t>
            </w:r>
            <w:r>
              <w:tab/>
            </w:r>
            <w:r>
              <w:t>Det är också nödvändigt att införa ett gemensamt begrepp för förföljelsegrunden ”tillhörighet till viss samhällsgrupp”.</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198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(28)</w:t>
            </w:r>
            <w:r>
              <w:tab/>
            </w:r>
            <w:r>
              <w:t>Det är också nödvändigt att införa ett gemensamt begrepp för förföljelsegrunden ”tillhörighet till viss samhällsgrupp”. Vid definitionen av viss samhällsgrupp bör hänsyn tas till faktorer som hänger samman med sökandens kön, inbegripet könsidentitet och sexuell läggning, som kan ha samband med vissa rättstraditioner eller seder som leder till t.ex. könsstympning, tvångssterilisering eller tvångsabort, i den mån de har samband med den sökandes välgrundade fruktan för förföljelse.</w:t>
            </w:r>
          </w:p>
        </w:tc>
        <w:tc>
          <w:tcPr/>
          <w:p>
            <w:pPr>
              <w:pStyle w:val="Normal6"/>
            </w:pPr>
            <w:r>
              <w:t>(28)</w:t>
            </w:r>
            <w:r>
              <w:tab/>
            </w:r>
            <w:r>
              <w:t xml:space="preserve">Det är också nödvändigt att införa ett gemensamt begrepp för förföljelsegrunden ”tillhörighet till viss samhällsgrupp”. Vid definitionen av viss samhällsgrupp bör hänsyn tas till faktorer som hänger samman med sökandens kön, inbegripet könsidentitet och sexuell läggning, som kan ha samband med vissa rättstraditioner eller seder som leder till t.ex. könsstympning, tvångssterilisering eller tvångsabort, i den mån de har samband med den sökandes välgrundade fruktan för förföljelse. </w:t>
            </w:r>
            <w:r>
              <w:rPr>
                <w:rFonts w:ascii="Times New Roman" w:eastAsia="Times New Roman" w:hAnsi="Times New Roman" w:cs="Times New Roman"/>
                <w:b/>
                <w:i/>
                <w:strike w:val="0"/>
                <w:color w:val="000000"/>
                <w:sz w:val="24"/>
                <w:highlight w:val="none"/>
                <w:u w:val="none" w:color="auto"/>
              </w:rPr>
              <w:t>Den sökandes välgrundade fruktan för förföljelse kan uppstå till följd av uppfattningen att vederbörande tillhör en viss samhällsgrupp, oavsett om detta överensstämmer med verkligheten eller inte.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199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t xml:space="preserve">, </w:t>
      </w:r>
      <w:r>
        <w:t>Cornelia Ernst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(28)</w:t>
            </w:r>
            <w:r>
              <w:tab/>
            </w:r>
            <w:r>
              <w:t>Det är också nödvändigt att införa ett gemensamt begrepp för förföljelsegrunden ”tillhörighet till viss samhällsgrupp”. Vid definitionen av viss samhällsgrupp bör hänsyn tas till faktorer som hänger samman med sökandens kön, inbegripet könsidentitet och sexuell läggning, som kan ha samband med vissa rättstraditioner eller seder som leder till t.ex. könsstympning, tvångssterilisering eller tvångsabort, i den mån de har samband med den sökandes välgrundade fruktan för förföljelse.</w:t>
            </w:r>
          </w:p>
        </w:tc>
        <w:tc>
          <w:tcPr/>
          <w:p>
            <w:pPr>
              <w:pStyle w:val="Normal6"/>
            </w:pPr>
            <w:r>
              <w:t>(28)</w:t>
            </w:r>
            <w:r>
              <w:tab/>
            </w:r>
            <w:r>
              <w:t>Det är också nödvändigt att införa ett gemensamt begrepp för förföljelsegrunden ”tillhörighet till viss samhällsgrupp”. Vid definitionen av viss samhällsgrupp bör hänsyn tas till faktorer som hänger samman med sökandens kön, inbegripet könsidentitet</w:t>
            </w:r>
            <w:r>
              <w:rPr>
                <w:rFonts w:ascii="Times New Roman" w:eastAsia="Times New Roman" w:hAnsi="Times New Roman" w:cs="Times New Roman"/>
                <w:b/>
                <w:i/>
                <w:strike w:val="0"/>
                <w:color w:val="000000"/>
                <w:sz w:val="24"/>
                <w:highlight w:val="none"/>
                <w:u w:val="none" w:color="auto"/>
              </w:rPr>
              <w:t>, könsuttryck, könsegenskaper</w:t>
            </w:r>
            <w:r>
              <w:t xml:space="preserve"> och sexuell läggning, som kan ha samband med</w:t>
            </w:r>
            <w:r>
              <w:rPr>
                <w:rFonts w:ascii="Times New Roman" w:eastAsia="Times New Roman" w:hAnsi="Times New Roman" w:cs="Times New Roman"/>
                <w:b/>
                <w:i/>
                <w:strike w:val="0"/>
                <w:color w:val="000000"/>
                <w:sz w:val="24"/>
                <w:highlight w:val="none"/>
                <w:u w:val="none" w:color="auto"/>
              </w:rPr>
              <w:t xml:space="preserve"> människohandel för sexuell exploatering eller</w:t>
            </w:r>
            <w:r>
              <w:t xml:space="preserve"> vissa rättstraditioner eller seder som leder till t.ex. könsstympning, tvångssterilisering eller tvångsabort, i den mån de har samband med den sökandes välgrundade fruktan för förföljelse.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The shadow rapporteur agrees with the rapporteur that the sex characteristics of an applicant might also be a factor in determining whether that applicant belongs to a particular social group. Furthermore, she would like to add “gender expression” to the definition of “particular social group” following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200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t xml:space="preserve">, </w:t>
      </w:r>
      <w:r>
        <w:t>Cornelia Ernst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(29)</w:t>
            </w:r>
            <w:r>
              <w:tab/>
            </w:r>
            <w:r>
              <w:t xml:space="preserve">I enlighet med relevant rättspraxis från Europeiska unionens domstol bör de behöriga myndigheterna i medlemsstaterna när de bedömer ansökningar om internationellt skydd använda metoder för bedömning av sökandens trovärdighet på ett sätt som respekterar den enskildes rättigheter som garanteras genom stadgan, särskilt rätten till människans värdighet och rätten till respekt för privatlivet och familjelivet. </w:t>
            </w:r>
            <w:r>
              <w:rPr>
                <w:rFonts w:ascii="Times New Roman" w:eastAsia="Times New Roman" w:hAnsi="Times New Roman" w:cs="Times New Roman"/>
                <w:b/>
                <w:i/>
                <w:strike w:val="0"/>
                <w:color w:val="000000"/>
                <w:sz w:val="24"/>
                <w:highlight w:val="none"/>
                <w:u w:val="none" w:color="auto"/>
              </w:rPr>
              <w:t xml:space="preserve">Vad </w:t>
            </w:r>
            <w:r>
              <w:rPr>
                <w:rFonts w:ascii="Times New Roman" w:eastAsia="Times New Roman" w:hAnsi="Times New Roman" w:cs="Times New Roman"/>
                <w:b/>
                <w:i/>
                <w:strike w:val="0"/>
                <w:color w:val="000000"/>
                <w:sz w:val="24"/>
                <w:highlight w:val="none"/>
                <w:u w:val="none" w:color="auto"/>
              </w:rPr>
              <w:t>särskilt</w:t>
            </w:r>
            <w:r>
              <w:t xml:space="preserve"> gäller </w:t>
            </w:r>
            <w:r>
              <w:rPr>
                <w:rFonts w:ascii="Times New Roman" w:eastAsia="Times New Roman" w:hAnsi="Times New Roman" w:cs="Times New Roman"/>
                <w:b/>
                <w:i/>
                <w:strike w:val="0"/>
                <w:color w:val="000000"/>
                <w:sz w:val="24"/>
                <w:highlight w:val="none"/>
                <w:u w:val="none" w:color="auto"/>
              </w:rPr>
              <w:t>homosexuella</w:t>
            </w:r>
            <w:r>
              <w:t xml:space="preserve"> bör den individuella bedömningen av sökandens trovärdighet inte baseras på stereotypa uppfattningar om </w:t>
            </w:r>
            <w:r>
              <w:rPr>
                <w:rFonts w:ascii="Times New Roman" w:eastAsia="Times New Roman" w:hAnsi="Times New Roman" w:cs="Times New Roman"/>
                <w:b/>
                <w:i/>
                <w:strike w:val="0"/>
                <w:color w:val="000000"/>
                <w:sz w:val="24"/>
                <w:highlight w:val="none"/>
                <w:u w:val="none" w:color="auto"/>
              </w:rPr>
              <w:t>homosexuella</w:t>
            </w:r>
            <w:r>
              <w:t xml:space="preserve"> och sökanden bör inte utsättas för detaljerade förhör eller tester om sina sexuella vanor.</w:t>
            </w:r>
          </w:p>
        </w:tc>
        <w:tc>
          <w:tcPr/>
          <w:p>
            <w:pPr>
              <w:pStyle w:val="Normal6"/>
            </w:pPr>
            <w:r>
              <w:t>(29)</w:t>
            </w:r>
            <w:r>
              <w:tab/>
            </w:r>
            <w:r>
              <w:t xml:space="preserve">I enlighet med relevant rättspraxis från Europeiska unionens domstol </w:t>
            </w:r>
            <w:r>
              <w:rPr>
                <w:rFonts w:ascii="Times New Roman" w:eastAsia="Times New Roman" w:hAnsi="Times New Roman" w:cs="Times New Roman"/>
                <w:b/>
                <w:i/>
                <w:strike w:val="0"/>
                <w:color w:val="000000"/>
                <w:sz w:val="24"/>
                <w:highlight w:val="none"/>
                <w:u w:val="none" w:color="auto"/>
              </w:rPr>
              <w:t xml:space="preserve">och Europeiska domstolen för de mänskliga rättigheterna </w:t>
            </w:r>
            <w:r>
              <w:t>bör de behöriga myndigheterna i medlemsstaterna när de bedömer ansökningar om internationellt skydd använda metoder för bedömning av sökandens trovärdighet på ett sätt som respekterar den enskildes rättigheter som garanteras genom stadgan</w:t>
            </w:r>
            <w:r>
              <w:rPr>
                <w:rFonts w:ascii="Times New Roman" w:eastAsia="Times New Roman" w:hAnsi="Times New Roman" w:cs="Times New Roman"/>
                <w:b/>
                <w:i/>
                <w:strike w:val="0"/>
                <w:color w:val="000000"/>
                <w:sz w:val="24"/>
                <w:highlight w:val="none"/>
                <w:u w:val="none" w:color="auto"/>
              </w:rPr>
              <w:t xml:space="preserve"> och Europakonventionen</w:t>
            </w:r>
            <w:r>
              <w:t xml:space="preserve">, särskilt rätten till människans värdighet och rätten till respekt för privatlivet och familjelivet. </w:t>
            </w:r>
            <w:r>
              <w:rPr>
                <w:rFonts w:ascii="Times New Roman" w:eastAsia="Times New Roman" w:hAnsi="Times New Roman" w:cs="Times New Roman"/>
                <w:b/>
                <w:i/>
                <w:strike w:val="0"/>
                <w:color w:val="000000"/>
                <w:sz w:val="24"/>
                <w:highlight w:val="none"/>
                <w:u w:val="none" w:color="auto"/>
              </w:rPr>
              <w:t>Särskilt</w:t>
            </w:r>
            <w:r>
              <w:t xml:space="preserve"> </w:t>
            </w:r>
            <w:r>
              <w:rPr>
                <w:rFonts w:ascii="Times New Roman" w:eastAsia="Times New Roman" w:hAnsi="Times New Roman" w:cs="Times New Roman"/>
                <w:b/>
                <w:i/>
                <w:strike w:val="0"/>
                <w:color w:val="000000"/>
                <w:sz w:val="24"/>
                <w:highlight w:val="none"/>
                <w:u w:val="none" w:color="auto"/>
              </w:rPr>
              <w:t xml:space="preserve">vad </w:t>
            </w:r>
            <w:r>
              <w:t xml:space="preserve">gäller </w:t>
            </w:r>
            <w:r>
              <w:rPr>
                <w:rFonts w:ascii="Times New Roman" w:eastAsia="Times New Roman" w:hAnsi="Times New Roman" w:cs="Times New Roman"/>
                <w:b/>
                <w:i/>
                <w:strike w:val="0"/>
                <w:color w:val="000000"/>
                <w:sz w:val="24"/>
                <w:highlight w:val="none"/>
                <w:u w:val="none" w:color="auto"/>
              </w:rPr>
              <w:t>sexuell läggning och könsidentitet</w:t>
            </w:r>
            <w:r>
              <w:t xml:space="preserve"> bör den individuella bedömningen av sökandens trovärdighet inte baseras på stereotypa uppfattningar om </w:t>
            </w:r>
            <w:r>
              <w:rPr>
                <w:rFonts w:ascii="Times New Roman" w:eastAsia="Times New Roman" w:hAnsi="Times New Roman" w:cs="Times New Roman"/>
                <w:b/>
                <w:i/>
                <w:strike w:val="0"/>
                <w:color w:val="000000"/>
                <w:sz w:val="24"/>
                <w:highlight w:val="none"/>
                <w:u w:val="none" w:color="auto"/>
              </w:rPr>
              <w:t>sexuell läggning och könsidentitet,</w:t>
            </w:r>
            <w:r>
              <w:t xml:space="preserve"> och sökanden bör inte utsättas för detaljerade förhör eller tester om sina sexuella vanor. </w:t>
            </w:r>
            <w:r>
              <w:rPr>
                <w:rFonts w:ascii="Times New Roman" w:eastAsia="Times New Roman" w:hAnsi="Times New Roman" w:cs="Times New Roman"/>
                <w:b/>
                <w:i/>
                <w:strike w:val="0"/>
                <w:color w:val="000000"/>
                <w:sz w:val="24"/>
                <w:highlight w:val="none"/>
                <w:u w:val="none" w:color="auto"/>
              </w:rPr>
              <w:t>Vidare bör inte de behöriga nationella myndigheterna anse att sökandens uppgifter saknar trovärdighet på grund av att han eller hon inte åberopade sin sexuella läggning eller könsidentitet, sitt könsuttryck eller sina könsegenskaper när han eller hon lade fram skälen till förföljelsen för första gången.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Skuggföredraganden håller med föredraganden om att sena uppgifter är en av de fyra parametrar som det hänvisas till i EU-domstolens nyliga avgörande av den 2 december 2014 i mål A, B och C mot Staatssecretaris van Veiligheid en Justitie, men denna parameter nämns inte i kommissionens text och bör därför läggas till. När det gäller asylsökande hbti-personer leder fruktan och stigmatisering ofta till att de sent uppger sin sexuella läggning, sin könsidentitet, sitt könsuttryck eller sina könsegenskaper. Deras ansökningar bör inte påverkas negativt på grund av att dessa uppgifter lämnats i ett senare skede.</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201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(29)</w:t>
            </w:r>
            <w:r>
              <w:tab/>
            </w:r>
            <w:r>
              <w:t xml:space="preserve">I enlighet med relevant rättspraxis från Europeiska unionens domstol bör de behöriga myndigheterna i medlemsstaterna när de bedömer ansökningar om internationellt skydd använda metoder för bedömning av sökandens trovärdighet på ett sätt som respekterar den enskildes rättigheter som garanteras genom stadgan, särskilt rätten till människans värdighet och rätten till respekt för privatlivet och familjelivet. </w:t>
            </w:r>
            <w:r>
              <w:rPr>
                <w:rFonts w:ascii="Times New Roman" w:eastAsia="Times New Roman" w:hAnsi="Times New Roman" w:cs="Times New Roman"/>
                <w:b/>
                <w:i/>
                <w:strike w:val="0"/>
                <w:color w:val="000000"/>
                <w:sz w:val="24"/>
                <w:highlight w:val="none"/>
                <w:u w:val="none" w:color="auto"/>
              </w:rPr>
              <w:t>Vad</w:t>
            </w:r>
            <w:r>
              <w:t xml:space="preserve"> </w:t>
            </w:r>
            <w:r>
              <w:rPr>
                <w:rFonts w:ascii="Times New Roman" w:eastAsia="Times New Roman" w:hAnsi="Times New Roman" w:cs="Times New Roman"/>
                <w:b/>
                <w:i/>
                <w:strike w:val="0"/>
                <w:color w:val="000000"/>
                <w:sz w:val="24"/>
                <w:highlight w:val="none"/>
                <w:u w:val="none" w:color="auto"/>
              </w:rPr>
              <w:t xml:space="preserve">särskilt </w:t>
            </w:r>
            <w:r>
              <w:t xml:space="preserve">gäller </w:t>
            </w:r>
            <w:r>
              <w:rPr>
                <w:rFonts w:ascii="Times New Roman" w:eastAsia="Times New Roman" w:hAnsi="Times New Roman" w:cs="Times New Roman"/>
                <w:b/>
                <w:i/>
                <w:strike w:val="0"/>
                <w:color w:val="000000"/>
                <w:sz w:val="24"/>
                <w:highlight w:val="none"/>
                <w:u w:val="none" w:color="auto"/>
              </w:rPr>
              <w:t>homosexuella</w:t>
            </w:r>
            <w:r>
              <w:t xml:space="preserve"> bör den individuella bedömningen av sökandens trovärdighet inte baseras på stereotypa uppfattningar om </w:t>
            </w:r>
            <w:r>
              <w:rPr>
                <w:rFonts w:ascii="Times New Roman" w:eastAsia="Times New Roman" w:hAnsi="Times New Roman" w:cs="Times New Roman"/>
                <w:b/>
                <w:i/>
                <w:strike w:val="0"/>
                <w:color w:val="000000"/>
                <w:sz w:val="24"/>
                <w:highlight w:val="none"/>
                <w:u w:val="none" w:color="auto"/>
              </w:rPr>
              <w:t>homosexuella</w:t>
            </w:r>
            <w:r>
              <w:t xml:space="preserve"> och sökanden bör inte utsättas för detaljerade förhör eller tester om sina sexuella vanor.</w:t>
            </w:r>
          </w:p>
        </w:tc>
        <w:tc>
          <w:tcPr/>
          <w:p>
            <w:pPr>
              <w:pStyle w:val="Normal6"/>
            </w:pPr>
            <w:r>
              <w:t>(29)</w:t>
            </w:r>
            <w:r>
              <w:tab/>
            </w:r>
            <w:r>
              <w:t xml:space="preserve">I enlighet med relevant rättspraxis från Europeiska unionens domstol bör de behöriga myndigheterna i medlemsstaterna när de bedömer ansökningar om internationellt skydd använda metoder för bedömning av sökandens trovärdighet på ett sätt som respekterar den enskildes rättigheter som garanteras genom stadgan, särskilt rätten till människans värdighet och rätten till respekt för privatlivet och familjelivet. </w:t>
            </w:r>
            <w:r>
              <w:rPr>
                <w:rFonts w:ascii="Times New Roman" w:eastAsia="Times New Roman" w:hAnsi="Times New Roman" w:cs="Times New Roman"/>
                <w:b/>
                <w:i/>
                <w:strike w:val="0"/>
                <w:color w:val="000000"/>
                <w:sz w:val="24"/>
                <w:highlight w:val="none"/>
                <w:u w:val="none" w:color="auto"/>
              </w:rPr>
              <w:t>Särskilt vad</w:t>
            </w:r>
            <w:r>
              <w:t xml:space="preserve"> gäller </w:t>
            </w:r>
            <w:r>
              <w:rPr>
                <w:rFonts w:ascii="Times New Roman" w:eastAsia="Times New Roman" w:hAnsi="Times New Roman" w:cs="Times New Roman"/>
                <w:b/>
                <w:i/>
                <w:strike w:val="0"/>
                <w:color w:val="000000"/>
                <w:sz w:val="24"/>
                <w:highlight w:val="none"/>
                <w:u w:val="none" w:color="auto"/>
              </w:rPr>
              <w:t>sexuell läggning och könsidentitet</w:t>
            </w:r>
            <w:r>
              <w:t xml:space="preserve"> bör den individuella bedömningen av sökandens trovärdighet inte baseras på stereotypa uppfattningar om </w:t>
            </w:r>
            <w:r>
              <w:rPr>
                <w:rFonts w:ascii="Times New Roman" w:eastAsia="Times New Roman" w:hAnsi="Times New Roman" w:cs="Times New Roman"/>
                <w:b/>
                <w:i/>
                <w:strike w:val="0"/>
                <w:color w:val="000000"/>
                <w:sz w:val="24"/>
                <w:highlight w:val="none"/>
                <w:u w:val="none" w:color="auto"/>
              </w:rPr>
              <w:t>sexuell läggning och könsidentitet</w:t>
            </w:r>
            <w:r>
              <w:t xml:space="preserve"> och sökanden bör inte utsättas för detaljerade förhör eller tester om sina sexuella vanor.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202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29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(29)</w:t>
            </w:r>
            <w:r>
              <w:tab/>
            </w:r>
            <w:r>
              <w:t xml:space="preserve">I enlighet med relevant rättspraxis från Europeiska unionens domstol bör de behöriga myndigheterna i medlemsstaterna när de bedömer ansökningar om internationellt skydd använda metoder för bedömning av sökandens trovärdighet på ett sätt som respekterar den enskildes rättigheter som garanteras genom stadgan, särskilt rätten till människans värdighet och rätten till respekt för privatlivet och familjelivet. </w:t>
            </w:r>
            <w:r>
              <w:rPr>
                <w:rFonts w:ascii="Times New Roman" w:eastAsia="Times New Roman" w:hAnsi="Times New Roman" w:cs="Times New Roman"/>
                <w:b/>
                <w:i/>
                <w:strike w:val="0"/>
                <w:color w:val="000000"/>
                <w:sz w:val="24"/>
                <w:highlight w:val="none"/>
                <w:u w:val="none" w:color="auto"/>
              </w:rPr>
              <w:t>Vad</w:t>
            </w:r>
            <w:r>
              <w:t xml:space="preserve"> </w:t>
            </w:r>
            <w:r>
              <w:rPr>
                <w:rFonts w:ascii="Times New Roman" w:eastAsia="Times New Roman" w:hAnsi="Times New Roman" w:cs="Times New Roman"/>
                <w:b/>
                <w:i/>
                <w:strike w:val="0"/>
                <w:color w:val="000000"/>
                <w:sz w:val="24"/>
                <w:highlight w:val="none"/>
                <w:u w:val="none" w:color="auto"/>
              </w:rPr>
              <w:t xml:space="preserve">särskilt </w:t>
            </w:r>
            <w:r>
              <w:t>gäller homosexuella bör den individuella bedömningen av sökandens trovärdighet inte baseras på stereotypa uppfattningar</w:t>
            </w:r>
            <w:r>
              <w:rPr>
                <w:rFonts w:ascii="Times New Roman" w:eastAsia="Times New Roman" w:hAnsi="Times New Roman" w:cs="Times New Roman"/>
                <w:b/>
                <w:i/>
                <w:strike w:val="0"/>
                <w:color w:val="000000"/>
                <w:sz w:val="24"/>
                <w:highlight w:val="none"/>
                <w:u w:val="none" w:color="auto"/>
              </w:rPr>
              <w:t xml:space="preserve"> om homosexuella och sökanden bör inte utsättas för detaljerade förhör eller tester om sina sexuella vanor</w:t>
            </w:r>
            <w:r>
              <w:t>.</w:t>
            </w:r>
          </w:p>
        </w:tc>
        <w:tc>
          <w:tcPr/>
          <w:p>
            <w:pPr>
              <w:pStyle w:val="Normal6"/>
            </w:pPr>
            <w:r>
              <w:t>(29)</w:t>
            </w:r>
            <w:r>
              <w:tab/>
            </w:r>
            <w:r>
              <w:t xml:space="preserve">I enlighet med relevant rättspraxis från Europeiska unionens domstol bör de behöriga myndigheterna i medlemsstaterna när de bedömer ansökningar om internationellt skydd använda metoder för bedömning av sökandens trovärdighet på ett sätt som respekterar den enskildes rättigheter som garanteras genom stadgan, särskilt rätten till människans värdighet och rätten till respekt för privatlivet och familjelivet. </w:t>
            </w:r>
            <w:r>
              <w:rPr>
                <w:rFonts w:ascii="Times New Roman" w:eastAsia="Times New Roman" w:hAnsi="Times New Roman" w:cs="Times New Roman"/>
                <w:b/>
                <w:i/>
                <w:strike w:val="0"/>
                <w:color w:val="000000"/>
                <w:sz w:val="24"/>
                <w:highlight w:val="none"/>
                <w:u w:val="none" w:color="auto"/>
              </w:rPr>
              <w:t>Särskilt vad</w:t>
            </w:r>
            <w:r>
              <w:t xml:space="preserve"> gäller homosexuella bör den individuella bedömningen av sökandens trovärdighet inte baseras på stereotypa uppfattningar</w:t>
            </w:r>
            <w:r>
              <w:rPr>
                <w:rFonts w:ascii="Times New Roman" w:eastAsia="Times New Roman" w:hAnsi="Times New Roman" w:cs="Times New Roman"/>
                <w:b/>
                <w:i/>
                <w:strike w:val="0"/>
                <w:color w:val="000000"/>
                <w:sz w:val="24"/>
                <w:highlight w:val="none"/>
                <w:u w:val="none" w:color="auto"/>
              </w:rPr>
              <w:t>, utan de behöriga myndigheterna bör med fasthet kräva faktisk bevisning av vederbörandes homosexualitet</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203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t xml:space="preserve">, </w:t>
      </w:r>
      <w:r>
        <w:t>Helga Stevens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(30)</w:t>
            </w:r>
            <w:r>
              <w:tab/>
            </w:r>
            <w:r>
              <w:t>Handlingar som är oförenliga med Förenta nationernas syften och principer anges i inledningen och artiklarna 1 och 2 i Förenta nationernas stadga och ingår bland annat i Förenta nationernas resolutioner om åtgärder för terrorismbekämpning, enligt vilka handlingar, metoder och bruk som utgör terrorism strider mot Förenta nationernas syften och principer och enligt vilka även avsiktlig finansiering, planering och anstiftan av terroristhandlingar är oförenliga med Förenta nationernas syften och principer.</w:t>
            </w:r>
          </w:p>
        </w:tc>
        <w:tc>
          <w:tcPr/>
          <w:p>
            <w:pPr>
              <w:pStyle w:val="Normal6"/>
            </w:pPr>
            <w:r>
              <w:t>(30)</w:t>
            </w:r>
            <w:r>
              <w:tab/>
            </w:r>
            <w:r>
              <w:t xml:space="preserve">Handlingar som är oförenliga med Förenta nationernas syften och principer anges i inledningen och artiklarna 1 och 2 i Förenta nationernas stadga och ingår bland annat i Förenta nationernas resolutioner om åtgärder för terrorismbekämpning, enligt vilka handlingar, metoder och bruk som utgör terrorism strider mot Förenta nationernas syften och principer och enligt vilka även avsiktlig finansiering, planering och anstiftan av terroristhandlingar är oförenliga med Förenta nationernas syften och principer. </w:t>
            </w:r>
            <w:r>
              <w:rPr>
                <w:rFonts w:ascii="Times New Roman" w:eastAsia="Times New Roman" w:hAnsi="Times New Roman" w:cs="Times New Roman"/>
                <w:b/>
                <w:i/>
                <w:strike w:val="0"/>
                <w:color w:val="000000"/>
                <w:sz w:val="24"/>
                <w:highlight w:val="none"/>
                <w:u w:val="none" w:color="auto"/>
              </w:rPr>
              <w:t>Samma handlingar, metoder och bruk bör även utgöra skäl för att neka beviljande av, och återkalla, flyktingstatus eller status som subsidiärt skyddsbehövande.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204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(31)</w:t>
            </w:r>
            <w:r>
              <w:tab/>
            </w:r>
            <w:r>
              <w:rPr>
                <w:rFonts w:ascii="Times New Roman" w:eastAsia="Times New Roman" w:hAnsi="Times New Roman" w:cs="Times New Roman"/>
                <w:b/>
                <w:i/>
                <w:strike w:val="0"/>
                <w:color w:val="000000"/>
                <w:sz w:val="24"/>
                <w:highlight w:val="none"/>
                <w:u w:val="none" w:color="auto"/>
              </w:rPr>
              <w:t>Att begå ett politiskt brott är i princip inte en grund som berättigar till uteslutning från flyktingstatus. I enlighet med relevant rättspraxis från Europeiska unionens domstol bör emellertid särskilt grymma handlingar, där handlingen i fråga är oproportionerlig i förhållande till det påstådda politiska syftet, och terroristhandlingar, som kännetecknas av våld riktat mot civilbefolkningen, även om de begås i ett förment politiskt syfte, anses utgöra icke-politiska brott, och kan därför ge upphov till uteslutning från flyktingstatus.</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205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(31)</w:t>
            </w:r>
            <w:r>
              <w:tab/>
            </w:r>
            <w:r>
              <w:t xml:space="preserve">Att begå ett politiskt brott </w:t>
            </w:r>
            <w:r>
              <w:rPr>
                <w:rFonts w:ascii="Times New Roman" w:eastAsia="Times New Roman" w:hAnsi="Times New Roman" w:cs="Times New Roman"/>
                <w:b/>
                <w:i/>
                <w:strike w:val="0"/>
                <w:color w:val="000000"/>
                <w:sz w:val="24"/>
                <w:highlight w:val="none"/>
                <w:u w:val="none" w:color="auto"/>
              </w:rPr>
              <w:t>är i princip inte</w:t>
            </w:r>
            <w:r>
              <w:t xml:space="preserve"> en grund som berättigar till uteslutning från flyktingstatus.</w:t>
            </w:r>
            <w:r>
              <w:rPr>
                <w:rFonts w:ascii="Times New Roman" w:eastAsia="Times New Roman" w:hAnsi="Times New Roman" w:cs="Times New Roman"/>
                <w:b/>
                <w:i/>
                <w:strike w:val="0"/>
                <w:color w:val="000000"/>
                <w:sz w:val="24"/>
                <w:highlight w:val="none"/>
                <w:u w:val="none" w:color="auto"/>
              </w:rPr>
              <w:t xml:space="preserve"> I enlighet med relevant rättspraxis från Europeiska unionens domstol bör emellertid särskilt grymma handlingar, där handlingen i fråga är oproportionerlig i förhållande till det påstådda politiska syftet, och terroristhandlingar, som kännetecknas av våld riktat mot civilbefolkningen, även om de begås i ett förment politiskt syfte, anses utgöra icke-politiska brott, och kan därför ge upphov till uteslutning från flyktingstatus.</w:t>
            </w:r>
          </w:p>
        </w:tc>
        <w:tc>
          <w:tcPr/>
          <w:p>
            <w:pPr>
              <w:pStyle w:val="Normal6"/>
            </w:pPr>
            <w:r>
              <w:t>(31)</w:t>
            </w:r>
            <w:r>
              <w:tab/>
            </w:r>
            <w:r>
              <w:t xml:space="preserve">Att begå ett politiskt brott </w:t>
            </w:r>
            <w:r>
              <w:rPr>
                <w:rFonts w:ascii="Times New Roman" w:eastAsia="Times New Roman" w:hAnsi="Times New Roman" w:cs="Times New Roman"/>
                <w:b/>
                <w:i/>
                <w:strike w:val="0"/>
                <w:color w:val="000000"/>
                <w:sz w:val="24"/>
                <w:highlight w:val="none"/>
                <w:u w:val="none" w:color="auto"/>
              </w:rPr>
              <w:t>skulle kunna utgöra</w:t>
            </w:r>
            <w:r>
              <w:t xml:space="preserve"> en grund som berättigar till uteslutning från flyktingstatus.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206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(31)</w:t>
            </w:r>
            <w:r>
              <w:tab/>
            </w:r>
            <w:r>
              <w:t xml:space="preserve">Att begå ett politiskt brott är i princip inte en grund som berättigar till uteslutning från flyktingstatus. I enlighet med relevant rättspraxis från Europeiska unionens domstol bör emellertid särskilt grymma handlingar, där handlingen i fråga är oproportionerlig i förhållande till det påstådda politiska syftet, och terroristhandlingar, som kännetecknas av våld riktat mot civilbefolkningen, även om de begås i ett förment politiskt syfte, anses utgöra icke-politiska brott, och </w:t>
            </w:r>
            <w:r>
              <w:rPr>
                <w:rFonts w:ascii="Times New Roman" w:eastAsia="Times New Roman" w:hAnsi="Times New Roman" w:cs="Times New Roman"/>
                <w:b/>
                <w:i/>
                <w:strike w:val="0"/>
                <w:color w:val="000000"/>
                <w:sz w:val="24"/>
                <w:highlight w:val="none"/>
                <w:u w:val="none" w:color="auto"/>
              </w:rPr>
              <w:t>kan</w:t>
            </w:r>
            <w:r>
              <w:t xml:space="preserve"> därför ge upphov till uteslutning från flyktingstatus.</w:t>
            </w:r>
          </w:p>
        </w:tc>
        <w:tc>
          <w:tcPr/>
          <w:p>
            <w:pPr>
              <w:pStyle w:val="Normal6"/>
            </w:pPr>
            <w:r>
              <w:t>(31)</w:t>
            </w:r>
            <w:r>
              <w:tab/>
            </w:r>
            <w:r>
              <w:t>Att begå ett politiskt brott är i princip inte en grund som berättigar till uteslutning från flyktingstatus. I enlighet med relevant rättspraxis från Europeiska unionens domstol bör emellertid särskilt grymma handlingar, där handlingen i fråga är oproportionerlig i förhållande till det påstådda politiska syftet, och terroristhandlingar, som kännetecknas av våld riktat mot civilbefolkningen, även om de begås i ett förment politiskt syfte, anses utgöra icke-politiska brott, och </w:t>
            </w:r>
            <w:r>
              <w:rPr>
                <w:rFonts w:ascii="Times New Roman" w:eastAsia="Times New Roman" w:hAnsi="Times New Roman" w:cs="Times New Roman"/>
                <w:b/>
                <w:i/>
                <w:strike w:val="0"/>
                <w:color w:val="000000"/>
                <w:sz w:val="24"/>
                <w:highlight w:val="none"/>
                <w:u w:val="none" w:color="auto"/>
              </w:rPr>
              <w:t>bör</w:t>
            </w:r>
            <w:r>
              <w:t xml:space="preserve"> därför ge upphov till uteslutning från flyktingstatus.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207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31a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(31a)</w:t>
            </w:r>
            <w:r>
              <w:tab/>
            </w:r>
            <w:r>
              <w:rPr>
                <w:rFonts w:ascii="Times New Roman" w:eastAsia="Times New Roman" w:hAnsi="Times New Roman" w:cs="Times New Roman"/>
                <w:b/>
                <w:i/>
                <w:strike w:val="0"/>
                <w:color w:val="000000"/>
                <w:sz w:val="24"/>
                <w:highlight w:val="none"/>
                <w:u w:val="none" w:color="auto"/>
              </w:rPr>
              <w:t>Europeiska unionens domstol angav tydligt i sin dom i målet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Commissaire général aux réfugiés et aux apatrides mot Mostafa Lounani</w:t>
            </w:r>
            <w:r>
              <w:rPr>
                <w:rStyle w:val="SupBoldItalic"/>
              </w:rPr>
              <w:t>1a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att stödjande av en terroristgrupp eller medverkan i terrorhandlingar är tillräckliga skäl för att utesluta en person som ansöker om internationellt skydd från flyktingstatus eller beviljande av status som subsidiärt skyddsbehövande.</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Style w:val="SupBoldItalic"/>
              </w:rPr>
              <w:t>1a</w:t>
            </w:r>
            <w:r>
              <w:t xml:space="preserve"> </w:t>
            </w:r>
            <w:r>
              <w:rPr>
                <w:rFonts w:ascii="Times New Roman" w:eastAsia="Times New Roman" w:hAnsi="Times New Roman" w:cs="Times New Roman"/>
                <w:b/>
                <w:i/>
                <w:strike w:val="0"/>
                <w:color w:val="000000"/>
                <w:sz w:val="24"/>
                <w:highlight w:val="none"/>
                <w:u w:val="none" w:color="auto"/>
              </w:rPr>
              <w:t>Mål C-573/14.</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I linje med ändringsförslaget till artikel 12.</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208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31a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(31a)</w:t>
            </w:r>
            <w:r>
              <w:tab/>
            </w:r>
            <w:r>
              <w:rPr>
                <w:rFonts w:ascii="Times New Roman" w:eastAsia="Times New Roman" w:hAnsi="Times New Roman" w:cs="Times New Roman"/>
                <w:b/>
                <w:i/>
                <w:strike w:val="0"/>
                <w:color w:val="000000"/>
                <w:sz w:val="24"/>
                <w:highlight w:val="none"/>
                <w:u w:val="none" w:color="auto"/>
              </w:rPr>
              <w:t>Erkännandet av status som subsidiärt skyddsbehövande är en fastställelse av redan existerande rättigheter.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209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(32)</w:t>
            </w:r>
            <w:r>
              <w:tab/>
            </w:r>
            <w:r>
              <w:rPr>
                <w:rFonts w:ascii="Times New Roman" w:eastAsia="Times New Roman" w:hAnsi="Times New Roman" w:cs="Times New Roman"/>
                <w:b/>
                <w:i/>
                <w:strike w:val="0"/>
                <w:color w:val="000000"/>
                <w:sz w:val="24"/>
                <w:highlight w:val="none"/>
                <w:u w:val="none" w:color="auto"/>
              </w:rPr>
              <w:t>Det bör även fastställas normer för definitionen och innebörden av status som subsidiärt skyddsbehövande. Status som subsidiärt skyddsbehövande bör fungera som ett komplement och tillägg till den status för skydd av flyktingar som finns i Genèvekonventionen.</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210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(32)</w:t>
            </w:r>
            <w:r>
              <w:tab/>
            </w:r>
            <w:r>
              <w:t>Det bör även fastställas normer för definitionen och innebörden av status som subsidiärt skyddsbehövande. Status som subsidiärt skyddsbehövande bör fungera som ett komplement och tillägg till den status för skydd av flyktingar som finns i Genèvekonventionen.</w:t>
            </w:r>
          </w:p>
        </w:tc>
        <w:tc>
          <w:tcPr/>
          <w:p>
            <w:pPr>
              <w:pStyle w:val="Normal6"/>
            </w:pPr>
            <w:r>
              <w:t>(32)</w:t>
            </w:r>
            <w:r>
              <w:tab/>
            </w:r>
            <w:r>
              <w:t xml:space="preserve">Det bör även fastställas normer för definitionen och innebörden av status som subsidiärt skyddsbehövande. Status som subsidiärt skyddsbehövande bör fungera som ett komplement och tillägg till den status för skydd av flyktingar som finns i Genèvekonventionen. </w:t>
            </w:r>
            <w:r>
              <w:rPr>
                <w:rFonts w:ascii="Times New Roman" w:eastAsia="Times New Roman" w:hAnsi="Times New Roman" w:cs="Times New Roman"/>
                <w:b/>
                <w:i/>
                <w:strike w:val="0"/>
                <w:color w:val="000000"/>
                <w:sz w:val="24"/>
                <w:highlight w:val="none"/>
                <w:u w:val="none" w:color="auto"/>
              </w:rPr>
              <w:t>Medan grunderna för skydd av flyktingar och subsidiärt skydd skiljer sig åt, kan det rådande behovet av skydd vara detsamma i termer av varaktighet.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211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(33)</w:t>
            </w:r>
            <w:r>
              <w:tab/>
            </w:r>
            <w:r>
              <w:rPr>
                <w:rFonts w:ascii="Times New Roman" w:eastAsia="Times New Roman" w:hAnsi="Times New Roman" w:cs="Times New Roman"/>
                <w:b/>
                <w:i/>
                <w:strike w:val="0"/>
                <w:color w:val="000000"/>
                <w:sz w:val="24"/>
                <w:highlight w:val="none"/>
                <w:u w:val="none" w:color="auto"/>
              </w:rPr>
              <w:t>Det är nödvändigt att införa gemensamma kriterier för att fastställa vilka av de som ansöker om internationellt skydd som uppfyller kraven för att betecknas som subsidiärt skyddsbehövande. Kriterierna bör hämtas från internationella åtaganden enligt instrumenten för mänskliga rättigheter och från medlemsstaternas praxis.</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212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(34)</w:t>
            </w:r>
            <w:r>
              <w:tab/>
            </w:r>
            <w:r>
              <w:rPr>
                <w:rFonts w:ascii="Times New Roman" w:eastAsia="Times New Roman" w:hAnsi="Times New Roman" w:cs="Times New Roman"/>
                <w:b/>
                <w:i/>
                <w:strike w:val="0"/>
                <w:color w:val="000000"/>
                <w:sz w:val="24"/>
                <w:highlight w:val="none"/>
                <w:u w:val="none" w:color="auto"/>
              </w:rPr>
              <w:t>För bedömningen av allvarlig skada som kan innebära att sökanden uppfyller kraven för att betecknas som subsidiärt skyddsbehövande, bör begreppet urskillningslöst våld, i enlighet med relevant rättspraxis från Europeiska unionens domstol, omfatta våld som kan riktas mot människor utan hänsyn till deras personliga situation.</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213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(34)</w:t>
            </w:r>
            <w:r>
              <w:tab/>
            </w:r>
            <w:r>
              <w:t>För bedömningen av allvarlig skada som kan innebära att sökanden uppfyller kraven för att betecknas som subsidiärt skyddsbehövande, bör begreppet urskillningslöst våld, i enlighet med relevant rättspraxis från Europeiska unionens domstol, omfatta våld som kan riktas mot människor utan hänsyn till deras personliga situation.</w:t>
            </w:r>
          </w:p>
        </w:tc>
        <w:tc>
          <w:tcPr/>
          <w:p>
            <w:pPr>
              <w:pStyle w:val="Normal6"/>
            </w:pPr>
            <w:r>
              <w:t>(34)</w:t>
            </w:r>
            <w:r>
              <w:tab/>
            </w:r>
            <w:r>
              <w:t>För bedömningen av allvarlig skada som kan innebära att sökanden uppfyller kraven för att betecknas som subsidiärt skyddsbehövande, bör begreppet urskillningslöst våld, i enlighet med relevant rättspraxis från Europeiska unionens domstol</w:t>
            </w:r>
            <w:r>
              <w:rPr>
                <w:rFonts w:ascii="Times New Roman" w:eastAsia="Times New Roman" w:hAnsi="Times New Roman" w:cs="Times New Roman"/>
                <w:b/>
                <w:i/>
                <w:strike w:val="0"/>
                <w:color w:val="000000"/>
                <w:sz w:val="24"/>
                <w:highlight w:val="none"/>
                <w:u w:val="none" w:color="auto"/>
              </w:rPr>
              <w:t xml:space="preserve"> och Europeiska domstolen för de mänskliga rättigheterna</w:t>
            </w:r>
            <w:r>
              <w:t xml:space="preserve">, omfatta våld som kan riktas mot människor utan hänsyn till deras personliga situation. </w:t>
            </w:r>
            <w:r>
              <w:rPr>
                <w:rFonts w:ascii="Times New Roman" w:eastAsia="Times New Roman" w:hAnsi="Times New Roman" w:cs="Times New Roman"/>
                <w:b/>
                <w:i/>
                <w:strike w:val="0"/>
                <w:color w:val="000000"/>
                <w:sz w:val="24"/>
                <w:highlight w:val="none"/>
                <w:u w:val="none" w:color="auto"/>
              </w:rPr>
              <w:t>Faktorer som bör beaktas vid fastställandet av huruvida urskillningslöst våld föreligger skulle bland annat kunna vara yttre angrepp, ockupation, främmande styre, interna konflikter, allvarliga kränkningar av de mänskliga rättigheterna eller händelser som allvarligt stör den allmänna ordningen i ursprungslandet eller i en del av det.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214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(36)</w:t>
            </w:r>
            <w:r>
              <w:tab/>
            </w:r>
            <w:r>
              <w:t xml:space="preserve">Vad gäller de bevis som krävs i fråga om förekomsten av ett allvarligt </w:t>
            </w:r>
            <w:r>
              <w:rPr>
                <w:rFonts w:ascii="Times New Roman" w:eastAsia="Times New Roman" w:hAnsi="Times New Roman" w:cs="Times New Roman"/>
                <w:b/>
                <w:i/>
                <w:strike w:val="0"/>
                <w:color w:val="000000"/>
                <w:sz w:val="24"/>
                <w:highlight w:val="none"/>
                <w:u w:val="none" w:color="auto"/>
              </w:rPr>
              <w:t xml:space="preserve">och personligt </w:t>
            </w:r>
            <w:r>
              <w:t xml:space="preserve">hot mot en sökandes liv eller lem, </w:t>
            </w:r>
            <w:r>
              <w:rPr>
                <w:rFonts w:ascii="Times New Roman" w:eastAsia="Times New Roman" w:hAnsi="Times New Roman" w:cs="Times New Roman"/>
                <w:b/>
                <w:i/>
                <w:strike w:val="0"/>
                <w:color w:val="000000"/>
                <w:sz w:val="24"/>
                <w:highlight w:val="none"/>
                <w:u w:val="none" w:color="auto"/>
              </w:rPr>
              <w:t>bör beslutande myndigheter</w:t>
            </w:r>
            <w:r>
              <w:t>, i enlighet med relevant rättspraxis från Europeiska unionens domstol</w:t>
            </w:r>
            <w:r>
              <w:rPr>
                <w:rStyle w:val="Sup"/>
              </w:rPr>
              <w:t>36</w:t>
            </w:r>
            <w:r>
              <w:t xml:space="preserve"> </w:t>
            </w:r>
            <w:r>
              <w:rPr>
                <w:rFonts w:ascii="Times New Roman" w:eastAsia="Times New Roman" w:hAnsi="Times New Roman" w:cs="Times New Roman"/>
                <w:b/>
                <w:i/>
                <w:strike w:val="0"/>
                <w:color w:val="000000"/>
                <w:sz w:val="24"/>
                <w:highlight w:val="none"/>
                <w:u w:val="none" w:color="auto"/>
              </w:rPr>
              <w:t>, inte kräva att sökanden visar att hoten är specifikt riktade mot honom på grund av omständigheter som är hänförliga till hans personliga situation</w:t>
            </w:r>
            <w:r>
              <w:t xml:space="preserve">. Nivån på det urskillningslösa våld som krävs för att styrka ansökan är dock lägre om sökanden kan visa att hoten är specifikt riktade mot honom på grund av omständigheter som är hänförliga till hans situation. Vidare bör de beslutande myndigheterna i undantagsfall fastställa att det föreligger ett allvarligt </w:t>
            </w:r>
            <w:r>
              <w:rPr>
                <w:rFonts w:ascii="Times New Roman" w:eastAsia="Times New Roman" w:hAnsi="Times New Roman" w:cs="Times New Roman"/>
                <w:b/>
                <w:i/>
                <w:strike w:val="0"/>
                <w:color w:val="000000"/>
                <w:sz w:val="24"/>
                <w:highlight w:val="none"/>
                <w:u w:val="none" w:color="auto"/>
              </w:rPr>
              <w:t xml:space="preserve">och personligt </w:t>
            </w:r>
            <w:r>
              <w:t xml:space="preserve">hot genom sökandens blotta närvaro på territoriet eller den aktuella delen av territoriet i ursprungslandet, när det urskillningslösa våld som kännetecknar den pågående väpnade konflikten är </w:t>
            </w:r>
            <w:r>
              <w:rPr>
                <w:rFonts w:ascii="Times New Roman" w:eastAsia="Times New Roman" w:hAnsi="Times New Roman" w:cs="Times New Roman"/>
                <w:b/>
                <w:i/>
                <w:strike w:val="0"/>
                <w:color w:val="000000"/>
                <w:sz w:val="24"/>
                <w:highlight w:val="none"/>
                <w:u w:val="none" w:color="auto"/>
              </w:rPr>
              <w:t>så allvarligt</w:t>
            </w:r>
            <w:r>
              <w:t xml:space="preserve"> att det finns grundad anledning att förmoda att en civilperson, om han eller hon återsändes till ursprungslandet eller till den aktuella delen av ursprungslandet, genom sin blotta närvaro där skulle löpa en verklig risk att utsättas för det allvarliga hotet.</w:t>
            </w:r>
          </w:p>
        </w:tc>
        <w:tc>
          <w:tcPr/>
          <w:p>
            <w:pPr>
              <w:pStyle w:val="Normal6"/>
            </w:pPr>
            <w:r>
              <w:t>(36)</w:t>
            </w:r>
            <w:r>
              <w:tab/>
            </w:r>
            <w:r>
              <w:t xml:space="preserve">Vad gäller de bevis som krävs i fråga om förekomsten av ett allvarligt hot mot en sökandes liv eller lem, </w:t>
            </w:r>
            <w:r>
              <w:rPr>
                <w:rFonts w:ascii="Times New Roman" w:eastAsia="Times New Roman" w:hAnsi="Times New Roman" w:cs="Times New Roman"/>
                <w:b/>
                <w:i/>
                <w:strike w:val="0"/>
                <w:color w:val="000000"/>
                <w:sz w:val="24"/>
                <w:highlight w:val="none"/>
                <w:u w:val="none" w:color="auto"/>
              </w:rPr>
              <w:t>måste nivån på det våld som krävs</w:t>
            </w:r>
            <w:r>
              <w:t>, i enlighet med relevant rättspraxis från Europeiska unionens domstol</w:t>
            </w:r>
            <w:r>
              <w:rPr>
                <w:rStyle w:val="Sup"/>
              </w:rPr>
              <w:t>36</w:t>
            </w:r>
            <w:r>
              <w:t xml:space="preserve"> </w:t>
            </w:r>
            <w:r>
              <w:rPr>
                <w:rFonts w:ascii="Times New Roman" w:eastAsia="Times New Roman" w:hAnsi="Times New Roman" w:cs="Times New Roman"/>
                <w:b/>
                <w:i/>
                <w:strike w:val="0"/>
                <w:color w:val="000000"/>
                <w:sz w:val="24"/>
                <w:highlight w:val="none"/>
                <w:u w:val="none" w:color="auto"/>
              </w:rPr>
              <w:t>och Europeiska domstolen för de mänskliga rättigheterna, inte motsvara tortyr eller omänsklig eller förnedrande behandling eller bestraffning</w:t>
            </w:r>
            <w:r>
              <w:t xml:space="preserve">. Nivån på det urskillningslösa våld som krävs för att styrka ansökan är dock lägre om sökanden kan visa att hoten är specifikt riktade mot honom på grund av omständigheter som är hänförliga till hans situation. Vidare bör de beslutande myndigheterna i undantagsfall fastställa att det föreligger ett allvarligt hot genom sökandens blotta närvaro på territoriet eller den aktuella delen av territoriet i ursprungslandet, när det urskillningslösa våld som kännetecknar den pågående väpnade konflikten är </w:t>
            </w:r>
            <w:r>
              <w:rPr>
                <w:rFonts w:ascii="Times New Roman" w:eastAsia="Times New Roman" w:hAnsi="Times New Roman" w:cs="Times New Roman"/>
                <w:b/>
                <w:i/>
                <w:strike w:val="0"/>
                <w:color w:val="000000"/>
                <w:sz w:val="24"/>
                <w:highlight w:val="none"/>
                <w:u w:val="none" w:color="auto"/>
              </w:rPr>
              <w:t>av sådan art</w:t>
            </w:r>
            <w:r>
              <w:t xml:space="preserve"> att det finns grundad anledning att förmoda att en civilperson, om han eller hon återsändes till ursprungslandet eller till den aktuella delen av ursprungslandet, genom sin blotta närvaro där skulle löpa en verklig risk att utsättas för det allvarliga hotet. </w:t>
            </w:r>
            <w:r>
              <w:rPr>
                <w:rFonts w:ascii="Times New Roman" w:eastAsia="Times New Roman" w:hAnsi="Times New Roman" w:cs="Times New Roman"/>
                <w:b/>
                <w:i/>
                <w:strike w:val="0"/>
                <w:color w:val="000000"/>
                <w:sz w:val="24"/>
                <w:highlight w:val="none"/>
                <w:u w:val="none" w:color="auto"/>
              </w:rPr>
              <w:t>Det finns i nuläget ingen vedertagen rättslig definition av miljöflykting på EU-nivå, men detta hindrar inte medlemsstaterna att erbjuda sådana personer skydd enligt nationell lagstiftning.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36</w:t>
            </w:r>
            <w:r>
              <w:t xml:space="preserve"> </w:t>
            </w:r>
            <w:r>
              <w:t>C-465/07.</w:t>
            </w:r>
          </w:p>
        </w:tc>
        <w:tc>
          <w:tcPr/>
          <w:p>
            <w:pPr>
              <w:pStyle w:val="Normal6"/>
            </w:pPr>
            <w:r>
              <w:rPr>
                <w:rStyle w:val="Sup"/>
              </w:rPr>
              <w:t>36</w:t>
            </w:r>
            <w:r>
              <w:t xml:space="preserve"> </w:t>
            </w:r>
            <w:r>
              <w:rPr>
                <w:rFonts w:ascii="Times New Roman" w:eastAsia="Times New Roman" w:hAnsi="Times New Roman" w:cs="Times New Roman"/>
                <w:b/>
                <w:i/>
                <w:strike w:val="0"/>
                <w:color w:val="000000"/>
                <w:sz w:val="24"/>
                <w:highlight w:val="none"/>
                <w:u w:val="none" w:color="auto"/>
              </w:rPr>
              <w:t xml:space="preserve">Mål </w:t>
            </w:r>
            <w:r>
              <w:t>C-465/07.</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215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(36)</w:t>
            </w:r>
            <w:r>
              <w:tab/>
            </w:r>
            <w:r>
              <w:t>Vad gäller de bevis som krävs i fråga om förekomsten av ett allvarligt och personligt hot mot en sökandes liv eller lem, bör beslutande myndigheter, i enlighet med relevant rättspraxis från Europeiska unionens domstol</w:t>
            </w:r>
            <w:r>
              <w:rPr>
                <w:rStyle w:val="Sup"/>
              </w:rPr>
              <w:t>36</w:t>
            </w:r>
            <w:r>
              <w:rPr>
                <w:rFonts w:ascii="Times New Roman" w:eastAsia="Times New Roman" w:hAnsi="Times New Roman" w:cs="Times New Roman"/>
                <w:b/>
                <w:i/>
                <w:strike w:val="0"/>
                <w:color w:val="000000"/>
                <w:sz w:val="24"/>
                <w:highlight w:val="none"/>
                <w:u w:val="none" w:color="auto"/>
              </w:rPr>
              <w:t xml:space="preserve"> </w:t>
            </w:r>
            <w:r>
              <w:t>, inte kräva att sökanden visar att hoten är specifikt riktade mot honom på grund av omständigheter som är hänförliga till hans personliga situation. Nivån på det urskillningslösa våld som krävs för att styrka ansökan är dock lägre om sökanden kan visa att hoten är specifikt riktade mot honom på grund av omständigheter som är hänförliga till hans situation. Vidare bör de beslutande myndigheterna i undantagsfall fastställa att det föreligger ett allvarligt och personligt hot genom sökandens blotta närvaro på territoriet</w:t>
            </w:r>
            <w:r>
              <w:rPr>
                <w:rFonts w:ascii="Times New Roman" w:eastAsia="Times New Roman" w:hAnsi="Times New Roman" w:cs="Times New Roman"/>
                <w:b/>
                <w:i/>
                <w:strike w:val="0"/>
                <w:color w:val="000000"/>
                <w:sz w:val="24"/>
                <w:highlight w:val="none"/>
                <w:u w:val="none" w:color="auto"/>
              </w:rPr>
              <w:t xml:space="preserve"> eller den aktuella delen av territoriet i ursprungslandet</w:t>
            </w:r>
            <w:r>
              <w:t>, när det urskillningslösa våld som kännetecknar den pågående väpnade konflikten är så allvarligt att det finns grundad anledning att förmoda att en civilperson, om han eller hon återsändes till ursprungslandet</w:t>
            </w:r>
            <w:r>
              <w:rPr>
                <w:rFonts w:ascii="Times New Roman" w:eastAsia="Times New Roman" w:hAnsi="Times New Roman" w:cs="Times New Roman"/>
                <w:b/>
                <w:i/>
                <w:strike w:val="0"/>
                <w:color w:val="000000"/>
                <w:sz w:val="24"/>
                <w:highlight w:val="none"/>
                <w:u w:val="none" w:color="auto"/>
              </w:rPr>
              <w:t xml:space="preserve"> eller till den aktuella delen av ursprungslandet</w:t>
            </w:r>
            <w:r>
              <w:t>, genom sin blotta närvaro där skulle löpa en verklig risk att utsättas för det allvarliga hotet.</w:t>
            </w:r>
          </w:p>
        </w:tc>
        <w:tc>
          <w:tcPr/>
          <w:p>
            <w:pPr>
              <w:pStyle w:val="Normal6"/>
            </w:pPr>
            <w:r>
              <w:t>(36)</w:t>
            </w:r>
            <w:r>
              <w:tab/>
            </w:r>
            <w:r>
              <w:t>Vad gäller de bevis som krävs i fråga om förekomsten av ett allvarligt och personligt hot mot en sökandes liv eller lem, bör beslutande myndigheter, i enlighet med relevant rättspraxis från Europeiska unionens domstol</w:t>
            </w:r>
            <w:r>
              <w:rPr>
                <w:rStyle w:val="Sup"/>
              </w:rPr>
              <w:t>36</w:t>
            </w:r>
            <w:r>
              <w:t xml:space="preserve">, inte kräva att sökanden visar att hoten är specifikt riktade mot honom på grund av omständigheter som är hänförliga till hans personliga situation. Nivån på det urskillningslösa våld som krävs för att styrka ansökan är dock lägre om sökanden kan visa att hoten är specifikt riktade mot honom på grund av omständigheter som är hänförliga till hans situation. Vidare bör de beslutande myndigheterna i undantagsfall fastställa att det föreligger ett allvarligt och personligt hot genom sökandens blotta närvaro på territoriet, när det urskillningslösa våld som kännetecknar den pågående väpnade konflikten är så allvarligt att det finns grundad anledning att förmoda att en civilperson, om han eller hon återsändes till ursprungslandet, genom sin blotta närvaro där skulle löpa en verklig risk att utsättas för det allvarliga hotet. </w:t>
            </w:r>
            <w:r>
              <w:rPr>
                <w:rFonts w:ascii="Times New Roman" w:eastAsia="Times New Roman" w:hAnsi="Times New Roman" w:cs="Times New Roman"/>
                <w:b/>
                <w:i/>
                <w:strike w:val="0"/>
                <w:color w:val="000000"/>
                <w:sz w:val="24"/>
                <w:highlight w:val="none"/>
                <w:u w:val="none" w:color="auto"/>
              </w:rPr>
              <w:t xml:space="preserve">Internationellt skydd bör dessutom, vid tillämpningen av denna förordning, beviljas de personer som utsätts för allvarliga hot på grund av naturkatastrofer eller katastrofer orsakade av människan. </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36</w:t>
            </w:r>
            <w:r>
              <w:t xml:space="preserve"> </w:t>
            </w:r>
            <w:r>
              <w:t>C-465/07.</w:t>
            </w:r>
          </w:p>
        </w:tc>
        <w:tc>
          <w:tcPr/>
          <w:p>
            <w:pPr>
              <w:pStyle w:val="Normal6"/>
            </w:pPr>
            <w:r>
              <w:rPr>
                <w:rStyle w:val="Sup"/>
              </w:rPr>
              <w:t>36</w:t>
            </w:r>
            <w:r>
              <w:t xml:space="preserve"> </w:t>
            </w:r>
            <w:r>
              <w:t>C-465/07.</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216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(36)</w:t>
            </w:r>
            <w:r>
              <w:tab/>
            </w:r>
            <w:r>
              <w:t xml:space="preserve">Vad gäller de bevis som krävs i fråga om förekomsten av ett allvarligt </w:t>
            </w:r>
            <w:r>
              <w:rPr>
                <w:rFonts w:ascii="Times New Roman" w:eastAsia="Times New Roman" w:hAnsi="Times New Roman" w:cs="Times New Roman"/>
                <w:b/>
                <w:i/>
                <w:strike w:val="0"/>
                <w:color w:val="000000"/>
                <w:sz w:val="24"/>
                <w:highlight w:val="none"/>
                <w:u w:val="none" w:color="auto"/>
              </w:rPr>
              <w:t xml:space="preserve">och personligt </w:t>
            </w:r>
            <w:r>
              <w:t xml:space="preserve">hot mot en sökandes liv eller lem, </w:t>
            </w:r>
            <w:r>
              <w:rPr>
                <w:rFonts w:ascii="Times New Roman" w:eastAsia="Times New Roman" w:hAnsi="Times New Roman" w:cs="Times New Roman"/>
                <w:b/>
                <w:i/>
                <w:strike w:val="0"/>
                <w:color w:val="000000"/>
                <w:sz w:val="24"/>
                <w:highlight w:val="none"/>
                <w:u w:val="none" w:color="auto"/>
              </w:rPr>
              <w:t>bör beslutande myndigheter</w:t>
            </w:r>
            <w:r>
              <w:t>, i enlighet med relevant rättspraxis från Europeiska unionens domstol</w:t>
            </w:r>
            <w:r>
              <w:rPr>
                <w:rStyle w:val="SupBoldItalic"/>
              </w:rPr>
              <w:t>36</w:t>
            </w:r>
            <w:r>
              <w:rPr>
                <w:rFonts w:ascii="Times New Roman" w:eastAsia="Times New Roman" w:hAnsi="Times New Roman" w:cs="Times New Roman"/>
                <w:b/>
                <w:i/>
                <w:strike w:val="0"/>
                <w:color w:val="000000"/>
                <w:sz w:val="24"/>
                <w:highlight w:val="none"/>
                <w:u w:val="none" w:color="auto"/>
              </w:rPr>
              <w:t xml:space="preserve"> , inte kräva att sökanden visar att hoten är specifikt riktade mot honom på grund av omständigheter som är hänförliga till hans personliga situation</w:t>
            </w:r>
            <w:r>
              <w:t xml:space="preserve">. Nivån på det urskillningslösa våld som krävs för att styrka ansökan är </w:t>
            </w:r>
            <w:r>
              <w:rPr>
                <w:rFonts w:ascii="Times New Roman" w:eastAsia="Times New Roman" w:hAnsi="Times New Roman" w:cs="Times New Roman"/>
                <w:b/>
                <w:i/>
                <w:strike w:val="0"/>
                <w:color w:val="000000"/>
                <w:sz w:val="24"/>
                <w:highlight w:val="none"/>
                <w:u w:val="none" w:color="auto"/>
              </w:rPr>
              <w:t xml:space="preserve">dock </w:t>
            </w:r>
            <w:r>
              <w:t>lägre om sökanden kan visa att hoten är specifikt riktade mot honom på grund av omständigheter som är hänförliga till hans situation. Vidare bör de beslutande myndigheterna</w:t>
            </w:r>
            <w:r>
              <w:rPr>
                <w:rFonts w:ascii="Times New Roman" w:eastAsia="Times New Roman" w:hAnsi="Times New Roman" w:cs="Times New Roman"/>
                <w:b/>
                <w:i/>
                <w:strike w:val="0"/>
                <w:color w:val="000000"/>
                <w:sz w:val="24"/>
                <w:highlight w:val="none"/>
                <w:u w:val="none" w:color="auto"/>
              </w:rPr>
              <w:t xml:space="preserve"> i undantagsfall</w:t>
            </w:r>
            <w:r>
              <w:t xml:space="preserve"> fastställa att det föreligger ett allvarligt </w:t>
            </w:r>
            <w:r>
              <w:rPr>
                <w:rFonts w:ascii="Times New Roman" w:eastAsia="Times New Roman" w:hAnsi="Times New Roman" w:cs="Times New Roman"/>
                <w:b/>
                <w:i/>
                <w:strike w:val="0"/>
                <w:color w:val="000000"/>
                <w:sz w:val="24"/>
                <w:highlight w:val="none"/>
                <w:u w:val="none" w:color="auto"/>
              </w:rPr>
              <w:t xml:space="preserve">och personligt </w:t>
            </w:r>
            <w:r>
              <w:t xml:space="preserve">hot genom sökandens blotta närvaro på territoriet eller den aktuella delen av territoriet i ursprungslandet, när det urskillningslösa våld som kännetecknar den pågående väpnade konflikten är </w:t>
            </w:r>
            <w:r>
              <w:rPr>
                <w:rFonts w:ascii="Times New Roman" w:eastAsia="Times New Roman" w:hAnsi="Times New Roman" w:cs="Times New Roman"/>
                <w:b/>
                <w:i/>
                <w:strike w:val="0"/>
                <w:color w:val="000000"/>
                <w:sz w:val="24"/>
                <w:highlight w:val="none"/>
                <w:u w:val="none" w:color="auto"/>
              </w:rPr>
              <w:t>så allvarligt</w:t>
            </w:r>
            <w:r>
              <w:t xml:space="preserve"> att det finns grundad anledning att förmoda att en civilperson, om han eller hon återsändes till ursprungslandet eller till den aktuella delen av ursprungslandet, genom sin blotta närvaro där skulle löpa en verklig risk att utsättas för det allvarliga hotet.</w:t>
            </w:r>
          </w:p>
        </w:tc>
        <w:tc>
          <w:tcPr/>
          <w:p>
            <w:pPr>
              <w:pStyle w:val="Normal6"/>
            </w:pPr>
            <w:r>
              <w:t>(36)</w:t>
            </w:r>
            <w:r>
              <w:tab/>
            </w:r>
            <w:r>
              <w:t xml:space="preserve">Vad gäller de bevis som krävs i fråga om förekomsten av ett allvarligt hot mot en sökandes liv eller lem, </w:t>
            </w:r>
            <w:r>
              <w:rPr>
                <w:rFonts w:ascii="Times New Roman" w:eastAsia="Times New Roman" w:hAnsi="Times New Roman" w:cs="Times New Roman"/>
                <w:b/>
                <w:i/>
                <w:strike w:val="0"/>
                <w:color w:val="000000"/>
                <w:sz w:val="24"/>
                <w:highlight w:val="none"/>
                <w:u w:val="none" w:color="auto"/>
              </w:rPr>
              <w:t>måste nivån på det våld som krävs</w:t>
            </w:r>
            <w:r>
              <w:t>, i enlighet med relevant rättspraxis från Europeiska unionens domstol</w:t>
            </w:r>
            <w:r>
              <w:rPr>
                <w:rFonts w:ascii="Times New Roman" w:eastAsia="Times New Roman" w:hAnsi="Times New Roman" w:cs="Times New Roman"/>
                <w:b/>
                <w:i/>
                <w:strike w:val="0"/>
                <w:color w:val="000000"/>
                <w:sz w:val="24"/>
                <w:highlight w:val="none"/>
                <w:u w:val="none" w:color="auto"/>
              </w:rPr>
              <w:t xml:space="preserve"> och Europeiska domstolen för de mänskliga rättigheterna, inte motsvara tortyr eller omänsklig eller förnedrande behandling eller bestraffning</w:t>
            </w:r>
            <w:r>
              <w:t xml:space="preserve">. Nivån på det urskillningslösa våld som krävs för att styrka ansökan är lägre om sökanden kan visa att hoten är specifikt riktade mot honom på grund av omständigheter som är hänförliga till hans situation. Vidare bör de beslutande myndigheterna fastställa att det föreligger ett allvarligt hot genom sökandens blotta närvaro på territoriet eller den aktuella delen av territoriet i ursprungslandet, när det urskillningslösa våld som kännetecknar den pågående väpnade konflikten är </w:t>
            </w:r>
            <w:r>
              <w:rPr>
                <w:rFonts w:ascii="Times New Roman" w:eastAsia="Times New Roman" w:hAnsi="Times New Roman" w:cs="Times New Roman"/>
                <w:b/>
                <w:i/>
                <w:strike w:val="0"/>
                <w:color w:val="000000"/>
                <w:sz w:val="24"/>
                <w:highlight w:val="none"/>
                <w:u w:val="none" w:color="auto"/>
              </w:rPr>
              <w:t>av sådan art</w:t>
            </w:r>
            <w:r>
              <w:t xml:space="preserve"> att det finns grundad anledning att förmoda att en civilperson, om han eller hon återsändes till ursprungslandet eller till den aktuella delen av ursprungslandet, genom sin blotta närvaro där skulle löpa en verklig risk att utsättas för det allvarliga hotet.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36</w:t>
            </w:r>
            <w:r>
              <w:t xml:space="preserve"> </w:t>
            </w:r>
            <w:r>
              <w:rPr>
                <w:rFonts w:ascii="Times New Roman" w:eastAsia="Times New Roman" w:hAnsi="Times New Roman" w:cs="Times New Roman"/>
                <w:b/>
                <w:i/>
                <w:strike w:val="0"/>
                <w:color w:val="000000"/>
                <w:sz w:val="24"/>
                <w:highlight w:val="none"/>
                <w:u w:val="none" w:color="auto"/>
              </w:rPr>
              <w:t>C-465/07.</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217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(36)</w:t>
            </w:r>
            <w:r>
              <w:tab/>
            </w:r>
            <w:r>
              <w:t>Vad gäller de bevis som krävs i fråga om förekomsten av ett allvarligt och personligt hot mot en sökandes liv eller lem, bör beslutande myndigheter, i enlighet med relevant rättspraxis från Europeiska unionens domstol</w:t>
            </w:r>
            <w:r>
              <w:rPr>
                <w:rStyle w:val="Sup"/>
              </w:rPr>
              <w:t>36</w:t>
            </w:r>
            <w:r>
              <w:rPr>
                <w:rFonts w:ascii="Times New Roman" w:eastAsia="Times New Roman" w:hAnsi="Times New Roman" w:cs="Times New Roman"/>
                <w:b/>
                <w:i/>
                <w:strike w:val="0"/>
                <w:color w:val="000000"/>
                <w:sz w:val="24"/>
                <w:highlight w:val="none"/>
                <w:u w:val="none" w:color="auto"/>
              </w:rPr>
              <w:t xml:space="preserve"> </w:t>
            </w:r>
            <w:r>
              <w:t>, inte kräva att sökanden visar att hoten är specifikt riktade mot honom på grund av omständigheter som är hänförliga till hans personliga situation. Nivån på det urskillningslösa våld som krävs för att styrka ansökan är dock lägre om sökanden kan visa att hoten är specifikt riktade mot honom på grund av omständigheter som är hänförliga till hans situation. Vidare bör de beslutande myndigheterna i undantagsfall fastställa att det föreligger ett allvarligt och personligt hot genom sökandens blotta närvaro på</w:t>
            </w:r>
            <w:r>
              <w:rPr>
                <w:rFonts w:ascii="Times New Roman" w:eastAsia="Times New Roman" w:hAnsi="Times New Roman" w:cs="Times New Roman"/>
                <w:b/>
                <w:i/>
                <w:strike w:val="0"/>
                <w:color w:val="000000"/>
                <w:sz w:val="24"/>
                <w:highlight w:val="none"/>
                <w:u w:val="none" w:color="auto"/>
              </w:rPr>
              <w:t xml:space="preserve"> territoriet eller den aktuella delen av</w:t>
            </w:r>
            <w:r>
              <w:t xml:space="preserve"> territoriet i ursprungslandet, när det urskillningslösa våld som kännetecknar den pågående väpnade konflikten är så allvarligt att det finns grundad anledning att förmoda att en civilperson, om han eller hon återsändes till </w:t>
            </w:r>
            <w:r>
              <w:rPr>
                <w:rFonts w:ascii="Times New Roman" w:eastAsia="Times New Roman" w:hAnsi="Times New Roman" w:cs="Times New Roman"/>
                <w:b/>
                <w:i/>
                <w:strike w:val="0"/>
                <w:color w:val="000000"/>
                <w:sz w:val="24"/>
                <w:highlight w:val="none"/>
                <w:u w:val="none" w:color="auto"/>
              </w:rPr>
              <w:t>ursprungslandet eller till den aktuella delen</w:t>
            </w:r>
            <w:r>
              <w:t xml:space="preserve"> av ursprungslandet, genom sin blotta närvaro där skulle löpa en verklig risk att utsättas för det allvarliga hotet.</w:t>
            </w:r>
          </w:p>
        </w:tc>
        <w:tc>
          <w:tcPr/>
          <w:p>
            <w:pPr>
              <w:pStyle w:val="Normal6"/>
            </w:pPr>
            <w:r>
              <w:t>(36)</w:t>
            </w:r>
            <w:r>
              <w:tab/>
            </w:r>
            <w:r>
              <w:t>Vad gäller de bevis som krävs i fråga om förekomsten av ett allvarligt och personligt hot mot en sökandes liv eller lem, bör beslutande myndigheter, i enlighet med relevant rättspraxis från Europeiska unionens domstol</w:t>
            </w:r>
            <w:r>
              <w:rPr>
                <w:rStyle w:val="Sup"/>
              </w:rPr>
              <w:t>36</w:t>
            </w:r>
            <w:r>
              <w:t xml:space="preserve">, inte kräva att sökanden visar att hoten är specifikt riktade mot honom på grund av omständigheter som är hänförliga till hans personliga situation. Nivån på det urskillningslösa våld som krävs för att styrka ansökan är dock lägre om sökanden kan visa att hoten är specifikt riktade mot honom på grund av omständigheter som är hänförliga till hans situation. Vidare bör de beslutande myndigheterna i undantagsfall fastställa att det föreligger ett allvarligt och personligt hot genom sökandens blotta närvaro på territoriet i ursprungslandet, när det urskillningslösa våld som kännetecknar den pågående väpnade konflikten är så allvarligt att det finns grundad anledning att förmoda att en civilperson, om han eller hon återsändes till </w:t>
            </w:r>
            <w:r>
              <w:rPr>
                <w:rFonts w:ascii="Times New Roman" w:eastAsia="Times New Roman" w:hAnsi="Times New Roman" w:cs="Times New Roman"/>
                <w:b/>
                <w:i/>
                <w:strike w:val="0"/>
                <w:color w:val="000000"/>
                <w:sz w:val="24"/>
                <w:highlight w:val="none"/>
                <w:u w:val="none" w:color="auto"/>
              </w:rPr>
              <w:t>någon del</w:t>
            </w:r>
            <w:r>
              <w:t xml:space="preserve"> av ursprungslandet, genom sin blotta närvaro där skulle löpa en verklig risk att utsättas för det allvarliga hotet.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36</w:t>
            </w:r>
            <w:r>
              <w:t xml:space="preserve"> </w:t>
            </w:r>
            <w:r>
              <w:t>C-465/07.</w:t>
            </w:r>
          </w:p>
        </w:tc>
        <w:tc>
          <w:tcPr/>
          <w:p>
            <w:pPr>
              <w:pStyle w:val="Normal6"/>
            </w:pPr>
            <w:r>
              <w:rPr>
                <w:rStyle w:val="Sup"/>
              </w:rPr>
              <w:t>36</w:t>
            </w:r>
            <w:r>
              <w:t xml:space="preserve"> </w:t>
            </w:r>
            <w:r>
              <w:rPr>
                <w:rFonts w:ascii="Times New Roman" w:eastAsia="Times New Roman" w:hAnsi="Times New Roman" w:cs="Times New Roman"/>
                <w:b/>
                <w:i/>
                <w:strike w:val="0"/>
                <w:color w:val="000000"/>
                <w:sz w:val="24"/>
                <w:highlight w:val="none"/>
                <w:u w:val="none" w:color="auto"/>
              </w:rPr>
              <w:t xml:space="preserve">Mål </w:t>
            </w:r>
            <w:r>
              <w:t>C-465/07.</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Skälet ändras med hänsyn till den föreslagna bedömningen av möjligheten till internt skydd.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218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36a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(36a)</w:t>
            </w:r>
            <w:r>
              <w:tab/>
            </w:r>
            <w:r>
              <w:rPr>
                <w:rFonts w:ascii="Times New Roman" w:eastAsia="Times New Roman" w:hAnsi="Times New Roman" w:cs="Times New Roman"/>
                <w:b/>
                <w:i/>
                <w:strike w:val="0"/>
                <w:color w:val="000000"/>
                <w:sz w:val="24"/>
                <w:highlight w:val="none"/>
                <w:u w:val="none" w:color="auto"/>
              </w:rPr>
              <w:t>En person som behöver skydd eftersom han eller hon inte kan återvända till sitt ursprungsland på grund av en naturkatastrof eller en katastrof orsakad av människan bör också uppfylla kraven för att betecknas som skyddsbehövande enligt denna förordning.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219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36b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(36b)</w:t>
            </w:r>
            <w:r>
              <w:tab/>
            </w:r>
            <w:r>
              <w:rPr>
                <w:rFonts w:ascii="Times New Roman" w:eastAsia="Times New Roman" w:hAnsi="Times New Roman" w:cs="Times New Roman"/>
                <w:b/>
                <w:i/>
                <w:strike w:val="0"/>
                <w:color w:val="000000"/>
                <w:sz w:val="24"/>
                <w:highlight w:val="none"/>
                <w:u w:val="none" w:color="auto"/>
              </w:rPr>
              <w:t>Naturkatastrofer och katastrofer orsakade av människan måste inbegripa konsekvenser av klimatförändringar, markrofferi, vattenrofferi (”water grabbing”) , ökenspridning i livsmiljöer, påtvingat tillbakaförande till byar (”forced villagization”) samt ekokatastrofer och föroreningar orsakade av krig.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Internationell rätt erbjuder i nuläget inget skydd för miljöflyktingar. I motsats till flyktingar som omfattas av 1951 års FN-konvention om flyktingar återvänder miljöflyktingar – om de återsänds till sitt hemland – till ett ödelagt hemland eller tvingas bosätta sig i flyktingläger. Konsekvenserna av klimatförändringar påverkar inte bara miljön, utan även alla delar av människors liv: allt från regeringars stabilitet och länders ekonomier till människors hälsa.</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220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(37)</w:t>
            </w:r>
            <w:r>
              <w:tab/>
            </w:r>
            <w:r>
              <w:t xml:space="preserve">De uppehållstillstånd och de resehandlingar som efter ikraftträdandet av </w:t>
            </w:r>
            <w:r>
              <w:rPr>
                <w:rFonts w:ascii="Times New Roman" w:eastAsia="Times New Roman" w:hAnsi="Times New Roman" w:cs="Times New Roman"/>
                <w:b/>
                <w:i/>
                <w:strike w:val="0"/>
                <w:color w:val="000000"/>
                <w:sz w:val="24"/>
                <w:highlight w:val="none"/>
                <w:u w:val="none" w:color="auto"/>
              </w:rPr>
              <w:t>denna förordning</w:t>
            </w:r>
            <w:r>
              <w:t xml:space="preserve"> utfärdas till personer som beviljats internationellt skydd för första gången eller förnyas bör iaktta reglerna i förordning (EG) nr 1030/2002 respektive rådets förordning (EG) nr 2252/2004.</w:t>
            </w:r>
          </w:p>
        </w:tc>
        <w:tc>
          <w:tcPr/>
          <w:p>
            <w:pPr>
              <w:pStyle w:val="Normal6"/>
            </w:pPr>
            <w:r>
              <w:t>(37)</w:t>
            </w:r>
            <w:r>
              <w:tab/>
            </w:r>
            <w:r>
              <w:t xml:space="preserve">De uppehållstillstånd och de resehandlingar som efter ikraftträdandet av </w:t>
            </w:r>
            <w:r>
              <w:rPr>
                <w:rFonts w:ascii="Times New Roman" w:eastAsia="Times New Roman" w:hAnsi="Times New Roman" w:cs="Times New Roman"/>
                <w:b/>
                <w:i/>
                <w:strike w:val="0"/>
                <w:color w:val="000000"/>
                <w:sz w:val="24"/>
                <w:highlight w:val="none"/>
                <w:u w:val="none" w:color="auto"/>
              </w:rPr>
              <w:t>detta direktiv</w:t>
            </w:r>
            <w:r>
              <w:t xml:space="preserve"> utfärdas till personer som beviljats internationellt skydd för första gången eller förnyas bör iaktta reglerna i förordning (EG) nr 1030/2002 respektive rådets förordning (EG) nr 2252/2004.</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221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(37)</w:t>
            </w:r>
            <w:r>
              <w:tab/>
            </w:r>
            <w:r>
              <w:t xml:space="preserve">De uppehållstillstånd och de resehandlingar som efter ikraftträdandet av denna förordning utfärdas till personer som beviljats internationellt skydd </w:t>
            </w:r>
            <w:r>
              <w:rPr>
                <w:rFonts w:ascii="Times New Roman" w:eastAsia="Times New Roman" w:hAnsi="Times New Roman" w:cs="Times New Roman"/>
                <w:b/>
                <w:i/>
                <w:strike w:val="0"/>
                <w:color w:val="000000"/>
                <w:sz w:val="24"/>
                <w:highlight w:val="none"/>
                <w:u w:val="none" w:color="auto"/>
              </w:rPr>
              <w:t xml:space="preserve">för första gången eller förnyas </w:t>
            </w:r>
            <w:r>
              <w:t>bör iaktta reglerna i förordning (EG) nr 1030/2002 respektive rådets förordning (EG) nr 2252/2004.</w:t>
            </w:r>
          </w:p>
        </w:tc>
        <w:tc>
          <w:tcPr/>
          <w:p>
            <w:pPr>
              <w:pStyle w:val="Normal6"/>
            </w:pPr>
            <w:r>
              <w:t>(37)</w:t>
            </w:r>
            <w:r>
              <w:tab/>
            </w:r>
            <w:r>
              <w:t>De uppehållstillstånd och de resehandlingar som efter ikraftträdandet av denna förordning utfärdas till personer som beviljats internationellt skydd bör iaktta reglerna i förordning (EG) nr 1030/2002 respektive rådets förordning (EG) nr 2252/2004.</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222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(38)</w:t>
            </w:r>
            <w:r>
              <w:tab/>
            </w:r>
            <w:r>
              <w:t xml:space="preserve">Familjemedlemmar </w:t>
            </w:r>
            <w:r>
              <w:rPr>
                <w:rFonts w:ascii="Times New Roman" w:eastAsia="Times New Roman" w:hAnsi="Times New Roman" w:cs="Times New Roman"/>
                <w:b/>
                <w:i/>
                <w:strike w:val="0"/>
                <w:color w:val="000000"/>
                <w:sz w:val="24"/>
                <w:highlight w:val="none"/>
                <w:u w:val="none" w:color="auto"/>
              </w:rPr>
              <w:t>kommer, med hänsyn till sin nära relation till flyktingen, normalt vara sårbara för förföljelse på ett sätt som kan utgöra grund för internationellt skydd. Om de inte uppfyller kraven för att erhålla internationellt skydd bör de</w:t>
            </w:r>
            <w:r>
              <w:t xml:space="preserve">, i syfte att uppnå sammanhållning av familjer, ha rätt att ansöka om ett uppehållstillstånd </w:t>
            </w:r>
            <w:r>
              <w:rPr>
                <w:rFonts w:ascii="Times New Roman" w:eastAsia="Times New Roman" w:hAnsi="Times New Roman" w:cs="Times New Roman"/>
                <w:b/>
                <w:i/>
                <w:strike w:val="0"/>
                <w:color w:val="000000"/>
                <w:sz w:val="24"/>
                <w:highlight w:val="none"/>
                <w:u w:val="none" w:color="auto"/>
              </w:rPr>
              <w:t>och åtnjuta samma rättigheter som de som tillerkänns personer</w:t>
            </w:r>
            <w:r>
              <w:t xml:space="preserve"> som beviljats internationellt skydd. Utan att det påverkar bestämmelserna om sammanhållning av familjer i denna förordning, bör familjemedlemmar till en person som beviljats internationellt skydd vilka inte enskilt uppfyller kraven för sådant skydd beviljas uppehållstillstånd och rättigheter i enlighet med direktiv 2003/86/EG om rätt till familjeåterförening, om situationen omfattas av dess tillämpningsområde och om villkoren för återförening i det direktivet är uppfyllda. Denna förordning bör inte påverka tillämpningen av direktiv 2004/38/EG.</w:t>
            </w:r>
          </w:p>
        </w:tc>
        <w:tc>
          <w:tcPr/>
          <w:p>
            <w:pPr>
              <w:pStyle w:val="Normal6"/>
            </w:pPr>
            <w:r>
              <w:t>(38)</w:t>
            </w:r>
            <w:r>
              <w:tab/>
            </w:r>
            <w:r>
              <w:t xml:space="preserve">Familjemedlemmar </w:t>
            </w:r>
            <w:r>
              <w:rPr>
                <w:rFonts w:ascii="Times New Roman" w:eastAsia="Times New Roman" w:hAnsi="Times New Roman" w:cs="Times New Roman"/>
                <w:b/>
                <w:i/>
                <w:strike w:val="0"/>
                <w:color w:val="000000"/>
                <w:sz w:val="24"/>
                <w:highlight w:val="none"/>
                <w:u w:val="none" w:color="auto"/>
              </w:rPr>
              <w:t>bör</w:t>
            </w:r>
            <w:r>
              <w:t xml:space="preserve">, i syfte att uppnå sammanhållning av familjer, ha rätt att ansöka om ett uppehållstillstånd </w:t>
            </w:r>
            <w:r>
              <w:rPr>
                <w:rFonts w:ascii="Times New Roman" w:eastAsia="Times New Roman" w:hAnsi="Times New Roman" w:cs="Times New Roman"/>
                <w:b/>
                <w:i/>
                <w:strike w:val="0"/>
                <w:color w:val="000000"/>
                <w:sz w:val="24"/>
                <w:highlight w:val="none"/>
                <w:u w:val="none" w:color="auto"/>
              </w:rPr>
              <w:t>som inte går utöver varaktigheten för uppehållstillståndet för den person</w:t>
            </w:r>
            <w:r>
              <w:t xml:space="preserve"> som beviljats internationellt skydd. Utan att det påverkar bestämmelserna om sammanhållning av familjer i denna förordning, bör familjemedlemmar till en person som beviljats internationellt skydd vilka inte enskilt uppfyller kraven för sådant skydd beviljas uppehållstillstånd och rättigheter i enlighet med direktiv 2003/86/EG om rätt till familjeåterförening, om situationen omfattas av dess tillämpningsområde och om villkoren för återförening i det direktivet är uppfyllda. Denna förordning bör inte påverka tillämpningen av direktiv 2004/38/EG.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223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(38)</w:t>
            </w:r>
            <w:r>
              <w:tab/>
            </w:r>
            <w:r>
              <w:t xml:space="preserve">Familjemedlemmar kommer, med hänsyn till sin nära relation till </w:t>
            </w:r>
            <w:r>
              <w:rPr>
                <w:rFonts w:ascii="Times New Roman" w:eastAsia="Times New Roman" w:hAnsi="Times New Roman" w:cs="Times New Roman"/>
                <w:b/>
                <w:i/>
                <w:strike w:val="0"/>
                <w:color w:val="000000"/>
                <w:sz w:val="24"/>
                <w:highlight w:val="none"/>
                <w:u w:val="none" w:color="auto"/>
              </w:rPr>
              <w:t>flyktingen</w:t>
            </w:r>
            <w:r>
              <w:t xml:space="preserve">, normalt vara sårbara för förföljelse på ett sätt som kan utgöra grund för internationellt skydd. Om de inte uppfyller kraven för att erhålla internationellt skydd bör de, i syfte att uppnå sammanhållning av familjer, ha rätt att ansöka om ett uppehållstillstånd och åtnjuta samma rättigheter som de som tillerkänns personer som beviljats internationellt skydd. Utan att det påverkar bestämmelserna om sammanhållning av familjer i </w:t>
            </w:r>
            <w:r>
              <w:rPr>
                <w:rFonts w:ascii="Times New Roman" w:eastAsia="Times New Roman" w:hAnsi="Times New Roman" w:cs="Times New Roman"/>
                <w:b/>
                <w:i/>
                <w:strike w:val="0"/>
                <w:color w:val="000000"/>
                <w:sz w:val="24"/>
                <w:highlight w:val="none"/>
                <w:u w:val="none" w:color="auto"/>
              </w:rPr>
              <w:t>denna förordning</w:t>
            </w:r>
            <w:r>
              <w:t xml:space="preserve">, bör familjemedlemmar till en person som beviljats internationellt skydd vilka inte enskilt uppfyller kraven för sådant skydd beviljas uppehållstillstånd och rättigheter i enlighet med direktiv 2003/86/EG om rätt till familjeåterförening, om situationen omfattas av dess tillämpningsområde och om villkoren för återförening i det direktivet är uppfyllda. </w:t>
            </w:r>
            <w:r>
              <w:rPr>
                <w:rFonts w:ascii="Times New Roman" w:eastAsia="Times New Roman" w:hAnsi="Times New Roman" w:cs="Times New Roman"/>
                <w:b/>
                <w:i/>
                <w:strike w:val="0"/>
                <w:color w:val="000000"/>
                <w:sz w:val="24"/>
                <w:highlight w:val="none"/>
                <w:u w:val="none" w:color="auto"/>
              </w:rPr>
              <w:t>Denna förordning</w:t>
            </w:r>
            <w:r>
              <w:t xml:space="preserve"> bör inte påverka tillämpningen av direktiv 2004/38/EG.</w:t>
            </w:r>
          </w:p>
        </w:tc>
        <w:tc>
          <w:tcPr/>
          <w:p>
            <w:pPr>
              <w:pStyle w:val="Normal6"/>
            </w:pPr>
            <w:r>
              <w:t>(38)</w:t>
            </w:r>
            <w:r>
              <w:tab/>
            </w:r>
            <w:r>
              <w:t xml:space="preserve">Familjemedlemmar kommer, med hänsyn till sin nära relation till </w:t>
            </w:r>
            <w:r>
              <w:rPr>
                <w:rFonts w:ascii="Times New Roman" w:eastAsia="Times New Roman" w:hAnsi="Times New Roman" w:cs="Times New Roman"/>
                <w:b/>
                <w:i/>
                <w:strike w:val="0"/>
                <w:color w:val="000000"/>
                <w:sz w:val="24"/>
                <w:highlight w:val="none"/>
                <w:u w:val="none" w:color="auto"/>
              </w:rPr>
              <w:t>den person som beviljats internationellt skydd</w:t>
            </w:r>
            <w:r>
              <w:t>, normalt</w:t>
            </w:r>
            <w:r>
              <w:rPr>
                <w:rFonts w:ascii="Times New Roman" w:eastAsia="Times New Roman" w:hAnsi="Times New Roman" w:cs="Times New Roman"/>
                <w:b/>
                <w:i/>
                <w:strike w:val="0"/>
                <w:color w:val="000000"/>
                <w:sz w:val="24"/>
                <w:highlight w:val="none"/>
                <w:u w:val="none" w:color="auto"/>
              </w:rPr>
              <w:t xml:space="preserve"> att</w:t>
            </w:r>
            <w:r>
              <w:t xml:space="preserve"> vara sårbara för förföljelse på ett sätt som kan utgöra grund för internationellt skydd. Om de inte uppfyller kraven för att erhålla internationellt skydd bör de, i syfte att uppnå sammanhållning av familjer, ha rätt att ansöka om ett uppehållstillstånd och åtnjuta samma rättigheter som de som tillerkänns personer som beviljats internationellt skydd. Utan att det påverkar bestämmelserna om sammanhållning av familjer i </w:t>
            </w:r>
            <w:r>
              <w:rPr>
                <w:rFonts w:ascii="Times New Roman" w:eastAsia="Times New Roman" w:hAnsi="Times New Roman" w:cs="Times New Roman"/>
                <w:b/>
                <w:i/>
                <w:strike w:val="0"/>
                <w:color w:val="000000"/>
                <w:sz w:val="24"/>
                <w:highlight w:val="none"/>
                <w:u w:val="none" w:color="auto"/>
              </w:rPr>
              <w:t>detta direktiv</w:t>
            </w:r>
            <w:r>
              <w:t xml:space="preserve">, bör familjemedlemmar till en person som beviljats internationellt skydd vilka inte enskilt uppfyller kraven för sådant skydd beviljas uppehållstillstånd och rättigheter i enlighet med direktiv 2003/86/EG om rätt till familjeåterförening, om situationen omfattas av dess tillämpningsområde och om villkoren för återförening i det direktivet är uppfyllda. </w:t>
            </w:r>
            <w:r>
              <w:rPr>
                <w:rFonts w:ascii="Times New Roman" w:eastAsia="Times New Roman" w:hAnsi="Times New Roman" w:cs="Times New Roman"/>
                <w:b/>
                <w:i/>
                <w:strike w:val="0"/>
                <w:color w:val="000000"/>
                <w:sz w:val="24"/>
                <w:highlight w:val="none"/>
                <w:u w:val="none" w:color="auto"/>
              </w:rPr>
              <w:t>Detta direktiv</w:t>
            </w:r>
            <w:r>
              <w:t xml:space="preserve"> bör inte påverka tillämpningen av direktiv 2004/38/EG.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224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Alessandra Mussolini</w:t>
      </w:r>
      <w:r>
        <w:t xml:space="preserve">, </w:t>
      </w:r>
      <w:r>
        <w:t>Elissavet Vozemberg-Vrionidi</w:t>
      </w:r>
      <w:r>
        <w:t xml:space="preserve">, </w:t>
      </w:r>
      <w:r>
        <w:t>Frank Engel</w:t>
      </w:r>
      <w:r>
        <w:t xml:space="preserve">, </w:t>
      </w:r>
      <w:r>
        <w:t>Barbara Matera</w:t>
      </w:r>
      <w:r>
        <w:t xml:space="preserve">, </w:t>
      </w:r>
      <w:r>
        <w:t>Salvatore Domenico Pogliese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38a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(38a)</w:t>
            </w:r>
            <w:r>
              <w:tab/>
            </w:r>
            <w:r>
              <w:rPr>
                <w:rFonts w:ascii="Times New Roman" w:eastAsia="Times New Roman" w:hAnsi="Times New Roman" w:cs="Times New Roman"/>
                <w:b/>
                <w:i/>
                <w:strike w:val="0"/>
                <w:color w:val="000000"/>
                <w:sz w:val="24"/>
                <w:highlight w:val="none"/>
                <w:u w:val="none" w:color="auto"/>
              </w:rPr>
              <w:t>För att förhindra missbruk bör medlemsstaterna göra en bedömning av huruvida äktenskapet mellan en person som beviljats internationellt skydd och hans make/maka är resultatet av ett genuint förhållande.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Detta skäl har anpassats till ändringsförslaget till artikel 25.3a (ny).</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225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(39)</w:t>
            </w:r>
            <w:r>
              <w:tab/>
            </w:r>
            <w:r>
              <w:rPr>
                <w:rFonts w:ascii="Times New Roman" w:eastAsia="Times New Roman" w:hAnsi="Times New Roman" w:cs="Times New Roman"/>
                <w:b/>
                <w:i/>
                <w:strike w:val="0"/>
                <w:color w:val="000000"/>
                <w:sz w:val="24"/>
                <w:highlight w:val="none"/>
                <w:u w:val="none" w:color="auto"/>
              </w:rPr>
              <w:t>I syfte att säkerställa huruvida personer som beviljats internationellt skydd fortfarande är i behov av skyddet, bör beslutande myndigheter ompröva den beviljade statusen när uppehållstillståndet måste förnyas, första gången för flyktingar och första och andra gången för personer som innehar status som subsidiärt skyddsbehövande, liksom när en väsentlig ändring av betydelse i personens ursprungsland inträffar, enligt den gemensamma analys och den vägledning om situationen i ursprungsländer som tillhandahålls på unionsnivå av Europeiska unionens asylbyrå och de europeiska nätverken för information om ursprungsländer i enlighet med artiklarna 8 och 10 i förordning (EU) XXX/XX</w:t>
            </w:r>
            <w:r>
              <w:rPr>
                <w:rStyle w:val="SupBoldItalic"/>
              </w:rPr>
              <w:t>37</w:t>
            </w:r>
            <w:r>
              <w:rPr>
                <w:rFonts w:ascii="Times New Roman" w:eastAsia="Times New Roman" w:hAnsi="Times New Roman" w:cs="Times New Roman"/>
                <w:b/>
                <w:i/>
                <w:strike w:val="0"/>
                <w:color w:val="000000"/>
                <w:sz w:val="24"/>
                <w:highlight w:val="none"/>
                <w:u w:val="none" w:color="auto"/>
              </w:rPr>
              <w:t xml:space="preserve"> .</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37</w:t>
            </w:r>
            <w:r>
              <w:t xml:space="preserve"> </w:t>
            </w:r>
            <w:r>
              <w:rPr>
                <w:rFonts w:ascii="Times New Roman" w:eastAsia="Times New Roman" w:hAnsi="Times New Roman" w:cs="Times New Roman"/>
                <w:b/>
                <w:i/>
                <w:strike w:val="0"/>
                <w:color w:val="000000"/>
                <w:sz w:val="24"/>
                <w:highlight w:val="none"/>
                <w:u w:val="none" w:color="auto"/>
              </w:rPr>
              <w:t>COM(2016) 271 final.</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226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(39)</w:t>
            </w:r>
            <w:r>
              <w:tab/>
            </w:r>
            <w:r>
              <w:t xml:space="preserve">I syfte att säkerställa huruvida personer som beviljats internationellt skydd fortfarande är i behov av skyddet, </w:t>
            </w:r>
            <w:r>
              <w:rPr>
                <w:rFonts w:ascii="Times New Roman" w:eastAsia="Times New Roman" w:hAnsi="Times New Roman" w:cs="Times New Roman"/>
                <w:b/>
                <w:i/>
                <w:strike w:val="0"/>
                <w:color w:val="000000"/>
                <w:sz w:val="24"/>
                <w:highlight w:val="none"/>
                <w:u w:val="none" w:color="auto"/>
              </w:rPr>
              <w:t>bör</w:t>
            </w:r>
            <w:r>
              <w:t xml:space="preserve"> beslutande myndigheter ompröva den beviljade statusen när </w:t>
            </w:r>
            <w:r>
              <w:rPr>
                <w:rFonts w:ascii="Times New Roman" w:eastAsia="Times New Roman" w:hAnsi="Times New Roman" w:cs="Times New Roman"/>
                <w:b/>
                <w:i/>
                <w:strike w:val="0"/>
                <w:color w:val="000000"/>
                <w:sz w:val="24"/>
                <w:highlight w:val="none"/>
                <w:u w:val="none" w:color="auto"/>
              </w:rPr>
              <w:t xml:space="preserve">uppehållstillståndet måste förnyas, första gången för flyktingar och första och andra gången för personer som innehar status som subsidiärt skyddsbehövande, liksom när </w:t>
            </w:r>
            <w:r>
              <w:t>en väsentlig ändring av betydelse i personens ursprungsland inträffar, enligt den gemensamma analys och den vägledning om situationen i ursprungsländer som tillhandahålls på unionsnivå av Europeiska unionens asylbyrå och de europeiska nätverken för information om ursprungsländer i enlighet med artiklarna 8 och 10 i förordning (EU) XXX/XX</w:t>
            </w:r>
            <w:r>
              <w:rPr>
                <w:rStyle w:val="Sup"/>
              </w:rPr>
              <w:t>37</w:t>
            </w:r>
            <w:r>
              <w:rPr>
                <w:rFonts w:ascii="Times New Roman" w:eastAsia="Times New Roman" w:hAnsi="Times New Roman" w:cs="Times New Roman"/>
                <w:b/>
                <w:i/>
                <w:strike w:val="0"/>
                <w:color w:val="000000"/>
                <w:sz w:val="24"/>
                <w:highlight w:val="none"/>
                <w:u w:val="none" w:color="auto"/>
              </w:rPr>
              <w:t xml:space="preserve"> </w:t>
            </w:r>
            <w:r>
              <w:t>.</w:t>
            </w:r>
          </w:p>
        </w:tc>
        <w:tc>
          <w:tcPr/>
          <w:p>
            <w:pPr>
              <w:pStyle w:val="Normal6"/>
            </w:pPr>
            <w:r>
              <w:t>(39)</w:t>
            </w:r>
            <w:r>
              <w:tab/>
            </w:r>
            <w:r>
              <w:t xml:space="preserve">I syfte att säkerställa huruvida personer som beviljats internationellt skydd fortfarande är i behov av skyddet, </w:t>
            </w:r>
            <w:r>
              <w:rPr>
                <w:rFonts w:ascii="Times New Roman" w:eastAsia="Times New Roman" w:hAnsi="Times New Roman" w:cs="Times New Roman"/>
                <w:b/>
                <w:i/>
                <w:strike w:val="0"/>
                <w:color w:val="000000"/>
                <w:sz w:val="24"/>
                <w:highlight w:val="none"/>
                <w:u w:val="none" w:color="auto"/>
              </w:rPr>
              <w:t>kan</w:t>
            </w:r>
            <w:r>
              <w:t xml:space="preserve"> beslutande myndigheter ompröva den beviljade statusen när en väsentlig ändring av betydelse i personens ursprungsland inträffar, enligt den gemensamma analys och den vägledning om situationen i ursprungsländer som tillhandahålls på unionsnivå av Europeiska unionens asylbyrå och de europeiska nätverken för information om ursprungsländer i enlighet med artiklarna 8 och 10 i förordning (EU) XXX/XX</w:t>
            </w:r>
            <w:r>
              <w:rPr>
                <w:rStyle w:val="Sup"/>
              </w:rPr>
              <w:t>37</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37</w:t>
            </w:r>
            <w:r>
              <w:t xml:space="preserve"> </w:t>
            </w:r>
            <w:r>
              <w:rPr>
                <w:rFonts w:ascii="Times New Roman" w:eastAsia="Times New Roman" w:hAnsi="Times New Roman" w:cs="Times New Roman"/>
                <w:b/>
                <w:i/>
                <w:strike w:val="0"/>
                <w:color w:val="000000"/>
                <w:sz w:val="24"/>
                <w:highlight w:val="none"/>
                <w:u w:val="none" w:color="auto"/>
              </w:rPr>
              <w:t>COM(2016) 271 final</w:t>
            </w:r>
            <w:r>
              <w:t>.</w:t>
            </w:r>
          </w:p>
        </w:tc>
        <w:tc>
          <w:tcPr/>
          <w:p>
            <w:pPr>
              <w:pStyle w:val="Normal6"/>
            </w:pPr>
            <w:r>
              <w:rPr>
                <w:rStyle w:val="Sup"/>
              </w:rPr>
              <w:t>37</w:t>
            </w:r>
            <w:r>
              <w:t xml:space="preserve"> </w:t>
            </w:r>
            <w:r>
              <w:rPr>
                <w:rFonts w:ascii="Times New Roman" w:eastAsia="Times New Roman" w:hAnsi="Times New Roman" w:cs="Times New Roman"/>
                <w:b/>
                <w:i/>
                <w:strike w:val="0"/>
                <w:color w:val="000000"/>
                <w:sz w:val="24"/>
                <w:highlight w:val="none"/>
                <w:u w:val="none" w:color="auto"/>
              </w:rPr>
              <w:t>COM(2016)0271</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227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Alessandra Mussolini</w:t>
      </w:r>
      <w:r>
        <w:t xml:space="preserve">, </w:t>
      </w:r>
      <w:r>
        <w:t>Elissavet Vozemberg-Vrionidi</w:t>
      </w:r>
      <w:r>
        <w:t xml:space="preserve">, </w:t>
      </w:r>
      <w:r>
        <w:t>Frank Engel</w:t>
      </w:r>
      <w:r>
        <w:t xml:space="preserve">, </w:t>
      </w:r>
      <w:r>
        <w:t>Barbara Matera</w:t>
      </w:r>
      <w:r>
        <w:t xml:space="preserve">, </w:t>
      </w:r>
      <w:r>
        <w:t>Salvatore Domenico Pogliese</w:t>
      </w:r>
      <w:r>
        <w:t xml:space="preserve">, </w:t>
      </w:r>
      <w:r>
        <w:t>Carlos Coelho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(39)</w:t>
            </w:r>
            <w:r>
              <w:tab/>
            </w:r>
            <w:r>
              <w:t xml:space="preserve">I syfte att säkerställa huruvida personer som beviljats internationellt skydd fortfarande är i behov av skyddet, bör beslutande myndigheter ompröva den beviljade statusen när </w:t>
            </w:r>
            <w:r>
              <w:rPr>
                <w:rFonts w:ascii="Times New Roman" w:eastAsia="Times New Roman" w:hAnsi="Times New Roman" w:cs="Times New Roman"/>
                <w:b/>
                <w:i/>
                <w:strike w:val="0"/>
                <w:color w:val="000000"/>
                <w:sz w:val="24"/>
                <w:highlight w:val="none"/>
                <w:u w:val="none" w:color="auto"/>
              </w:rPr>
              <w:t xml:space="preserve">uppehållstillståndet måste förnyas, första gången för flyktingar och första och andra gången för personer som innehar status som subsidiärt skyddsbehövande, liksom när </w:t>
            </w:r>
            <w:r>
              <w:t>en väsentlig ändring av betydelse i personens ursprungsland inträffar, enligt den gemensamma analys och den vägledning om situationen i ursprungsländer som tillhandahålls på unionsnivå av Europeiska unionens asylbyrå och de europeiska nätverken för information om ursprungsländer i enlighet med artiklarna 8 och 10 i förordning (EU) XXX/XX</w:t>
            </w:r>
            <w:r>
              <w:rPr>
                <w:rStyle w:val="Sup"/>
              </w:rPr>
              <w:t>37</w:t>
            </w:r>
            <w:r>
              <w:rPr>
                <w:rFonts w:ascii="Times New Roman" w:eastAsia="Times New Roman" w:hAnsi="Times New Roman" w:cs="Times New Roman"/>
                <w:b/>
                <w:i/>
                <w:strike w:val="0"/>
                <w:color w:val="000000"/>
                <w:sz w:val="24"/>
                <w:highlight w:val="none"/>
                <w:u w:val="none" w:color="auto"/>
              </w:rPr>
              <w:t xml:space="preserve"> </w:t>
            </w:r>
            <w:r>
              <w:t>.</w:t>
            </w:r>
          </w:p>
        </w:tc>
        <w:tc>
          <w:tcPr/>
          <w:p>
            <w:pPr>
              <w:pStyle w:val="Normal6"/>
            </w:pPr>
            <w:r>
              <w:t>(39)</w:t>
            </w:r>
            <w:r>
              <w:tab/>
            </w:r>
            <w:r>
              <w:t>I syfte att säkerställa huruvida personer som beviljats internationellt skydd fortfarande är i behov av skyddet, bör beslutande myndigheter ompröva den beviljade statusen när en väsentlig ändring av betydelse i personens ursprungsland inträffar, enligt den gemensamma analys och den vägledning om situationen i ursprungsländer som tillhandahålls på unionsnivå av Europeiska unionens asylbyrå och de europeiska nätverken för information om ursprungsländer i enlighet med artiklarna 8 och 10 i förordning (EU) XXX/XX</w:t>
            </w:r>
            <w:r>
              <w:rPr>
                <w:rStyle w:val="Sup"/>
              </w:rPr>
              <w:t>37</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37</w:t>
            </w:r>
            <w:r>
              <w:t xml:space="preserve"> </w:t>
            </w:r>
            <w:r>
              <w:rPr>
                <w:rFonts w:ascii="Times New Roman" w:eastAsia="Times New Roman" w:hAnsi="Times New Roman" w:cs="Times New Roman"/>
                <w:b/>
                <w:i/>
                <w:strike w:val="0"/>
                <w:color w:val="000000"/>
                <w:sz w:val="24"/>
                <w:highlight w:val="none"/>
                <w:u w:val="none" w:color="auto"/>
              </w:rPr>
              <w:t>COM(2016) 271 final</w:t>
            </w:r>
            <w:r>
              <w:t>.</w:t>
            </w:r>
          </w:p>
        </w:tc>
        <w:tc>
          <w:tcPr/>
          <w:p>
            <w:pPr>
              <w:pStyle w:val="Normal6"/>
            </w:pPr>
            <w:r>
              <w:rPr>
                <w:rStyle w:val="Sup"/>
              </w:rPr>
              <w:t>37</w:t>
            </w:r>
            <w:r>
              <w:t xml:space="preserve"> </w:t>
            </w:r>
            <w:r>
              <w:rPr>
                <w:rFonts w:ascii="Times New Roman" w:eastAsia="Times New Roman" w:hAnsi="Times New Roman" w:cs="Times New Roman"/>
                <w:b/>
                <w:i/>
                <w:strike w:val="0"/>
                <w:color w:val="000000"/>
                <w:sz w:val="24"/>
                <w:highlight w:val="none"/>
                <w:u w:val="none" w:color="auto"/>
              </w:rPr>
              <w:t>COM(2016)0271</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En omprövning av skyddsbehoven vid tidpunkten för omprövning av uppehållstillståndet skulle vara en mycket resursintensiv process för de beslutande myndigheterna i medlemsstaterna. Icke desto mindre bör de beslutande myndigheterna i medlemsstaterna vara skyldiga att ompröva rätten till internationellt skydd när Europeiska unionens asylbyrå konstaterar att en väsentlig ändring av betydelse inträffat i ursprungslandet för de personer som beviljats skydd.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228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(39)</w:t>
            </w:r>
            <w:r>
              <w:tab/>
            </w:r>
            <w:r>
              <w:t xml:space="preserve">I syfte att säkerställa huruvida personer som beviljats internationellt skydd fortfarande är i behov av </w:t>
            </w:r>
            <w:r>
              <w:rPr>
                <w:rFonts w:ascii="Times New Roman" w:eastAsia="Times New Roman" w:hAnsi="Times New Roman" w:cs="Times New Roman"/>
                <w:b/>
                <w:i/>
                <w:strike w:val="0"/>
                <w:color w:val="000000"/>
                <w:sz w:val="24"/>
                <w:highlight w:val="none"/>
                <w:u w:val="none" w:color="auto"/>
              </w:rPr>
              <w:t>skyddet, bör</w:t>
            </w:r>
            <w:r>
              <w:t xml:space="preserve"> beslutande myndigheter ompröva den beviljade statusen när </w:t>
            </w:r>
            <w:r>
              <w:rPr>
                <w:rFonts w:ascii="Times New Roman" w:eastAsia="Times New Roman" w:hAnsi="Times New Roman" w:cs="Times New Roman"/>
                <w:b/>
                <w:i/>
                <w:strike w:val="0"/>
                <w:color w:val="000000"/>
                <w:sz w:val="24"/>
                <w:highlight w:val="none"/>
                <w:u w:val="none" w:color="auto"/>
              </w:rPr>
              <w:t xml:space="preserve">uppehållstillståndet måste förnyas, första gången för flyktingar och första och andra gången för personer som innehar status som subsidiärt skyddsbehövande, liksom när </w:t>
            </w:r>
            <w:r>
              <w:t xml:space="preserve">en väsentlig ändring av betydelse i personens ursprungsland inträffar, enligt den gemensamma analys och den vägledning om situationen i ursprungsländer som tillhandahålls på unionsnivå av Europeiska unionens asylbyrå och de europeiska nätverken för information om ursprungsländer i enlighet med artiklarna 8 och 10 i </w:t>
            </w:r>
            <w:r>
              <w:rPr>
                <w:rFonts w:ascii="Times New Roman" w:eastAsia="Times New Roman" w:hAnsi="Times New Roman" w:cs="Times New Roman"/>
                <w:b/>
                <w:i/>
                <w:strike w:val="0"/>
                <w:color w:val="000000"/>
                <w:sz w:val="24"/>
                <w:highlight w:val="none"/>
                <w:u w:val="none" w:color="auto"/>
              </w:rPr>
              <w:t>förordning (EU) XXX/XX</w:t>
            </w:r>
            <w:r>
              <w:rPr>
                <w:rStyle w:val="Sup"/>
              </w:rPr>
              <w:t>37</w:t>
            </w:r>
            <w:r>
              <w:t xml:space="preserve"> .</w:t>
            </w:r>
          </w:p>
        </w:tc>
        <w:tc>
          <w:tcPr/>
          <w:p>
            <w:pPr>
              <w:pStyle w:val="Normal6"/>
            </w:pPr>
            <w:r>
              <w:t>(39)</w:t>
            </w:r>
            <w:r>
              <w:tab/>
            </w:r>
            <w:r>
              <w:t xml:space="preserve">I syfte att säkerställa huruvida personer som beviljats internationellt skydd fortfarande är i behov av </w:t>
            </w:r>
            <w:r>
              <w:rPr>
                <w:rFonts w:ascii="Times New Roman" w:eastAsia="Times New Roman" w:hAnsi="Times New Roman" w:cs="Times New Roman"/>
                <w:b/>
                <w:i/>
                <w:strike w:val="0"/>
                <w:color w:val="000000"/>
                <w:sz w:val="24"/>
                <w:highlight w:val="none"/>
                <w:u w:val="none" w:color="auto"/>
              </w:rPr>
              <w:t>skydd, kan</w:t>
            </w:r>
            <w:r>
              <w:t xml:space="preserve"> beslutande myndigheter ompröva den beviljade statusen när en väsentlig ändring av betydelse i personens ursprungsland inträffar, enligt den gemensamma analys och den vägledning om situationen i ursprungsländer som tillhandahålls på unionsnivå av Europeiska unionens asylbyrå och de europeiska nätverken för information om ursprungsländer i enlighet med artiklarna 8 och 10 i </w:t>
            </w:r>
            <w:r>
              <w:rPr>
                <w:rFonts w:ascii="Times New Roman" w:eastAsia="Times New Roman" w:hAnsi="Times New Roman" w:cs="Times New Roman"/>
                <w:b/>
                <w:i/>
                <w:strike w:val="0"/>
                <w:color w:val="000000"/>
                <w:sz w:val="24"/>
                <w:highlight w:val="none"/>
                <w:u w:val="none" w:color="auto"/>
              </w:rPr>
              <w:t>förordningen</w:t>
            </w:r>
            <w:r>
              <w:rPr>
                <w:rStyle w:val="Sup"/>
              </w:rPr>
              <w:t>37</w:t>
            </w:r>
            <w:r>
              <w:t xml:space="preserve"> .</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37</w:t>
            </w:r>
            <w:r>
              <w:t xml:space="preserve"> </w:t>
            </w:r>
            <w:r>
              <w:t>COM(2016) 271 final.</w:t>
            </w:r>
          </w:p>
        </w:tc>
        <w:tc>
          <w:tcPr/>
          <w:p>
            <w:pPr>
              <w:pStyle w:val="Normal6"/>
            </w:pPr>
            <w:r>
              <w:rPr>
                <w:rStyle w:val="Sup"/>
              </w:rPr>
              <w:t>37</w:t>
            </w:r>
            <w:r>
              <w:t xml:space="preserve"> </w:t>
            </w:r>
            <w:r>
              <w:t>COM(2016) 271 final.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229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(39)</w:t>
            </w:r>
            <w:r>
              <w:tab/>
            </w:r>
            <w:r>
              <w:t>I syfte att säkerställa huruvida personer som beviljats internationellt skydd fortfarande är i behov av skyddet, bör beslutande myndigheter ompröva den beviljade statusen när uppehållstillståndet måste förnyas</w:t>
            </w:r>
            <w:r>
              <w:rPr>
                <w:rFonts w:ascii="Times New Roman" w:eastAsia="Times New Roman" w:hAnsi="Times New Roman" w:cs="Times New Roman"/>
                <w:b/>
                <w:i/>
                <w:strike w:val="0"/>
                <w:color w:val="000000"/>
                <w:sz w:val="24"/>
                <w:highlight w:val="none"/>
                <w:u w:val="none" w:color="auto"/>
              </w:rPr>
              <w:t>, första gången för flyktingar och första och andra gången för personer som innehar status som subsidiärt skyddsbehövande</w:t>
            </w:r>
            <w:r>
              <w:t>, liksom när en väsentlig ändring av betydelse i personens ursprungsland inträffar, enligt den gemensamma analys och den vägledning om situationen i ursprungsländer som tillhandahålls på unionsnivå av Europeiska unionens asylbyrå och de europeiska nätverken för information om ursprungsländer i enlighet med artiklarna 8 och 10 i förordning (EU) XXX/XX</w:t>
            </w:r>
            <w:r>
              <w:rPr>
                <w:rStyle w:val="Sup"/>
              </w:rPr>
              <w:t>37</w:t>
            </w:r>
            <w:r>
              <w:t xml:space="preserve"> .</w:t>
            </w:r>
          </w:p>
        </w:tc>
        <w:tc>
          <w:tcPr/>
          <w:p>
            <w:pPr>
              <w:pStyle w:val="Normal6"/>
            </w:pPr>
            <w:r>
              <w:t>(39)</w:t>
            </w:r>
            <w:r>
              <w:tab/>
            </w:r>
            <w:r>
              <w:t xml:space="preserve">I syfte att säkerställa huruvida personer som beviljats internationellt skydd fortfarande är i behov av skyddet, bör beslutande myndigheter ompröva den beviljade statusen </w:t>
            </w:r>
            <w:r>
              <w:rPr>
                <w:rFonts w:ascii="Times New Roman" w:eastAsia="Times New Roman" w:hAnsi="Times New Roman" w:cs="Times New Roman"/>
                <w:b/>
                <w:i/>
                <w:strike w:val="0"/>
                <w:color w:val="000000"/>
                <w:sz w:val="24"/>
                <w:highlight w:val="none"/>
                <w:u w:val="none" w:color="auto"/>
              </w:rPr>
              <w:t xml:space="preserve">senast </w:t>
            </w:r>
            <w:r>
              <w:t>när uppehållstillståndet måste förnyas, liksom när en väsentlig ändring av betydelse i personens ursprungsland inträffar, enligt den gemensamma analys och den vägledning om situationen i ursprungsländer som tillhandahålls på unionsnivå av Europeiska unionens asylbyrå och de europeiska nätverken för information om ursprungsländer i enlighet med artiklarna 8 och 10 i förordning (EU) XXX/XX</w:t>
            </w:r>
            <w:r>
              <w:rPr>
                <w:rStyle w:val="Sup"/>
              </w:rPr>
              <w:t>37</w:t>
            </w:r>
            <w:r>
              <w:t xml:space="preserve"> .</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37</w:t>
            </w:r>
            <w:r>
              <w:t xml:space="preserve"> </w:t>
            </w:r>
            <w:r>
              <w:rPr>
                <w:rFonts w:ascii="Times New Roman" w:eastAsia="Times New Roman" w:hAnsi="Times New Roman" w:cs="Times New Roman"/>
                <w:b/>
                <w:i/>
                <w:strike w:val="0"/>
                <w:color w:val="000000"/>
                <w:sz w:val="24"/>
                <w:highlight w:val="none"/>
                <w:u w:val="none" w:color="auto"/>
              </w:rPr>
              <w:t>COM(2016) 271 final</w:t>
            </w:r>
            <w:r>
              <w:t>.</w:t>
            </w:r>
          </w:p>
        </w:tc>
        <w:tc>
          <w:tcPr/>
          <w:p>
            <w:pPr>
              <w:pStyle w:val="Normal6"/>
            </w:pPr>
            <w:r>
              <w:rPr>
                <w:rStyle w:val="Sup"/>
              </w:rPr>
              <w:t>37</w:t>
            </w:r>
            <w:r>
              <w:t xml:space="preserve"> </w:t>
            </w:r>
            <w:r>
              <w:rPr>
                <w:rFonts w:ascii="Times New Roman" w:eastAsia="Times New Roman" w:hAnsi="Times New Roman" w:cs="Times New Roman"/>
                <w:b/>
                <w:i/>
                <w:strike w:val="0"/>
                <w:color w:val="000000"/>
                <w:sz w:val="24"/>
                <w:highlight w:val="none"/>
                <w:u w:val="none" w:color="auto"/>
              </w:rPr>
              <w:t>COM(2016)0271</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230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(39)</w:t>
            </w:r>
            <w:r>
              <w:tab/>
            </w:r>
            <w:r>
              <w:t>I syfte att säkerställa huruvida personer som beviljats internationellt skydd fortfarande är i behov av skyddet, bör beslutande myndigheter ompröva den beviljade statusen när uppehållstillståndet måste förnyas, första gången för flyktingar</w:t>
            </w:r>
            <w:r>
              <w:rPr>
                <w:rFonts w:ascii="Times New Roman" w:eastAsia="Times New Roman" w:hAnsi="Times New Roman" w:cs="Times New Roman"/>
                <w:b/>
                <w:i/>
                <w:strike w:val="0"/>
                <w:color w:val="000000"/>
                <w:sz w:val="24"/>
                <w:highlight w:val="none"/>
                <w:u w:val="none" w:color="auto"/>
              </w:rPr>
              <w:t xml:space="preserve"> och första och andra gången för personer som innehar status som subsidiärt skyddsbehövande</w:t>
            </w:r>
            <w:r>
              <w:t>, liksom när en väsentlig ändring av betydelse i personens ursprungsland inträffar, enligt den gemensamma analys och den vägledning om situationen i ursprungsländer som tillhandahålls på unionsnivå av Europeiska unionens asylbyrå och de europeiska nätverken för information om ursprungsländer i enlighet med artiklarna 8 och 10 i förordning (EU) XXX/XX</w:t>
            </w:r>
            <w:r>
              <w:rPr>
                <w:rStyle w:val="Sup"/>
              </w:rPr>
              <w:t>37</w:t>
            </w:r>
            <w:r>
              <w:t xml:space="preserve"> .</w:t>
            </w:r>
          </w:p>
        </w:tc>
        <w:tc>
          <w:tcPr/>
          <w:p>
            <w:pPr>
              <w:pStyle w:val="Normal6"/>
            </w:pPr>
            <w:r>
              <w:t>(39)</w:t>
            </w:r>
            <w:r>
              <w:tab/>
            </w:r>
            <w:r>
              <w:t>I syfte att säkerställa huruvida personer som beviljats internationellt skydd fortfarande är i behov av skyddet, bör beslutande myndigheter ompröva den beviljade statusen när uppehållstillståndet måste förnyas, första gången för flyktingar, liksom när en väsentlig ändring av betydelse i personens ursprungsland inträffar, enligt den gemensamma analys och den vägledning om situationen i ursprungsländer som tillhandahålls på unionsnivå av Europeiska unionens asylbyrå och de europeiska nätverken för information om ursprungsländer i enlighet med artiklarna 8 och 10 i förordning (EU) XXX/XX</w:t>
            </w:r>
            <w:r>
              <w:rPr>
                <w:rStyle w:val="Sup"/>
              </w:rPr>
              <w:t>37</w:t>
            </w:r>
            <w:r>
              <w:t xml:space="preserve"> .</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37</w:t>
            </w:r>
            <w:r>
              <w:t xml:space="preserve"> </w:t>
            </w:r>
            <w:r>
              <w:rPr>
                <w:rFonts w:ascii="Times New Roman" w:eastAsia="Times New Roman" w:hAnsi="Times New Roman" w:cs="Times New Roman"/>
                <w:b/>
                <w:i/>
                <w:strike w:val="0"/>
                <w:color w:val="000000"/>
                <w:sz w:val="24"/>
                <w:highlight w:val="none"/>
                <w:u w:val="none" w:color="auto"/>
              </w:rPr>
              <w:t>COM(2016) 271 final</w:t>
            </w:r>
            <w:r>
              <w:t>.</w:t>
            </w:r>
          </w:p>
        </w:tc>
        <w:tc>
          <w:tcPr/>
          <w:p>
            <w:pPr>
              <w:pStyle w:val="Normal6"/>
            </w:pPr>
            <w:r>
              <w:rPr>
                <w:rStyle w:val="Sup"/>
              </w:rPr>
              <w:t>37</w:t>
            </w:r>
            <w:r>
              <w:t xml:space="preserve"> </w:t>
            </w:r>
            <w:r>
              <w:rPr>
                <w:rFonts w:ascii="Times New Roman" w:eastAsia="Times New Roman" w:hAnsi="Times New Roman" w:cs="Times New Roman"/>
                <w:b/>
                <w:i/>
                <w:strike w:val="0"/>
                <w:color w:val="000000"/>
                <w:sz w:val="24"/>
                <w:highlight w:val="none"/>
                <w:u w:val="none" w:color="auto"/>
              </w:rPr>
              <w:t>COM(2016)0271</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231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(39)</w:t>
            </w:r>
            <w:r>
              <w:tab/>
            </w:r>
            <w:r>
              <w:t>I syfte att säkerställa huruvida personer som beviljats internationellt skydd fortfarande är i behov av skyddet, bör beslutande myndigheter ompröva den beviljade statusen när uppehållstillståndet måste förnyas, första gången för flyktingar och första</w:t>
            </w:r>
            <w:r>
              <w:rPr>
                <w:rFonts w:ascii="Times New Roman" w:eastAsia="Times New Roman" w:hAnsi="Times New Roman" w:cs="Times New Roman"/>
                <w:b/>
                <w:i/>
                <w:strike w:val="0"/>
                <w:color w:val="000000"/>
                <w:sz w:val="24"/>
                <w:highlight w:val="none"/>
                <w:u w:val="none" w:color="auto"/>
              </w:rPr>
              <w:t xml:space="preserve"> och andra</w:t>
            </w:r>
            <w:r>
              <w:t xml:space="preserve"> gången för personer som innehar status som subsidiärt skyddsbehövande, liksom när en väsentlig ändring av betydelse i personens ursprungsland inträffar, enligt den gemensamma analys och den vägledning om situationen i ursprungsländer som tillhandahålls på unionsnivå av Europeiska unionens asylbyrå och de europeiska nätverken för information om ursprungsländer i enlighet med artiklarna 8 och 10 i förordning (EU) XXX/XX</w:t>
            </w:r>
            <w:r>
              <w:rPr>
                <w:rStyle w:val="Sup"/>
              </w:rPr>
              <w:t>37</w:t>
            </w:r>
            <w:r>
              <w:t xml:space="preserve"> .</w:t>
            </w:r>
          </w:p>
        </w:tc>
        <w:tc>
          <w:tcPr/>
          <w:p>
            <w:pPr>
              <w:pStyle w:val="Normal6"/>
            </w:pPr>
            <w:r>
              <w:t>(39)</w:t>
            </w:r>
            <w:r>
              <w:tab/>
            </w:r>
            <w:r>
              <w:t xml:space="preserve">I syfte att säkerställa huruvida personer som beviljats internationellt skydd fortfarande är i behov av skyddet, bör beslutande myndigheter ompröva den beviljade statusen när uppehållstillståndet måste förnyas, första </w:t>
            </w:r>
            <w:r>
              <w:rPr>
                <w:rFonts w:ascii="Times New Roman" w:eastAsia="Times New Roman" w:hAnsi="Times New Roman" w:cs="Times New Roman"/>
                <w:b/>
                <w:i/>
                <w:strike w:val="0"/>
                <w:color w:val="000000"/>
                <w:sz w:val="24"/>
                <w:highlight w:val="none"/>
                <w:u w:val="none" w:color="auto"/>
              </w:rPr>
              <w:t xml:space="preserve">och andra </w:t>
            </w:r>
            <w:r>
              <w:t>gången för flyktingar och första</w:t>
            </w:r>
            <w:r>
              <w:rPr>
                <w:rFonts w:ascii="Times New Roman" w:eastAsia="Times New Roman" w:hAnsi="Times New Roman" w:cs="Times New Roman"/>
                <w:b/>
                <w:i/>
                <w:strike w:val="0"/>
                <w:color w:val="000000"/>
                <w:sz w:val="24"/>
                <w:highlight w:val="none"/>
                <w:u w:val="none" w:color="auto"/>
              </w:rPr>
              <w:t>, andra och tredje</w:t>
            </w:r>
            <w:r>
              <w:t xml:space="preserve"> gången för personer som innehar status som subsidiärt skyddsbehövande, liksom när en väsentlig ändring av betydelse i personens ursprungsland inträffar, enligt den gemensamma analys och den vägledning om situationen i ursprungsländer som tillhandahålls på unionsnivå av Europeiska unionens asylbyrå och de europeiska nätverken för information om ursprungsländer i enlighet med artiklarna 8 och 10 i förordning (EU) XXX/XX</w:t>
            </w:r>
            <w:r>
              <w:rPr>
                <w:rStyle w:val="Sup"/>
              </w:rPr>
              <w:t>37</w:t>
            </w:r>
            <w:r>
              <w:t xml:space="preserve"> .</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37</w:t>
            </w:r>
            <w:r>
              <w:t xml:space="preserve"> </w:t>
            </w:r>
            <w:r>
              <w:rPr>
                <w:rFonts w:ascii="Times New Roman" w:eastAsia="Times New Roman" w:hAnsi="Times New Roman" w:cs="Times New Roman"/>
                <w:b/>
                <w:i/>
                <w:strike w:val="0"/>
                <w:color w:val="000000"/>
                <w:sz w:val="24"/>
                <w:highlight w:val="none"/>
                <w:u w:val="none" w:color="auto"/>
              </w:rPr>
              <w:t>COM(2016) 271 final</w:t>
            </w:r>
            <w:r>
              <w:t>.</w:t>
            </w:r>
          </w:p>
        </w:tc>
        <w:tc>
          <w:tcPr/>
          <w:p>
            <w:pPr>
              <w:pStyle w:val="Normal6"/>
            </w:pPr>
            <w:r>
              <w:rPr>
                <w:rStyle w:val="Sup"/>
              </w:rPr>
              <w:t>37</w:t>
            </w:r>
            <w:r>
              <w:t xml:space="preserve"> </w:t>
            </w:r>
            <w:r>
              <w:rPr>
                <w:rFonts w:ascii="Times New Roman" w:eastAsia="Times New Roman" w:hAnsi="Times New Roman" w:cs="Times New Roman"/>
                <w:b/>
                <w:i/>
                <w:strike w:val="0"/>
                <w:color w:val="000000"/>
                <w:sz w:val="24"/>
                <w:highlight w:val="none"/>
                <w:u w:val="none" w:color="auto"/>
              </w:rPr>
              <w:t>COM(2016)0271</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232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(40)</w:t>
            </w:r>
            <w:r>
              <w:tab/>
            </w:r>
            <w:r>
              <w:t xml:space="preserve">Vid bedömningen av en ändring av omständigheterna i det berörda tredjelandet bör medlemsstatens behöriga myndigheter kontrollera att den eller de aktörer som ger skydd i det landet har vidtagit </w:t>
            </w:r>
            <w:r>
              <w:rPr>
                <w:rFonts w:ascii="Times New Roman" w:eastAsia="Times New Roman" w:hAnsi="Times New Roman" w:cs="Times New Roman"/>
                <w:b/>
                <w:i/>
                <w:strike w:val="0"/>
                <w:color w:val="000000"/>
                <w:sz w:val="24"/>
                <w:highlight w:val="none"/>
                <w:u w:val="none" w:color="auto"/>
              </w:rPr>
              <w:t>rimliga</w:t>
            </w:r>
            <w:r>
              <w:t xml:space="preserve"> åtgärder för att förhindra förföljelsen, att de för detta ändamål bland annat ombesörjer att det finns ett effektivt rättssystem för avslöjande, åtal och bestraffning av handlingar som innebär förföljelse och att den berörda medborgaren har tillgång till detta skydd om flyktingstatusen upphör.</w:t>
            </w:r>
          </w:p>
        </w:tc>
        <w:tc>
          <w:tcPr/>
          <w:p>
            <w:pPr>
              <w:pStyle w:val="Normal6"/>
            </w:pPr>
            <w:r>
              <w:t>(40)</w:t>
            </w:r>
            <w:r>
              <w:tab/>
            </w:r>
            <w:r>
              <w:t>Vid bedömningen av en ändring av omständigheterna i det berörda tredjelandet bör medlemsstatens behöriga myndigheter</w:t>
            </w:r>
            <w:r>
              <w:rPr>
                <w:rFonts w:ascii="Times New Roman" w:eastAsia="Times New Roman" w:hAnsi="Times New Roman" w:cs="Times New Roman"/>
                <w:b/>
                <w:i/>
                <w:strike w:val="0"/>
                <w:color w:val="000000"/>
                <w:sz w:val="24"/>
                <w:highlight w:val="none"/>
                <w:u w:val="none" w:color="auto"/>
              </w:rPr>
              <w:t>, med beaktande av den specifika situationen för den person som beviljats internationellt skydd,</w:t>
            </w:r>
            <w:r>
              <w:t xml:space="preserve"> kontrollera att den eller de aktörer som ger skydd i det landet har vidtagit </w:t>
            </w:r>
            <w:r>
              <w:rPr>
                <w:rFonts w:ascii="Times New Roman" w:eastAsia="Times New Roman" w:hAnsi="Times New Roman" w:cs="Times New Roman"/>
                <w:b/>
                <w:i/>
                <w:strike w:val="0"/>
                <w:color w:val="000000"/>
                <w:sz w:val="24"/>
                <w:highlight w:val="none"/>
                <w:u w:val="none" w:color="auto"/>
              </w:rPr>
              <w:t>nödvändiga</w:t>
            </w:r>
            <w:r>
              <w:t xml:space="preserve"> åtgärder för att förhindra förföljelsen, att de för detta ändamål bland annat ombesörjer att det finns ett effektivt rättssystem för avslöjande, åtal och bestraffning av handlingar som innebär förföljelse och att den berörda medborgaren har tillgång till detta skydd</w:t>
            </w:r>
            <w:r>
              <w:rPr>
                <w:rFonts w:ascii="Times New Roman" w:eastAsia="Times New Roman" w:hAnsi="Times New Roman" w:cs="Times New Roman"/>
                <w:b/>
                <w:i/>
                <w:strike w:val="0"/>
                <w:color w:val="000000"/>
                <w:sz w:val="24"/>
                <w:highlight w:val="none"/>
                <w:u w:val="none" w:color="auto"/>
              </w:rPr>
              <w:t>, på ett säkert sätt kan resa till landet i fråga och rimligen kan förväntas bosätta sig där</w:t>
            </w:r>
            <w:r>
              <w:t xml:space="preserve"> om flyktingstatusen upphör.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233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Kinga Gál</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(41)</w:t>
            </w:r>
            <w:r>
              <w:tab/>
            </w:r>
            <w:r>
              <w:rPr>
                <w:rFonts w:ascii="Times New Roman" w:eastAsia="Times New Roman" w:hAnsi="Times New Roman" w:cs="Times New Roman"/>
                <w:b/>
                <w:i/>
                <w:strike w:val="0"/>
                <w:color w:val="000000"/>
                <w:sz w:val="24"/>
                <w:highlight w:val="none"/>
                <w:u w:val="none" w:color="auto"/>
              </w:rPr>
              <w:t>När flyktingstatusen eller statusen som subsidiärt skyddsbehövande upphör, bör tillämpningen av det beslut genom vilket en medlemsstats beslutande myndighet återkallar, upphäver eller vägrar att förnya statusen skjutas upp under en rimlig period efter det att beslutet har fattats, så att tredjelandsmedborgaren eller den statslösa personen ges möjlighet att ansöka om rätt att vistas i medlemsstaten på andra grunder än de som motiverade det internationella skyddet, såsom familjeskäl eller skäl som rör sysselsättning eller studier, i enlighet med relevant unionsrätt och nationell rätt.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234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(41)</w:t>
            </w:r>
            <w:r>
              <w:tab/>
            </w:r>
            <w:r>
              <w:t xml:space="preserve">När </w:t>
            </w:r>
            <w:r>
              <w:rPr>
                <w:rFonts w:ascii="Times New Roman" w:eastAsia="Times New Roman" w:hAnsi="Times New Roman" w:cs="Times New Roman"/>
                <w:b/>
                <w:i/>
                <w:strike w:val="0"/>
                <w:color w:val="000000"/>
                <w:sz w:val="24"/>
                <w:highlight w:val="none"/>
                <w:u w:val="none" w:color="auto"/>
              </w:rPr>
              <w:t>flyktingstatusen eller statusen som subsidiärt skyddsbehövande</w:t>
            </w:r>
            <w:r>
              <w:t xml:space="preserve"> upphör, bör tillämpningen av det beslut genom vilket en medlemsstats beslutande myndighet </w:t>
            </w:r>
            <w:r>
              <w:rPr>
                <w:rFonts w:ascii="Times New Roman" w:eastAsia="Times New Roman" w:hAnsi="Times New Roman" w:cs="Times New Roman"/>
                <w:b/>
                <w:i/>
                <w:strike w:val="0"/>
                <w:color w:val="000000"/>
                <w:sz w:val="24"/>
                <w:highlight w:val="none"/>
                <w:u w:val="none" w:color="auto"/>
              </w:rPr>
              <w:t>återkallar, upphäver eller vägrar att förnya</w:t>
            </w:r>
            <w:r>
              <w:t xml:space="preserve"> statusen skjutas upp under en rimlig period efter det att beslutet har fattats, så att tredjelandsmedborgaren eller den statslösa personen ges möjlighet att ansöka om rätt att vistas i medlemsstaten</w:t>
            </w:r>
            <w:r>
              <w:rPr>
                <w:rFonts w:ascii="Times New Roman" w:eastAsia="Times New Roman" w:hAnsi="Times New Roman" w:cs="Times New Roman"/>
                <w:b/>
                <w:i/>
                <w:strike w:val="0"/>
                <w:color w:val="000000"/>
                <w:sz w:val="24"/>
                <w:highlight w:val="none"/>
                <w:u w:val="none" w:color="auto"/>
              </w:rPr>
              <w:t xml:space="preserve"> på andra grunder än de som motiverade det internationella skyddet, såsom familjeskäl eller skäl som rör sysselsättning eller studier</w:t>
            </w:r>
            <w:r>
              <w:t>, i enlighet med relevant unionsrätt och nationell rätt.</w:t>
            </w:r>
          </w:p>
        </w:tc>
        <w:tc>
          <w:tcPr/>
          <w:p>
            <w:pPr>
              <w:pStyle w:val="Normal6"/>
            </w:pPr>
            <w:r>
              <w:t>(41)</w:t>
            </w:r>
            <w:r>
              <w:tab/>
            </w:r>
            <w:r>
              <w:t xml:space="preserve">När </w:t>
            </w:r>
            <w:r>
              <w:rPr>
                <w:rFonts w:ascii="Times New Roman" w:eastAsia="Times New Roman" w:hAnsi="Times New Roman" w:cs="Times New Roman"/>
                <w:b/>
                <w:i/>
                <w:strike w:val="0"/>
                <w:color w:val="000000"/>
                <w:sz w:val="24"/>
                <w:highlight w:val="none"/>
                <w:u w:val="none" w:color="auto"/>
              </w:rPr>
              <w:t>statusen för den person som beviljats internationellt skydd</w:t>
            </w:r>
            <w:r>
              <w:t xml:space="preserve"> upphör, bör tillämpningen av det beslut genom vilket en medlemsstats beslutande myndighet </w:t>
            </w:r>
            <w:r>
              <w:rPr>
                <w:rFonts w:ascii="Times New Roman" w:eastAsia="Times New Roman" w:hAnsi="Times New Roman" w:cs="Times New Roman"/>
                <w:b/>
                <w:i/>
                <w:strike w:val="0"/>
                <w:color w:val="000000"/>
                <w:sz w:val="24"/>
                <w:highlight w:val="none"/>
                <w:u w:val="none" w:color="auto"/>
              </w:rPr>
              <w:t>drar tillbaka</w:t>
            </w:r>
            <w:r>
              <w:t xml:space="preserve"> statusen skjutas upp under en rimlig period efter det att beslutet har fattats, så att tredjelandsmedborgaren eller den statslösa personen ges möjlighet att ansöka om rätt att vistas i medlemsstaten, i enlighet med relevant unionsrätt och nationell rätt.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235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(41)</w:t>
            </w:r>
            <w:r>
              <w:tab/>
            </w:r>
            <w:r>
              <w:t xml:space="preserve">När flyktingstatusen eller statusen som subsidiärt skyddsbehövande upphör, bör tillämpningen av det beslut genom vilket en medlemsstats beslutande myndighet återkallar, upphäver eller vägrar att förnya statusen skjutas upp under en rimlig period efter det att beslutet har fattats, så att tredjelandsmedborgaren eller den statslösa personen ges möjlighet att ansöka om rätt att vistas i medlemsstaten på andra grunder än </w:t>
            </w:r>
            <w:r>
              <w:rPr>
                <w:rFonts w:ascii="Times New Roman" w:eastAsia="Times New Roman" w:hAnsi="Times New Roman" w:cs="Times New Roman"/>
                <w:b/>
                <w:i/>
                <w:strike w:val="0"/>
                <w:color w:val="000000"/>
                <w:sz w:val="24"/>
                <w:highlight w:val="none"/>
                <w:u w:val="none" w:color="auto"/>
              </w:rPr>
              <w:t>de</w:t>
            </w:r>
            <w:r>
              <w:t xml:space="preserve"> som motiverade det internationella skyddet, </w:t>
            </w:r>
            <w:r>
              <w:rPr>
                <w:rFonts w:ascii="Times New Roman" w:eastAsia="Times New Roman" w:hAnsi="Times New Roman" w:cs="Times New Roman"/>
                <w:b/>
                <w:i/>
                <w:strike w:val="0"/>
                <w:color w:val="000000"/>
                <w:sz w:val="24"/>
                <w:highlight w:val="none"/>
                <w:u w:val="none" w:color="auto"/>
              </w:rPr>
              <w:t>såsom familjeskäl eller skäl som rör sysselsättning eller studier</w:t>
            </w:r>
            <w:r>
              <w:t>, i enlighet med relevant unionsrätt och nationell rätt.</w:t>
            </w:r>
          </w:p>
        </w:tc>
        <w:tc>
          <w:tcPr/>
          <w:p>
            <w:pPr>
              <w:pStyle w:val="Normal6"/>
            </w:pPr>
            <w:r>
              <w:t>(41)</w:t>
            </w:r>
            <w:r>
              <w:tab/>
            </w:r>
            <w:r>
              <w:t xml:space="preserve">När flyktingstatusen eller statusen som subsidiärt skyddsbehövande upphör, bör tillämpningen av det beslut genom vilket en medlemsstats beslutande myndighet återkallar, upphäver eller vägrar att förnya statusen skjutas upp under en rimlig period efter det att beslutet har fattats, så att tredjelandsmedborgaren eller den statslösa personen ges möjlighet att ansöka om rätt att vistas i medlemsstaten på andra grunder än </w:t>
            </w:r>
            <w:r>
              <w:rPr>
                <w:rFonts w:ascii="Times New Roman" w:eastAsia="Times New Roman" w:hAnsi="Times New Roman" w:cs="Times New Roman"/>
                <w:b/>
                <w:i/>
                <w:strike w:val="0"/>
                <w:color w:val="000000"/>
                <w:sz w:val="24"/>
                <w:highlight w:val="none"/>
                <w:u w:val="none" w:color="auto"/>
              </w:rPr>
              <w:t>dem</w:t>
            </w:r>
            <w:r>
              <w:t xml:space="preserve"> som motiverade det internationella skyddet, </w:t>
            </w:r>
            <w:r>
              <w:rPr>
                <w:rFonts w:ascii="Times New Roman" w:eastAsia="Times New Roman" w:hAnsi="Times New Roman" w:cs="Times New Roman"/>
                <w:b/>
                <w:i/>
                <w:strike w:val="0"/>
                <w:color w:val="000000"/>
                <w:sz w:val="24"/>
                <w:highlight w:val="none"/>
                <w:u w:val="none" w:color="auto"/>
              </w:rPr>
              <w:t>framför allt arbetsrelaterade grunder</w:t>
            </w:r>
            <w:r>
              <w:t xml:space="preserve">, i enlighet med relevant unionsrätt och nationell rätt. </w:t>
            </w:r>
            <w:r>
              <w:rPr>
                <w:rFonts w:ascii="Times New Roman" w:eastAsia="Times New Roman" w:hAnsi="Times New Roman" w:cs="Times New Roman"/>
                <w:b/>
                <w:i/>
                <w:strike w:val="0"/>
                <w:color w:val="000000"/>
                <w:sz w:val="24"/>
                <w:highlight w:val="none"/>
                <w:u w:val="none" w:color="auto"/>
              </w:rPr>
              <w:t>Detta bör emellertid inte leda till att nationella regler för invandring kringgås.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236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(41)</w:t>
            </w:r>
            <w:r>
              <w:tab/>
            </w:r>
            <w:r>
              <w:t xml:space="preserve">När flyktingstatusen </w:t>
            </w:r>
            <w:r>
              <w:rPr>
                <w:rFonts w:ascii="Times New Roman" w:eastAsia="Times New Roman" w:hAnsi="Times New Roman" w:cs="Times New Roman"/>
                <w:b/>
                <w:i/>
                <w:strike w:val="0"/>
                <w:color w:val="000000"/>
                <w:sz w:val="24"/>
                <w:highlight w:val="none"/>
                <w:u w:val="none" w:color="auto"/>
              </w:rPr>
              <w:t xml:space="preserve">eller statusen som subsidiärt skyddsbehövande </w:t>
            </w:r>
            <w:r>
              <w:t xml:space="preserve">upphör, bör tillämpningen av det beslut genom vilket en medlemsstats beslutande myndighet återkallar, upphäver eller vägrar att förnya statusen skjutas upp under en rimlig period efter det att beslutet har fattats, så att tredjelandsmedborgaren eller den statslösa personen ges möjlighet att ansöka om rätt att vistas i medlemsstaten på andra grunder än </w:t>
            </w:r>
            <w:r>
              <w:rPr>
                <w:rFonts w:ascii="Times New Roman" w:eastAsia="Times New Roman" w:hAnsi="Times New Roman" w:cs="Times New Roman"/>
                <w:b/>
                <w:i/>
                <w:strike w:val="0"/>
                <w:color w:val="000000"/>
                <w:sz w:val="24"/>
                <w:highlight w:val="none"/>
                <w:u w:val="none" w:color="auto"/>
              </w:rPr>
              <w:t>de</w:t>
            </w:r>
            <w:r>
              <w:t xml:space="preserve"> som motiverade det internationella skyddet, såsom familjeskäl eller skäl som rör sysselsättning eller studier, i enlighet med relevant unionsrätt och nationell rätt.</w:t>
            </w:r>
          </w:p>
        </w:tc>
        <w:tc>
          <w:tcPr/>
          <w:p>
            <w:pPr>
              <w:pStyle w:val="Normal6"/>
            </w:pPr>
            <w:r>
              <w:t>(41)</w:t>
            </w:r>
            <w:r>
              <w:tab/>
            </w:r>
            <w:r>
              <w:t xml:space="preserve">När flyktingstatusen upphör, bör tillämpningen av det beslut genom vilket en medlemsstats beslutande myndighet återkallar, upphäver eller vägrar att förnya statusen skjutas upp under en rimlig period efter det att beslutet har fattats, så att tredjelandsmedborgaren eller den statslösa personen ges möjlighet att ansöka om rätt att vistas i medlemsstaten på andra grunder än </w:t>
            </w:r>
            <w:r>
              <w:rPr>
                <w:rFonts w:ascii="Times New Roman" w:eastAsia="Times New Roman" w:hAnsi="Times New Roman" w:cs="Times New Roman"/>
                <w:b/>
                <w:i/>
                <w:strike w:val="0"/>
                <w:color w:val="000000"/>
                <w:sz w:val="24"/>
                <w:highlight w:val="none"/>
                <w:u w:val="none" w:color="auto"/>
              </w:rPr>
              <w:t>dem</w:t>
            </w:r>
            <w:r>
              <w:t xml:space="preserve"> som motiverade det internationella skyddet, såsom familjeskäl eller skäl som rör sysselsättning eller studier, i enlighet med relevant unionsrätt och nationell rätt.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237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(41)</w:t>
            </w:r>
            <w:r>
              <w:tab/>
            </w:r>
            <w:r>
              <w:t xml:space="preserve">När </w:t>
            </w:r>
            <w:r>
              <w:rPr>
                <w:rFonts w:ascii="Times New Roman" w:eastAsia="Times New Roman" w:hAnsi="Times New Roman" w:cs="Times New Roman"/>
                <w:b/>
                <w:i/>
                <w:strike w:val="0"/>
                <w:color w:val="000000"/>
                <w:sz w:val="24"/>
                <w:highlight w:val="none"/>
                <w:u w:val="none" w:color="auto"/>
              </w:rPr>
              <w:t>flyktingstatusen eller statusen som subsidiärt skyddsbehövande</w:t>
            </w:r>
            <w:r>
              <w:t xml:space="preserve"> upphör, bör tillämpningen av det beslut genom vilket en medlemsstats beslutande myndighet återkallar, upphäver eller vägrar att förnya statusen skjutas upp under en rimlig period efter det att beslutet har fattats, så att tredjelandsmedborgaren eller den statslösa personen ges möjlighet att ansöka om rätt att vistas i medlemsstaten på andra grunder än de som motiverade det internationella skyddet, såsom familjeskäl eller skäl som rör sysselsättning eller studier, i enlighet med relevant unionsrätt och nationell rätt.</w:t>
            </w:r>
          </w:p>
        </w:tc>
        <w:tc>
          <w:tcPr/>
          <w:p>
            <w:pPr>
              <w:pStyle w:val="Normal6"/>
            </w:pPr>
            <w:r>
              <w:t>(41)</w:t>
            </w:r>
            <w:r>
              <w:tab/>
            </w:r>
            <w:r>
              <w:t xml:space="preserve">När </w:t>
            </w:r>
            <w:r>
              <w:rPr>
                <w:rFonts w:ascii="Times New Roman" w:eastAsia="Times New Roman" w:hAnsi="Times New Roman" w:cs="Times New Roman"/>
                <w:b/>
                <w:i/>
                <w:strike w:val="0"/>
                <w:color w:val="000000"/>
                <w:sz w:val="24"/>
                <w:highlight w:val="none"/>
                <w:u w:val="none" w:color="auto"/>
              </w:rPr>
              <w:t>statusen som person som beviljats internationellt skydd</w:t>
            </w:r>
            <w:r>
              <w:t xml:space="preserve"> upphör, bör tillämpningen av det beslut genom vilket en medlemsstats beslutande myndighet återkallar, upphäver eller vägrar att förnya statusen skjutas upp under en rimlig period efter det att beslutet har fattats, så att tredjelandsmedborgaren eller den statslösa personen ges möjlighet att ansöka om rätt att vistas i medlemsstaten på andra grunder än de som motiverade det internationella skyddet, såsom familjeskäl eller skäl som rör sysselsättning eller studier, i enlighet med relevant unionsrätt och nationell rätt.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238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41a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(41a)</w:t>
            </w:r>
            <w:r>
              <w:tab/>
            </w:r>
            <w:r>
              <w:rPr>
                <w:rFonts w:ascii="Times New Roman" w:eastAsia="Times New Roman" w:hAnsi="Times New Roman" w:cs="Times New Roman"/>
                <w:b/>
                <w:i/>
                <w:strike w:val="0"/>
                <w:color w:val="000000"/>
                <w:sz w:val="24"/>
                <w:highlight w:val="none"/>
                <w:u w:val="none" w:color="auto"/>
              </w:rPr>
              <w:t>Principen om att hellre fria än fälla ger uttryck för ett erkännande av de avsevärda svårigheter som sökande ställs inför när det gäller att ta fram och tillhandahålla bevisning till stöd för sin ansökan. Den allmänna rättsprincipen innebär att bevisbördan ligger på den som ansöker om internationellt skydd, medan skyldigheten att kontrollera och utvärdera alla relevanta fakta delas mellan sökanden och den beslutande myndigheten. Sökanden bör emellertid hellre frias än fällas i fall där aspekter av hans eller hennes påståenden inte stöds av dokumentation eller andra bevis, om han eller hon har gjort en genuin ansträngning för att styrka sin ansökan och inkommit med alla aspekter som finns att tillgå för vederbörande, och om vederbörandes redogörelse anses vara sammanhängande och trovärdig.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239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t xml:space="preserve">, </w:t>
      </w:r>
      <w:r>
        <w:t>Jean Lambert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(42)</w:t>
            </w:r>
            <w:r>
              <w:tab/>
            </w:r>
            <w:r>
              <w:rPr>
                <w:rFonts w:ascii="Times New Roman" w:eastAsia="Times New Roman" w:hAnsi="Times New Roman" w:cs="Times New Roman"/>
                <w:b/>
                <w:i/>
                <w:strike w:val="0"/>
                <w:color w:val="000000"/>
                <w:sz w:val="24"/>
                <w:highlight w:val="none"/>
                <w:u w:val="none" w:color="auto"/>
              </w:rPr>
              <w:t>Personer som beviljats internationellt skydd bör vara bosatta i den medlemsstat som beviljade skyddet. Personer som beviljats internationellt skydd och som innehar en giltig resehandling och ett uppehållstillstånd som utfärdats av en medlemsstat som tillämpar Schengenregelverket fullt ut bör tillåtas att resa in i och vistas fritt på territoriet i de medlemsstater som tillämpar Schengenregelverket fullt för en period av upp till 90 dagar under en period på 180 dagar i enlighet med kodexen om Schengengränserna</w:t>
            </w:r>
            <w:r>
              <w:rPr>
                <w:rStyle w:val="SupBoldItalic"/>
              </w:rPr>
              <w:t>38</w:t>
            </w:r>
            <w:r>
              <w:rPr>
                <w:rFonts w:ascii="Times New Roman" w:eastAsia="Times New Roman" w:hAnsi="Times New Roman" w:cs="Times New Roman"/>
                <w:b/>
                <w:i/>
                <w:strike w:val="0"/>
                <w:color w:val="000000"/>
                <w:sz w:val="24"/>
                <w:highlight w:val="none"/>
                <w:u w:val="none" w:color="auto"/>
              </w:rPr>
              <w:t xml:space="preserve"> och artikel 21 i konventionen om tillämpning av Schengenavtalet</w:t>
            </w:r>
            <w:r>
              <w:rPr>
                <w:rStyle w:val="SupBoldItalic"/>
              </w:rPr>
              <w:t>39</w:t>
            </w:r>
            <w:r>
              <w:rPr>
                <w:rFonts w:ascii="Times New Roman" w:eastAsia="Times New Roman" w:hAnsi="Times New Roman" w:cs="Times New Roman"/>
                <w:b/>
                <w:i/>
                <w:strike w:val="0"/>
                <w:color w:val="000000"/>
                <w:sz w:val="24"/>
                <w:highlight w:val="none"/>
                <w:u w:val="none" w:color="auto"/>
              </w:rPr>
              <w:t xml:space="preserve"> . Personer som beviljats internationellt skydd kan även ansöka om rätt att vistas i en annan medlemsstat än den som beviljade skyddet i enlighet med relevanta unionsregler, särskilt reglerna om villkor för tredjelandsmedborgares inresa och vistelse för högkompetent anställning</w:t>
            </w:r>
            <w:r>
              <w:rPr>
                <w:rStyle w:val="SupBoldItalic"/>
              </w:rPr>
              <w:t>40</w:t>
            </w:r>
            <w:r>
              <w:rPr>
                <w:rFonts w:ascii="Times New Roman" w:eastAsia="Times New Roman" w:hAnsi="Times New Roman" w:cs="Times New Roman"/>
                <w:b/>
                <w:i/>
                <w:strike w:val="0"/>
                <w:color w:val="000000"/>
                <w:sz w:val="24"/>
                <w:highlight w:val="none"/>
                <w:u w:val="none" w:color="auto"/>
              </w:rPr>
              <w:t xml:space="preserve"> och nationella regler; detta innebär dock inte en överföring av det internationella skyddet och därtill hörande rättigheter.</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38</w:t>
            </w:r>
            <w:r>
              <w:t xml:space="preserve"> </w:t>
            </w:r>
            <w:r>
              <w:rPr>
                <w:rFonts w:ascii="Times New Roman" w:eastAsia="Times New Roman" w:hAnsi="Times New Roman" w:cs="Times New Roman"/>
                <w:b/>
                <w:i/>
                <w:strike w:val="0"/>
                <w:color w:val="000000"/>
                <w:sz w:val="24"/>
                <w:highlight w:val="none"/>
                <w:u w:val="none" w:color="auto"/>
              </w:rPr>
              <w:t>Europaparlamentets och rådets förordning (EU) 2016/399 av den 9 mars 2016 &lt;BR/&gt;om en unionskodex om gränspassage för personer (kodex om Schengengränserna).</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39</w:t>
            </w:r>
            <w:r>
              <w:t xml:space="preserve"> </w:t>
            </w:r>
            <w:r>
              <w:rPr>
                <w:rFonts w:ascii="Times New Roman" w:eastAsia="Times New Roman" w:hAnsi="Times New Roman" w:cs="Times New Roman"/>
                <w:b/>
                <w:i/>
                <w:strike w:val="0"/>
                <w:color w:val="000000"/>
                <w:sz w:val="24"/>
                <w:highlight w:val="none"/>
                <w:u w:val="none" w:color="auto"/>
              </w:rPr>
              <w:t>Schengenavtalet av den 14 juni 1985 mellan regeringarna i Beneluxstaterna, Förbundsrepubliken Tyskland och Franska republiken om gradvis avskaffande av kontroller vid de gemensamma gränserna.</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40</w:t>
            </w:r>
            <w:r>
              <w:t xml:space="preserve"> </w:t>
            </w:r>
            <w:r>
              <w:rPr>
                <w:rFonts w:ascii="Times New Roman" w:eastAsia="Times New Roman" w:hAnsi="Times New Roman" w:cs="Times New Roman"/>
                <w:b/>
                <w:i/>
                <w:strike w:val="0"/>
                <w:color w:val="000000"/>
                <w:sz w:val="24"/>
                <w:highlight w:val="none"/>
                <w:u w:val="none" w:color="auto"/>
              </w:rPr>
              <w:t>COM(2016) 378 final.</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Utgår för att konsekvens ska uppnås i förhållande till bilagan om ömsesidigt erkännande av asylbeslut.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240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(42)</w:t>
            </w:r>
            <w:r>
              <w:tab/>
            </w:r>
            <w:r>
              <w:t>Personer som beviljats internationellt skydd bör vara bosatta i den medlemsstat som beviljade skyddet. Personer som beviljats internationellt skydd och som innehar en giltig resehandling och ett uppehållstillstånd som utfärdats av en medlemsstat som tillämpar Schengenregelverket fullt ut bör tillåtas att resa in i och vistas fritt på territoriet i de medlemsstater som tillämpar Schengenregelverket fullt för en period av upp till 90 dagar under en period på 180 dagar i enlighet med kodexen om Schengengränserna</w:t>
            </w:r>
            <w:r>
              <w:rPr>
                <w:rStyle w:val="Sup"/>
              </w:rPr>
              <w:t>38</w:t>
            </w:r>
            <w:r>
              <w:t xml:space="preserve"> och artikel 21 i konventionen om tillämpning av Schengenavtalet</w:t>
            </w:r>
            <w:r>
              <w:rPr>
                <w:rStyle w:val="Sup"/>
              </w:rPr>
              <w:t>39</w:t>
            </w:r>
            <w:r>
              <w:rPr>
                <w:rFonts w:ascii="Times New Roman" w:eastAsia="Times New Roman" w:hAnsi="Times New Roman" w:cs="Times New Roman"/>
                <w:b/>
                <w:i/>
                <w:strike w:val="0"/>
                <w:color w:val="000000"/>
                <w:sz w:val="24"/>
                <w:highlight w:val="none"/>
                <w:u w:val="none" w:color="auto"/>
              </w:rPr>
              <w:t xml:space="preserve"> . Personer som beviljats internationellt skydd kan även ansöka om rätt att vistas i en annan medlemsstat än den som beviljade skyddet i enlighet med relevanta unionsregler, särskilt reglerna om villkor för tredjelandsmedborgares inresa och vistelse för högkompetent anställning</w:t>
            </w:r>
            <w:r>
              <w:rPr>
                <w:rStyle w:val="SupBoldItalic"/>
              </w:rPr>
              <w:t>40</w:t>
            </w:r>
            <w:r>
              <w:rPr>
                <w:rFonts w:ascii="Times New Roman" w:eastAsia="Times New Roman" w:hAnsi="Times New Roman" w:cs="Times New Roman"/>
                <w:b/>
                <w:i/>
                <w:strike w:val="0"/>
                <w:color w:val="000000"/>
                <w:sz w:val="24"/>
                <w:highlight w:val="none"/>
                <w:u w:val="none" w:color="auto"/>
              </w:rPr>
              <w:t xml:space="preserve"> och nationella regler; detta innebär dock inte en överföring av det internationella skyddet och därtill hörande rättigheter</w:t>
            </w:r>
            <w:r>
              <w:t>.</w:t>
            </w:r>
          </w:p>
        </w:tc>
        <w:tc>
          <w:tcPr/>
          <w:p>
            <w:pPr>
              <w:pStyle w:val="Normal6"/>
            </w:pPr>
            <w:r>
              <w:t>(42)</w:t>
            </w:r>
            <w:r>
              <w:tab/>
            </w:r>
            <w:r>
              <w:t xml:space="preserve">Personer som beviljats internationellt skydd bör vara bosatta i den medlemsstat som beviljade skyddet. Personer som beviljats internationellt skydd och som innehar en giltig resehandling och ett uppehållstillstånd som utfärdats av en medlemsstat som tillämpar Schengenregelverket fullt ut bör tillåtas att resa in i och vistas fritt på territoriet i de medlemsstater som tillämpar Schengenregelverket fullt </w:t>
            </w:r>
            <w:r>
              <w:rPr>
                <w:rFonts w:ascii="Times New Roman" w:eastAsia="Times New Roman" w:hAnsi="Times New Roman" w:cs="Times New Roman"/>
                <w:b/>
                <w:i/>
                <w:strike w:val="0"/>
                <w:color w:val="000000"/>
                <w:sz w:val="24"/>
                <w:highlight w:val="none"/>
                <w:u w:val="none" w:color="auto"/>
              </w:rPr>
              <w:t xml:space="preserve">ut </w:t>
            </w:r>
            <w:r>
              <w:t>för en period av upp till 90 dagar under en period på 180 dagar i enlighet med kodexen om Schengengränserna</w:t>
            </w:r>
            <w:r>
              <w:rPr>
                <w:rStyle w:val="Sup"/>
              </w:rPr>
              <w:t>38</w:t>
            </w:r>
            <w:r>
              <w:t xml:space="preserve"> och artikel 21 i konventionen om tillämpning av Schengenavtalet</w:t>
            </w:r>
            <w:r>
              <w:rPr>
                <w:rStyle w:val="Sup"/>
              </w:rPr>
              <w:t>39</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38</w:t>
            </w:r>
            <w:r>
              <w:t xml:space="preserve"> </w:t>
            </w:r>
            <w:r>
              <w:t xml:space="preserve">Europaparlamentets och rådets förordning (EU) 2016/399 av den 9 mars 2016 </w:t>
            </w:r>
            <w:r>
              <w:rPr>
                <w:rFonts w:ascii="Times New Roman" w:eastAsia="Times New Roman" w:hAnsi="Times New Roman" w:cs="Times New Roman"/>
                <w:b/>
                <w:i/>
                <w:strike w:val="0"/>
                <w:color w:val="000000"/>
                <w:sz w:val="24"/>
                <w:highlight w:val="none"/>
                <w:u w:val="none" w:color="auto"/>
              </w:rPr>
              <w:t>&lt;BR/&gt;</w:t>
            </w:r>
            <w:r>
              <w:t>om en unionskodex om gränspassage för personer (kodex om Schengengränserna).</w:t>
            </w:r>
          </w:p>
        </w:tc>
        <w:tc>
          <w:tcPr/>
          <w:p>
            <w:pPr>
              <w:pStyle w:val="Normal6"/>
            </w:pPr>
            <w:r>
              <w:rPr>
                <w:rStyle w:val="Sup"/>
              </w:rPr>
              <w:t>38</w:t>
            </w:r>
            <w:r>
              <w:t xml:space="preserve"> </w:t>
            </w:r>
            <w:r>
              <w:t>Europaparlamentets och rådets förordning (EU) 2016/399 av den 9 mars 2016 om en unionskodex om gränspassage för personer (kodex om Schengengränserna).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39</w:t>
            </w:r>
            <w:r>
              <w:t xml:space="preserve"> </w:t>
            </w:r>
            <w:r>
              <w:t>Schengenavtalet av den 14 juni 1985 mellan regeringarna i Beneluxstaterna, Förbundsrepubliken Tyskland och Franska republiken om gradvis avskaffande av kontroller vid de gemensamma gränserna.</w:t>
            </w:r>
          </w:p>
        </w:tc>
        <w:tc>
          <w:tcPr/>
          <w:p>
            <w:pPr>
              <w:pStyle w:val="Normal6"/>
            </w:pPr>
            <w:r>
              <w:rPr>
                <w:rStyle w:val="Sup"/>
              </w:rPr>
              <w:t>39</w:t>
            </w:r>
            <w:r>
              <w:t xml:space="preserve"> </w:t>
            </w:r>
            <w:r>
              <w:t>Schengenavtalet av den 14 juni 1985 mellan regeringarna i Beneluxstaterna, Förbundsrepubliken Tyskland och Franska republiken om gradvis avskaffande av kontroller vid de gemensamma gränserna.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40</w:t>
            </w:r>
            <w:r>
              <w:t xml:space="preserve"> </w:t>
            </w:r>
            <w:r>
              <w:rPr>
                <w:rFonts w:ascii="Times New Roman" w:eastAsia="Times New Roman" w:hAnsi="Times New Roman" w:cs="Times New Roman"/>
                <w:b/>
                <w:i/>
                <w:strike w:val="0"/>
                <w:color w:val="000000"/>
                <w:sz w:val="24"/>
                <w:highlight w:val="none"/>
                <w:u w:val="none" w:color="auto"/>
              </w:rPr>
              <w:t>COM(2016) 378 final.</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241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(42)</w:t>
            </w:r>
            <w:r>
              <w:tab/>
            </w:r>
            <w:r>
              <w:t xml:space="preserve">Personer som beviljats internationellt skydd bör vara bosatta i den medlemsstat som beviljade skyddet. Personer som beviljats internationellt skydd och som innehar en giltig resehandling och ett uppehållstillstånd som utfärdats av en medlemsstat som tillämpar Schengenregelverket fullt ut bör tillåtas att resa in i och vistas fritt på territoriet i de medlemsstater som tillämpar Schengenregelverket fullt </w:t>
            </w:r>
            <w:r>
              <w:rPr>
                <w:rFonts w:ascii="Times New Roman" w:eastAsia="Times New Roman" w:hAnsi="Times New Roman" w:cs="Times New Roman"/>
                <w:b/>
                <w:i/>
                <w:strike w:val="0"/>
                <w:color w:val="000000"/>
                <w:sz w:val="24"/>
                <w:highlight w:val="none"/>
                <w:u w:val="none" w:color="auto"/>
              </w:rPr>
              <w:t>för en period av upp till 90 dagar under en period på 180 dagar</w:t>
            </w:r>
            <w:r>
              <w:t xml:space="preserve"> i enlighet med kodexen om Schengengränserna</w:t>
            </w:r>
            <w:r>
              <w:rPr>
                <w:rStyle w:val="Sup"/>
              </w:rPr>
              <w:t>38</w:t>
            </w:r>
            <w:r>
              <w:t xml:space="preserve"> och artikel 21 i konventionen om tillämpning av Schengenavtalet</w:t>
            </w:r>
            <w:r>
              <w:rPr>
                <w:rStyle w:val="Sup"/>
              </w:rPr>
              <w:t>39</w:t>
            </w:r>
            <w:r>
              <w:rPr>
                <w:rFonts w:ascii="Times New Roman" w:eastAsia="Times New Roman" w:hAnsi="Times New Roman" w:cs="Times New Roman"/>
                <w:b/>
                <w:i/>
                <w:strike w:val="0"/>
                <w:color w:val="000000"/>
                <w:sz w:val="24"/>
                <w:highlight w:val="none"/>
                <w:u w:val="none" w:color="auto"/>
              </w:rPr>
              <w:t xml:space="preserve"> </w:t>
            </w:r>
            <w:r>
              <w:t>. Personer som beviljats internationellt skydd kan även ansöka om rätt att vistas i en annan medlemsstat än den som beviljade skyddet i enlighet med relevanta unionsregler, särskilt reglerna om villkor för tredjelandsmedborgares inresa och vistelse för högkompetent anställning</w:t>
            </w:r>
            <w:r>
              <w:rPr>
                <w:rStyle w:val="Sup"/>
              </w:rPr>
              <w:t>40</w:t>
            </w:r>
            <w:r>
              <w:t xml:space="preserve"> och nationella regler; detta innebär dock inte en överföring av det internationella skyddet och därtill hörande rättigheter.</w:t>
            </w:r>
          </w:p>
        </w:tc>
        <w:tc>
          <w:tcPr/>
          <w:p>
            <w:pPr>
              <w:pStyle w:val="Normal6"/>
            </w:pPr>
            <w:r>
              <w:t>(42)</w:t>
            </w:r>
            <w:r>
              <w:tab/>
            </w:r>
            <w:r>
              <w:t xml:space="preserve">Personer som beviljats internationellt skydd bör vara bosatta i den medlemsstat som beviljade skyddet. Personer som beviljats internationellt skydd och som innehar en giltig resehandling och ett uppehållstillstånd som utfärdats av en medlemsstat som tillämpar Schengenregelverket fullt ut bör tillåtas att resa in i och vistas fritt på territoriet i de medlemsstater som tillämpar Schengenregelverket fullt </w:t>
            </w:r>
            <w:r>
              <w:rPr>
                <w:rFonts w:ascii="Times New Roman" w:eastAsia="Times New Roman" w:hAnsi="Times New Roman" w:cs="Times New Roman"/>
                <w:b/>
                <w:i/>
                <w:strike w:val="0"/>
                <w:color w:val="000000"/>
                <w:sz w:val="24"/>
                <w:highlight w:val="none"/>
                <w:u w:val="none" w:color="auto"/>
              </w:rPr>
              <w:t>ut</w:t>
            </w:r>
            <w:r>
              <w:t xml:space="preserve"> i enlighet med kodexen om Schengengränserna</w:t>
            </w:r>
            <w:r>
              <w:rPr>
                <w:rStyle w:val="Sup"/>
              </w:rPr>
              <w:t>38</w:t>
            </w:r>
            <w:r>
              <w:t xml:space="preserve"> och artikel 21 i konventionen om tillämpning av Schengenavtalet</w:t>
            </w:r>
            <w:r>
              <w:rPr>
                <w:rStyle w:val="Sup"/>
              </w:rPr>
              <w:t>39</w:t>
            </w:r>
            <w:r>
              <w:t>. Personer som beviljats internationellt skydd kan även ansöka om rätt att vistas i en annan medlemsstat än den som beviljade skyddet i enlighet med relevanta unionsregler, särskilt reglerna om villkor för tredjelandsmedborgares inresa och vistelse för högkompetent anställning</w:t>
            </w:r>
            <w:r>
              <w:rPr>
                <w:rStyle w:val="Sup"/>
              </w:rPr>
              <w:t>40</w:t>
            </w:r>
            <w:r>
              <w:rPr>
                <w:rFonts w:ascii="Times New Roman" w:eastAsia="Times New Roman" w:hAnsi="Times New Roman" w:cs="Times New Roman"/>
                <w:b/>
                <w:i/>
                <w:strike w:val="0"/>
                <w:color w:val="000000"/>
                <w:sz w:val="24"/>
                <w:highlight w:val="none"/>
                <w:u w:val="none" w:color="auto"/>
              </w:rPr>
              <w:t>, och i enlighet med Europaparlamentets och rådets direktiv (EU) 2016/801</w:t>
            </w:r>
            <w:r>
              <w:rPr>
                <w:rStyle w:val="SupBoldItalic"/>
              </w:rPr>
              <w:t>1a</w:t>
            </w:r>
            <w:r>
              <w:t xml:space="preserve"> och nationella regler; detta innebär dock inte en överföring av det internationella skyddet och därtill hörande rättigheter.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Style w:val="SupBoldItalic"/>
              </w:rPr>
              <w:t>1a</w:t>
            </w:r>
            <w:r>
              <w:t xml:space="preserve"> </w:t>
            </w:r>
            <w:r>
              <w:rPr>
                <w:rFonts w:ascii="Times New Roman" w:eastAsia="Times New Roman" w:hAnsi="Times New Roman" w:cs="Times New Roman"/>
                <w:b/>
                <w:i/>
                <w:strike w:val="0"/>
                <w:color w:val="000000"/>
                <w:sz w:val="24"/>
                <w:highlight w:val="none"/>
                <w:u w:val="none" w:color="auto"/>
              </w:rPr>
              <w:t>Europaparlamentets och rådets direktiv (EU) 2016/801 av den 11 maj 2016 om villkoren för tredjelandsmedborgares inresa och vistelse för forskning, studier, praktik, volontärarbete, deltagande i elevutbytesprogram eller utbildningsprojekt och för au pairarbete (EUT L 132, 21.5.2016, s. 21).</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38</w:t>
            </w:r>
            <w:r>
              <w:t xml:space="preserve"> </w:t>
            </w:r>
            <w:r>
              <w:t xml:space="preserve">Europaparlamentets och rådets förordning (EU) 2016/399 av den 9 mars 2016 </w:t>
            </w:r>
            <w:r>
              <w:rPr>
                <w:rFonts w:ascii="Times New Roman" w:eastAsia="Times New Roman" w:hAnsi="Times New Roman" w:cs="Times New Roman"/>
                <w:b/>
                <w:i/>
                <w:strike w:val="0"/>
                <w:color w:val="000000"/>
                <w:sz w:val="24"/>
                <w:highlight w:val="none"/>
                <w:u w:val="none" w:color="auto"/>
              </w:rPr>
              <w:t>&lt;BR/&gt;</w:t>
            </w:r>
            <w:r>
              <w:t>om en unionskodex om gränspassage för personer (kodex om Schengengränserna).</w:t>
            </w:r>
          </w:p>
        </w:tc>
        <w:tc>
          <w:tcPr/>
          <w:p>
            <w:pPr>
              <w:pStyle w:val="Normal6"/>
            </w:pPr>
            <w:r>
              <w:rPr>
                <w:rStyle w:val="Sup"/>
              </w:rPr>
              <w:t>38</w:t>
            </w:r>
            <w:r>
              <w:t xml:space="preserve"> </w:t>
            </w:r>
            <w:r>
              <w:t>Europaparlamentets och rådets förordning (EU) 2016/399 av den 9 mars 2016 om en unionskodex om gränspassage för personer (kodex om Schengengränserna).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39</w:t>
            </w:r>
            <w:r>
              <w:t xml:space="preserve"> </w:t>
            </w:r>
            <w:r>
              <w:t>Schengenavtalet av den 14 juni 1985 mellan regeringarna i Beneluxstaterna, Förbundsrepubliken Tyskland och Franska republiken om gradvis avskaffande av kontroller vid de gemensamma gränserna.</w:t>
            </w:r>
          </w:p>
        </w:tc>
        <w:tc>
          <w:tcPr/>
          <w:p>
            <w:pPr>
              <w:pStyle w:val="Normal6"/>
            </w:pPr>
            <w:r>
              <w:rPr>
                <w:rStyle w:val="Sup"/>
              </w:rPr>
              <w:t>39</w:t>
            </w:r>
            <w:r>
              <w:t xml:space="preserve"> </w:t>
            </w:r>
            <w:r>
              <w:t>Schengenavtalet av den 14 juni 1985 mellan regeringarna i Beneluxstaterna, Förbundsrepubliken Tyskland och Franska republiken om gradvis avskaffande av kontroller vid de gemensamma gränserna.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40</w:t>
            </w:r>
            <w:r>
              <w:t xml:space="preserve"> </w:t>
            </w:r>
            <w:r>
              <w:rPr>
                <w:rFonts w:ascii="Times New Roman" w:eastAsia="Times New Roman" w:hAnsi="Times New Roman" w:cs="Times New Roman"/>
                <w:b/>
                <w:i/>
                <w:strike w:val="0"/>
                <w:color w:val="000000"/>
                <w:sz w:val="24"/>
                <w:highlight w:val="none"/>
                <w:u w:val="none" w:color="auto"/>
              </w:rPr>
              <w:t>COM(2016) 378 final</w:t>
            </w:r>
            <w:r>
              <w:t>.</w:t>
            </w:r>
          </w:p>
        </w:tc>
        <w:tc>
          <w:tcPr/>
          <w:p>
            <w:pPr>
              <w:pStyle w:val="Normal6"/>
            </w:pPr>
            <w:r>
              <w:rPr>
                <w:rStyle w:val="Sup"/>
              </w:rPr>
              <w:t>40</w:t>
            </w:r>
            <w:r>
              <w:t xml:space="preserve"> </w:t>
            </w:r>
            <w:r>
              <w:rPr>
                <w:rFonts w:ascii="Times New Roman" w:eastAsia="Times New Roman" w:hAnsi="Times New Roman" w:cs="Times New Roman"/>
                <w:b/>
                <w:i/>
                <w:strike w:val="0"/>
                <w:color w:val="000000"/>
                <w:sz w:val="24"/>
                <w:highlight w:val="none"/>
                <w:u w:val="none" w:color="auto"/>
              </w:rPr>
              <w:t>COM(2016)0378</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242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Emil Radev</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(43)</w:t>
            </w:r>
            <w:r>
              <w:tab/>
            </w:r>
            <w:r>
              <w:rPr>
                <w:rFonts w:ascii="Times New Roman" w:eastAsia="Times New Roman" w:hAnsi="Times New Roman" w:cs="Times New Roman"/>
                <w:b/>
                <w:i/>
                <w:strike w:val="0"/>
                <w:color w:val="000000"/>
                <w:sz w:val="24"/>
                <w:highlight w:val="none"/>
                <w:u w:val="none" w:color="auto"/>
              </w:rPr>
              <w:t>För att förhindra sekundära förflyttningar inom Europeiska unionen bör personer som beviljats internationellt skydd, om de påträffas i en annan medlemsstat än den medlemsstat som har beviljat dem skydd utan att de uppfyller villkoren för vistelse eller bosättning, återtas av den ansvariga medlemsstaten i enlighet med det förfarande som föreskrivs i förordning (EU) xxx/xxxx [Nya Dublinförordningen]</w:t>
            </w:r>
            <w:r>
              <w:rPr>
                <w:rStyle w:val="SupBoldItalic"/>
              </w:rPr>
              <w:t>41</w:t>
            </w:r>
            <w:r>
              <w:rPr>
                <w:rFonts w:ascii="Times New Roman" w:eastAsia="Times New Roman" w:hAnsi="Times New Roman" w:cs="Times New Roman"/>
                <w:b/>
                <w:i/>
                <w:strike w:val="0"/>
                <w:color w:val="000000"/>
                <w:sz w:val="24"/>
                <w:highlight w:val="none"/>
                <w:u w:val="none" w:color="auto"/>
              </w:rPr>
              <w:t xml:space="preserve"> .</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41</w:t>
            </w:r>
            <w:r>
              <w:t xml:space="preserve"> </w:t>
            </w:r>
            <w:r>
              <w:rPr>
                <w:rFonts w:ascii="Times New Roman" w:eastAsia="Times New Roman" w:hAnsi="Times New Roman" w:cs="Times New Roman"/>
                <w:b/>
                <w:i/>
                <w:strike w:val="0"/>
                <w:color w:val="000000"/>
                <w:sz w:val="24"/>
                <w:highlight w:val="none"/>
                <w:u w:val="none" w:color="auto"/>
              </w:rPr>
              <w:t>Förordning (EU) xxx/xxxx [Nya Dublinförordningen].</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BG</w:t>
      </w:r>
      <w:r>
        <w:rPr>
          <w:rStyle w:val="HideTWBInt"/>
        </w:rPr>
        <w:t>}</w:t>
      </w:r>
      <w:r>
        <w:t>bg</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Länderna utmed EU:s yttre gräns kan inte tvingas att ta permanent ansvar för personer som beviljats internationellt skydd.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243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t xml:space="preserve">, </w:t>
      </w:r>
      <w:r>
        <w:t>Jean Lambert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(43)</w:t>
            </w:r>
            <w:r>
              <w:tab/>
            </w:r>
            <w:r>
              <w:rPr>
                <w:rFonts w:ascii="Times New Roman" w:eastAsia="Times New Roman" w:hAnsi="Times New Roman" w:cs="Times New Roman"/>
                <w:b/>
                <w:i/>
                <w:strike w:val="0"/>
                <w:color w:val="000000"/>
                <w:sz w:val="24"/>
                <w:highlight w:val="none"/>
                <w:u w:val="none" w:color="auto"/>
              </w:rPr>
              <w:t>För att förhindra sekundära förflyttningar inom Europeiska unionen bör personer som beviljats internationellt skydd, om de påträffas i en annan medlemsstat än den medlemsstat som har beviljat dem skydd utan att de uppfyller villkoren för vistelse eller bosättning, återtas av den ansvariga medlemsstaten i enlighet med det förfarande som föreskrivs i förordning (EU) xxx/xxxx [Nya Dublinförordningen]</w:t>
            </w:r>
            <w:r>
              <w:rPr>
                <w:rStyle w:val="SupBoldItalic"/>
              </w:rPr>
              <w:t>41</w:t>
            </w:r>
            <w:r>
              <w:rPr>
                <w:rFonts w:ascii="Times New Roman" w:eastAsia="Times New Roman" w:hAnsi="Times New Roman" w:cs="Times New Roman"/>
                <w:b/>
                <w:i/>
                <w:strike w:val="0"/>
                <w:color w:val="000000"/>
                <w:sz w:val="24"/>
                <w:highlight w:val="none"/>
                <w:u w:val="none" w:color="auto"/>
              </w:rPr>
              <w:t xml:space="preserve"> .</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41</w:t>
            </w:r>
            <w:r>
              <w:t xml:space="preserve"> </w:t>
            </w:r>
            <w:r>
              <w:rPr>
                <w:rFonts w:ascii="Times New Roman" w:eastAsia="Times New Roman" w:hAnsi="Times New Roman" w:cs="Times New Roman"/>
                <w:b/>
                <w:i/>
                <w:strike w:val="0"/>
                <w:color w:val="000000"/>
                <w:sz w:val="24"/>
                <w:highlight w:val="none"/>
                <w:u w:val="none" w:color="auto"/>
              </w:rPr>
              <w:t>Förordning (EU) xxx/xxxx [Nya Dublinförordningen].</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Utgår för att konsekvens ska uppnås i förhållande till bilagan om ömsesidigt erkännande av asylbeslut.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244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(43)</w:t>
            </w:r>
            <w:r>
              <w:tab/>
            </w:r>
            <w:r>
              <w:rPr>
                <w:rFonts w:ascii="Times New Roman" w:eastAsia="Times New Roman" w:hAnsi="Times New Roman" w:cs="Times New Roman"/>
                <w:b/>
                <w:i/>
                <w:strike w:val="0"/>
                <w:color w:val="000000"/>
                <w:sz w:val="24"/>
                <w:highlight w:val="none"/>
                <w:u w:val="none" w:color="auto"/>
              </w:rPr>
              <w:t xml:space="preserve">För att förhindra sekundära förflyttningar inom Europeiska unionen bör </w:t>
            </w:r>
            <w:r>
              <w:rPr>
                <w:rFonts w:ascii="Times New Roman" w:eastAsia="Times New Roman" w:hAnsi="Times New Roman" w:cs="Times New Roman"/>
                <w:b/>
                <w:i/>
                <w:strike w:val="0"/>
                <w:color w:val="000000"/>
                <w:sz w:val="24"/>
                <w:highlight w:val="none"/>
                <w:u w:val="none" w:color="auto"/>
              </w:rPr>
              <w:t>personer</w:t>
            </w:r>
            <w:r>
              <w:t xml:space="preserve"> som beviljats internationellt skydd, om de påträffas i en annan medlemsstat än den medlemsstat som har beviljat dem skydd utan att de uppfyller villkoren för vistelse eller bosättning, återtas av den ansvariga medlemsstaten i enlighet med det förfarande som föreskrivs i förordning (EU) xxx/xxxx [Nya Dublinförordningen]</w:t>
            </w:r>
            <w:r>
              <w:rPr>
                <w:rStyle w:val="Sup"/>
              </w:rPr>
              <w:t>41</w:t>
            </w:r>
            <w:r>
              <w:t>.</w:t>
            </w:r>
          </w:p>
        </w:tc>
        <w:tc>
          <w:tcPr/>
          <w:p>
            <w:pPr>
              <w:pStyle w:val="Normal6"/>
            </w:pPr>
            <w:r>
              <w:t>(43)</w:t>
            </w:r>
            <w:r>
              <w:tab/>
            </w:r>
            <w:r>
              <w:rPr>
                <w:rFonts w:ascii="Times New Roman" w:eastAsia="Times New Roman" w:hAnsi="Times New Roman" w:cs="Times New Roman"/>
                <w:b/>
                <w:i/>
                <w:strike w:val="0"/>
                <w:color w:val="000000"/>
                <w:sz w:val="24"/>
                <w:highlight w:val="none"/>
                <w:u w:val="none" w:color="auto"/>
              </w:rPr>
              <w:t>Personer</w:t>
            </w:r>
            <w:r>
              <w:t xml:space="preserve"> som beviljats internationellt skydd</w:t>
            </w:r>
            <w:r>
              <w:rPr>
                <w:rFonts w:ascii="Times New Roman" w:eastAsia="Times New Roman" w:hAnsi="Times New Roman" w:cs="Times New Roman"/>
                <w:b/>
                <w:i/>
                <w:strike w:val="0"/>
                <w:color w:val="000000"/>
                <w:sz w:val="24"/>
                <w:highlight w:val="none"/>
                <w:u w:val="none" w:color="auto"/>
              </w:rPr>
              <w:t xml:space="preserve"> bör</w:t>
            </w:r>
            <w:r>
              <w:t>, om de påträffas i en annan medlemsstat än den medlemsstat som har beviljat dem skydd utan att de uppfyller villkoren för vistelse eller bosättning, återtas av den ansvariga medlemsstaten i enlighet med det förfarande som föreskrivs i förordning (EU) xxx/xxxx [Nya Dublinförordningen]</w:t>
            </w:r>
            <w:r>
              <w:rPr>
                <w:rStyle w:val="Sup"/>
              </w:rPr>
              <w:t>41</w:t>
            </w:r>
            <w:r>
              <w:t>.</w:t>
            </w:r>
            <w:r>
              <w:rPr>
                <w:rFonts w:ascii="Times New Roman" w:eastAsia="Times New Roman" w:hAnsi="Times New Roman" w:cs="Times New Roman"/>
                <w:b/>
                <w:i/>
                <w:strike w:val="0"/>
                <w:color w:val="000000"/>
                <w:sz w:val="24"/>
                <w:highlight w:val="none"/>
                <w:u w:val="none" w:color="auto"/>
              </w:rPr>
              <w:t xml:space="preserve"> Ensamkommande barn som beviljats internationellt skydd får återtas av den ansvariga medlemsstaten i enlighet med det förfarande som föreskrivs i förordning (EU) xxx/xxxx [Nya Dublinförordningen] endast om detta, efter en bedömning av barnets bästa på olika områden, kan påvisas vara för barnets bästa.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41</w:t>
            </w:r>
            <w:r>
              <w:t xml:space="preserve"> </w:t>
            </w:r>
            <w:r>
              <w:t>Förordning (EU) xxx/xxxx [Nya Dublinförordningen].</w:t>
            </w:r>
          </w:p>
        </w:tc>
        <w:tc>
          <w:tcPr/>
          <w:p>
            <w:pPr>
              <w:pStyle w:val="Normal6"/>
            </w:pPr>
            <w:r>
              <w:rPr>
                <w:rStyle w:val="Sup"/>
              </w:rPr>
              <w:t>41</w:t>
            </w:r>
            <w:r>
              <w:t xml:space="preserve"> </w:t>
            </w:r>
            <w:r>
              <w:t>Förordning (EU) xxx/xxxx [Nya Dublinförordningen].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245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(43)</w:t>
            </w:r>
            <w:r>
              <w:tab/>
            </w:r>
            <w:r>
              <w:t>För att förhindra sekundära förflyttningar inom Europeiska unionen bör personer som beviljats internationellt skydd, om de påträffas i en annan medlemsstat än den medlemsstat som har beviljat dem skydd utan att de uppfyller villkoren för vistelse eller bosättning, återtas av den ansvariga medlemsstaten i enlighet med det förfarande som föreskrivs i förordning (EU) xxx/xxxx [Nya Dublinförordningen]</w:t>
            </w:r>
            <w:r>
              <w:rPr>
                <w:rStyle w:val="Sup"/>
              </w:rPr>
              <w:t>41</w:t>
            </w:r>
            <w:r>
              <w:t xml:space="preserve"> .</w:t>
            </w:r>
          </w:p>
        </w:tc>
        <w:tc>
          <w:tcPr/>
          <w:p>
            <w:pPr>
              <w:pStyle w:val="Normal6"/>
            </w:pPr>
            <w:r>
              <w:t>(43)</w:t>
            </w:r>
            <w:r>
              <w:tab/>
            </w:r>
            <w:r>
              <w:t xml:space="preserve">För att förhindra sekundära förflyttningar inom Europeiska unionen bör personer som beviljats internationellt skydd, om de påträffas i en annan medlemsstat än den medlemsstat som har beviljat dem skydd utan att de uppfyller villkoren för vistelse eller bosättning, återtas av </w:t>
            </w:r>
            <w:r>
              <w:rPr>
                <w:rFonts w:ascii="Times New Roman" w:eastAsia="Times New Roman" w:hAnsi="Times New Roman" w:cs="Times New Roman"/>
                <w:b/>
                <w:i/>
                <w:strike w:val="0"/>
                <w:color w:val="000000"/>
                <w:sz w:val="24"/>
                <w:highlight w:val="none"/>
                <w:u w:val="none" w:color="auto"/>
              </w:rPr>
              <w:t xml:space="preserve">och bli föremål för påföljder i </w:t>
            </w:r>
            <w:r>
              <w:t>den ansvariga medlemsstaten i enlighet med det förfarande som föreskrivs i förordning (EU) xxx/xxxx [Nya Dublinförordningen]</w:t>
            </w:r>
            <w:r>
              <w:rPr>
                <w:rFonts w:ascii="Times New Roman" w:eastAsia="Times New Roman" w:hAnsi="Times New Roman" w:cs="Times New Roman"/>
                <w:b/>
                <w:i/>
                <w:strike w:val="0"/>
                <w:color w:val="000000"/>
                <w:sz w:val="24"/>
                <w:highlight w:val="none"/>
                <w:u w:val="none" w:color="auto"/>
              </w:rPr>
              <w:t>41</w:t>
            </w:r>
            <w:r>
              <w:t xml:space="preserve"> </w:t>
            </w:r>
            <w:r>
              <w:rPr>
                <w:rFonts w:ascii="Times New Roman" w:eastAsia="Times New Roman" w:hAnsi="Times New Roman" w:cs="Times New Roman"/>
                <w:b/>
                <w:i/>
                <w:strike w:val="0"/>
                <w:color w:val="000000"/>
                <w:sz w:val="24"/>
                <w:highlight w:val="none"/>
                <w:u w:val="none" w:color="auto"/>
              </w:rPr>
              <w:t>och denna förordning</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41</w:t>
            </w:r>
            <w:r>
              <w:t xml:space="preserve"> </w:t>
            </w:r>
            <w:r>
              <w:rPr>
                <w:rFonts w:ascii="Times New Roman" w:eastAsia="Times New Roman" w:hAnsi="Times New Roman" w:cs="Times New Roman"/>
                <w:b/>
                <w:i/>
                <w:strike w:val="0"/>
                <w:color w:val="000000"/>
                <w:sz w:val="24"/>
                <w:highlight w:val="none"/>
                <w:u w:val="none" w:color="auto"/>
              </w:rPr>
              <w:t>Förordning (EU) xxx/xxxx [Nya Dublinförordningen].</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246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(43)</w:t>
            </w:r>
            <w:r>
              <w:tab/>
            </w:r>
            <w:r>
              <w:t xml:space="preserve">För att förhindra sekundära förflyttningar inom Europeiska unionen bör personer som beviljats internationellt skydd, om de påträffas i en annan medlemsstat än den medlemsstat som har beviljat dem skydd utan att de uppfyller villkoren för vistelse eller bosättning, återtas av den ansvariga medlemsstaten i enlighet med det förfarande som föreskrivs i </w:t>
            </w:r>
            <w:r>
              <w:rPr>
                <w:rFonts w:ascii="Times New Roman" w:eastAsia="Times New Roman" w:hAnsi="Times New Roman" w:cs="Times New Roman"/>
                <w:b/>
                <w:i/>
                <w:strike w:val="0"/>
                <w:color w:val="000000"/>
                <w:sz w:val="24"/>
                <w:highlight w:val="none"/>
                <w:u w:val="none" w:color="auto"/>
              </w:rPr>
              <w:t>förordning (EU) xxx/xxxx [</w:t>
            </w:r>
            <w:r>
              <w:rPr>
                <w:rFonts w:ascii="Times New Roman" w:eastAsia="Times New Roman" w:hAnsi="Times New Roman" w:cs="Times New Roman"/>
                <w:b/>
                <w:i/>
                <w:strike w:val="0"/>
                <w:color w:val="000000"/>
                <w:sz w:val="24"/>
                <w:highlight w:val="none"/>
                <w:u w:val="none" w:color="auto"/>
              </w:rPr>
              <w:t>Nya</w:t>
            </w:r>
            <w:r>
              <w:t xml:space="preserve"> Dublinförordningen</w:t>
            </w:r>
            <w:r>
              <w:rPr>
                <w:rFonts w:ascii="Times New Roman" w:eastAsia="Times New Roman" w:hAnsi="Times New Roman" w:cs="Times New Roman"/>
                <w:b/>
                <w:i/>
                <w:strike w:val="0"/>
                <w:color w:val="000000"/>
                <w:sz w:val="24"/>
                <w:highlight w:val="none"/>
                <w:u w:val="none" w:color="auto"/>
              </w:rPr>
              <w:t>]</w:t>
            </w:r>
            <w:r>
              <w:rPr>
                <w:rStyle w:val="SupBoldItalic"/>
              </w:rPr>
              <w:t>41</w:t>
            </w:r>
            <w:r>
              <w:rPr>
                <w:rFonts w:ascii="Times New Roman" w:eastAsia="Times New Roman" w:hAnsi="Times New Roman" w:cs="Times New Roman"/>
                <w:b/>
                <w:i/>
                <w:strike w:val="0"/>
                <w:color w:val="000000"/>
                <w:sz w:val="24"/>
                <w:highlight w:val="none"/>
                <w:u w:val="none" w:color="auto"/>
              </w:rPr>
              <w:t xml:space="preserve"> </w:t>
            </w:r>
            <w:r>
              <w:t>.</w:t>
            </w:r>
          </w:p>
        </w:tc>
        <w:tc>
          <w:tcPr/>
          <w:p>
            <w:pPr>
              <w:pStyle w:val="Normal6"/>
            </w:pPr>
            <w:r>
              <w:t>(43)</w:t>
            </w:r>
            <w:r>
              <w:tab/>
            </w:r>
            <w:r>
              <w:t xml:space="preserve">För att </w:t>
            </w:r>
            <w:r>
              <w:rPr>
                <w:rFonts w:ascii="Times New Roman" w:eastAsia="Times New Roman" w:hAnsi="Times New Roman" w:cs="Times New Roman"/>
                <w:b/>
                <w:i/>
                <w:strike w:val="0"/>
                <w:color w:val="000000"/>
                <w:sz w:val="24"/>
                <w:highlight w:val="none"/>
                <w:u w:val="none" w:color="auto"/>
              </w:rPr>
              <w:t xml:space="preserve">även </w:t>
            </w:r>
            <w:r>
              <w:t xml:space="preserve">förhindra sekundära förflyttningar inom Europeiska unionen bör personer som beviljats internationellt skydd, om de påträffas i en annan medlemsstat än den medlemsstat som har beviljat dem skydd utan att de uppfyller villkoren för vistelse eller bosättning, återtas av den ansvariga medlemsstaten i enlighet med det förfarande som föreskrivs i </w:t>
            </w:r>
            <w:r>
              <w:rPr>
                <w:rFonts w:ascii="Times New Roman" w:eastAsia="Times New Roman" w:hAnsi="Times New Roman" w:cs="Times New Roman"/>
                <w:b/>
                <w:i/>
                <w:strike w:val="0"/>
                <w:color w:val="000000"/>
                <w:sz w:val="24"/>
                <w:highlight w:val="none"/>
                <w:u w:val="none" w:color="auto"/>
              </w:rPr>
              <w:t xml:space="preserve">den </w:t>
            </w:r>
            <w:r>
              <w:rPr>
                <w:rFonts w:ascii="Times New Roman" w:eastAsia="Times New Roman" w:hAnsi="Times New Roman" w:cs="Times New Roman"/>
                <w:b/>
                <w:i/>
                <w:strike w:val="0"/>
                <w:color w:val="000000"/>
                <w:sz w:val="24"/>
                <w:highlight w:val="none"/>
                <w:u w:val="none" w:color="auto"/>
              </w:rPr>
              <w:t>nya</w:t>
            </w:r>
            <w:r>
              <w:t xml:space="preserve"> Dublinförordningen</w:t>
            </w:r>
            <w:r>
              <w:rPr>
                <w:rStyle w:val="Sup"/>
              </w:rPr>
              <w:t>41</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41</w:t>
            </w:r>
            <w:r>
              <w:t xml:space="preserve"> </w:t>
            </w:r>
            <w:r>
              <w:t>Förordning (EU) xxx/xxxx [Nya Dublinförordningen].</w:t>
            </w:r>
          </w:p>
        </w:tc>
        <w:tc>
          <w:tcPr/>
          <w:p>
            <w:pPr>
              <w:pStyle w:val="Normal6"/>
            </w:pPr>
            <w:r>
              <w:rPr>
                <w:rStyle w:val="Sup"/>
              </w:rPr>
              <w:t>41</w:t>
            </w:r>
            <w:r>
              <w:t xml:space="preserve"> </w:t>
            </w:r>
            <w:r>
              <w:t>Förordning (EU) xxx/xxxx [Nya Dublinförordningen].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247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t xml:space="preserve">, </w:t>
      </w:r>
      <w:r>
        <w:t>Jean Lambert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(44)</w:t>
            </w:r>
            <w:r>
              <w:tab/>
            </w:r>
            <w:r>
              <w:rPr>
                <w:rFonts w:ascii="Times New Roman" w:eastAsia="Times New Roman" w:hAnsi="Times New Roman" w:cs="Times New Roman"/>
                <w:b/>
                <w:i/>
                <w:strike w:val="0"/>
                <w:color w:val="000000"/>
                <w:sz w:val="24"/>
                <w:highlight w:val="none"/>
                <w:u w:val="none" w:color="auto"/>
              </w:rPr>
              <w:t>För att avskräcka från sekundära förflyttningar inom Europeiska unionen bör direktiv 2003/109/EG om varaktigt bosatta ändras så att det föreskriver att den femårsperiod efter vilken en person som beviljats internationellt skydd kan beviljas ställning som varaktigt bosatt bör börja löpa på nytt varje gång personen påträffas i en annan medlemsstat än den som beviljade det internationella skyddet, utan att ha rätt att vistas eller bosätta sig där i enlighet med relevant unionsrätt eller nationell rätt.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Utgår för att konsekvens ska uppnås i förhållande till bilagan om ömsesidigt erkännande av asylbeslut.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248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(44)</w:t>
            </w:r>
            <w:r>
              <w:tab/>
            </w:r>
            <w:r>
              <w:rPr>
                <w:rFonts w:ascii="Times New Roman" w:eastAsia="Times New Roman" w:hAnsi="Times New Roman" w:cs="Times New Roman"/>
                <w:b/>
                <w:i/>
                <w:strike w:val="0"/>
                <w:color w:val="000000"/>
                <w:sz w:val="24"/>
                <w:highlight w:val="none"/>
                <w:u w:val="none" w:color="auto"/>
              </w:rPr>
              <w:t>För att avskräcka från sekundära förflyttningar inom Europeiska unionen bör direktiv 2003/109/EG om varaktigt bosatta ändras så att det föreskriver att den femårsperiod efter vilken en person som beviljats internationellt skydd kan beviljas ställning som varaktigt bosatt bör börja löpa på nytt varje gång personen påträffas i en annan medlemsstat än den som beviljade det internationella skyddet, utan att ha rätt att vistas eller bosätta sig där i enlighet med relevant unionsrätt eller nationell rätt.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249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Alessandra Mussolini</w:t>
      </w:r>
      <w:r>
        <w:t xml:space="preserve">, </w:t>
      </w:r>
      <w:r>
        <w:t>Elissavet Vozemberg-Vrionidi</w:t>
      </w:r>
      <w:r>
        <w:t xml:space="preserve">, </w:t>
      </w:r>
      <w:r>
        <w:t>Frank Engel</w:t>
      </w:r>
      <w:r>
        <w:t xml:space="preserve">, </w:t>
      </w:r>
      <w:r>
        <w:t>Barbara Matera</w:t>
      </w:r>
      <w:r>
        <w:t xml:space="preserve">, </w:t>
      </w:r>
      <w:r>
        <w:t>Salvatore Domenico Pogliese</w:t>
      </w:r>
      <w:r>
        <w:t xml:space="preserve">, </w:t>
      </w:r>
      <w:r>
        <w:t>Carlos Coelho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(44)</w:t>
            </w:r>
            <w:r>
              <w:tab/>
            </w:r>
            <w:r>
              <w:t>För att avskräcka från sekundära förflyttningar inom Europeiska unionen bör direktiv 2003/109/EG om varaktigt bosatta ändras så att det föreskriver att den femårsperiod efter vilken en person som beviljats internationellt skydd kan beviljas ställning som varaktigt bosatt bör börja löpa på nytt varje gång personen påträffas i en annan medlemsstat än den som beviljade det internationella skyddet, utan att ha rätt att vistas eller bosätta sig där i enlighet med relevant unionsrätt eller nationell rätt.</w:t>
            </w:r>
          </w:p>
        </w:tc>
        <w:tc>
          <w:tcPr/>
          <w:p>
            <w:pPr>
              <w:pStyle w:val="Normal6"/>
            </w:pPr>
            <w:r>
              <w:t>(44)</w:t>
            </w:r>
            <w:r>
              <w:tab/>
            </w:r>
            <w:r>
              <w:t xml:space="preserve">För att avskräcka från sekundära förflyttningar inom Europeiska unionen bör direktiv 2003/109/EG om varaktigt bosatta ändras så att det föreskriver att den femårsperiod efter vilken en person som beviljats internationellt skydd kan beviljas ställning som varaktigt bosatt bör börja löpa på nytt varje gång personen påträffas i en annan medlemsstat än den som beviljade det internationella skyddet, utan att ha rätt att vistas eller bosätta sig där i enlighet med relevant unionsrätt eller nationell rätt. </w:t>
            </w:r>
            <w:r>
              <w:rPr>
                <w:rFonts w:ascii="Times New Roman" w:eastAsia="Times New Roman" w:hAnsi="Times New Roman" w:cs="Times New Roman"/>
                <w:b/>
                <w:i/>
                <w:strike w:val="0"/>
                <w:color w:val="000000"/>
                <w:sz w:val="24"/>
                <w:highlight w:val="none"/>
                <w:u w:val="none" w:color="auto"/>
              </w:rPr>
              <w:t>Detta bör inte påverka möjligheten för den person som beviljats internationellt skydd att tillhandahålla den behöriga myndigheten vederbörliga motiveringar.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Detta skäl har anpassats till ändringsförslaget till artikel 44.1.</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250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(44)</w:t>
            </w:r>
            <w:r>
              <w:tab/>
            </w:r>
            <w:r>
              <w:t>För att avskräcka från sekundära förflyttningar inom Europeiska unionen bör direktiv 2003/109/EG om varaktigt bosatta ändras så att det föreskriver att den femårsperiod efter vilken en person som beviljats internationellt skydd kan beviljas ställning som varaktigt bosatt bör börja löpa på nytt varje gång personen påträffas i en annan medlemsstat än den som beviljade det internationella skyddet, utan att ha rätt att vistas eller bosätta sig där i enlighet med relevant unionsrätt eller nationell rätt.</w:t>
            </w:r>
          </w:p>
        </w:tc>
        <w:tc>
          <w:tcPr/>
          <w:p>
            <w:pPr>
              <w:pStyle w:val="Normal6"/>
            </w:pPr>
            <w:r>
              <w:t>(44)</w:t>
            </w:r>
            <w:r>
              <w:tab/>
            </w:r>
            <w:r>
              <w:t xml:space="preserve">För att avskräcka från sekundära förflyttningar inom Europeiska unionen bör direktiv 2003/109/EG om varaktigt bosatta ändras så att det föreskriver att den femårsperiod efter vilken en person som beviljats internationellt skydd kan beviljas ställning som varaktigt bosatt bör börja löpa på nytt varje gång personen påträffas i en annan medlemsstat än den som beviljade det internationella skyddet, utan att ha rätt att vistas eller bosätta sig där i enlighet med relevant unionsrätt eller nationell rätt. </w:t>
            </w:r>
            <w:r>
              <w:rPr>
                <w:rFonts w:ascii="Times New Roman" w:eastAsia="Times New Roman" w:hAnsi="Times New Roman" w:cs="Times New Roman"/>
                <w:b/>
                <w:i/>
                <w:strike w:val="0"/>
                <w:color w:val="000000"/>
                <w:sz w:val="24"/>
                <w:highlight w:val="none"/>
                <w:u w:val="none" w:color="auto"/>
              </w:rPr>
              <w:t>Därutöver bör den femårsperiod efter vilken en person som beviljats internationellt skydd kan beviljas ställning som varaktigt bosatt förlängas till sju 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251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(45)</w:t>
            </w:r>
            <w:r>
              <w:tab/>
            </w:r>
            <w:r>
              <w:t xml:space="preserve">Begreppet nationell säkerhet och allmän ordning </w:t>
            </w:r>
            <w:r>
              <w:rPr>
                <w:rFonts w:ascii="Times New Roman" w:eastAsia="Times New Roman" w:hAnsi="Times New Roman" w:cs="Times New Roman"/>
                <w:b/>
                <w:i/>
                <w:strike w:val="0"/>
                <w:color w:val="000000"/>
                <w:sz w:val="24"/>
                <w:highlight w:val="none"/>
                <w:u w:val="none" w:color="auto"/>
              </w:rPr>
              <w:t>omfattar</w:t>
            </w:r>
            <w:r>
              <w:t xml:space="preserve"> också fall där en tredjelandsmedborgare är medlem i en sammanslutning som stöder internationell terrorism</w:t>
            </w:r>
            <w:r>
              <w:rPr>
                <w:rFonts w:ascii="Times New Roman" w:eastAsia="Times New Roman" w:hAnsi="Times New Roman" w:cs="Times New Roman"/>
                <w:b/>
                <w:i/>
                <w:strike w:val="0"/>
                <w:color w:val="000000"/>
                <w:sz w:val="24"/>
                <w:highlight w:val="none"/>
                <w:u w:val="none" w:color="auto"/>
              </w:rPr>
              <w:t xml:space="preserve"> eller stöder</w:t>
            </w:r>
            <w:r>
              <w:t xml:space="preserve"> en sådan </w:t>
            </w:r>
            <w:r>
              <w:rPr>
                <w:rFonts w:ascii="Times New Roman" w:eastAsia="Times New Roman" w:hAnsi="Times New Roman" w:cs="Times New Roman"/>
                <w:b/>
                <w:i/>
                <w:strike w:val="0"/>
                <w:color w:val="000000"/>
                <w:sz w:val="24"/>
                <w:highlight w:val="none"/>
                <w:u w:val="none" w:color="auto"/>
              </w:rPr>
              <w:t>sammanslutning</w:t>
            </w:r>
            <w:r>
              <w:t>.</w:t>
            </w:r>
          </w:p>
        </w:tc>
        <w:tc>
          <w:tcPr/>
          <w:p>
            <w:pPr>
              <w:pStyle w:val="Normal6"/>
            </w:pPr>
            <w:r>
              <w:t>(45)</w:t>
            </w:r>
            <w:r>
              <w:tab/>
            </w:r>
            <w:r>
              <w:t xml:space="preserve">Begreppet nationell säkerhet och allmän ordning </w:t>
            </w:r>
            <w:r>
              <w:rPr>
                <w:rFonts w:ascii="Times New Roman" w:eastAsia="Times New Roman" w:hAnsi="Times New Roman" w:cs="Times New Roman"/>
                <w:b/>
                <w:i/>
                <w:strike w:val="0"/>
                <w:color w:val="000000"/>
                <w:sz w:val="24"/>
                <w:highlight w:val="none"/>
                <w:u w:val="none" w:color="auto"/>
              </w:rPr>
              <w:t>kan</w:t>
            </w:r>
            <w:r>
              <w:t xml:space="preserve"> också </w:t>
            </w:r>
            <w:r>
              <w:rPr>
                <w:rFonts w:ascii="Times New Roman" w:eastAsia="Times New Roman" w:hAnsi="Times New Roman" w:cs="Times New Roman"/>
                <w:b/>
                <w:i/>
                <w:strike w:val="0"/>
                <w:color w:val="000000"/>
                <w:sz w:val="24"/>
                <w:highlight w:val="none"/>
                <w:u w:val="none" w:color="auto"/>
              </w:rPr>
              <w:t xml:space="preserve">omfatta </w:t>
            </w:r>
            <w:r>
              <w:t>fall där en tredjelandsmedborgare är medlem i en sammanslutning som stöder internationell terrorism</w:t>
            </w:r>
            <w:r>
              <w:rPr>
                <w:rFonts w:ascii="Times New Roman" w:eastAsia="Times New Roman" w:hAnsi="Times New Roman" w:cs="Times New Roman"/>
                <w:b/>
                <w:i/>
                <w:strike w:val="0"/>
                <w:color w:val="000000"/>
                <w:sz w:val="24"/>
                <w:highlight w:val="none"/>
                <w:u w:val="none" w:color="auto"/>
              </w:rPr>
              <w:t>. Enbart det förhållandet att den berörda personen har tillhört</w:t>
            </w:r>
            <w:r>
              <w:t xml:space="preserve"> en sådan </w:t>
            </w:r>
            <w:r>
              <w:rPr>
                <w:rFonts w:ascii="Times New Roman" w:eastAsia="Times New Roman" w:hAnsi="Times New Roman" w:cs="Times New Roman"/>
                <w:b/>
                <w:i/>
                <w:strike w:val="0"/>
                <w:color w:val="000000"/>
                <w:sz w:val="24"/>
                <w:highlight w:val="none"/>
                <w:u w:val="none" w:color="auto"/>
              </w:rPr>
              <w:t>organisation kan inte automatiskt leda till att vederbörande inte kan beviljas flyktingstatus. Det måste vara möjligt att göra den berörda personen delvis ansvarig för de handlingar som den aktuella organisationen har begått under den period då vederbörande var medlem. Den behöriga myndigheten ska härvid bland annat undersöka den roll som den berörda personen faktiskt har haft vid utförandet av de ifrågavarande handlingarna, dennes ställning i organisationen, den grad av kännedom som denne hade eller borde ha haft rörande organisationens verksamhet, de eventuella påtryckningar som denne varit utsatt för, eller andra faktorer som kan ha påverkat dennes beteende. Det individuella ansvaret ska bedömas i enlighet med såväl objektiva som subjektiva kriterier och ska baseras på dokumenterat bevis. Beslutet bör vara legitimt och avslaget proportionerligt med det avsedda målet. Sökande bör informeras om skälet till avslaget, som inte ska grundas på misstankar. Sökande ska ha tillgång till effektiva rättsmedel</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Ändringsförslaget införlivar delar av EU-domstolens beslut i mål Förbundsrepubliken Tyskland mot B (C-57/09) och D (C-101/09).</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252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(45)</w:t>
            </w:r>
            <w:r>
              <w:tab/>
            </w:r>
            <w:r>
              <w:t>Begreppet nationell säkerhet och allmän ordning omfattar också fall där en tredjelandsmedborgare är medlem i en sammanslutning som stöder internationell terrorism</w:t>
            </w:r>
            <w:r>
              <w:rPr>
                <w:rFonts w:ascii="Times New Roman" w:eastAsia="Times New Roman" w:hAnsi="Times New Roman" w:cs="Times New Roman"/>
                <w:b/>
                <w:i/>
                <w:strike w:val="0"/>
                <w:color w:val="000000"/>
                <w:sz w:val="24"/>
                <w:highlight w:val="none"/>
                <w:u w:val="none" w:color="auto"/>
              </w:rPr>
              <w:t xml:space="preserve"> eller stöder en sådan sammanslutning</w:t>
            </w:r>
            <w:r>
              <w:t>.</w:t>
            </w:r>
          </w:p>
        </w:tc>
        <w:tc>
          <w:tcPr/>
          <w:p>
            <w:pPr>
              <w:pStyle w:val="Normal6"/>
            </w:pPr>
            <w:r>
              <w:t>(45)</w:t>
            </w:r>
            <w:r>
              <w:tab/>
            </w:r>
            <w:r>
              <w:t>Begreppet nationell säkerhet och allmän ordning omfattar också fall där en tredjelandsmedborgare är medlem i en sammanslutning som stöder internationell terrorism.</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253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t xml:space="preserve">, </w:t>
      </w:r>
      <w:r>
        <w:t>Helga Stevens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(45)</w:t>
            </w:r>
            <w:r>
              <w:tab/>
            </w:r>
            <w:r>
              <w:t xml:space="preserve">Begreppet nationell säkerhet och allmän ordning omfattar också fall där en tredjelandsmedborgare är medlem i en sammanslutning som </w:t>
            </w:r>
            <w:r>
              <w:rPr>
                <w:rFonts w:ascii="Times New Roman" w:eastAsia="Times New Roman" w:hAnsi="Times New Roman" w:cs="Times New Roman"/>
                <w:b/>
                <w:i/>
                <w:strike w:val="0"/>
                <w:color w:val="000000"/>
                <w:sz w:val="24"/>
                <w:highlight w:val="none"/>
                <w:u w:val="none" w:color="auto"/>
              </w:rPr>
              <w:t>stöder internationell terrorism</w:t>
            </w:r>
            <w:r>
              <w:t xml:space="preserve"> eller stöder </w:t>
            </w:r>
            <w:r>
              <w:rPr>
                <w:rFonts w:ascii="Times New Roman" w:eastAsia="Times New Roman" w:hAnsi="Times New Roman" w:cs="Times New Roman"/>
                <w:b/>
                <w:i/>
                <w:strike w:val="0"/>
                <w:color w:val="000000"/>
                <w:sz w:val="24"/>
                <w:highlight w:val="none"/>
                <w:u w:val="none" w:color="auto"/>
              </w:rPr>
              <w:t>en sådan sammanslutning</w:t>
            </w:r>
            <w:r>
              <w:t>.</w:t>
            </w:r>
          </w:p>
        </w:tc>
        <w:tc>
          <w:tcPr/>
          <w:p>
            <w:pPr>
              <w:pStyle w:val="Normal6"/>
            </w:pPr>
            <w:r>
              <w:t>(45)</w:t>
            </w:r>
            <w:r>
              <w:tab/>
            </w:r>
            <w:r>
              <w:t xml:space="preserve">Begreppet nationell säkerhet och allmän ordning omfattar också fall där en tredjelandsmedborgare är medlem i en sammanslutning som </w:t>
            </w:r>
            <w:r>
              <w:rPr>
                <w:rFonts w:ascii="Times New Roman" w:eastAsia="Times New Roman" w:hAnsi="Times New Roman" w:cs="Times New Roman"/>
                <w:b/>
                <w:i/>
                <w:strike w:val="0"/>
                <w:color w:val="000000"/>
                <w:sz w:val="24"/>
                <w:highlight w:val="none"/>
                <w:u w:val="none" w:color="auto"/>
              </w:rPr>
              <w:t>direkt</w:t>
            </w:r>
            <w:r>
              <w:t xml:space="preserve"> eller</w:t>
            </w:r>
            <w:r>
              <w:rPr>
                <w:rFonts w:ascii="Times New Roman" w:eastAsia="Times New Roman" w:hAnsi="Times New Roman" w:cs="Times New Roman"/>
                <w:b/>
                <w:i/>
                <w:strike w:val="0"/>
                <w:color w:val="000000"/>
                <w:sz w:val="24"/>
                <w:highlight w:val="none"/>
                <w:u w:val="none" w:color="auto"/>
              </w:rPr>
              <w:t xml:space="preserve"> indirekt</w:t>
            </w:r>
            <w:r>
              <w:t xml:space="preserve"> stöder </w:t>
            </w:r>
            <w:r>
              <w:rPr>
                <w:rFonts w:ascii="Times New Roman" w:eastAsia="Times New Roman" w:hAnsi="Times New Roman" w:cs="Times New Roman"/>
                <w:b/>
                <w:i/>
                <w:strike w:val="0"/>
                <w:color w:val="000000"/>
                <w:sz w:val="24"/>
                <w:highlight w:val="none"/>
                <w:u w:val="none" w:color="auto"/>
              </w:rPr>
              <w:t>terrorism eller religiös radikalism</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 är svårt och onödigt att bevisa medlemskap i en terroristorganisation. Det är mer relevant att fokusera på stödet för sådana fenomen som undergräver nationell säkerhet och allmän ordning.</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254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Alessandra Mussolini</w:t>
      </w:r>
      <w:r>
        <w:t xml:space="preserve">, </w:t>
      </w:r>
      <w:r>
        <w:t>Elissavet Vozemberg-Vrionidi</w:t>
      </w:r>
      <w:r>
        <w:t xml:space="preserve">, </w:t>
      </w:r>
      <w:r>
        <w:t>Frank Engel</w:t>
      </w:r>
      <w:r>
        <w:t xml:space="preserve">, </w:t>
      </w:r>
      <w:r>
        <w:t>Barbara Matera</w:t>
      </w:r>
      <w:r>
        <w:t xml:space="preserve">, </w:t>
      </w:r>
      <w:r>
        <w:t>Salvatore Domenico Pogliese</w:t>
      </w:r>
      <w:r>
        <w:t xml:space="preserve">, </w:t>
      </w:r>
      <w:r>
        <w:t>József Nagy</w:t>
      </w:r>
      <w:r>
        <w:t xml:space="preserve">, </w:t>
      </w:r>
      <w:r>
        <w:t>Emil Radev</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45a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(45a)</w:t>
            </w:r>
            <w:r>
              <w:tab/>
            </w:r>
            <w:r>
              <w:rPr>
                <w:rFonts w:ascii="Times New Roman" w:eastAsia="Times New Roman" w:hAnsi="Times New Roman" w:cs="Times New Roman"/>
                <w:b/>
                <w:i/>
                <w:strike w:val="0"/>
                <w:color w:val="000000"/>
                <w:sz w:val="24"/>
                <w:highlight w:val="none"/>
                <w:u w:val="none" w:color="auto"/>
              </w:rPr>
              <w:t>Om en person som beviljats internationellt skydd eller en person som ansöker om internationellt skydd uppfyller de villkor som fastställs i artikel 33.2 i Genève-konventionen, bör medlemsstaterna kunna avgöra om de ska återsända personen till dennes ursprungsland, med full respekt för Europeiska unionens stadga om de grundläggande rättigheterna, i synnerhet artiklarna 4 och 19.2.</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I mål HT (C-373/13) av den 24 juni 2015 betonar EU-domstolen att lagen i sin nuvarande lydelse ger medlemsstaterna rätt att avgöra i vilka fall en person ska avvisas. Trots att principen om ”non-refoulement” ska respekteras förefaller det nödvändigt att ge medlemsstaterna möjlighet att göra undantag från den, om detta inte strider mot deras internationella skyldigheter och med vad som fastställs i Europeiska unionens stadga om de grundläggande rättigheterna.</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255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(46)</w:t>
            </w:r>
            <w:r>
              <w:tab/>
            </w:r>
            <w:r>
              <w:t xml:space="preserve">Vid beslut om beviljande av de förmåner som anges i </w:t>
            </w:r>
            <w:r>
              <w:rPr>
                <w:rFonts w:ascii="Times New Roman" w:eastAsia="Times New Roman" w:hAnsi="Times New Roman" w:cs="Times New Roman"/>
                <w:b/>
                <w:i/>
                <w:strike w:val="0"/>
                <w:color w:val="000000"/>
                <w:sz w:val="24"/>
                <w:highlight w:val="none"/>
                <w:u w:val="none" w:color="auto"/>
              </w:rPr>
              <w:t>denna förordning</w:t>
            </w:r>
            <w:r>
              <w:t xml:space="preserve"> bör de behöriga myndigheterna ta lämplig hänsyn till barnets bästa samt till de särskilda omständigheter som föreligger i fall där nära släktingar som redan befinner sig i medlemsstaten och som inte är familjemedlemmar till personer som beviljats internationellt skydd står i beroendeställning till den person som beviljats internationellt skydd. I undantagsfall, då en nära släkting till den person som beviljats internationellt skydd är en gift underårig som inte åtföljs av sin make eller maka, kan det anses vara till den underåriges bästa att han eller hon får vara tillsammans med sin ursprungliga familj.</w:t>
            </w:r>
          </w:p>
        </w:tc>
        <w:tc>
          <w:tcPr/>
          <w:p>
            <w:pPr>
              <w:pStyle w:val="Normal6"/>
            </w:pPr>
            <w:r>
              <w:t>(46)</w:t>
            </w:r>
            <w:r>
              <w:tab/>
            </w:r>
            <w:r>
              <w:t>Vid beslut om beviljande av de förmåner som anges i </w:t>
            </w:r>
            <w:r>
              <w:rPr>
                <w:rFonts w:ascii="Times New Roman" w:eastAsia="Times New Roman" w:hAnsi="Times New Roman" w:cs="Times New Roman"/>
                <w:b/>
                <w:i/>
                <w:strike w:val="0"/>
                <w:color w:val="000000"/>
                <w:sz w:val="24"/>
                <w:highlight w:val="none"/>
                <w:u w:val="none" w:color="auto"/>
              </w:rPr>
              <w:t>detta direktiv</w:t>
            </w:r>
            <w:r>
              <w:t xml:space="preserve"> bör de behöriga myndigheterna ta lämplig hänsyn till barnets bästa samt till de särskilda omständigheter som föreligger i fall där nära släktingar som redan befinner sig i medlemsstaten och som inte är familjemedlemmar till personer som beviljats internationellt skydd står i beroendeställning till den person som beviljats internationellt skydd. I undantagsfall, då en nära släkting till den person som beviljats internationellt skydd är en gift underårig som inte åtföljs av sin make eller maka, kan det anses vara till den underåriges bästa att han eller hon får vara tillsammans med sin ursprungliga familj.</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256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(47)</w:t>
            </w:r>
            <w:r>
              <w:tab/>
            </w:r>
            <w:r>
              <w:rPr>
                <w:rFonts w:ascii="Times New Roman" w:eastAsia="Times New Roman" w:hAnsi="Times New Roman" w:cs="Times New Roman"/>
                <w:b/>
                <w:i/>
                <w:strike w:val="0"/>
                <w:color w:val="000000"/>
                <w:sz w:val="24"/>
                <w:highlight w:val="none"/>
                <w:u w:val="none" w:color="auto"/>
              </w:rPr>
              <w:t>Inom de gränser som följer av internationella åtaganden bör beviljande av förmåner avseende tillträde till sysselsättning och social trygghet förutsätta att ett uppehållstillstånd har utfärdats.</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Skälet utgår i överensstämmelse med ändringsförslaget till artikel 22.3.</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257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(48)</w:t>
            </w:r>
            <w:r>
              <w:tab/>
            </w:r>
            <w:r>
              <w:rPr>
                <w:rFonts w:ascii="Times New Roman" w:eastAsia="Times New Roman" w:hAnsi="Times New Roman" w:cs="Times New Roman"/>
                <w:b/>
                <w:i/>
                <w:strike w:val="0"/>
                <w:color w:val="000000"/>
                <w:sz w:val="24"/>
                <w:highlight w:val="none"/>
                <w:u w:val="none" w:color="auto"/>
              </w:rPr>
              <w:t>Behöriga myndigheter får begränsa tillträdet till anställning eller verksamhet som egenföretagare vad gäller anställning i offentlig tjänst och ansvar för att skydda statens eller andra offentliga myndigheters allmänna intressen. Även i samband med utövandet av rätten till likabehandling i fråga om medlemskap i en arbetstagarorganisation eller avseende utövande av ett visst yrke, kan personer som beviljats internationellt skydd uteslutas från deltagande i ledningen av organisationer som regleras av offentlig rätt och från att inneha en tjänst som regleras av offentlig rätt.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258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(48)</w:t>
            </w:r>
            <w:r>
              <w:tab/>
            </w:r>
            <w:r>
              <w:t>Behöriga myndigheter får begränsa tillträdet till anställning eller verksamhet som egenföretagare vad gäller anställning i offentlig tjänst och ansvar för att skydda statens eller andra offentliga myndigheters allmänna intressen.</w:t>
            </w:r>
            <w:r>
              <w:rPr>
                <w:rFonts w:ascii="Times New Roman" w:eastAsia="Times New Roman" w:hAnsi="Times New Roman" w:cs="Times New Roman"/>
                <w:b/>
                <w:i/>
                <w:strike w:val="0"/>
                <w:color w:val="000000"/>
                <w:sz w:val="24"/>
                <w:highlight w:val="none"/>
                <w:u w:val="none" w:color="auto"/>
              </w:rPr>
              <w:t xml:space="preserve"> Även i samband med utövandet av rätten till likabehandling i fråga om medlemskap i en arbetstagarorganisation eller avseende utövande av ett visst yrke, kan personer som beviljats internationellt skydd uteslutas från deltagande i ledningen av organisationer som regleras av offentlig rätt och från att inneha en tjänst som regleras av offentlig rätt.</w:t>
            </w:r>
          </w:p>
        </w:tc>
        <w:tc>
          <w:tcPr/>
          <w:p>
            <w:pPr>
              <w:pStyle w:val="Normal6"/>
            </w:pPr>
            <w:r>
              <w:t>(48)</w:t>
            </w:r>
            <w:r>
              <w:tab/>
            </w:r>
            <w:r>
              <w:t>Behöriga myndigheter får begränsa tillträdet till anställning eller verksamhet som egenföretagare vad gäller anställning i offentlig tjänst och ansvar för att skydda statens eller andra offentliga myndigheters allmänna intressen.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259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(48)</w:t>
            </w:r>
            <w:r>
              <w:tab/>
            </w:r>
            <w:r>
              <w:t>Behöriga myndigheter får begränsa tillträdet till anställning eller verksamhet som egenföretagare vad gäller anställning i offentlig tjänst och ansvar för att skydda statens eller andra offentliga myndigheters allmänna intressen. Även i samband med utövandet av rätten till likabehandling i fråga om medlemskap i en arbetstagarorganisation eller avseende utövande av ett visst yrke, kan personer som beviljats internationellt skydd uteslutas från deltagande i ledningen av organisationer som regleras av offentlig rätt och från att inneha en tjänst som regleras av offentlig rätt.</w:t>
            </w:r>
          </w:p>
        </w:tc>
        <w:tc>
          <w:tcPr/>
          <w:p>
            <w:pPr>
              <w:pStyle w:val="Normal6"/>
            </w:pPr>
            <w:r>
              <w:t>(48)</w:t>
            </w:r>
            <w:r>
              <w:tab/>
            </w:r>
            <w:r>
              <w:t xml:space="preserve">Behöriga myndigheter får begränsa tillträdet till anställning eller verksamhet som egenföretagare vad gäller anställning i offentlig tjänst och ansvar för att skydda statens eller andra offentliga myndigheters allmänna intressen. Även i samband med utövandet av rätten till likabehandling i fråga om medlemskap i en arbetstagarorganisation eller avseende utövande av ett visst yrke, kan personer som beviljats internationellt skydd uteslutas från deltagande i ledningen av organisationer som regleras av offentlig rätt och från att inneha en tjänst som regleras av offentlig rätt. </w:t>
            </w:r>
            <w:r>
              <w:rPr>
                <w:rFonts w:ascii="Times New Roman" w:eastAsia="Times New Roman" w:hAnsi="Times New Roman" w:cs="Times New Roman"/>
                <w:b/>
                <w:i/>
                <w:strike w:val="0"/>
                <w:color w:val="000000"/>
                <w:sz w:val="24"/>
                <w:highlight w:val="none"/>
                <w:u w:val="none" w:color="auto"/>
              </w:rPr>
              <w:t>Behöriga myndigheter får dessutom begränsa tillträdet till anställning eller verksamhet som egenföretagare för att förebygga obalans på arbetsmarknaden.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260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(49)</w:t>
            </w:r>
            <w:r>
              <w:tab/>
            </w:r>
            <w:r>
              <w:t>För att öka möjligheterna för personer som beviljats internationellt skydd att faktiskt utöva de rättigheter och förmåner som föreskrivs i denna förordning, är det nödvändigt att ta hänsyn till deras specifika behov och de integrationsproblem de ställs inför och underlätta deras tillgång till integrationsrelaterade rättigheter. Det gäller särskilt arbetsmarknadsrelaterade utbildningsmöjligheter och yrkesutbildning och tillgång till förfaranden för erkännanden av utländska utbildnings- och andra behörighetsbevis, särskilt när dessa svårigheter beror på att personerna i fråga saknar nödvändig dokumentation och inte kan täcka de kostnader som är förknippade med erkännandeförfarandena.</w:t>
            </w:r>
          </w:p>
        </w:tc>
        <w:tc>
          <w:tcPr/>
          <w:p>
            <w:pPr>
              <w:pStyle w:val="Normal6"/>
            </w:pPr>
            <w:r>
              <w:t>(49)</w:t>
            </w:r>
            <w:r>
              <w:tab/>
            </w:r>
            <w:r>
              <w:t xml:space="preserve">För att öka möjligheterna för personer som beviljats internationellt skydd att faktiskt utöva de rättigheter och förmåner som föreskrivs i denna förordning, är det nödvändigt att ta hänsyn till deras specifika behov och de integrationsproblem de ställs inför och underlätta deras tillgång till integrationsrelaterade rättigheter. Det gäller särskilt arbetsmarknadsrelaterade utbildningsmöjligheter och yrkesutbildning och tillgång till förfaranden för erkännanden av utländska utbildnings- och andra behörighetsbevis, särskilt när dessa svårigheter beror på att personerna i fråga saknar nödvändig dokumentation och inte kan täcka de kostnader som är förknippade med erkännandeförfarandena. </w:t>
            </w:r>
            <w:r>
              <w:rPr>
                <w:rFonts w:ascii="Times New Roman" w:eastAsia="Times New Roman" w:hAnsi="Times New Roman" w:cs="Times New Roman"/>
                <w:b/>
                <w:i/>
                <w:strike w:val="0"/>
                <w:color w:val="000000"/>
                <w:sz w:val="24"/>
                <w:highlight w:val="none"/>
                <w:u w:val="none" w:color="auto"/>
              </w:rPr>
              <w:t>Tillämpningen av mottagningsdirektivet innebär en begränsning av möjligheterna att arbeta för personer som beviljats internationellt skydd, och därmed berövar staterna samhället på motiverade arbetstagare, gör de asylsökande och flyktingar sårbara för exploatering som billig arbetskraft och försvårar integrationsprocessen på lång sikt. Kostnaderna för att ta emot asylsökande blir dessutom lägre om de asylsökande tillåts ha en avlönad anställning. En tidig integrering på arbetsmarknaden skulle i detta avseende vara den bästa lösningen.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261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t xml:space="preserve">, </w:t>
      </w:r>
      <w:r>
        <w:t>Helga Stevens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(49)</w:t>
            </w:r>
            <w:r>
              <w:tab/>
            </w:r>
            <w:r>
              <w:t>För att öka möjligheterna för personer som beviljats internationellt skydd att faktiskt utöva de rättigheter och förmåner som föreskrivs i denna förordning, är det nödvändigt att ta hänsyn till deras specifika behov och de integrationsproblem de ställs inför och underlätta deras tillgång till integrationsrelaterade rättigheter.</w:t>
            </w:r>
            <w:r>
              <w:rPr>
                <w:rFonts w:ascii="Times New Roman" w:eastAsia="Times New Roman" w:hAnsi="Times New Roman" w:cs="Times New Roman"/>
                <w:b/>
                <w:i/>
                <w:strike w:val="0"/>
                <w:color w:val="000000"/>
                <w:sz w:val="24"/>
                <w:highlight w:val="none"/>
                <w:u w:val="none" w:color="auto"/>
              </w:rPr>
              <w:t xml:space="preserve"> Det gäller särskilt arbetsmarknadsrelaterade utbildningsmöjligheter och yrkesutbildning och tillgång till förfaranden för erkännanden av utländska utbildnings- och andra behörighetsbevis, särskilt när dessa svårigheter beror på att personerna i fråga saknar nödvändig dokumentation och inte kan täcka de kostnader som är förknippade med erkännandeförfarandena.</w:t>
            </w:r>
          </w:p>
        </w:tc>
        <w:tc>
          <w:tcPr/>
          <w:p>
            <w:pPr>
              <w:pStyle w:val="Normal6"/>
            </w:pPr>
            <w:r>
              <w:t>(49)</w:t>
            </w:r>
            <w:r>
              <w:tab/>
            </w:r>
            <w:r>
              <w:t>För att öka möjligheterna för personer som beviljats internationellt skydd att faktiskt utöva de rättigheter och förmåner som föreskrivs i denna förordning, är det nödvändigt att ta hänsyn till deras specifika behov och de integrationsproblem de ställs inför och underlätta deras tillgång till integrationsrelaterade rättigheter.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262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(49)</w:t>
            </w:r>
            <w:r>
              <w:tab/>
            </w:r>
            <w:r>
              <w:t xml:space="preserve">För att öka möjligheterna för personer som beviljats internationellt skydd att faktiskt utöva de rättigheter och förmåner som föreskrivs i </w:t>
            </w:r>
            <w:r>
              <w:rPr>
                <w:rFonts w:ascii="Times New Roman" w:eastAsia="Times New Roman" w:hAnsi="Times New Roman" w:cs="Times New Roman"/>
                <w:b/>
                <w:i/>
                <w:strike w:val="0"/>
                <w:color w:val="000000"/>
                <w:sz w:val="24"/>
                <w:highlight w:val="none"/>
                <w:u w:val="none" w:color="auto"/>
              </w:rPr>
              <w:t>denna förordning</w:t>
            </w:r>
            <w:r>
              <w:t>, är det nödvändigt att ta hänsyn till deras specifika behov och de integrationsproblem de ställs inför och underlätta deras tillgång till integrationsrelaterade rättigheter. Det gäller särskilt arbetsmarknadsrelaterade utbildningsmöjligheter och yrkesutbildning och tillgång till förfaranden för erkännanden av utländska utbildnings- och andra behörighetsbevis, särskilt när dessa svårigheter beror på att personerna i fråga saknar nödvändig dokumentation och inte kan täcka de kostnader som är förknippade med erkännandeförfarandena.</w:t>
            </w:r>
          </w:p>
        </w:tc>
        <w:tc>
          <w:tcPr/>
          <w:p>
            <w:pPr>
              <w:pStyle w:val="Normal6"/>
            </w:pPr>
            <w:r>
              <w:t>(49)</w:t>
            </w:r>
            <w:r>
              <w:tab/>
            </w:r>
            <w:r>
              <w:t xml:space="preserve">För att öka möjligheterna för personer som beviljats internationellt skydd att faktiskt utöva de rättigheter och förmåner som föreskrivs i </w:t>
            </w:r>
            <w:r>
              <w:rPr>
                <w:rFonts w:ascii="Times New Roman" w:eastAsia="Times New Roman" w:hAnsi="Times New Roman" w:cs="Times New Roman"/>
                <w:b/>
                <w:i/>
                <w:strike w:val="0"/>
                <w:color w:val="000000"/>
                <w:sz w:val="24"/>
                <w:highlight w:val="none"/>
                <w:u w:val="none" w:color="auto"/>
              </w:rPr>
              <w:t>detta direktiv</w:t>
            </w:r>
            <w:r>
              <w:t>, är det nödvändigt att ta hänsyn till deras specifika behov och de integrationsproblem de ställs inför och underlätta deras tillgång till integrationsrelaterade rättigheter. Det gäller särskilt arbetsmarknadsrelaterade utbildningsmöjligheter och yrkesutbildning och tillgång till förfaranden för erkännanden av utländska utbildnings- och andra behörighetsbevis, särskilt när dessa svårigheter beror på att personerna i fråga saknar nödvändig dokumentation och inte kan täcka de kostnader som är förknippade med erkännandeförfarandena.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263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49a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(49a)</w:t>
            </w:r>
            <w:r>
              <w:tab/>
            </w:r>
            <w:r>
              <w:rPr>
                <w:rFonts w:ascii="Times New Roman" w:eastAsia="Times New Roman" w:hAnsi="Times New Roman" w:cs="Times New Roman"/>
                <w:b/>
                <w:i/>
                <w:strike w:val="0"/>
                <w:color w:val="000000"/>
                <w:sz w:val="24"/>
                <w:highlight w:val="none"/>
                <w:u w:val="none" w:color="auto"/>
              </w:rPr>
              <w:t>Personer som beviljats internationellt skydd kan redan när de kommer ha vissa nackdelar. I sin rapport "The labour market integration of resettled refugees" förklarar UNHCR att vidarebosatta flyktingar antingen hamnar på en separata arbetsmarknad (med låga kompetenskrav) eller möter ytterligare hinder för att få anställning. Strukturerade program bör därför utformas med olika förfaranden för att säkra lika tillträde till arbetsmarknaden för denna målgrupp.</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264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49b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(49b)</w:t>
            </w:r>
            <w:r>
              <w:tab/>
            </w:r>
            <w:r>
              <w:rPr>
                <w:rFonts w:ascii="Times New Roman" w:eastAsia="Times New Roman" w:hAnsi="Times New Roman" w:cs="Times New Roman"/>
                <w:b/>
                <w:i/>
                <w:strike w:val="0"/>
                <w:color w:val="000000"/>
                <w:sz w:val="24"/>
                <w:highlight w:val="none"/>
                <w:u w:val="none" w:color="auto"/>
              </w:rPr>
              <w:t>Man bör överväga att vidta särskilda åtgärder för att på ett effektivt sätt lösa de praktiska svårigheter som personer som beviljats internationellt skydd ställs inför när det gäller att bestyrka utländska akademiska eller yrkesmässiga examens-, utbildnings- och andra behörighetsbevis, särskilt när dessa svårigheter beror på att personerna i fråga saknar nödvändig dokumentation eller inte kan bära de kostnader som är förknippade med erkännandeförfarandena.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Detta ändringsförslag återinför punkt 44 i ingressen till 2011 års direktiv med mycket små ändringar.</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265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49c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(49c)</w:t>
            </w:r>
            <w:r>
              <w:tab/>
            </w:r>
            <w:r>
              <w:rPr>
                <w:rFonts w:ascii="Times New Roman" w:eastAsia="Times New Roman" w:hAnsi="Times New Roman" w:cs="Times New Roman"/>
                <w:b/>
                <w:i/>
                <w:strike w:val="0"/>
                <w:color w:val="000000"/>
                <w:sz w:val="24"/>
                <w:highlight w:val="none"/>
                <w:u w:val="none" w:color="auto"/>
              </w:rPr>
              <w:t>Eftersom integration är en tvåvägsprocess, bör respekt för de värden som unionen bygger på och respekt för de grundläggande rättigheterna för personer som beviljats internationellt skydd utgöra en integrerad del i integrationsprocessen. Integrationen bör undvika isolering och främja inkludering och deltagande av alla involverade parter för att bli framgångsrik. Medlemsstaterna bör på nationell, regional och lokal nivå erbjuda personer som beviljats internationellt skydd stöd och möjligheter till integration och ett liv i det nya samhället. Detta bör omfatta bostad, alfabetisering och språkkurser, interkulturell dialog, utbildning och yrkesutbildning samt verklig tillgång till demokratiska strukturer i samhället.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266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(50)</w:t>
            </w:r>
            <w:r>
              <w:tab/>
            </w:r>
            <w:r>
              <w:rPr>
                <w:rFonts w:ascii="Times New Roman" w:eastAsia="Times New Roman" w:hAnsi="Times New Roman" w:cs="Times New Roman"/>
                <w:b/>
                <w:i/>
                <w:strike w:val="0"/>
                <w:color w:val="000000"/>
                <w:sz w:val="24"/>
                <w:highlight w:val="none"/>
                <w:u w:val="none" w:color="auto"/>
              </w:rPr>
              <w:t>Personer som beviljats internationellt skydd bör åtnjuta samma behandling som medborgare i den medlemsstat som har beviljat skyddet med avseende på social trygghet.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267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Traian Ungureanu</w:t>
      </w:r>
      <w:r>
        <w:t xml:space="preserve">, </w:t>
      </w:r>
      <w:r>
        <w:t>Artis Pabriks</w:t>
      </w:r>
      <w:r>
        <w:t xml:space="preserve">, </w:t>
      </w:r>
      <w:r>
        <w:t>Kinga Gál</w:t>
      </w:r>
      <w:r>
        <w:t xml:space="preserve">, </w:t>
      </w:r>
      <w:r>
        <w:t>Pál Csáky</w:t>
      </w:r>
      <w:r>
        <w:t xml:space="preserve">, </w:t>
      </w:r>
      <w:r>
        <w:t>Tomáš Zdechovský</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(50)</w:t>
            </w:r>
            <w:r>
              <w:tab/>
            </w:r>
            <w:r>
              <w:rPr>
                <w:rFonts w:ascii="Times New Roman" w:eastAsia="Times New Roman" w:hAnsi="Times New Roman" w:cs="Times New Roman"/>
                <w:b/>
                <w:i/>
                <w:strike w:val="0"/>
                <w:color w:val="000000"/>
                <w:sz w:val="24"/>
                <w:highlight w:val="none"/>
                <w:u w:val="none" w:color="auto"/>
              </w:rPr>
              <w:t>Personer som beviljats internationellt skydd bör åtnjuta samma behandling som medborgare i den medlemsstat som har beviljat skyddet med avseende på social trygghet.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268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Kristina Winberg</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(50)</w:t>
            </w:r>
            <w:r>
              <w:tab/>
            </w:r>
            <w:r>
              <w:rPr>
                <w:rFonts w:ascii="Times New Roman" w:eastAsia="Times New Roman" w:hAnsi="Times New Roman" w:cs="Times New Roman"/>
                <w:b/>
                <w:i/>
                <w:strike w:val="0"/>
                <w:color w:val="000000"/>
                <w:sz w:val="24"/>
                <w:highlight w:val="none"/>
                <w:u w:val="none" w:color="auto"/>
              </w:rPr>
              <w:t>Personer som beviljats internationellt skydd bör åtnjuta samma behandling som medborgare i den medlemsstat som har beviljat skyddet med avseende på social trygghet.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269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(50)</w:t>
            </w:r>
            <w:r>
              <w:tab/>
            </w:r>
            <w:r>
              <w:t>Personer som beviljats internationellt skydd bör åtnjuta samma behandling som medborgare i den medlemsstat som har beviljat skyddet med avseende på social trygghet.</w:t>
            </w:r>
          </w:p>
        </w:tc>
        <w:tc>
          <w:tcPr/>
          <w:p>
            <w:pPr>
              <w:pStyle w:val="Normal6"/>
            </w:pPr>
            <w:r>
              <w:t>(50)</w:t>
            </w:r>
            <w:r>
              <w:tab/>
            </w:r>
            <w:r>
              <w:t>Personer som beviljats internationellt skydd bör åtnjuta samma behandling som medborgare i den medlemsstat som har beviljat skyddet med avseende på social trygghet</w:t>
            </w:r>
            <w:r>
              <w:rPr>
                <w:rFonts w:ascii="Times New Roman" w:eastAsia="Times New Roman" w:hAnsi="Times New Roman" w:cs="Times New Roman"/>
                <w:b/>
                <w:i/>
                <w:strike w:val="0"/>
                <w:color w:val="000000"/>
                <w:sz w:val="24"/>
                <w:highlight w:val="none"/>
                <w:u w:val="none" w:color="auto"/>
              </w:rPr>
              <w:t xml:space="preserve"> och tillgång till integrationsprogram</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270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Kristina Winberg</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(51)</w:t>
            </w:r>
            <w:r>
              <w:tab/>
            </w:r>
            <w:r>
              <w:rPr>
                <w:rFonts w:ascii="Times New Roman" w:eastAsia="Times New Roman" w:hAnsi="Times New Roman" w:cs="Times New Roman"/>
                <w:b/>
                <w:i/>
                <w:strike w:val="0"/>
                <w:color w:val="000000"/>
                <w:sz w:val="24"/>
                <w:highlight w:val="none"/>
                <w:u w:val="none" w:color="auto"/>
              </w:rPr>
              <w:t>Särskilt för att undvika socialt lidande är det dessutom lämpligt att personer som beviljats internationellt skydd tillhandahålls socialt bistånd utan diskriminering. För personer som innehar status som subsidiärt skyddsbehövande bör medlemsstaterna dock ges viss flexibilitet att begränsa sådana rättigheter till grundläggande förmåner, vilket bör förstås så att rättigheterna omfattar åtminstone minimiinkomststöd, bistånd vid sjukdom eller graviditet samt föräldraersättning, i den mån dessa förmåner beviljas medborgare i enlighet med nationell rätt. För att underlätta deras integration bör medlemsstaterna ges möjlighet att, för både flyktingar och personer som innehar status som subsidiärt skyddsbehövande, villkora tillgången till vissa typer av socialt bistånd som fastställs i nationell rätt av att personen som beviljats internationellt skydd faktiskt deltar i integrationsåtgärder.</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271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(51)</w:t>
            </w:r>
            <w:r>
              <w:tab/>
            </w:r>
            <w:r>
              <w:t>Särskilt för att undvika socialt lidande är det dessutom lämpligt att personer som beviljats internationellt skydd tillhandahålls socialt bistånd utan diskriminering.</w:t>
            </w:r>
            <w:r>
              <w:rPr>
                <w:rFonts w:ascii="Times New Roman" w:eastAsia="Times New Roman" w:hAnsi="Times New Roman" w:cs="Times New Roman"/>
                <w:b/>
                <w:i/>
                <w:strike w:val="0"/>
                <w:color w:val="000000"/>
                <w:sz w:val="24"/>
                <w:highlight w:val="none"/>
                <w:u w:val="none" w:color="auto"/>
              </w:rPr>
              <w:t xml:space="preserve"> För personer som innehar status som subsidiärt skyddsbehövande bör medlemsstaterna dock ges viss flexibilitet att begränsa sådana rättigheter till grundläggande förmåner, vilket bör förstås så att rättigheterna omfattar åtminstone minimiinkomststöd, bistånd vid sjukdom eller graviditet samt föräldraersättning, i den mån dessa förmåner beviljas medborgare i enlighet med nationell rätt. För att underlätta deras integration bör medlemsstaterna ges möjlighet att, för både flyktingar och personer som innehar status som subsidiärt skyddsbehövande, villkora tillgången till vissa typer av socialt bistånd som fastställs i nationell rätt av att personen som beviljats internationellt skydd faktiskt deltar i integrationsåtgärder.</w:t>
            </w:r>
          </w:p>
        </w:tc>
        <w:tc>
          <w:tcPr/>
          <w:p>
            <w:pPr>
              <w:pStyle w:val="Normal6"/>
            </w:pPr>
            <w:r>
              <w:t>(51)</w:t>
            </w:r>
            <w:r>
              <w:tab/>
            </w:r>
            <w:r>
              <w:t>Särskilt för att undvika socialt lidande är det dessutom lämpligt att personer som beviljats internationellt skydd tillhandahålls socialt bistånd utan diskriminering.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Skuggföredraganden håller med föredraganden om att det är mycket oklart varför personer som behöver skydd och som beviljas subsidiärt skydd inte bör få samma sociala bistånd som andra personer som behöver internationellt skydd. Det bör inte förekomma någon ojämlik behandling av personer som behöver internationellt skydd. Detta är både juridiskt tvivelaktigt och administrativt besvärligt. Så snart skyddsbehovet har fastställts har alla dessa personer samma sociala behov i värdmedlemsstaten.</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272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(51)</w:t>
            </w:r>
            <w:r>
              <w:tab/>
            </w:r>
            <w:r>
              <w:t xml:space="preserve">Särskilt för att undvika socialt lidande är det dessutom lämpligt att personer som beviljats internationellt skydd tillhandahålls socialt bistånd utan diskriminering. För </w:t>
            </w:r>
            <w:r>
              <w:rPr>
                <w:rFonts w:ascii="Times New Roman" w:eastAsia="Times New Roman" w:hAnsi="Times New Roman" w:cs="Times New Roman"/>
                <w:b/>
                <w:i/>
                <w:strike w:val="0"/>
                <w:color w:val="000000"/>
                <w:sz w:val="24"/>
                <w:highlight w:val="none"/>
                <w:u w:val="none" w:color="auto"/>
              </w:rPr>
              <w:t xml:space="preserve">personer som innehar status som subsidiärt skyddsbehövande bör medlemsstaterna dock ges viss flexibilitet att begränsa sådana rättigheter till grundläggande förmåner, vilket bör förstås så att rättigheterna omfattar åtminstone minimiinkomststöd, bistånd vid sjukdom eller graviditet samt föräldraersättning, i den mån dessa förmåner beviljas medborgare i enlighet med nationell rätt. För </w:t>
            </w:r>
            <w:r>
              <w:t>att underlätta deras integration bör medlemsstaterna ges möjlighet att</w:t>
            </w:r>
            <w:r>
              <w:rPr>
                <w:rFonts w:ascii="Times New Roman" w:eastAsia="Times New Roman" w:hAnsi="Times New Roman" w:cs="Times New Roman"/>
                <w:b/>
                <w:i/>
                <w:strike w:val="0"/>
                <w:color w:val="000000"/>
                <w:sz w:val="24"/>
                <w:highlight w:val="none"/>
                <w:u w:val="none" w:color="auto"/>
              </w:rPr>
              <w:t>, för både flyktingar och personer som innehar status som subsidiärt skyddsbehövande,</w:t>
            </w:r>
            <w:r>
              <w:t xml:space="preserve"> villkora tillgången till vissa typer av socialt bistånd som fastställs i nationell rätt av att personen som beviljats internationellt skydd faktiskt deltar i integrationsåtgärder.</w:t>
            </w:r>
          </w:p>
        </w:tc>
        <w:tc>
          <w:tcPr/>
          <w:p>
            <w:pPr>
              <w:pStyle w:val="Normal6"/>
            </w:pPr>
            <w:r>
              <w:t>(51)</w:t>
            </w:r>
            <w:r>
              <w:tab/>
            </w:r>
            <w:r>
              <w:t>Särskilt för att undvika socialt lidande är det dessutom lämpligt att personer som beviljats internationellt skydd tillhandahålls socialt bistånd utan diskriminering. För att underlätta deras integration bör medlemsstaterna ges möjlighet att villkora tillgången till vissa typer av socialt bistånd som fastställs i nationell rätt av att personen som beviljats internationellt skydd faktiskt deltar i integrationsåtgärder.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273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(51)</w:t>
            </w:r>
            <w:r>
              <w:tab/>
            </w:r>
            <w:r>
              <w:t xml:space="preserve">Särskilt för att undvika socialt lidande är det dessutom lämpligt att personer som beviljats internationellt skydd tillhandahålls socialt bistånd utan diskriminering. För </w:t>
            </w:r>
            <w:r>
              <w:rPr>
                <w:rFonts w:ascii="Times New Roman" w:eastAsia="Times New Roman" w:hAnsi="Times New Roman" w:cs="Times New Roman"/>
                <w:b/>
                <w:i/>
                <w:strike w:val="0"/>
                <w:color w:val="000000"/>
                <w:sz w:val="24"/>
                <w:highlight w:val="none"/>
                <w:u w:val="none" w:color="auto"/>
              </w:rPr>
              <w:t xml:space="preserve">personer som innehar status som subsidiärt skyddsbehövande bör medlemsstaterna dock ges viss flexibilitet att begränsa sådana rättigheter till grundläggande förmåner, vilket bör förstås så att rättigheterna omfattar åtminstone minimiinkomststöd, bistånd vid sjukdom eller graviditet samt föräldraersättning, i den mån dessa förmåner beviljas medborgare i enlighet med nationell rätt. För </w:t>
            </w:r>
            <w:r>
              <w:t xml:space="preserve">att underlätta deras integration bör medlemsstaterna </w:t>
            </w:r>
            <w:r>
              <w:rPr>
                <w:rFonts w:ascii="Times New Roman" w:eastAsia="Times New Roman" w:hAnsi="Times New Roman" w:cs="Times New Roman"/>
                <w:b/>
                <w:i/>
                <w:strike w:val="0"/>
                <w:color w:val="000000"/>
                <w:sz w:val="24"/>
                <w:highlight w:val="none"/>
                <w:u w:val="none" w:color="auto"/>
              </w:rPr>
              <w:t>ges möjlighet att,</w:t>
            </w:r>
            <w:r>
              <w:t xml:space="preserve"> för både flyktingar och personer som innehar status som subsidiärt skyddsbehövande, </w:t>
            </w:r>
            <w:r>
              <w:rPr>
                <w:rFonts w:ascii="Times New Roman" w:eastAsia="Times New Roman" w:hAnsi="Times New Roman" w:cs="Times New Roman"/>
                <w:b/>
                <w:i/>
                <w:strike w:val="0"/>
                <w:color w:val="000000"/>
                <w:sz w:val="24"/>
                <w:highlight w:val="none"/>
                <w:u w:val="none" w:color="auto"/>
              </w:rPr>
              <w:t>villkora tillgången</w:t>
            </w:r>
            <w:r>
              <w:t xml:space="preserve"> till vissa typer av socialt bistånd som fastställs i nationell rätt</w:t>
            </w:r>
            <w:r>
              <w:rPr>
                <w:rFonts w:ascii="Times New Roman" w:eastAsia="Times New Roman" w:hAnsi="Times New Roman" w:cs="Times New Roman"/>
                <w:b/>
                <w:i/>
                <w:strike w:val="0"/>
                <w:color w:val="000000"/>
                <w:sz w:val="24"/>
                <w:highlight w:val="none"/>
                <w:u w:val="none" w:color="auto"/>
              </w:rPr>
              <w:t xml:space="preserve"> av att personen som beviljats internationellt skydd faktiskt deltar i integrationsåtgärder</w:t>
            </w:r>
            <w:r>
              <w:t>.</w:t>
            </w:r>
          </w:p>
        </w:tc>
        <w:tc>
          <w:tcPr/>
          <w:p>
            <w:pPr>
              <w:pStyle w:val="Normal6"/>
            </w:pPr>
            <w:r>
              <w:t>(51)</w:t>
            </w:r>
            <w:r>
              <w:tab/>
            </w:r>
            <w:r>
              <w:t>Särskilt för att undvika socialt lidande är det dessutom lämpligt att personer som beviljats internationellt skydd tillhandahålls socialt bistånd utan diskriminering. För att underlätta deras integration bör medlemsstaterna </w:t>
            </w:r>
            <w:r>
              <w:rPr>
                <w:rFonts w:ascii="Times New Roman" w:eastAsia="Times New Roman" w:hAnsi="Times New Roman" w:cs="Times New Roman"/>
                <w:b/>
                <w:i/>
                <w:strike w:val="0"/>
                <w:color w:val="000000"/>
                <w:sz w:val="24"/>
                <w:highlight w:val="none"/>
                <w:u w:val="none" w:color="auto"/>
              </w:rPr>
              <w:t>säkerställa</w:t>
            </w:r>
            <w:r>
              <w:t xml:space="preserve"> för både flyktingar och personer som innehar status som subsidiärt skyddsbehövande, </w:t>
            </w:r>
            <w:r>
              <w:rPr>
                <w:rFonts w:ascii="Times New Roman" w:eastAsia="Times New Roman" w:hAnsi="Times New Roman" w:cs="Times New Roman"/>
                <w:b/>
                <w:i/>
                <w:strike w:val="0"/>
                <w:color w:val="000000"/>
                <w:sz w:val="24"/>
                <w:highlight w:val="none"/>
                <w:u w:val="none" w:color="auto"/>
              </w:rPr>
              <w:t>tillgång</w:t>
            </w:r>
            <w:r>
              <w:t xml:space="preserve"> till vissa typer av socialt bistånd som fastställs i nationell rätt</w:t>
            </w:r>
            <w:r>
              <w:rPr>
                <w:rFonts w:ascii="Times New Roman" w:eastAsia="Times New Roman" w:hAnsi="Times New Roman" w:cs="Times New Roman"/>
                <w:b/>
                <w:i/>
                <w:strike w:val="0"/>
                <w:color w:val="000000"/>
                <w:sz w:val="24"/>
                <w:highlight w:val="none"/>
                <w:u w:val="none" w:color="auto"/>
              </w:rPr>
              <w:t>. Grunden för skydd kan leda till att olika status fastställts, men det finns ingen skillnad mellan de skyddade personernas materiella behov</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274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t xml:space="preserve">, </w:t>
      </w:r>
      <w:r>
        <w:t>Helga Stevens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(51)</w:t>
            </w:r>
            <w:r>
              <w:tab/>
            </w:r>
            <w:r>
              <w:t xml:space="preserve">Särskilt för att undvika socialt lidande är det dessutom lämpligt att personer som beviljats internationellt skydd </w:t>
            </w:r>
            <w:r>
              <w:rPr>
                <w:rFonts w:ascii="Times New Roman" w:eastAsia="Times New Roman" w:hAnsi="Times New Roman" w:cs="Times New Roman"/>
                <w:b/>
                <w:i/>
                <w:strike w:val="0"/>
                <w:color w:val="000000"/>
                <w:sz w:val="24"/>
                <w:highlight w:val="none"/>
                <w:u w:val="none" w:color="auto"/>
              </w:rPr>
              <w:t>tillhandahålls socialt bistånd utan diskriminering. För personer som innehar status som subsidiärt skyddsbehövande bör medlemsstaterna</w:t>
            </w:r>
            <w:r>
              <w:t xml:space="preserve"> dock ges </w:t>
            </w:r>
            <w:r>
              <w:rPr>
                <w:rFonts w:ascii="Times New Roman" w:eastAsia="Times New Roman" w:hAnsi="Times New Roman" w:cs="Times New Roman"/>
                <w:b/>
                <w:i/>
                <w:strike w:val="0"/>
                <w:color w:val="000000"/>
                <w:sz w:val="24"/>
                <w:highlight w:val="none"/>
                <w:u w:val="none" w:color="auto"/>
              </w:rPr>
              <w:t>viss</w:t>
            </w:r>
            <w:r>
              <w:t xml:space="preserve"> flexibilitet att begränsa sådana rättigheter</w:t>
            </w:r>
            <w:r>
              <w:rPr>
                <w:rFonts w:ascii="Times New Roman" w:eastAsia="Times New Roman" w:hAnsi="Times New Roman" w:cs="Times New Roman"/>
                <w:b/>
                <w:i/>
                <w:strike w:val="0"/>
                <w:color w:val="000000"/>
                <w:sz w:val="24"/>
                <w:highlight w:val="none"/>
                <w:u w:val="none" w:color="auto"/>
              </w:rPr>
              <w:t xml:space="preserve"> till grundläggande förmåner, vilket bör förstås så att rättigheterna omfattar åtminstone minimiinkomststöd, bistånd vid sjukdom eller graviditet samt föräldraersättning, i den mån dessa förmåner beviljas medborgare i enlighet med nationell rätt</w:t>
            </w:r>
            <w:r>
              <w:t xml:space="preserve">. För att underlätta deras integration bör medlemsstaterna </w:t>
            </w:r>
            <w:r>
              <w:rPr>
                <w:rFonts w:ascii="Times New Roman" w:eastAsia="Times New Roman" w:hAnsi="Times New Roman" w:cs="Times New Roman"/>
                <w:b/>
                <w:i/>
                <w:strike w:val="0"/>
                <w:color w:val="000000"/>
                <w:sz w:val="24"/>
                <w:highlight w:val="none"/>
                <w:u w:val="none" w:color="auto"/>
              </w:rPr>
              <w:t xml:space="preserve">ges möjlighet att, för både flyktingar och personer som innehar status som subsidiärt skyddsbehövande, </w:t>
            </w:r>
            <w:r>
              <w:t xml:space="preserve">villkora tillgången till vissa typer av socialt bistånd </w:t>
            </w:r>
            <w:r>
              <w:rPr>
                <w:rFonts w:ascii="Times New Roman" w:eastAsia="Times New Roman" w:hAnsi="Times New Roman" w:cs="Times New Roman"/>
                <w:b/>
                <w:i/>
                <w:strike w:val="0"/>
                <w:color w:val="000000"/>
                <w:sz w:val="24"/>
                <w:highlight w:val="none"/>
                <w:u w:val="none" w:color="auto"/>
              </w:rPr>
              <w:t xml:space="preserve">som fastställs i nationell rätt </w:t>
            </w:r>
            <w:r>
              <w:t>av att personen som beviljats internationellt skydd faktiskt deltar i integrationsåtgärder.</w:t>
            </w:r>
          </w:p>
        </w:tc>
        <w:tc>
          <w:tcPr/>
          <w:p>
            <w:pPr>
              <w:pStyle w:val="Normal6"/>
            </w:pPr>
            <w:r>
              <w:t>(51)</w:t>
            </w:r>
            <w:r>
              <w:tab/>
            </w:r>
            <w:r>
              <w:t xml:space="preserve">Särskilt för att undvika socialt lidande är det dessutom lämpligt att personer som beviljats internationellt skydd </w:t>
            </w:r>
            <w:r>
              <w:rPr>
                <w:rFonts w:ascii="Times New Roman" w:eastAsia="Times New Roman" w:hAnsi="Times New Roman" w:cs="Times New Roman"/>
                <w:b/>
                <w:i/>
                <w:strike w:val="0"/>
                <w:color w:val="000000"/>
                <w:sz w:val="24"/>
                <w:highlight w:val="none"/>
                <w:u w:val="none" w:color="auto"/>
              </w:rPr>
              <w:t>och deras familjemedlemmar inom ramen för denna förordning tillhandahålls socialt bistånd. Medlemsstaterna bör</w:t>
            </w:r>
            <w:r>
              <w:t xml:space="preserve"> dock ges </w:t>
            </w:r>
            <w:r>
              <w:rPr>
                <w:rFonts w:ascii="Times New Roman" w:eastAsia="Times New Roman" w:hAnsi="Times New Roman" w:cs="Times New Roman"/>
                <w:b/>
                <w:i/>
                <w:strike w:val="0"/>
                <w:color w:val="000000"/>
                <w:sz w:val="24"/>
                <w:highlight w:val="none"/>
                <w:u w:val="none" w:color="auto"/>
              </w:rPr>
              <w:t>stor</w:t>
            </w:r>
            <w:r>
              <w:t xml:space="preserve"> flexibilitet att begränsa sådana rättigheter. För att underlätta deras integration bör medlemsstaterna villkora tillgången till vissa typer av socialt bistånd av att personen som beviljats internationellt skydd </w:t>
            </w:r>
            <w:r>
              <w:rPr>
                <w:rFonts w:ascii="Times New Roman" w:eastAsia="Times New Roman" w:hAnsi="Times New Roman" w:cs="Times New Roman"/>
                <w:b/>
                <w:i/>
                <w:strike w:val="0"/>
                <w:color w:val="000000"/>
                <w:sz w:val="24"/>
                <w:highlight w:val="none"/>
                <w:u w:val="none" w:color="auto"/>
              </w:rPr>
              <w:t xml:space="preserve">och dennes familjemedlemmar </w:t>
            </w:r>
            <w:r>
              <w:t>faktiskt</w:t>
            </w:r>
            <w:r>
              <w:rPr>
                <w:rFonts w:ascii="Times New Roman" w:eastAsia="Times New Roman" w:hAnsi="Times New Roman" w:cs="Times New Roman"/>
                <w:b/>
                <w:i/>
                <w:strike w:val="0"/>
                <w:color w:val="000000"/>
                <w:sz w:val="24"/>
                <w:highlight w:val="none"/>
                <w:u w:val="none" w:color="auto"/>
              </w:rPr>
              <w:t xml:space="preserve"> och med framgång</w:t>
            </w:r>
            <w:r>
              <w:t xml:space="preserve"> deltar i integrationsåtgärder.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275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(51)</w:t>
            </w:r>
            <w:r>
              <w:tab/>
            </w:r>
            <w:r>
              <w:t>Särskilt för att undvika socialt lidande är det dessutom lämpligt att personer som beviljats internationellt skydd tillhandahålls socialt bistånd utan diskriminering. För personer som innehar status som subsidiärt skyddsbehövande bör medlemsstaterna dock ges viss flexibilitet att begränsa sådana rättigheter till grundläggande förmåner, vilket bör förstås så att rättigheterna omfattar åtminstone minimiinkomststöd, bistånd vid sjukdom eller graviditet samt föräldraersättning, i den mån dessa förmåner beviljas medborgare i enlighet med nationell rätt. För att underlätta deras integration bör medlemsstaterna ges möjlighet att, för både flyktingar och personer som innehar status som subsidiärt skyddsbehövande, villkora tillgången till vissa typer av socialt bistånd som fastställs i nationell rätt av att personen som beviljats internationellt skydd faktiskt deltar i integrationsåtgärder.</w:t>
            </w:r>
          </w:p>
        </w:tc>
        <w:tc>
          <w:tcPr/>
          <w:p>
            <w:pPr>
              <w:pStyle w:val="Normal6"/>
            </w:pPr>
            <w:r>
              <w:t>(51)</w:t>
            </w:r>
            <w:r>
              <w:tab/>
            </w:r>
            <w:r>
              <w:t>Särskilt för att undvika socialt lidande är det dessutom lämpligt att personer som beviljats internationellt skydd tillhandahålls socialt bistånd utan diskriminering. För personer som innehar status som subsidiärt skyddsbehövande bör medlemsstaterna dock ges viss flexibilitet att begränsa sådana rättigheter till grundläggande förmåner, vilket bör förstås så att rättigheterna omfattar åtminstone minimiinkomststöd, bistånd vid sjukdom eller graviditet</w:t>
            </w:r>
            <w:r>
              <w:rPr>
                <w:rFonts w:ascii="Times New Roman" w:eastAsia="Times New Roman" w:hAnsi="Times New Roman" w:cs="Times New Roman"/>
                <w:b/>
                <w:i/>
                <w:strike w:val="0"/>
                <w:color w:val="000000"/>
                <w:sz w:val="24"/>
                <w:highlight w:val="none"/>
                <w:u w:val="none" w:color="auto"/>
              </w:rPr>
              <w:t>, tillgång till tjänster för sexuell och reproduktiv hälsa</w:t>
            </w:r>
            <w:r>
              <w:t xml:space="preserve"> samt föräldraersättning, i den mån dessa förmåner beviljas medborgare i enlighet med nationell rätt. För att underlätta deras integration bör medlemsstaterna ges möjlighet att, för både flyktingar och personer som innehar status som subsidiärt skyddsbehövande, villkora tillgången till vissa typer av socialt bistånd som fastställs i nationell rätt av att personen som beviljats internationellt skydd faktiskt deltar i integrationsåtgärder.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276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51a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(51a)</w:t>
            </w:r>
            <w:r>
              <w:tab/>
            </w:r>
            <w:r>
              <w:rPr>
                <w:rFonts w:ascii="Times New Roman" w:eastAsia="Times New Roman" w:hAnsi="Times New Roman" w:cs="Times New Roman"/>
                <w:b/>
                <w:i/>
                <w:strike w:val="0"/>
                <w:color w:val="000000"/>
                <w:sz w:val="24"/>
                <w:highlight w:val="none"/>
                <w:u w:val="none" w:color="auto"/>
              </w:rPr>
              <w:t>Integrationsprogram för personer som beviljats internationellt skydd bör så långt som möjligt vara utformade på ett sätt som tar hänsyn till dessa personers särskilda behov och den speciella situation som de befinner sig i, inbegripet i förekommande fall språkundervisning och tillhandahållande av information om de rättigheter och skyldigheter som är förbundna med deras skyddsstatus i den berörda medlemsstaten.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Detta ändringsförslag återinför punkt 47 i ingressen till 2011 års direktiv.</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277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(52)</w:t>
            </w:r>
            <w:r>
              <w:tab/>
            </w:r>
            <w:r>
              <w:t>Tillträde till hälso- och sjukvård, såväl fysisk som psykisk vård, bör säkerställas för personer som beviljats internationellt skydd.</w:t>
            </w:r>
          </w:p>
        </w:tc>
        <w:tc>
          <w:tcPr/>
          <w:p>
            <w:pPr>
              <w:pStyle w:val="Normal6"/>
            </w:pPr>
            <w:r>
              <w:t>(52)</w:t>
            </w:r>
            <w:r>
              <w:tab/>
            </w:r>
            <w:r>
              <w:t xml:space="preserve">Tillträde till hälso- och sjukvård, såväl fysisk som psykisk vård, </w:t>
            </w:r>
            <w:r>
              <w:rPr>
                <w:rFonts w:ascii="Times New Roman" w:eastAsia="Times New Roman" w:hAnsi="Times New Roman" w:cs="Times New Roman"/>
                <w:b/>
                <w:i/>
                <w:strike w:val="0"/>
                <w:color w:val="000000"/>
                <w:sz w:val="24"/>
                <w:highlight w:val="none"/>
                <w:u w:val="none" w:color="auto"/>
              </w:rPr>
              <w:t xml:space="preserve">och tjänster för sexuell och reproduktiv hälsa, </w:t>
            </w:r>
            <w:r>
              <w:t>bör säkerställas för personer som beviljats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278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Kinga Gál</w:t>
      </w:r>
      <w:r>
        <w:t xml:space="preserve">, </w:t>
      </w:r>
      <w:r>
        <w:t>Pál Csáky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(52)</w:t>
            </w:r>
            <w:r>
              <w:tab/>
            </w:r>
            <w:r>
              <w:t>Tillträde till hälso- och sjukvård</w:t>
            </w:r>
            <w:r>
              <w:rPr>
                <w:rFonts w:ascii="Times New Roman" w:eastAsia="Times New Roman" w:hAnsi="Times New Roman" w:cs="Times New Roman"/>
                <w:b/>
                <w:i/>
                <w:strike w:val="0"/>
                <w:color w:val="000000"/>
                <w:sz w:val="24"/>
                <w:highlight w:val="none"/>
                <w:u w:val="none" w:color="auto"/>
              </w:rPr>
              <w:t>, såväl fysisk som psykisk vård,</w:t>
            </w:r>
            <w:r>
              <w:t xml:space="preserve"> bör säkerställas för personer som beviljats internationellt skydd.</w:t>
            </w:r>
          </w:p>
        </w:tc>
        <w:tc>
          <w:tcPr/>
          <w:p>
            <w:pPr>
              <w:pStyle w:val="Normal6"/>
            </w:pPr>
            <w:r>
              <w:t>(52)</w:t>
            </w:r>
            <w:r>
              <w:tab/>
            </w:r>
            <w:r>
              <w:t xml:space="preserve">Tillträde till </w:t>
            </w:r>
            <w:r>
              <w:rPr>
                <w:rFonts w:ascii="Times New Roman" w:eastAsia="Times New Roman" w:hAnsi="Times New Roman" w:cs="Times New Roman"/>
                <w:b/>
                <w:i/>
                <w:strike w:val="0"/>
                <w:color w:val="000000"/>
                <w:sz w:val="24"/>
                <w:highlight w:val="none"/>
                <w:u w:val="none" w:color="auto"/>
              </w:rPr>
              <w:t xml:space="preserve">grundläggande </w:t>
            </w:r>
            <w:r>
              <w:t>hälso- och sjukvård bör säkerställas för personer som beviljats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279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52a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(52a)</w:t>
            </w:r>
            <w:r>
              <w:tab/>
            </w:r>
            <w:r>
              <w:rPr>
                <w:rFonts w:ascii="Times New Roman" w:eastAsia="Times New Roman" w:hAnsi="Times New Roman" w:cs="Times New Roman"/>
                <w:b/>
                <w:i/>
                <w:strike w:val="0"/>
                <w:color w:val="000000"/>
                <w:sz w:val="24"/>
                <w:highlight w:val="none"/>
                <w:u w:val="none" w:color="auto"/>
              </w:rPr>
              <w:t>Personer som beviljats internationellt skydd bör ha tillgång till varor och tjänster och leveranser av allmänt tillgängliga varor och tjänster, inklusive information och rådgivningstjänster som tillhandahålls av arbetsförmedlingar.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Skuggföredraganden håller med föredraganden om att ordalydelsen i skälet ska anpassas till den som kommissionen föreslagit för likabehandlingsbestämmelserna i rättsliga instrument som avser migration (i synnerhet översynen av blåkortsdirektivet). Ordalydelsen framgår av artiklarna 30 och 35.</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280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(53)</w:t>
            </w:r>
            <w:r>
              <w:tab/>
            </w:r>
            <w:r>
              <w:t>För att underlätta integrationen i samhällslivet av personer som beviljats internationellt skydd bör dessa personer ha tillgång till integrationsåtgärder, enligt de former som medlemsstaterna bestämmer. Medlemsstaterna får göra deltagandet i sådana integrationsåtgärder, såsom språkkurser, kurser i samhällsintegration, yrkesutbildning och andra sysselsättningsrelaterade kurser, obligatoriskt.</w:t>
            </w:r>
          </w:p>
        </w:tc>
        <w:tc>
          <w:tcPr/>
          <w:p>
            <w:pPr>
              <w:pStyle w:val="Normal6"/>
            </w:pPr>
            <w:r>
              <w:t>(53)</w:t>
            </w:r>
            <w:r>
              <w:tab/>
            </w:r>
            <w:r>
              <w:t>För att underlätta integrationen i samhällslivet av personer som beviljats internationellt skydd bör dessa personer ha tillgång till integrationsåtgärder, enligt de former som medlemsstaterna bestämmer. Medlemsstaterna får göra deltagandet i sådana integrationsåtgärder, såsom språkkurser, kurser i samhällsintegration, yrkesutbildning och andra sysselsättningsrelaterade kurser, obligatoriskt</w:t>
            </w:r>
            <w:r>
              <w:rPr>
                <w:rFonts w:ascii="Times New Roman" w:eastAsia="Times New Roman" w:hAnsi="Times New Roman" w:cs="Times New Roman"/>
                <w:b/>
                <w:i/>
                <w:strike w:val="0"/>
                <w:color w:val="000000"/>
                <w:sz w:val="24"/>
                <w:highlight w:val="none"/>
                <w:u w:val="none" w:color="auto"/>
              </w:rPr>
              <w:t>, förutsatt att dessa åtgärder är kostnadsfria, lättillgängliga och tar hänsyn till de särskilda behoven hos personer som åtnjuter internationellt skydd</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281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(53)</w:t>
            </w:r>
            <w:r>
              <w:tab/>
            </w:r>
            <w:r>
              <w:t>För att underlätta integrationen i samhällslivet av personer som beviljats internationellt skydd bör dessa personer ha tillgång till integrationsåtgärder, enligt de former som medlemsstaterna bestämmer. Medlemsstaterna får göra deltagandet i sådana integrationsåtgärder, såsom språkkurser, kurser i samhällsintegration, yrkesutbildning och andra sysselsättningsrelaterade kurser, obligatoriskt.</w:t>
            </w:r>
          </w:p>
        </w:tc>
        <w:tc>
          <w:tcPr/>
          <w:p>
            <w:pPr>
              <w:pStyle w:val="Normal6"/>
            </w:pPr>
            <w:r>
              <w:t>(53)</w:t>
            </w:r>
            <w:r>
              <w:tab/>
            </w:r>
            <w:r>
              <w:t xml:space="preserve">För att underlätta integrationen i samhällslivet av personer som beviljats internationellt skydd bör dessa personer ha tillgång till integrationsåtgärder, enligt de former som medlemsstaterna bestämmer. Medlemsstaterna får göra deltagandet i sådana integrationsåtgärder, såsom språkkurser, kurser i samhällsintegration, yrkesutbildning och andra sysselsättningsrelaterade kurser, obligatoriskt. </w:t>
            </w:r>
            <w:r>
              <w:rPr>
                <w:rFonts w:ascii="Times New Roman" w:eastAsia="Times New Roman" w:hAnsi="Times New Roman" w:cs="Times New Roman"/>
                <w:b/>
                <w:i/>
                <w:strike w:val="0"/>
                <w:color w:val="000000"/>
                <w:sz w:val="24"/>
                <w:highlight w:val="none"/>
                <w:u w:val="none" w:color="auto"/>
              </w:rPr>
              <w:t>En kontinuerlig vägran att aktivt integrera sig kan, som sista åtgärd, leda till att berättigadet till internationellt skydd dras tillbaka.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282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(53)</w:t>
            </w:r>
            <w:r>
              <w:tab/>
            </w:r>
            <w:r>
              <w:t xml:space="preserve">För att underlätta integrationen i samhällslivet av personer som beviljats internationellt skydd </w:t>
            </w:r>
            <w:r>
              <w:rPr>
                <w:rFonts w:ascii="Times New Roman" w:eastAsia="Times New Roman" w:hAnsi="Times New Roman" w:cs="Times New Roman"/>
                <w:b/>
                <w:i/>
                <w:strike w:val="0"/>
                <w:color w:val="000000"/>
                <w:sz w:val="24"/>
                <w:highlight w:val="none"/>
                <w:u w:val="none" w:color="auto"/>
              </w:rPr>
              <w:t>bör</w:t>
            </w:r>
            <w:r>
              <w:t xml:space="preserve"> dessa personer </w:t>
            </w:r>
            <w:r>
              <w:rPr>
                <w:rFonts w:ascii="Times New Roman" w:eastAsia="Times New Roman" w:hAnsi="Times New Roman" w:cs="Times New Roman"/>
                <w:b/>
                <w:i/>
                <w:strike w:val="0"/>
                <w:color w:val="000000"/>
                <w:sz w:val="24"/>
                <w:highlight w:val="none"/>
                <w:u w:val="none" w:color="auto"/>
              </w:rPr>
              <w:t>ha</w:t>
            </w:r>
            <w:r>
              <w:t xml:space="preserve"> tillgång till integrationsåtgärder, enligt de former som medlemsstaterna bestämmer. Medlemsstaterna får göra deltagandet i sådana integrationsåtgärder, såsom språkkurser, kurser i samhällsintegration, yrkesutbildning och andra sysselsättningsrelaterade kurser, obligatoriskt.</w:t>
            </w:r>
          </w:p>
        </w:tc>
        <w:tc>
          <w:tcPr/>
          <w:p>
            <w:pPr>
              <w:pStyle w:val="Normal6"/>
            </w:pPr>
            <w:r>
              <w:t>(53)</w:t>
            </w:r>
            <w:r>
              <w:tab/>
            </w:r>
            <w:r>
              <w:t xml:space="preserve">För att underlätta integrationen i samhällslivet av personer som beviljats internationellt skydd </w:t>
            </w:r>
            <w:r>
              <w:rPr>
                <w:rFonts w:ascii="Times New Roman" w:eastAsia="Times New Roman" w:hAnsi="Times New Roman" w:cs="Times New Roman"/>
                <w:b/>
                <w:i/>
                <w:strike w:val="0"/>
                <w:color w:val="000000"/>
                <w:sz w:val="24"/>
                <w:highlight w:val="none"/>
                <w:u w:val="none" w:color="auto"/>
              </w:rPr>
              <w:t>kan</w:t>
            </w:r>
            <w:r>
              <w:t xml:space="preserve"> dessa personer </w:t>
            </w:r>
            <w:r>
              <w:rPr>
                <w:rFonts w:ascii="Times New Roman" w:eastAsia="Times New Roman" w:hAnsi="Times New Roman" w:cs="Times New Roman"/>
                <w:b/>
                <w:i/>
                <w:strike w:val="0"/>
                <w:color w:val="000000"/>
                <w:sz w:val="24"/>
                <w:highlight w:val="none"/>
                <w:u w:val="none" w:color="auto"/>
              </w:rPr>
              <w:t>ges</w:t>
            </w:r>
            <w:r>
              <w:t xml:space="preserve"> tillgång till integrationsåtgärder, enligt de former som medlemsstaterna bestämmer. Medlemsstaterna får göra deltagandet i sådana integrationsåtgärder</w:t>
            </w:r>
            <w:r>
              <w:rPr>
                <w:rFonts w:ascii="Times New Roman" w:eastAsia="Times New Roman" w:hAnsi="Times New Roman" w:cs="Times New Roman"/>
                <w:b/>
                <w:i/>
                <w:strike w:val="0"/>
                <w:color w:val="000000"/>
                <w:sz w:val="24"/>
                <w:highlight w:val="none"/>
                <w:u w:val="none" w:color="auto"/>
              </w:rPr>
              <w:t xml:space="preserve"> som den anser lämpliga</w:t>
            </w:r>
            <w:r>
              <w:t>, såsom språkkurser, kurser i samhällsintegration, yrkesutbildning och andra sysselsättningsrelaterade kurser, obligatoriskt.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283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(53)</w:t>
            </w:r>
            <w:r>
              <w:tab/>
            </w:r>
            <w:r>
              <w:t xml:space="preserve">För att underlätta integrationen i samhällslivet av personer som beviljats internationellt skydd bör dessa personer ha tillgång till integrationsåtgärder, enligt de former som medlemsstaterna bestämmer. Medlemsstaterna </w:t>
            </w:r>
            <w:r>
              <w:rPr>
                <w:rFonts w:ascii="Times New Roman" w:eastAsia="Times New Roman" w:hAnsi="Times New Roman" w:cs="Times New Roman"/>
                <w:b/>
                <w:i/>
                <w:strike w:val="0"/>
                <w:color w:val="000000"/>
                <w:sz w:val="24"/>
                <w:highlight w:val="none"/>
                <w:u w:val="none" w:color="auto"/>
              </w:rPr>
              <w:t>får</w:t>
            </w:r>
            <w:r>
              <w:t xml:space="preserve"> göra deltagandet i sådana integrationsåtgärder, såsom språkkurser</w:t>
            </w:r>
            <w:r>
              <w:rPr>
                <w:rFonts w:ascii="Times New Roman" w:eastAsia="Times New Roman" w:hAnsi="Times New Roman" w:cs="Times New Roman"/>
                <w:b/>
                <w:i/>
                <w:strike w:val="0"/>
                <w:color w:val="000000"/>
                <w:sz w:val="24"/>
                <w:highlight w:val="none"/>
                <w:u w:val="none" w:color="auto"/>
              </w:rPr>
              <w:t>,</w:t>
            </w:r>
            <w:r>
              <w:t xml:space="preserve"> kurser i samhällsintegration</w:t>
            </w:r>
            <w:r>
              <w:rPr>
                <w:rFonts w:ascii="Times New Roman" w:eastAsia="Times New Roman" w:hAnsi="Times New Roman" w:cs="Times New Roman"/>
                <w:b/>
                <w:i/>
                <w:strike w:val="0"/>
                <w:color w:val="000000"/>
                <w:sz w:val="24"/>
                <w:highlight w:val="none"/>
                <w:u w:val="none" w:color="auto"/>
              </w:rPr>
              <w:t>, yrkesutbildning och andra sysselsättningsrelaterade kurser</w:t>
            </w:r>
            <w:r>
              <w:t>, obligatoriskt.</w:t>
            </w:r>
          </w:p>
        </w:tc>
        <w:tc>
          <w:tcPr/>
          <w:p>
            <w:pPr>
              <w:pStyle w:val="Normal6"/>
            </w:pPr>
            <w:r>
              <w:t>(53)</w:t>
            </w:r>
            <w:r>
              <w:tab/>
            </w:r>
            <w:r>
              <w:t xml:space="preserve">För att underlätta integrationen i samhällslivet av personer som beviljats internationellt skydd bör dessa personer ha tillgång till integrationsåtgärder, enligt de former som medlemsstaterna bestämmer. Medlemsstaterna </w:t>
            </w:r>
            <w:r>
              <w:rPr>
                <w:rFonts w:ascii="Times New Roman" w:eastAsia="Times New Roman" w:hAnsi="Times New Roman" w:cs="Times New Roman"/>
                <w:b/>
                <w:i/>
                <w:strike w:val="0"/>
                <w:color w:val="000000"/>
                <w:sz w:val="24"/>
                <w:highlight w:val="none"/>
                <w:u w:val="none" w:color="auto"/>
              </w:rPr>
              <w:t>måste</w:t>
            </w:r>
            <w:r>
              <w:t xml:space="preserve"> göra deltagandet i sådana integrationsåtgärder, såsom språkkurser</w:t>
            </w:r>
            <w:r>
              <w:rPr>
                <w:rFonts w:ascii="Times New Roman" w:eastAsia="Times New Roman" w:hAnsi="Times New Roman" w:cs="Times New Roman"/>
                <w:b/>
                <w:i/>
                <w:strike w:val="0"/>
                <w:color w:val="000000"/>
                <w:sz w:val="24"/>
                <w:highlight w:val="none"/>
                <w:u w:val="none" w:color="auto"/>
              </w:rPr>
              <w:t xml:space="preserve"> och</w:t>
            </w:r>
            <w:r>
              <w:t xml:space="preserve"> kurser i samhällsintegration, obligatoriskt.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284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(53)</w:t>
            </w:r>
            <w:r>
              <w:tab/>
            </w:r>
            <w:r>
              <w:t xml:space="preserve">För att underlätta integrationen i samhällslivet av personer som beviljats internationellt skydd bör dessa personer ha tillgång till integrationsåtgärder, </w:t>
            </w:r>
            <w:r>
              <w:rPr>
                <w:rFonts w:ascii="Times New Roman" w:eastAsia="Times New Roman" w:hAnsi="Times New Roman" w:cs="Times New Roman"/>
                <w:b/>
                <w:i/>
                <w:strike w:val="0"/>
                <w:color w:val="000000"/>
                <w:sz w:val="24"/>
                <w:highlight w:val="none"/>
                <w:u w:val="none" w:color="auto"/>
              </w:rPr>
              <w:t>enligt de former som medlemsstaterna bestämmer. Medlemsstaterna får göra deltagandet i sådana integrationsåtgärder, såsom språkkurser, kurser i samhällsintegration, yrkesutbildning och andra sysselsättningsrelaterade kurser, obligatoriskt</w:t>
            </w:r>
            <w:r>
              <w:t>.</w:t>
            </w:r>
          </w:p>
        </w:tc>
        <w:tc>
          <w:tcPr/>
          <w:p>
            <w:pPr>
              <w:pStyle w:val="Normal6"/>
            </w:pPr>
            <w:r>
              <w:t>(53)</w:t>
            </w:r>
            <w:r>
              <w:tab/>
            </w:r>
            <w:r>
              <w:t xml:space="preserve">För att underlätta integrationen i samhällslivet av personer som beviljats internationellt skydd bör dessa personer ha tillgång till integrationsåtgärder, </w:t>
            </w:r>
            <w:r>
              <w:rPr>
                <w:rFonts w:ascii="Times New Roman" w:eastAsia="Times New Roman" w:hAnsi="Times New Roman" w:cs="Times New Roman"/>
                <w:b/>
                <w:i/>
                <w:strike w:val="0"/>
                <w:color w:val="000000"/>
                <w:sz w:val="24"/>
                <w:highlight w:val="none"/>
                <w:u w:val="none" w:color="auto"/>
              </w:rPr>
              <w:t>såsom språkkurser, kurser i samhällsintegration, yrkesutbildning och andra sysselsättningsrelaterade kurser som är lättillgängliga, finns att tillgå och kostnadsfria, och barnomsorg ska tillhandahållas</w:t>
            </w:r>
            <w:r>
              <w:t>.</w:t>
            </w:r>
            <w:r>
              <w:rPr>
                <w:rFonts w:ascii="Times New Roman" w:eastAsia="Times New Roman" w:hAnsi="Times New Roman" w:cs="Times New Roman"/>
                <w:b/>
                <w:i/>
                <w:strike w:val="0"/>
                <w:color w:val="000000"/>
                <w:sz w:val="24"/>
                <w:highlight w:val="none"/>
                <w:u w:val="none" w:color="auto"/>
              </w:rPr>
              <w:t xml:space="preserve"> </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285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(53)</w:t>
            </w:r>
            <w:r>
              <w:tab/>
            </w:r>
            <w:r>
              <w:t xml:space="preserve">För att underlätta integrationen i samhällslivet av personer som beviljats internationellt skydd bör dessa personer ha tillgång till integrationsåtgärder, enligt de former som medlemsstaterna bestämmer. </w:t>
            </w:r>
            <w:r>
              <w:rPr>
                <w:rFonts w:ascii="Times New Roman" w:eastAsia="Times New Roman" w:hAnsi="Times New Roman" w:cs="Times New Roman"/>
                <w:b/>
                <w:i/>
                <w:strike w:val="0"/>
                <w:color w:val="000000"/>
                <w:sz w:val="24"/>
                <w:highlight w:val="none"/>
                <w:u w:val="none" w:color="auto"/>
              </w:rPr>
              <w:t>Medlemsstaterna får göra deltagandet i sådana integrationsåtgärder, såsom språkkurser, kurser i samhällsintegration, yrkesutbildning och andra sysselsättningsrelaterade kurser, obligatoriskt</w:t>
            </w:r>
            <w:r>
              <w:t>.</w:t>
            </w:r>
          </w:p>
        </w:tc>
        <w:tc>
          <w:tcPr/>
          <w:p>
            <w:pPr>
              <w:pStyle w:val="Normal6"/>
            </w:pPr>
            <w:r>
              <w:t>(53)</w:t>
            </w:r>
            <w:r>
              <w:tab/>
            </w:r>
            <w:r>
              <w:t xml:space="preserve">För att underlätta integrationen i samhällslivet av personer som beviljats internationellt skydd bör dessa personer ha tillgång till </w:t>
            </w:r>
            <w:r>
              <w:rPr>
                <w:rFonts w:ascii="Times New Roman" w:eastAsia="Times New Roman" w:hAnsi="Times New Roman" w:cs="Times New Roman"/>
                <w:b/>
                <w:i/>
                <w:strike w:val="0"/>
                <w:color w:val="000000"/>
                <w:sz w:val="24"/>
                <w:highlight w:val="none"/>
                <w:u w:val="none" w:color="auto"/>
              </w:rPr>
              <w:t xml:space="preserve">kostnadsfria och effektiva </w:t>
            </w:r>
            <w:r>
              <w:t xml:space="preserve">integrationsåtgärder, enligt de former som medlemsstaterna bestämmer. </w:t>
            </w:r>
            <w:r>
              <w:rPr>
                <w:rFonts w:ascii="Times New Roman" w:eastAsia="Times New Roman" w:hAnsi="Times New Roman" w:cs="Times New Roman"/>
                <w:b/>
                <w:i/>
                <w:strike w:val="0"/>
                <w:color w:val="000000"/>
                <w:sz w:val="24"/>
                <w:highlight w:val="none"/>
                <w:u w:val="none" w:color="auto"/>
              </w:rPr>
              <w:t>Hänsyn bör tas till att alla personer som beviljats internationellt skydd kanske inte kan delta i integrationsåtgärder på grund av trauman de utsatts för</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286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Traian Ungureanu</w:t>
      </w:r>
      <w:r>
        <w:t xml:space="preserve">, </w:t>
      </w:r>
      <w:r>
        <w:t>Artis Pabriks</w:t>
      </w:r>
      <w:r>
        <w:t xml:space="preserve">, </w:t>
      </w:r>
      <w:r>
        <w:t>Kinga Gál</w:t>
      </w:r>
      <w:r>
        <w:t xml:space="preserve">, </w:t>
      </w:r>
      <w:r>
        <w:t>Pál Csáky</w:t>
      </w:r>
      <w:r>
        <w:t xml:space="preserve">, </w:t>
      </w:r>
      <w:r>
        <w:t>Tomáš Zdechovský</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(53)</w:t>
            </w:r>
            <w:r>
              <w:tab/>
            </w:r>
            <w:r>
              <w:t>För att underlätta integrationen i samhällslivet av personer som beviljats internationellt skydd bör dessa personer ha tillgång till integrationsåtgärder, enligt de former som medlemsstaterna bestämmer. Medlemsstaterna får göra deltagandet i sådana integrationsåtgärder, såsom språkkurser, kurser i samhällsintegration, yrkesutbildning och andra sysselsättningsrelaterade kurser, obligatoriskt.</w:t>
            </w:r>
          </w:p>
        </w:tc>
        <w:tc>
          <w:tcPr/>
          <w:p>
            <w:pPr>
              <w:pStyle w:val="Normal6"/>
            </w:pPr>
            <w:r>
              <w:rPr>
                <w:rFonts w:ascii="Times New Roman" w:eastAsia="Times New Roman" w:hAnsi="Times New Roman" w:cs="Times New Roman"/>
                <w:b w:val="0"/>
                <w:i/>
                <w:strike w:val="0"/>
                <w:color w:val="000000"/>
                <w:sz w:val="24"/>
                <w:highlight w:val="none"/>
                <w:u w:val="none" w:color="auto"/>
              </w:rPr>
              <w:t>(Berör inte den svenska versionen.)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287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(54)</w:t>
            </w:r>
            <w:r>
              <w:tab/>
            </w:r>
            <w:r>
              <w:rPr>
                <w:rFonts w:ascii="Times New Roman" w:eastAsia="Times New Roman" w:hAnsi="Times New Roman" w:cs="Times New Roman"/>
                <w:b/>
                <w:i/>
                <w:strike w:val="0"/>
                <w:color w:val="000000"/>
                <w:sz w:val="24"/>
                <w:highlight w:val="none"/>
                <w:u w:val="none" w:color="auto"/>
              </w:rPr>
              <w:t>En effektiv övervakning av genomförandet av denna förordning förutsätter att den utvärderas regelbundet</w:t>
            </w:r>
            <w:r>
              <w:t>.</w:t>
            </w:r>
          </w:p>
        </w:tc>
        <w:tc>
          <w:tcPr/>
          <w:p>
            <w:pPr>
              <w:pStyle w:val="Normal6"/>
            </w:pPr>
            <w:r>
              <w:t>(54)</w:t>
            </w:r>
            <w:r>
              <w:tab/>
            </w:r>
            <w:r>
              <w:rPr>
                <w:rFonts w:ascii="Times New Roman" w:eastAsia="Times New Roman" w:hAnsi="Times New Roman" w:cs="Times New Roman"/>
                <w:b/>
                <w:i/>
                <w:strike w:val="0"/>
                <w:color w:val="000000"/>
                <w:sz w:val="24"/>
                <w:highlight w:val="none"/>
                <w:u w:val="none" w:color="auto"/>
              </w:rPr>
              <w:t>Genomförandet av denna förordning bör utvärderas regelbundet med särskilt beaktande av utvecklingen av medlemsstaternas internationella skyldigheter när det gäller non-refoulement samt utvecklingen av arbetsmarknaderna i medlemsstaterna och av de gemensamma grundläggande principerna för integration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Ändringsförslaget återinför punkt 48 i 2011 års direktiv som anger att ”Genomförandet av detta direktiv bör utvärderas regelbundet med särskilt beaktande av utvecklingen av medlemsstaternas internationella skyldigheter när det gäller non-refoulement samt utvecklingen av arbetsmarknaderna i medlemsstaterna och av de gemensamma grundläggande principerna för integration.”</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288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(54)</w:t>
            </w:r>
            <w:r>
              <w:tab/>
            </w:r>
            <w:r>
              <w:t xml:space="preserve">En effektiv övervakning av genomförandet av </w:t>
            </w:r>
            <w:r>
              <w:rPr>
                <w:rFonts w:ascii="Times New Roman" w:eastAsia="Times New Roman" w:hAnsi="Times New Roman" w:cs="Times New Roman"/>
                <w:b/>
                <w:i/>
                <w:strike w:val="0"/>
                <w:color w:val="000000"/>
                <w:sz w:val="24"/>
                <w:highlight w:val="none"/>
                <w:u w:val="none" w:color="auto"/>
              </w:rPr>
              <w:t>denna förordning</w:t>
            </w:r>
            <w:r>
              <w:t xml:space="preserve"> förutsätter att </w:t>
            </w:r>
            <w:r>
              <w:rPr>
                <w:rFonts w:ascii="Times New Roman" w:eastAsia="Times New Roman" w:hAnsi="Times New Roman" w:cs="Times New Roman"/>
                <w:b/>
                <w:i/>
                <w:strike w:val="0"/>
                <w:color w:val="000000"/>
                <w:sz w:val="24"/>
                <w:highlight w:val="none"/>
                <w:u w:val="none" w:color="auto"/>
              </w:rPr>
              <w:t>den</w:t>
            </w:r>
            <w:r>
              <w:t xml:space="preserve"> utvärderas regelbundet.</w:t>
            </w:r>
          </w:p>
        </w:tc>
        <w:tc>
          <w:tcPr/>
          <w:p>
            <w:pPr>
              <w:pStyle w:val="Normal6"/>
            </w:pPr>
            <w:r>
              <w:t>(54)</w:t>
            </w:r>
            <w:r>
              <w:tab/>
            </w:r>
            <w:r>
              <w:t xml:space="preserve">En effektiv övervakning av </w:t>
            </w:r>
            <w:r>
              <w:rPr>
                <w:rFonts w:ascii="Times New Roman" w:eastAsia="Times New Roman" w:hAnsi="Times New Roman" w:cs="Times New Roman"/>
                <w:b/>
                <w:i/>
                <w:strike w:val="0"/>
                <w:color w:val="000000"/>
                <w:sz w:val="24"/>
                <w:highlight w:val="none"/>
                <w:u w:val="none" w:color="auto"/>
              </w:rPr>
              <w:t xml:space="preserve">införlivandet och </w:t>
            </w:r>
            <w:r>
              <w:t xml:space="preserve">genomförandet av </w:t>
            </w:r>
            <w:r>
              <w:rPr>
                <w:rFonts w:ascii="Times New Roman" w:eastAsia="Times New Roman" w:hAnsi="Times New Roman" w:cs="Times New Roman"/>
                <w:b/>
                <w:i/>
                <w:strike w:val="0"/>
                <w:color w:val="000000"/>
                <w:sz w:val="24"/>
                <w:highlight w:val="none"/>
                <w:u w:val="none" w:color="auto"/>
              </w:rPr>
              <w:t>detta direktiv</w:t>
            </w:r>
            <w:r>
              <w:t xml:space="preserve"> förutsätter att </w:t>
            </w:r>
            <w:r>
              <w:rPr>
                <w:rFonts w:ascii="Times New Roman" w:eastAsia="Times New Roman" w:hAnsi="Times New Roman" w:cs="Times New Roman"/>
                <w:b/>
                <w:i/>
                <w:strike w:val="0"/>
                <w:color w:val="000000"/>
                <w:sz w:val="24"/>
                <w:highlight w:val="none"/>
                <w:u w:val="none" w:color="auto"/>
              </w:rPr>
              <w:t>det</w:t>
            </w:r>
            <w:r>
              <w:t xml:space="preserve"> utvärderas regelbundet.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289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(55)</w:t>
            </w:r>
            <w:r>
              <w:tab/>
            </w:r>
            <w:r>
              <w:t xml:space="preserve">För att säkerställa enhetliga villkor för genomförandet av </w:t>
            </w:r>
            <w:r>
              <w:rPr>
                <w:rFonts w:ascii="Times New Roman" w:eastAsia="Times New Roman" w:hAnsi="Times New Roman" w:cs="Times New Roman"/>
                <w:b/>
                <w:i/>
                <w:strike w:val="0"/>
                <w:color w:val="000000"/>
                <w:sz w:val="24"/>
                <w:highlight w:val="none"/>
                <w:u w:val="none" w:color="auto"/>
              </w:rPr>
              <w:t>denna förordning</w:t>
            </w:r>
            <w:r>
              <w:t xml:space="preserve"> när det gäller form och innehåll i den information som ska tillhandahållas, bör kommissionen tilldelas genomförandebefogenheter. Dessa befogenheter bör utövas i enlighet med Europaparlamentets och rådets förordning (EU) nr 182/2011 av den 16 februari 2011 om fastställande av allmänna regler och principer för medlemsstaternas kontroll av kommissionens utövande av sina genomförandebefogenheter</w:t>
            </w:r>
            <w:r>
              <w:rPr>
                <w:rStyle w:val="Sup"/>
              </w:rPr>
              <w:t>42</w:t>
            </w:r>
            <w:r>
              <w:rPr>
                <w:rFonts w:ascii="Times New Roman" w:eastAsia="Times New Roman" w:hAnsi="Times New Roman" w:cs="Times New Roman"/>
                <w:b/>
                <w:i/>
                <w:strike w:val="0"/>
                <w:color w:val="000000"/>
                <w:sz w:val="24"/>
                <w:highlight w:val="none"/>
                <w:u w:val="none" w:color="auto"/>
              </w:rPr>
              <w:t xml:space="preserve"> </w:t>
            </w:r>
            <w:r>
              <w:t>.</w:t>
            </w:r>
          </w:p>
        </w:tc>
        <w:tc>
          <w:tcPr/>
          <w:p>
            <w:pPr>
              <w:pStyle w:val="Normal6"/>
            </w:pPr>
            <w:r>
              <w:t>(55)</w:t>
            </w:r>
            <w:r>
              <w:tab/>
            </w:r>
            <w:r>
              <w:t xml:space="preserve">För att säkerställa enhetliga villkor för genomförandet av </w:t>
            </w:r>
            <w:r>
              <w:rPr>
                <w:rFonts w:ascii="Times New Roman" w:eastAsia="Times New Roman" w:hAnsi="Times New Roman" w:cs="Times New Roman"/>
                <w:b/>
                <w:i/>
                <w:strike w:val="0"/>
                <w:color w:val="000000"/>
                <w:sz w:val="24"/>
                <w:highlight w:val="none"/>
                <w:u w:val="none" w:color="auto"/>
              </w:rPr>
              <w:t>detta direktiv</w:t>
            </w:r>
            <w:r>
              <w:t xml:space="preserve"> när det gäller form och innehåll i den information som ska tillhandahållas, bör kommissionen tilldelas genomförandebefogenheter. Dessa befogenheter bör utövas i enlighet med Europaparlamentets och rådets förordning (EU) nr 182/2011 av den 16 februari 2011 om fastställande av allmänna regler och principer för medlemsstaternas kontroll av kommissionens utövande av sina genomförandebefogenheter</w:t>
            </w:r>
            <w:r>
              <w:rPr>
                <w:rStyle w:val="Sup"/>
              </w:rPr>
              <w:t>42</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42</w:t>
            </w:r>
            <w:r>
              <w:t xml:space="preserve"> </w:t>
            </w:r>
            <w:r>
              <w:t>EUT L 55, 28.2.2011, s. 13.</w:t>
            </w:r>
          </w:p>
        </w:tc>
        <w:tc>
          <w:tcPr/>
          <w:p>
            <w:pPr>
              <w:pStyle w:val="Normal6"/>
            </w:pPr>
            <w:r>
              <w:rPr>
                <w:rStyle w:val="Sup"/>
              </w:rPr>
              <w:t>42</w:t>
            </w:r>
            <w:r>
              <w:t xml:space="preserve"> </w:t>
            </w:r>
            <w:r>
              <w:t>EUT L 55, 28.2.2011, s. 13.</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290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(56)</w:t>
            </w:r>
            <w:r>
              <w:tab/>
            </w:r>
            <w:r>
              <w:rPr>
                <w:rFonts w:ascii="Times New Roman" w:eastAsia="Times New Roman" w:hAnsi="Times New Roman" w:cs="Times New Roman"/>
                <w:b/>
                <w:i/>
                <w:strike w:val="0"/>
                <w:color w:val="000000"/>
                <w:sz w:val="24"/>
                <w:highlight w:val="none"/>
                <w:u w:val="none" w:color="auto"/>
              </w:rPr>
              <w:t>Eftersom målen för denna förordning, nämligen att fastställa normer för medlemsstaternas beviljande av internationellt skydd till tredjelandsmedborgare och statslösa personer, för en enhetlig status för flyktingar och person som uppfyller kraven för att betecknas som subsidiärt skyddsbehövande, och för innehållet i det beviljade skyddet, inte i tillräcklig utsträckning kan uppnås av medlemsstaterna och de därför, på grund av förordningens omfattning och verkningar, bättre kan uppnås på unionsnivå, kan unionen vidta åtgärder i enlighet med subsidiaritetsprincipen i artikel 5 i EU-fördraget. I enlighet med proportionalitetsprincipen i samma artikel går denna förordning inte utöver vad som är nödvändigt för att uppnå dessa mål.</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291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(56)</w:t>
            </w:r>
            <w:r>
              <w:tab/>
            </w:r>
            <w:r>
              <w:rPr>
                <w:rFonts w:ascii="Times New Roman" w:eastAsia="Times New Roman" w:hAnsi="Times New Roman" w:cs="Times New Roman"/>
                <w:b/>
                <w:i/>
                <w:strike w:val="0"/>
                <w:color w:val="000000"/>
                <w:sz w:val="24"/>
                <w:highlight w:val="none"/>
                <w:u w:val="none" w:color="auto"/>
              </w:rPr>
              <w:t>Eftersom målen för denna förordning, nämligen att fastställa normer för medlemsstaternas beviljande av internationellt skydd till tredjelandsmedborgare och statslösa personer, för en enhetlig status för flyktingar och person som uppfyller kraven för att betecknas som subsidiärt skyddsbehövande, och för innehållet i det beviljade skyddet, inte i tillräcklig utsträckning kan uppnås av medlemsstaterna och de därför, på grund av förordningens omfattning och verkningar, bättre kan uppnås på unionsnivå, kan unionen vidta åtgärder i enlighet med subsidiaritetsprincipen i artikel 5 i EU-fördraget. I enlighet med proportionalitetsprincipen i samma artikel går denna förordning inte utöver vad som är nödvändigt för att uppnå dessa mål.</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292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(56)</w:t>
            </w:r>
            <w:r>
              <w:tab/>
            </w:r>
            <w:r>
              <w:t xml:space="preserve">Eftersom målen för </w:t>
            </w:r>
            <w:r>
              <w:rPr>
                <w:rFonts w:ascii="Times New Roman" w:eastAsia="Times New Roman" w:hAnsi="Times New Roman" w:cs="Times New Roman"/>
                <w:b/>
                <w:i/>
                <w:strike w:val="0"/>
                <w:color w:val="000000"/>
                <w:sz w:val="24"/>
                <w:highlight w:val="none"/>
                <w:u w:val="none" w:color="auto"/>
              </w:rPr>
              <w:t>denna förordning</w:t>
            </w:r>
            <w:r>
              <w:t xml:space="preserve">, nämligen att fastställa normer för medlemsstaternas beviljande av internationellt skydd till tredjelandsmedborgare och statslösa personer, för en enhetlig status för flyktingar och person som uppfyller kraven för att betecknas som subsidiärt skyddsbehövande, och för innehållet i det beviljade skyddet, inte i tillräcklig utsträckning kan uppnås av medlemsstaterna och de därför, på grund av </w:t>
            </w:r>
            <w:r>
              <w:rPr>
                <w:rFonts w:ascii="Times New Roman" w:eastAsia="Times New Roman" w:hAnsi="Times New Roman" w:cs="Times New Roman"/>
                <w:b/>
                <w:i/>
                <w:strike w:val="0"/>
                <w:color w:val="000000"/>
                <w:sz w:val="24"/>
                <w:highlight w:val="none"/>
                <w:u w:val="none" w:color="auto"/>
              </w:rPr>
              <w:t>förordningens</w:t>
            </w:r>
            <w:r>
              <w:t xml:space="preserve"> omfattning och verkningar, bättre kan uppnås på unionsnivå, kan unionen vidta åtgärder i enlighet med subsidiaritetsprincipen i artikel 5 i EU-fördraget. I enlighet med proportionalitetsprincipen i samma artikel går </w:t>
            </w:r>
            <w:r>
              <w:rPr>
                <w:rFonts w:ascii="Times New Roman" w:eastAsia="Times New Roman" w:hAnsi="Times New Roman" w:cs="Times New Roman"/>
                <w:b/>
                <w:i/>
                <w:strike w:val="0"/>
                <w:color w:val="000000"/>
                <w:sz w:val="24"/>
                <w:highlight w:val="none"/>
                <w:u w:val="none" w:color="auto"/>
              </w:rPr>
              <w:t>denna förordning</w:t>
            </w:r>
            <w:r>
              <w:t xml:space="preserve"> inte utöver vad som är nödvändigt för att uppnå dessa mål.</w:t>
            </w:r>
          </w:p>
        </w:tc>
        <w:tc>
          <w:tcPr/>
          <w:p>
            <w:pPr>
              <w:pStyle w:val="Normal6"/>
            </w:pPr>
            <w:r>
              <w:t>(56)</w:t>
            </w:r>
            <w:r>
              <w:tab/>
            </w:r>
            <w:r>
              <w:t xml:space="preserve">Eftersom målen för </w:t>
            </w:r>
            <w:r>
              <w:rPr>
                <w:rFonts w:ascii="Times New Roman" w:eastAsia="Times New Roman" w:hAnsi="Times New Roman" w:cs="Times New Roman"/>
                <w:b/>
                <w:i/>
                <w:strike w:val="0"/>
                <w:color w:val="000000"/>
                <w:sz w:val="24"/>
                <w:highlight w:val="none"/>
                <w:u w:val="none" w:color="auto"/>
              </w:rPr>
              <w:t>detta direktiv</w:t>
            </w:r>
            <w:r>
              <w:t>, nämligen att fastställa</w:t>
            </w:r>
            <w:r>
              <w:rPr>
                <w:rFonts w:ascii="Times New Roman" w:eastAsia="Times New Roman" w:hAnsi="Times New Roman" w:cs="Times New Roman"/>
                <w:b/>
                <w:i/>
                <w:strike w:val="0"/>
                <w:color w:val="000000"/>
                <w:sz w:val="24"/>
                <w:highlight w:val="none"/>
                <w:u w:val="none" w:color="auto"/>
              </w:rPr>
              <w:t xml:space="preserve"> höga</w:t>
            </w:r>
            <w:r>
              <w:t xml:space="preserve"> normer för medlemsstaternas beviljande av internationellt skydd till tredjelandsmedborgare och statslösa personer, för en enhetlig status för flyktingar och person som uppfyller kraven för att betecknas som subsidiärt skyddsbehövande, och för innehållet i det beviljade skyddet, inte i tillräcklig utsträckning kan uppnås av medlemsstaterna och de därför, på grund av </w:t>
            </w:r>
            <w:r>
              <w:rPr>
                <w:rFonts w:ascii="Times New Roman" w:eastAsia="Times New Roman" w:hAnsi="Times New Roman" w:cs="Times New Roman"/>
                <w:b/>
                <w:i/>
                <w:strike w:val="0"/>
                <w:color w:val="000000"/>
                <w:sz w:val="24"/>
                <w:highlight w:val="none"/>
                <w:u w:val="none" w:color="auto"/>
              </w:rPr>
              <w:t>direktivets</w:t>
            </w:r>
            <w:r>
              <w:t xml:space="preserve"> omfattning och verkningar, bättre kan uppnås på unionsnivå, kan unionen vidta åtgärder i enlighet med subsidiaritetsprincipen i artikel 5 i EU-fördraget. I enlighet med proportionalitetsprincipen i samma artikel går </w:t>
            </w:r>
            <w:r>
              <w:rPr>
                <w:rFonts w:ascii="Times New Roman" w:eastAsia="Times New Roman" w:hAnsi="Times New Roman" w:cs="Times New Roman"/>
                <w:b/>
                <w:i/>
                <w:strike w:val="0"/>
                <w:color w:val="000000"/>
                <w:sz w:val="24"/>
                <w:highlight w:val="none"/>
                <w:u w:val="none" w:color="auto"/>
              </w:rPr>
              <w:t>detta direktiv</w:t>
            </w:r>
            <w:r>
              <w:t xml:space="preserve"> inte utöver vad som är nödvändigt för att uppnå dessa mål.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293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57 – stycke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[I enlighet med artikel 3 i protokoll nr 21 om Förenade kungarikets och Irlands ställning med avseende på området med frihet, säkerhet och rättvisa, fogat till fördraget om Europeiska unionen och fördraget om Europeiska unionens funktionssätt, har dessa medlemsstater meddelat att de önskar delta i antagandet och tillämpningen av </w:t>
            </w:r>
            <w:r>
              <w:rPr>
                <w:rFonts w:ascii="Times New Roman" w:eastAsia="Times New Roman" w:hAnsi="Times New Roman" w:cs="Times New Roman"/>
                <w:b/>
                <w:i/>
                <w:strike w:val="0"/>
                <w:color w:val="000000"/>
                <w:sz w:val="24"/>
                <w:highlight w:val="none"/>
                <w:u w:val="none" w:color="auto"/>
              </w:rPr>
              <w:t>denna förordning</w:t>
            </w:r>
            <w:r>
              <w:t>.]</w:t>
            </w:r>
          </w:p>
        </w:tc>
        <w:tc>
          <w:tcPr/>
          <w:p>
            <w:pPr>
              <w:pStyle w:val="Normal6"/>
            </w:pPr>
            <w:r>
              <w:t xml:space="preserve">[I enlighet med artikel 3 i protokoll nr 21 om Förenade kungarikets och Irlands ställning med avseende på området med frihet, säkerhet och rättvisa, fogat till fördraget om Europeiska unionen och fördraget om Europeiska unionens funktionssätt, har dessa medlemsstater meddelat att de önskar delta i antagandet och tillämpningen av </w:t>
            </w:r>
            <w:r>
              <w:rPr>
                <w:rFonts w:ascii="Times New Roman" w:eastAsia="Times New Roman" w:hAnsi="Times New Roman" w:cs="Times New Roman"/>
                <w:b/>
                <w:i/>
                <w:strike w:val="0"/>
                <w:color w:val="000000"/>
                <w:sz w:val="24"/>
                <w:highlight w:val="none"/>
                <w:u w:val="none" w:color="auto"/>
              </w:rPr>
              <w:t>detta direktiv</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294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57 – stycke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[I enlighet med artiklarna 1 och 2 i protokoll nr 21 om Förenade kungarikets och Irlands ställning med avseende på området med frihet, säkerhet och rättvisa, fogat till fördraget om Europeiska unionen och fördraget om Europeiska unionens funktionssätt, och utan att det påverkar tillämpningen av artikel 4 i det protokollet, deltar dessa medlemsstater inte i antagandet av </w:t>
            </w:r>
            <w:r>
              <w:rPr>
                <w:rFonts w:ascii="Times New Roman" w:eastAsia="Times New Roman" w:hAnsi="Times New Roman" w:cs="Times New Roman"/>
                <w:b/>
                <w:i/>
                <w:strike w:val="0"/>
                <w:color w:val="000000"/>
                <w:sz w:val="24"/>
                <w:highlight w:val="none"/>
                <w:u w:val="none" w:color="auto"/>
              </w:rPr>
              <w:t>denna förordning</w:t>
            </w:r>
            <w:r>
              <w:t xml:space="preserve">, som inte är bindande för eller </w:t>
            </w:r>
            <w:r>
              <w:rPr>
                <w:rFonts w:ascii="Times New Roman" w:eastAsia="Times New Roman" w:hAnsi="Times New Roman" w:cs="Times New Roman"/>
                <w:b/>
                <w:i/>
                <w:strike w:val="0"/>
                <w:color w:val="000000"/>
                <w:sz w:val="24"/>
                <w:highlight w:val="none"/>
                <w:u w:val="none" w:color="auto"/>
              </w:rPr>
              <w:t>tillämplig</w:t>
            </w:r>
            <w:r>
              <w:t xml:space="preserve"> på dem.]</w:t>
            </w:r>
          </w:p>
        </w:tc>
        <w:tc>
          <w:tcPr/>
          <w:p>
            <w:pPr>
              <w:pStyle w:val="Normal6"/>
            </w:pPr>
            <w:r>
              <w:t xml:space="preserve">[I enlighet med artiklarna 1 och 2 i protokoll nr 21 om Förenade kungarikets och Irlands ställning med avseende på området med frihet, säkerhet och rättvisa, fogat till fördraget om Europeiska unionen och fördraget om Europeiska unionens funktionssätt, och utan att det påverkar tillämpningen av artikel 4 i det protokollet, deltar dessa medlemsstater inte i antagandet av </w:t>
            </w:r>
            <w:r>
              <w:rPr>
                <w:rFonts w:ascii="Times New Roman" w:eastAsia="Times New Roman" w:hAnsi="Times New Roman" w:cs="Times New Roman"/>
                <w:b/>
                <w:i/>
                <w:strike w:val="0"/>
                <w:color w:val="000000"/>
                <w:sz w:val="24"/>
                <w:highlight w:val="none"/>
                <w:u w:val="none" w:color="auto"/>
              </w:rPr>
              <w:t>detta direktiv</w:t>
            </w:r>
            <w:r>
              <w:t xml:space="preserve">, som inte är bindande för eller </w:t>
            </w:r>
            <w:r>
              <w:rPr>
                <w:rFonts w:ascii="Times New Roman" w:eastAsia="Times New Roman" w:hAnsi="Times New Roman" w:cs="Times New Roman"/>
                <w:b/>
                <w:i/>
                <w:strike w:val="0"/>
                <w:color w:val="000000"/>
                <w:sz w:val="24"/>
                <w:highlight w:val="none"/>
                <w:u w:val="none" w:color="auto"/>
              </w:rPr>
              <w:t>tillämpligt</w:t>
            </w:r>
            <w:r>
              <w:t xml:space="preserve"> på dem.]</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295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57 – stycke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[(XX) I enlighet med artiklarna 1 och 2 i protokoll nr 21 om Förenade kungarikets och Irlands ställning med avseende på området med frihet, säkerhet och rättvisa, fogat till fördraget om Europeiska unionen och fördraget om Europeiska unionens funktionssätt, och utan att det påverkar tillämpningen av artikel 4 i det protokollet, deltar Förenade kungariket inte i antagandet av </w:t>
            </w:r>
            <w:r>
              <w:rPr>
                <w:rFonts w:ascii="Times New Roman" w:eastAsia="Times New Roman" w:hAnsi="Times New Roman" w:cs="Times New Roman"/>
                <w:b/>
                <w:i/>
                <w:strike w:val="0"/>
                <w:color w:val="000000"/>
                <w:sz w:val="24"/>
                <w:highlight w:val="none"/>
                <w:u w:val="none" w:color="auto"/>
              </w:rPr>
              <w:t>denna förordning</w:t>
            </w:r>
            <w:r>
              <w:t xml:space="preserve">, som inte är bindande för eller </w:t>
            </w:r>
            <w:r>
              <w:rPr>
                <w:rFonts w:ascii="Times New Roman" w:eastAsia="Times New Roman" w:hAnsi="Times New Roman" w:cs="Times New Roman"/>
                <w:b/>
                <w:i/>
                <w:strike w:val="0"/>
                <w:color w:val="000000"/>
                <w:sz w:val="24"/>
                <w:highlight w:val="none"/>
                <w:u w:val="none" w:color="auto"/>
              </w:rPr>
              <w:t>tillämplig</w:t>
            </w:r>
            <w:r>
              <w:t xml:space="preserve"> på Förenade kungariket.</w:t>
            </w:r>
          </w:p>
        </w:tc>
        <w:tc>
          <w:tcPr/>
          <w:p>
            <w:pPr>
              <w:pStyle w:val="Normal6"/>
            </w:pPr>
            <w:r>
              <w:t xml:space="preserve">[(XX) I enlighet med artiklarna 1 och 2 i protokoll nr 21 om Förenade kungarikets och Irlands ställning med avseende på området med frihet, säkerhet och rättvisa, fogat till fördraget om Europeiska unionen och fördraget om Europeiska unionens funktionssätt, och utan att det påverkar tillämpningen av artikel 4 i det protokollet, deltar Förenade kungariket inte i antagandet av </w:t>
            </w:r>
            <w:r>
              <w:rPr>
                <w:rFonts w:ascii="Times New Roman" w:eastAsia="Times New Roman" w:hAnsi="Times New Roman" w:cs="Times New Roman"/>
                <w:b/>
                <w:i/>
                <w:strike w:val="0"/>
                <w:color w:val="000000"/>
                <w:sz w:val="24"/>
                <w:highlight w:val="none"/>
                <w:u w:val="none" w:color="auto"/>
              </w:rPr>
              <w:t>detta direktiv</w:t>
            </w:r>
            <w:r>
              <w:t xml:space="preserve">, som inte är bindande för eller </w:t>
            </w:r>
            <w:r>
              <w:rPr>
                <w:rFonts w:ascii="Times New Roman" w:eastAsia="Times New Roman" w:hAnsi="Times New Roman" w:cs="Times New Roman"/>
                <w:b/>
                <w:i/>
                <w:strike w:val="0"/>
                <w:color w:val="000000"/>
                <w:sz w:val="24"/>
                <w:highlight w:val="none"/>
                <w:u w:val="none" w:color="auto"/>
              </w:rPr>
              <w:t>tillämpligt</w:t>
            </w:r>
            <w:r>
              <w:t xml:space="preserve"> på Förenade kungariket.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296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57 – stycke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(XX) I enlighet med artikel 3 i protokoll nr 21 om Förenade kungarikets och Irlands ställning med avseende på området med frihet, säkerhet och rättvisa, fogat till fördraget om Europeiska unionen och fördraget om Europeiska unionens funktionssätt, har Irland (genom en skrivelse av den ...) meddelat att det önskar delta i antagandet och tillämpningen av </w:t>
            </w:r>
            <w:r>
              <w:rPr>
                <w:rFonts w:ascii="Times New Roman" w:eastAsia="Times New Roman" w:hAnsi="Times New Roman" w:cs="Times New Roman"/>
                <w:b/>
                <w:i/>
                <w:strike w:val="0"/>
                <w:color w:val="000000"/>
                <w:sz w:val="24"/>
                <w:highlight w:val="none"/>
                <w:u w:val="none" w:color="auto"/>
              </w:rPr>
              <w:t>denna förordning</w:t>
            </w:r>
            <w:r>
              <w:t>.]</w:t>
            </w:r>
          </w:p>
        </w:tc>
        <w:tc>
          <w:tcPr/>
          <w:p>
            <w:pPr>
              <w:pStyle w:val="Normal6"/>
            </w:pPr>
            <w:r>
              <w:t xml:space="preserve">(XX) I enlighet med artikel 3 i protokoll nr 21 om Förenade kungarikets och Irlands ställning med avseende på området med frihet, säkerhet och rättvisa, fogat till fördraget om Europeiska unionen och fördraget om Europeiska unionens funktionssätt, har Irland (genom en skrivelse av den ...) meddelat att det önskar delta i antagandet och tillämpningen av </w:t>
            </w:r>
            <w:r>
              <w:rPr>
                <w:rFonts w:ascii="Times New Roman" w:eastAsia="Times New Roman" w:hAnsi="Times New Roman" w:cs="Times New Roman"/>
                <w:b/>
                <w:i/>
                <w:strike w:val="0"/>
                <w:color w:val="000000"/>
                <w:sz w:val="24"/>
                <w:highlight w:val="none"/>
                <w:u w:val="none" w:color="auto"/>
              </w:rPr>
              <w:t>detta direktiv</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297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57 – stycke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[(XX) I enlighet med artikel 3 i protokoll nr 21 om Förenade kungarikets och Irlands ställning med avseende på området med frihet, säkerhet och rättvisa, fogat till fördraget om Europeiska unionen och fördraget om Europeiska unionens funktionssätt, har Förenade kungariket (genom en skrivelse av den ...) meddelat att det önskar delta i antagandet och tillämpningen av </w:t>
            </w:r>
            <w:r>
              <w:rPr>
                <w:rFonts w:ascii="Times New Roman" w:eastAsia="Times New Roman" w:hAnsi="Times New Roman" w:cs="Times New Roman"/>
                <w:b/>
                <w:i/>
                <w:strike w:val="0"/>
                <w:color w:val="000000"/>
                <w:sz w:val="24"/>
                <w:highlight w:val="none"/>
                <w:u w:val="none" w:color="auto"/>
              </w:rPr>
              <w:t>denna förordning</w:t>
            </w:r>
            <w:r>
              <w:t>.</w:t>
            </w:r>
          </w:p>
        </w:tc>
        <w:tc>
          <w:tcPr/>
          <w:p>
            <w:pPr>
              <w:pStyle w:val="Normal6"/>
            </w:pPr>
            <w:r>
              <w:t>[(XX) I enlighet med artikel 3 i protokoll nr 21 om Förenade kungarikets och Irlands ställning med avseende på området med frihet, säkerhet och rättvisa, fogat till fördraget om Europeiska unionen och fördraget om Europeiska unionens funktionssätt, har Förenade kungariket (</w:t>
            </w:r>
            <w:r>
              <w:rPr>
                <w:rFonts w:ascii="Times New Roman" w:eastAsia="Times New Roman" w:hAnsi="Times New Roman" w:cs="Times New Roman"/>
                <w:b/>
                <w:i/>
                <w:strike w:val="0"/>
                <w:color w:val="000000"/>
                <w:sz w:val="24"/>
                <w:highlight w:val="none"/>
                <w:u w:val="none" w:color="auto"/>
              </w:rPr>
              <w:t xml:space="preserve">, </w:t>
            </w:r>
            <w:r>
              <w:t>genom en skrivelse av den ...</w:t>
            </w:r>
            <w:r>
              <w:rPr>
                <w:rFonts w:ascii="Times New Roman" w:eastAsia="Times New Roman" w:hAnsi="Times New Roman" w:cs="Times New Roman"/>
                <w:b/>
                <w:i/>
                <w:strike w:val="0"/>
                <w:color w:val="000000"/>
                <w:sz w:val="24"/>
                <w:highlight w:val="none"/>
                <w:u w:val="none" w:color="auto"/>
              </w:rPr>
              <w:t>,</w:t>
            </w:r>
            <w:r>
              <w:t xml:space="preserve">) meddelat att det önskar delta i antagandet och tillämpningen av </w:t>
            </w:r>
            <w:r>
              <w:rPr>
                <w:rFonts w:ascii="Times New Roman" w:eastAsia="Times New Roman" w:hAnsi="Times New Roman" w:cs="Times New Roman"/>
                <w:b/>
                <w:i/>
                <w:strike w:val="0"/>
                <w:color w:val="000000"/>
                <w:sz w:val="24"/>
                <w:highlight w:val="none"/>
                <w:u w:val="none" w:color="auto"/>
              </w:rPr>
              <w:t>detta direktiv</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298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57 – stycke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(XX) I enlighet med artiklarna 1 och 2 i protokoll nr 21 om Förenade kungarikets och Irlands ställning med avseende på området med frihet, säkerhet och rättvisa, fogat till fördraget om Europeiska unionen och fördraget om Europeiska unionens funktionssätt, och utan att det påverkar tillämpningen av artikel 4 i det protokollet, deltar Irland inte i antagandet av </w:t>
            </w:r>
            <w:r>
              <w:rPr>
                <w:rFonts w:ascii="Times New Roman" w:eastAsia="Times New Roman" w:hAnsi="Times New Roman" w:cs="Times New Roman"/>
                <w:b/>
                <w:i/>
                <w:strike w:val="0"/>
                <w:color w:val="000000"/>
                <w:sz w:val="24"/>
                <w:highlight w:val="none"/>
                <w:u w:val="none" w:color="auto"/>
              </w:rPr>
              <w:t>denna förordning</w:t>
            </w:r>
            <w:r>
              <w:t xml:space="preserve">, som inte är bindande för eller </w:t>
            </w:r>
            <w:r>
              <w:rPr>
                <w:rFonts w:ascii="Times New Roman" w:eastAsia="Times New Roman" w:hAnsi="Times New Roman" w:cs="Times New Roman"/>
                <w:b/>
                <w:i/>
                <w:strike w:val="0"/>
                <w:color w:val="000000"/>
                <w:sz w:val="24"/>
                <w:highlight w:val="none"/>
                <w:u w:val="none" w:color="auto"/>
              </w:rPr>
              <w:t>tillämplig</w:t>
            </w:r>
            <w:r>
              <w:t xml:space="preserve"> på Irland.]</w:t>
            </w:r>
          </w:p>
        </w:tc>
        <w:tc>
          <w:tcPr/>
          <w:p>
            <w:pPr>
              <w:pStyle w:val="Normal6"/>
            </w:pPr>
            <w:r>
              <w:t xml:space="preserve">(XX) I enlighet med artiklarna 1 och 2 i protokoll nr 21 om Förenade kungarikets och Irlands ställning med avseende på området med frihet, säkerhet och rättvisa, fogat till fördraget om Europeiska unionen och fördraget om Europeiska unionens funktionssätt, och utan att det påverkar tillämpningen av artikel 4 i det protokollet, deltar Irland inte i antagandet av </w:t>
            </w:r>
            <w:r>
              <w:rPr>
                <w:rFonts w:ascii="Times New Roman" w:eastAsia="Times New Roman" w:hAnsi="Times New Roman" w:cs="Times New Roman"/>
                <w:b/>
                <w:i/>
                <w:strike w:val="0"/>
                <w:color w:val="000000"/>
                <w:sz w:val="24"/>
                <w:highlight w:val="none"/>
                <w:u w:val="none" w:color="auto"/>
              </w:rPr>
              <w:t>detta direktiv</w:t>
            </w:r>
            <w:r>
              <w:t xml:space="preserve">, som inte är bindande för eller </w:t>
            </w:r>
            <w:r>
              <w:rPr>
                <w:rFonts w:ascii="Times New Roman" w:eastAsia="Times New Roman" w:hAnsi="Times New Roman" w:cs="Times New Roman"/>
                <w:b/>
                <w:i/>
                <w:strike w:val="0"/>
                <w:color w:val="000000"/>
                <w:sz w:val="24"/>
                <w:highlight w:val="none"/>
                <w:u w:val="none" w:color="auto"/>
              </w:rPr>
              <w:t>tillämpligt</w:t>
            </w:r>
            <w:r>
              <w:t xml:space="preserve"> på Irland.]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299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Skäl 58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(58)</w:t>
            </w:r>
            <w:r>
              <w:tab/>
            </w:r>
            <w:r>
              <w:t xml:space="preserve">I enlighet med artiklarna 1 och 2 i protokoll nr 22 om Danmarks ställning, fogat till </w:t>
            </w:r>
            <w:r>
              <w:rPr>
                <w:rFonts w:ascii="Times New Roman" w:eastAsia="Times New Roman" w:hAnsi="Times New Roman" w:cs="Times New Roman"/>
                <w:b/>
                <w:i/>
                <w:strike w:val="0"/>
                <w:color w:val="000000"/>
                <w:sz w:val="24"/>
                <w:highlight w:val="none"/>
                <w:u w:val="none" w:color="auto"/>
              </w:rPr>
              <w:t>fördraget om Europeiska unionen och fördraget om Europeiska unionens funktionssätt</w:t>
            </w:r>
            <w:r>
              <w:t xml:space="preserve">, deltar Danmark inte i antagandet av </w:t>
            </w:r>
            <w:r>
              <w:rPr>
                <w:rFonts w:ascii="Times New Roman" w:eastAsia="Times New Roman" w:hAnsi="Times New Roman" w:cs="Times New Roman"/>
                <w:b/>
                <w:i/>
                <w:strike w:val="0"/>
                <w:color w:val="000000"/>
                <w:sz w:val="24"/>
                <w:highlight w:val="none"/>
                <w:u w:val="none" w:color="auto"/>
              </w:rPr>
              <w:t>denna förordning</w:t>
            </w:r>
            <w:r>
              <w:t xml:space="preserve">, som inte är bindande för eller </w:t>
            </w:r>
            <w:r>
              <w:rPr>
                <w:rFonts w:ascii="Times New Roman" w:eastAsia="Times New Roman" w:hAnsi="Times New Roman" w:cs="Times New Roman"/>
                <w:b/>
                <w:i/>
                <w:strike w:val="0"/>
                <w:color w:val="000000"/>
                <w:sz w:val="24"/>
                <w:highlight w:val="none"/>
                <w:u w:val="none" w:color="auto"/>
              </w:rPr>
              <w:t>tillämplig</w:t>
            </w:r>
            <w:r>
              <w:t xml:space="preserve"> på Danmark.</w:t>
            </w:r>
          </w:p>
        </w:tc>
        <w:tc>
          <w:tcPr/>
          <w:p>
            <w:pPr>
              <w:pStyle w:val="Normal6"/>
            </w:pPr>
            <w:r>
              <w:t>(58)</w:t>
            </w:r>
            <w:r>
              <w:tab/>
            </w:r>
            <w:r>
              <w:t xml:space="preserve">I enlighet med artiklarna 1 och 2 i protokoll </w:t>
            </w:r>
            <w:r>
              <w:rPr>
                <w:rFonts w:ascii="Times New Roman" w:eastAsia="Times New Roman" w:hAnsi="Times New Roman" w:cs="Times New Roman"/>
                <w:b/>
                <w:i/>
                <w:strike w:val="0"/>
                <w:color w:val="000000"/>
                <w:sz w:val="24"/>
                <w:highlight w:val="none"/>
                <w:u w:val="none" w:color="auto"/>
              </w:rPr>
              <w:t>(</w:t>
            </w:r>
            <w:r>
              <w:t>nr 22</w:t>
            </w:r>
            <w:r>
              <w:rPr>
                <w:rFonts w:ascii="Times New Roman" w:eastAsia="Times New Roman" w:hAnsi="Times New Roman" w:cs="Times New Roman"/>
                <w:b/>
                <w:i/>
                <w:strike w:val="0"/>
                <w:color w:val="000000"/>
                <w:sz w:val="24"/>
                <w:highlight w:val="none"/>
                <w:u w:val="none" w:color="auto"/>
              </w:rPr>
              <w:t>)</w:t>
            </w:r>
            <w:r>
              <w:t xml:space="preserve"> om Danmarks ställning, fogat till </w:t>
            </w:r>
            <w:r>
              <w:rPr>
                <w:rFonts w:ascii="Times New Roman" w:eastAsia="Times New Roman" w:hAnsi="Times New Roman" w:cs="Times New Roman"/>
                <w:b/>
                <w:i/>
                <w:strike w:val="0"/>
                <w:color w:val="000000"/>
                <w:sz w:val="24"/>
                <w:highlight w:val="none"/>
                <w:u w:val="none" w:color="auto"/>
              </w:rPr>
              <w:t>EU-fördraget och EUF-fördraget</w:t>
            </w:r>
            <w:r>
              <w:t xml:space="preserve">, deltar Danmark inte i antagandet av </w:t>
            </w:r>
            <w:r>
              <w:rPr>
                <w:rFonts w:ascii="Times New Roman" w:eastAsia="Times New Roman" w:hAnsi="Times New Roman" w:cs="Times New Roman"/>
                <w:b/>
                <w:i/>
                <w:strike w:val="0"/>
                <w:color w:val="000000"/>
                <w:sz w:val="24"/>
                <w:highlight w:val="none"/>
                <w:u w:val="none" w:color="auto"/>
              </w:rPr>
              <w:t>detta direktiv</w:t>
            </w:r>
            <w:r>
              <w:t xml:space="preserve">, som inte är bindande för eller </w:t>
            </w:r>
            <w:r>
              <w:rPr>
                <w:rFonts w:ascii="Times New Roman" w:eastAsia="Times New Roman" w:hAnsi="Times New Roman" w:cs="Times New Roman"/>
                <w:b/>
                <w:i/>
                <w:strike w:val="0"/>
                <w:color w:val="000000"/>
                <w:sz w:val="24"/>
                <w:highlight w:val="none"/>
                <w:u w:val="none" w:color="auto"/>
              </w:rPr>
              <w:t>tillämpligt</w:t>
            </w:r>
            <w:r>
              <w:t xml:space="preserve"> på Danmark.</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300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1 – stycke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I </w:t>
            </w:r>
            <w:r>
              <w:rPr>
                <w:rFonts w:ascii="Times New Roman" w:eastAsia="Times New Roman" w:hAnsi="Times New Roman" w:cs="Times New Roman"/>
                <w:b/>
                <w:i/>
                <w:strike w:val="0"/>
                <w:color w:val="000000"/>
                <w:sz w:val="24"/>
                <w:highlight w:val="none"/>
                <w:u w:val="none" w:color="auto"/>
              </w:rPr>
              <w:t>denna förordning</w:t>
            </w:r>
            <w:r>
              <w:t xml:space="preserve"> fastställs normer för</w:t>
            </w:r>
          </w:p>
        </w:tc>
        <w:tc>
          <w:tcPr/>
          <w:p>
            <w:pPr>
              <w:pStyle w:val="Normal6"/>
            </w:pPr>
            <w:r>
              <w:t>I </w:t>
            </w:r>
            <w:r>
              <w:rPr>
                <w:rFonts w:ascii="Times New Roman" w:eastAsia="Times New Roman" w:hAnsi="Times New Roman" w:cs="Times New Roman"/>
                <w:b/>
                <w:i/>
                <w:strike w:val="0"/>
                <w:color w:val="000000"/>
                <w:sz w:val="24"/>
                <w:highlight w:val="none"/>
                <w:u w:val="none" w:color="auto"/>
              </w:rPr>
              <w:t>detta direktiv</w:t>
            </w:r>
            <w:r>
              <w:t xml:space="preserve"> fastställs normer för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301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Birgit Sippel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1 – punkt 1a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Utan att det påverkar tillämpningen av punkt 1, ska medlemsstaterna ha kvar möjligheten att bevilja familjemedlemmar flyktingstatus eller status som subsidiärt skyddsbehövande i enlighet med nationell lag, oavsett risk för förföljelser eller allvarlig skada, i syfte att upprätta en enhetlig rättslig status inom familjen.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302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I </w:t>
            </w:r>
            <w:r>
              <w:rPr>
                <w:rFonts w:ascii="Times New Roman" w:eastAsia="Times New Roman" w:hAnsi="Times New Roman" w:cs="Times New Roman"/>
                <w:b/>
                <w:i/>
                <w:strike w:val="0"/>
                <w:color w:val="000000"/>
                <w:sz w:val="24"/>
                <w:highlight w:val="none"/>
                <w:u w:val="none" w:color="auto"/>
              </w:rPr>
              <w:t>denna förordning</w:t>
            </w:r>
            <w:r>
              <w:t xml:space="preserve"> gäller följande definitioner:</w:t>
            </w:r>
          </w:p>
        </w:tc>
        <w:tc>
          <w:tcPr/>
          <w:p>
            <w:pPr>
              <w:pStyle w:val="Normal6"/>
            </w:pPr>
            <w:r>
              <w:t xml:space="preserve">I </w:t>
            </w:r>
            <w:r>
              <w:rPr>
                <w:rFonts w:ascii="Times New Roman" w:eastAsia="Times New Roman" w:hAnsi="Times New Roman" w:cs="Times New Roman"/>
                <w:b/>
                <w:i/>
                <w:strike w:val="0"/>
                <w:color w:val="000000"/>
                <w:sz w:val="24"/>
                <w:highlight w:val="none"/>
                <w:u w:val="none" w:color="auto"/>
              </w:rPr>
              <w:t>detta direktiv</w:t>
            </w:r>
            <w:r>
              <w:t xml:space="preserve"> gäller följande definitioner: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303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internationellt skydd: flyktingstatus </w:t>
            </w:r>
            <w:r>
              <w:rPr>
                <w:rFonts w:ascii="Times New Roman" w:eastAsia="Times New Roman" w:hAnsi="Times New Roman" w:cs="Times New Roman"/>
                <w:b/>
                <w:i/>
                <w:strike w:val="0"/>
                <w:color w:val="000000"/>
                <w:sz w:val="24"/>
                <w:highlight w:val="none"/>
                <w:u w:val="none" w:color="auto"/>
              </w:rPr>
              <w:t xml:space="preserve">och status som subsidiärt skyddsbehövande </w:t>
            </w:r>
            <w:r>
              <w:t xml:space="preserve">enligt </w:t>
            </w:r>
            <w:r>
              <w:rPr>
                <w:rFonts w:ascii="Times New Roman" w:eastAsia="Times New Roman" w:hAnsi="Times New Roman" w:cs="Times New Roman"/>
                <w:b/>
                <w:i/>
                <w:strike w:val="0"/>
                <w:color w:val="000000"/>
                <w:sz w:val="24"/>
                <w:highlight w:val="none"/>
                <w:u w:val="none" w:color="auto"/>
              </w:rPr>
              <w:t>definitionerna i leden 4 och 6</w:t>
            </w:r>
            <w:r>
              <w:t>.</w:t>
            </w:r>
          </w:p>
        </w:tc>
        <w:tc>
          <w:tcPr/>
          <w:p>
            <w:pPr>
              <w:pStyle w:val="Normal6"/>
            </w:pPr>
            <w:r>
              <w:t>(1)</w:t>
            </w:r>
            <w:r>
              <w:tab/>
            </w:r>
            <w:r>
              <w:t xml:space="preserve">internationellt skydd: flyktingstatus enligt </w:t>
            </w:r>
            <w:r>
              <w:rPr>
                <w:rFonts w:ascii="Times New Roman" w:eastAsia="Times New Roman" w:hAnsi="Times New Roman" w:cs="Times New Roman"/>
                <w:b/>
                <w:i/>
                <w:strike w:val="0"/>
                <w:color w:val="000000"/>
                <w:sz w:val="24"/>
                <w:highlight w:val="none"/>
                <w:u w:val="none" w:color="auto"/>
              </w:rPr>
              <w:t>definitionen i led 4</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304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 xml:space="preserve">person som beviljats internationellt skydd: en person som har beviljats flyktingstatus </w:t>
            </w:r>
            <w:r>
              <w:rPr>
                <w:rFonts w:ascii="Times New Roman" w:eastAsia="Times New Roman" w:hAnsi="Times New Roman" w:cs="Times New Roman"/>
                <w:b/>
                <w:i/>
                <w:strike w:val="0"/>
                <w:color w:val="000000"/>
                <w:sz w:val="24"/>
                <w:highlight w:val="none"/>
                <w:u w:val="none" w:color="auto"/>
              </w:rPr>
              <w:t xml:space="preserve">eller status som subsidiärt skyddsbehövande </w:t>
            </w:r>
            <w:r>
              <w:t xml:space="preserve">enligt </w:t>
            </w:r>
            <w:r>
              <w:rPr>
                <w:rFonts w:ascii="Times New Roman" w:eastAsia="Times New Roman" w:hAnsi="Times New Roman" w:cs="Times New Roman"/>
                <w:b/>
                <w:i/>
                <w:strike w:val="0"/>
                <w:color w:val="000000"/>
                <w:sz w:val="24"/>
                <w:highlight w:val="none"/>
                <w:u w:val="none" w:color="auto"/>
              </w:rPr>
              <w:t>definitionerna i leden 4 och 6</w:t>
            </w:r>
            <w:r>
              <w:t>.</w:t>
            </w:r>
          </w:p>
        </w:tc>
        <w:tc>
          <w:tcPr/>
          <w:p>
            <w:pPr>
              <w:pStyle w:val="Normal6"/>
            </w:pPr>
            <w:r>
              <w:t>(2)</w:t>
            </w:r>
            <w:r>
              <w:tab/>
            </w:r>
            <w:r>
              <w:t xml:space="preserve">person som beviljats internationellt skydd: en person som har beviljats flyktingstatus enligt </w:t>
            </w:r>
            <w:r>
              <w:rPr>
                <w:rFonts w:ascii="Times New Roman" w:eastAsia="Times New Roman" w:hAnsi="Times New Roman" w:cs="Times New Roman"/>
                <w:b/>
                <w:i/>
                <w:strike w:val="0"/>
                <w:color w:val="000000"/>
                <w:sz w:val="24"/>
                <w:highlight w:val="none"/>
                <w:u w:val="none" w:color="auto"/>
              </w:rPr>
              <w:t>definitionen i led 4</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305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flykting: en tredjelandsmedborgare som med anledning av välgrundad fruktan för förföljelse på grund av ras, religion, nationalitet, politisk åskådning eller tillhörighet till viss samhällsgrupp befinner sig utanför det land där han eller hon är medborgare och som inte kan eller på grund av sin fruktan inte vill begagna sig av det landets skydd, eller en statslös person som av samma skäl befinner sig utanför det land där han eller hon tidigare hade sin vanliga vistelseort och som inte kan eller på grund av sin fruktan inte vill återvända dit och som inte omfattas av artikel 12.</w:t>
            </w:r>
          </w:p>
        </w:tc>
        <w:tc>
          <w:tcPr/>
          <w:p>
            <w:pPr>
              <w:pStyle w:val="Normal6"/>
            </w:pPr>
            <w:r>
              <w:t>(3)</w:t>
            </w:r>
            <w:r>
              <w:tab/>
            </w:r>
            <w:r>
              <w:t>flykting: en tredjelandsmedborgare som med anledning av välgrundad fruktan för förföljelse på grund av ras, religion, nationalitet, politisk åskådning</w:t>
            </w:r>
            <w:r>
              <w:rPr>
                <w:rFonts w:ascii="Times New Roman" w:eastAsia="Times New Roman" w:hAnsi="Times New Roman" w:cs="Times New Roman"/>
                <w:b/>
                <w:i/>
                <w:strike w:val="0"/>
                <w:color w:val="000000"/>
                <w:sz w:val="24"/>
                <w:highlight w:val="none"/>
                <w:u w:val="none" w:color="auto"/>
              </w:rPr>
              <w:t>, kön, sexuella läggning, könsidentitet, funktionshinder</w:t>
            </w:r>
            <w:r>
              <w:t xml:space="preserve"> eller tillhörighet till viss samhällsgrupp befinner sig utanför det land där han eller hon är medborgare och som inte kan eller på grund av sin fruktan inte vill begagna sig av det landets skydd, eller en statslös person som av samma skäl befinner sig utanför det land där han eller hon tidigare hade sin vanliga vistelseort och som inte kan eller på grund av sin fruktan inte vill återvända dit och som inte omfattas av artikel 12.</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306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(6)</w:t>
            </w:r>
            <w:r>
              <w:tab/>
            </w:r>
            <w:r>
              <w:rPr>
                <w:rFonts w:ascii="Times New Roman" w:eastAsia="Times New Roman" w:hAnsi="Times New Roman" w:cs="Times New Roman"/>
                <w:b/>
                <w:i/>
                <w:strike w:val="0"/>
                <w:color w:val="000000"/>
                <w:sz w:val="24"/>
                <w:highlight w:val="none"/>
                <w:u w:val="none" w:color="auto"/>
              </w:rPr>
              <w:t>status som subsidiärt skyddsbehövande: en medlemsstats erkännande av en tredjelandsmedborgare eller en statslös person som en person som uppfyller kraven för att betecknas som subsidiärt skyddsbehövande.</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307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(7)</w:t>
            </w:r>
            <w:r>
              <w:tab/>
            </w:r>
            <w:r>
              <w:t>ansökan om internationellt skydd: en ansökan om skydd från en medlemsstat som görs av en tredjelandsmedborgare eller en statslös person, där det finns skäl att anta att personen söker flyktingstatus</w:t>
            </w:r>
            <w:r>
              <w:rPr>
                <w:rFonts w:ascii="Times New Roman" w:eastAsia="Times New Roman" w:hAnsi="Times New Roman" w:cs="Times New Roman"/>
                <w:b/>
                <w:i/>
                <w:strike w:val="0"/>
                <w:color w:val="000000"/>
                <w:sz w:val="24"/>
                <w:highlight w:val="none"/>
                <w:u w:val="none" w:color="auto"/>
              </w:rPr>
              <w:t xml:space="preserve"> eller status som subsidiärt skyddsbehövande</w:t>
            </w:r>
            <w:r>
              <w:t>.</w:t>
            </w:r>
          </w:p>
        </w:tc>
        <w:tc>
          <w:tcPr/>
          <w:p>
            <w:pPr>
              <w:pStyle w:val="Normal6"/>
            </w:pPr>
            <w:r>
              <w:t>(7)</w:t>
            </w:r>
            <w:r>
              <w:tab/>
            </w:r>
            <w:r>
              <w:t>ansökan om internationellt skydd: en ansökan om skydd från en medlemsstat som görs av en tredjelandsmedborgare eller en statslös person, där det finns skäl att anta att personen söker flyktingstatus.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308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(9)</w:t>
            </w:r>
            <w:r>
              <w:tab/>
            </w:r>
            <w:r>
              <w:t xml:space="preserve">familjemedlemmar: följande familjemedlemmar till den person som beviljats internationellt skydd, om dessa familjemedlemmar befinner sig </w:t>
            </w:r>
            <w:r>
              <w:rPr>
                <w:rFonts w:ascii="Times New Roman" w:eastAsia="Times New Roman" w:hAnsi="Times New Roman" w:cs="Times New Roman"/>
                <w:b/>
                <w:i/>
                <w:strike w:val="0"/>
                <w:color w:val="000000"/>
                <w:sz w:val="24"/>
                <w:highlight w:val="none"/>
                <w:u w:val="none" w:color="auto"/>
              </w:rPr>
              <w:t>i</w:t>
            </w:r>
            <w:r>
              <w:t xml:space="preserve"> samma </w:t>
            </w:r>
            <w:r>
              <w:rPr>
                <w:rFonts w:ascii="Times New Roman" w:eastAsia="Times New Roman" w:hAnsi="Times New Roman" w:cs="Times New Roman"/>
                <w:b/>
                <w:i/>
                <w:strike w:val="0"/>
                <w:color w:val="000000"/>
                <w:sz w:val="24"/>
                <w:highlight w:val="none"/>
                <w:u w:val="none" w:color="auto"/>
              </w:rPr>
              <w:t>medlemsstat i fråga om ansökan om internationellt skydd och under förutsättning att familjen existerade redan innan sökanden anlände till medlemsstaternas</w:t>
            </w:r>
            <w:r>
              <w:t xml:space="preserve"> territorium:</w:t>
            </w:r>
          </w:p>
        </w:tc>
        <w:tc>
          <w:tcPr/>
          <w:p>
            <w:pPr>
              <w:pStyle w:val="Normal6"/>
            </w:pPr>
            <w:r>
              <w:t>(9)</w:t>
            </w:r>
            <w:r>
              <w:tab/>
            </w:r>
            <w:r>
              <w:t xml:space="preserve">familjemedlemmar: följande familjemedlemmar till den person som beviljats internationellt skydd, om dessa familjemedlemmar befinner sig </w:t>
            </w:r>
            <w:r>
              <w:rPr>
                <w:rFonts w:ascii="Times New Roman" w:eastAsia="Times New Roman" w:hAnsi="Times New Roman" w:cs="Times New Roman"/>
                <w:b/>
                <w:i/>
                <w:strike w:val="0"/>
                <w:color w:val="000000"/>
                <w:sz w:val="24"/>
                <w:highlight w:val="none"/>
                <w:u w:val="none" w:color="auto"/>
              </w:rPr>
              <w:t>på</w:t>
            </w:r>
            <w:r>
              <w:t xml:space="preserve"> samma </w:t>
            </w:r>
            <w:r>
              <w:rPr>
                <w:rFonts w:ascii="Times New Roman" w:eastAsia="Times New Roman" w:hAnsi="Times New Roman" w:cs="Times New Roman"/>
                <w:b/>
                <w:i/>
                <w:strike w:val="0"/>
                <w:color w:val="000000"/>
                <w:sz w:val="24"/>
                <w:highlight w:val="none"/>
                <w:u w:val="none" w:color="auto"/>
              </w:rPr>
              <w:t>medlemsstats</w:t>
            </w:r>
            <w:r>
              <w:t xml:space="preserve"> territorium:</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309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(9)</w:t>
            </w:r>
            <w:r>
              <w:tab/>
            </w:r>
            <w:r>
              <w:t xml:space="preserve">familjemedlemmar: följande familjemedlemmar till den person som beviljats internationellt skydd, om dessa familjemedlemmar befinner sig </w:t>
            </w:r>
            <w:r>
              <w:rPr>
                <w:rFonts w:ascii="Times New Roman" w:eastAsia="Times New Roman" w:hAnsi="Times New Roman" w:cs="Times New Roman"/>
                <w:b/>
                <w:i/>
                <w:strike w:val="0"/>
                <w:color w:val="000000"/>
                <w:sz w:val="24"/>
                <w:highlight w:val="none"/>
                <w:u w:val="none" w:color="auto"/>
              </w:rPr>
              <w:t>i</w:t>
            </w:r>
            <w:r>
              <w:t xml:space="preserve"> samma </w:t>
            </w:r>
            <w:r>
              <w:rPr>
                <w:rFonts w:ascii="Times New Roman" w:eastAsia="Times New Roman" w:hAnsi="Times New Roman" w:cs="Times New Roman"/>
                <w:b/>
                <w:i/>
                <w:strike w:val="0"/>
                <w:color w:val="000000"/>
                <w:sz w:val="24"/>
                <w:highlight w:val="none"/>
                <w:u w:val="none" w:color="auto"/>
              </w:rPr>
              <w:t>medlemsstat i fråga om ansökan om internationellt skydd och under förutsättning att familjen existerade redan innan sökanden anlände till medlemsstaternas</w:t>
            </w:r>
            <w:r>
              <w:t xml:space="preserve"> territorium:</w:t>
            </w:r>
          </w:p>
        </w:tc>
        <w:tc>
          <w:tcPr/>
          <w:p>
            <w:pPr>
              <w:pStyle w:val="Normal6"/>
            </w:pPr>
            <w:r>
              <w:t>(9)</w:t>
            </w:r>
            <w:r>
              <w:tab/>
            </w:r>
            <w:r>
              <w:t xml:space="preserve">familjemedlemmar: följande familjemedlemmar till den person som </w:t>
            </w:r>
            <w:r>
              <w:rPr>
                <w:rFonts w:ascii="Times New Roman" w:eastAsia="Times New Roman" w:hAnsi="Times New Roman" w:cs="Times New Roman"/>
                <w:b/>
                <w:i/>
                <w:strike w:val="0"/>
                <w:color w:val="000000"/>
                <w:sz w:val="24"/>
                <w:highlight w:val="none"/>
                <w:u w:val="none" w:color="auto"/>
              </w:rPr>
              <w:t xml:space="preserve">ansökt om eller </w:t>
            </w:r>
            <w:r>
              <w:t xml:space="preserve">beviljats internationellt skydd, om dessa familjemedlemmar befinner sig </w:t>
            </w:r>
            <w:r>
              <w:rPr>
                <w:rFonts w:ascii="Times New Roman" w:eastAsia="Times New Roman" w:hAnsi="Times New Roman" w:cs="Times New Roman"/>
                <w:b/>
                <w:i/>
                <w:strike w:val="0"/>
                <w:color w:val="000000"/>
                <w:sz w:val="24"/>
                <w:highlight w:val="none"/>
                <w:u w:val="none" w:color="auto"/>
              </w:rPr>
              <w:t>på</w:t>
            </w:r>
            <w:r>
              <w:t xml:space="preserve"> samma </w:t>
            </w:r>
            <w:r>
              <w:rPr>
                <w:rFonts w:ascii="Times New Roman" w:eastAsia="Times New Roman" w:hAnsi="Times New Roman" w:cs="Times New Roman"/>
                <w:b/>
                <w:i/>
                <w:strike w:val="0"/>
                <w:color w:val="000000"/>
                <w:sz w:val="24"/>
                <w:highlight w:val="none"/>
                <w:u w:val="none" w:color="auto"/>
              </w:rPr>
              <w:t>medlemsstats</w:t>
            </w:r>
            <w:r>
              <w:t xml:space="preserve"> territorium:</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 föreslås att inbegripa personer som ansöker om och inte enbart personer som beviljats internationellt skydd, eftersom denna definition av familjemedlemmar även tillämpas i direktivet om mottagningsvillkor (artikel 2.3 Definitioner, artikel 3 Tillämpningsområde) när det gäller situationen för personer som ansöker men som ännu inte har beviljats internationellt skydd.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310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(9)</w:t>
            </w:r>
            <w:r>
              <w:tab/>
            </w:r>
            <w:r>
              <w:t xml:space="preserve">familjemedlemmar: följande familjemedlemmar till den person som beviljats internationellt skydd, om dessa familjemedlemmar befinner sig i samma medlemsstat i fråga om ansökan om internationellt skydd och under förutsättning att familjen existerade </w:t>
            </w:r>
            <w:r>
              <w:rPr>
                <w:rFonts w:ascii="Times New Roman" w:eastAsia="Times New Roman" w:hAnsi="Times New Roman" w:cs="Times New Roman"/>
                <w:b/>
                <w:i/>
                <w:strike w:val="0"/>
                <w:color w:val="000000"/>
                <w:sz w:val="24"/>
                <w:highlight w:val="none"/>
                <w:u w:val="none" w:color="auto"/>
              </w:rPr>
              <w:t>redan innan sökanden anlände till medlemsstaternas territorium</w:t>
            </w:r>
            <w:r>
              <w:t>:</w:t>
            </w:r>
          </w:p>
        </w:tc>
        <w:tc>
          <w:tcPr/>
          <w:p>
            <w:pPr>
              <w:pStyle w:val="Normal6"/>
            </w:pPr>
            <w:r>
              <w:t>(9)</w:t>
            </w:r>
            <w:r>
              <w:tab/>
            </w:r>
            <w:r>
              <w:t xml:space="preserve">familjemedlemmar: följande familjemedlemmar till den person som beviljats internationellt skydd, om dessa familjemedlemmar befinner sig i samma medlemsstat i fråga om ansökan om internationellt skydd och under förutsättning att familjen </w:t>
            </w:r>
            <w:r>
              <w:rPr>
                <w:rFonts w:ascii="Times New Roman" w:eastAsia="Times New Roman" w:hAnsi="Times New Roman" w:cs="Times New Roman"/>
                <w:b/>
                <w:i/>
                <w:strike w:val="0"/>
                <w:color w:val="000000"/>
                <w:sz w:val="24"/>
                <w:highlight w:val="none"/>
                <w:u w:val="none" w:color="auto"/>
              </w:rPr>
              <w:t xml:space="preserve">redan </w:t>
            </w:r>
            <w:r>
              <w:t xml:space="preserve">existerade </w:t>
            </w:r>
            <w:r>
              <w:rPr>
                <w:rFonts w:ascii="Times New Roman" w:eastAsia="Times New Roman" w:hAnsi="Times New Roman" w:cs="Times New Roman"/>
                <w:b/>
                <w:i/>
                <w:strike w:val="0"/>
                <w:color w:val="000000"/>
                <w:sz w:val="24"/>
                <w:highlight w:val="none"/>
                <w:u w:val="none" w:color="auto"/>
              </w:rPr>
              <w:t>i ursprungslandet, eller, i fråga om en statslös person, i det land där han eller hon tidigare hade sin vanliga vistelseort</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311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(a)</w:t>
            </w:r>
            <w:r>
              <w:tab/>
            </w:r>
            <w:r>
              <w:t>Make eller maka till den person som beviljats internationellt skydd eller hans/hennes ogifta partner</w:t>
            </w:r>
            <w:r>
              <w:rPr>
                <w:rFonts w:ascii="Times New Roman" w:eastAsia="Times New Roman" w:hAnsi="Times New Roman" w:cs="Times New Roman"/>
                <w:b/>
                <w:i/>
                <w:strike w:val="0"/>
                <w:color w:val="000000"/>
                <w:sz w:val="24"/>
                <w:highlight w:val="none"/>
                <w:u w:val="none" w:color="auto"/>
              </w:rPr>
              <w:t xml:space="preserve"> i en stadigvarande relation, om lag eller praxis i den berörda medlemsstaten behandlar ogifta par på samma sätt som gifta enligt dess lagstiftning om tredjelandsmedborgare</w:t>
            </w:r>
            <w:r>
              <w:t>.</w:t>
            </w:r>
          </w:p>
        </w:tc>
        <w:tc>
          <w:tcPr/>
          <w:p>
            <w:pPr>
              <w:pStyle w:val="Normal6"/>
            </w:pPr>
            <w:r>
              <w:t>(a)</w:t>
            </w:r>
            <w:r>
              <w:tab/>
            </w:r>
            <w:r>
              <w:t>Make eller maka till den person som beviljats internationellt skydd eller hans/hennes ogifta partner.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312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(a)</w:t>
            </w:r>
            <w:r>
              <w:tab/>
            </w:r>
            <w:r>
              <w:t>Make eller maka till den person som beviljats internationellt skydd eller hans/hennes ogifta partner i en stadigvarande relation</w:t>
            </w:r>
            <w:r>
              <w:rPr>
                <w:rFonts w:ascii="Times New Roman" w:eastAsia="Times New Roman" w:hAnsi="Times New Roman" w:cs="Times New Roman"/>
                <w:b/>
                <w:i/>
                <w:strike w:val="0"/>
                <w:color w:val="000000"/>
                <w:sz w:val="24"/>
                <w:highlight w:val="none"/>
                <w:u w:val="none" w:color="auto"/>
              </w:rPr>
              <w:t>, om lag eller praxis i den berörda medlemsstaten behandlar ogifta par på samma sätt som gifta enligt dess lagstiftning om tredjelandsmedborgare</w:t>
            </w:r>
            <w:r>
              <w:t>.</w:t>
            </w:r>
          </w:p>
        </w:tc>
        <w:tc>
          <w:tcPr/>
          <w:p>
            <w:pPr>
              <w:pStyle w:val="Normal6"/>
            </w:pPr>
            <w:r>
              <w:t>(a)</w:t>
            </w:r>
            <w:r>
              <w:tab/>
            </w:r>
            <w:r>
              <w:t>Make eller maka till den person som beviljats internationellt skydd eller hans/hennes ogifta partner i en stadigvarande relation.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313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rPr>
                <w:rFonts w:ascii="Times New Roman" w:eastAsia="Times New Roman" w:hAnsi="Times New Roman" w:cs="Times New Roman"/>
                <w:b/>
                <w:i/>
                <w:strike w:val="0"/>
                <w:color w:val="000000"/>
                <w:sz w:val="24"/>
                <w:highlight w:val="none"/>
                <w:u w:val="none" w:color="auto"/>
              </w:rPr>
              <w:t xml:space="preserve">Underåriga </w:t>
            </w:r>
            <w:r>
              <w:rPr>
                <w:rFonts w:ascii="Times New Roman" w:eastAsia="Times New Roman" w:hAnsi="Times New Roman" w:cs="Times New Roman"/>
                <w:b/>
                <w:i/>
                <w:strike w:val="0"/>
                <w:color w:val="000000"/>
                <w:sz w:val="24"/>
                <w:highlight w:val="none"/>
                <w:u w:val="none" w:color="auto"/>
              </w:rPr>
              <w:t>barn</w:t>
            </w:r>
            <w:r>
              <w:t xml:space="preserve"> till sådana par som avses i led a eller till den person som beviljats internationellt skydd,</w:t>
            </w:r>
            <w:r>
              <w:rPr>
                <w:rFonts w:ascii="Times New Roman" w:eastAsia="Times New Roman" w:hAnsi="Times New Roman" w:cs="Times New Roman"/>
                <w:b/>
                <w:i/>
                <w:strike w:val="0"/>
                <w:color w:val="000000"/>
                <w:sz w:val="24"/>
                <w:highlight w:val="none"/>
                <w:u w:val="none" w:color="auto"/>
              </w:rPr>
              <w:t xml:space="preserve"> på villkor att de är ogifta, och</w:t>
            </w:r>
            <w:r>
              <w:t xml:space="preserve"> oavsett om de fötts inom eller utom äktenskapet eller adopterats enligt nationell lagstiftning.</w:t>
            </w:r>
          </w:p>
        </w:tc>
        <w:tc>
          <w:tcPr/>
          <w:p>
            <w:pPr>
              <w:pStyle w:val="Normal6"/>
            </w:pPr>
            <w:r>
              <w:t>(b)</w:t>
            </w:r>
            <w:r>
              <w:tab/>
            </w:r>
            <w:r>
              <w:rPr>
                <w:rFonts w:ascii="Times New Roman" w:eastAsia="Times New Roman" w:hAnsi="Times New Roman" w:cs="Times New Roman"/>
                <w:b/>
                <w:i/>
                <w:strike w:val="0"/>
                <w:color w:val="000000"/>
                <w:sz w:val="24"/>
                <w:highlight w:val="none"/>
                <w:u w:val="none" w:color="auto"/>
              </w:rPr>
              <w:t>Barn</w:t>
            </w:r>
            <w:r>
              <w:t xml:space="preserve"> till sådana par som avses i led a eller till den person som </w:t>
            </w:r>
            <w:r>
              <w:rPr>
                <w:rFonts w:ascii="Times New Roman" w:eastAsia="Times New Roman" w:hAnsi="Times New Roman" w:cs="Times New Roman"/>
                <w:b/>
                <w:i/>
                <w:strike w:val="0"/>
                <w:color w:val="000000"/>
                <w:sz w:val="24"/>
                <w:highlight w:val="none"/>
                <w:u w:val="none" w:color="auto"/>
              </w:rPr>
              <w:t xml:space="preserve">ansöker om eller </w:t>
            </w:r>
            <w:r>
              <w:t>beviljats internationellt skydd, oavsett om de fötts inom eller utom äktenskapet eller adopterats enligt nationell lagstiftning</w:t>
            </w:r>
            <w:r>
              <w:rPr>
                <w:rFonts w:ascii="Times New Roman" w:eastAsia="Times New Roman" w:hAnsi="Times New Roman" w:cs="Times New Roman"/>
                <w:b/>
                <w:i/>
                <w:strike w:val="0"/>
                <w:color w:val="000000"/>
                <w:sz w:val="24"/>
                <w:highlight w:val="none"/>
                <w:u w:val="none" w:color="auto"/>
              </w:rPr>
              <w:t>, och barn för vilka de ansvarar i rättslig eller vedertagen bemärkelse</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314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rPr>
                <w:rFonts w:ascii="Times New Roman" w:eastAsia="Times New Roman" w:hAnsi="Times New Roman" w:cs="Times New Roman"/>
                <w:b/>
                <w:i/>
                <w:strike w:val="0"/>
                <w:color w:val="000000"/>
                <w:sz w:val="24"/>
                <w:highlight w:val="none"/>
                <w:u w:val="none" w:color="auto"/>
              </w:rPr>
              <w:t xml:space="preserve">Underåriga </w:t>
            </w:r>
            <w:r>
              <w:rPr>
                <w:rFonts w:ascii="Times New Roman" w:eastAsia="Times New Roman" w:hAnsi="Times New Roman" w:cs="Times New Roman"/>
                <w:b/>
                <w:i/>
                <w:strike w:val="0"/>
                <w:color w:val="000000"/>
                <w:sz w:val="24"/>
                <w:highlight w:val="none"/>
                <w:u w:val="none" w:color="auto"/>
              </w:rPr>
              <w:t>barn</w:t>
            </w:r>
            <w:r>
              <w:t xml:space="preserve"> till sådana par som avses i led a eller till den person som beviljats internationellt skydd,</w:t>
            </w:r>
            <w:r>
              <w:rPr>
                <w:rFonts w:ascii="Times New Roman" w:eastAsia="Times New Roman" w:hAnsi="Times New Roman" w:cs="Times New Roman"/>
                <w:b/>
                <w:i/>
                <w:strike w:val="0"/>
                <w:color w:val="000000"/>
                <w:sz w:val="24"/>
                <w:highlight w:val="none"/>
                <w:u w:val="none" w:color="auto"/>
              </w:rPr>
              <w:t xml:space="preserve"> på villkor att de är ogifta, och</w:t>
            </w:r>
            <w:r>
              <w:t xml:space="preserve"> oavsett om de fötts inom eller utom äktenskapet eller adopterats enligt nationell lagstiftning.</w:t>
            </w:r>
          </w:p>
        </w:tc>
        <w:tc>
          <w:tcPr/>
          <w:p>
            <w:pPr>
              <w:pStyle w:val="Normal6"/>
            </w:pPr>
            <w:r>
              <w:t>(b)</w:t>
            </w:r>
            <w:r>
              <w:tab/>
            </w:r>
            <w:r>
              <w:rPr>
                <w:rFonts w:ascii="Times New Roman" w:eastAsia="Times New Roman" w:hAnsi="Times New Roman" w:cs="Times New Roman"/>
                <w:b/>
                <w:i/>
                <w:strike w:val="0"/>
                <w:color w:val="000000"/>
                <w:sz w:val="24"/>
                <w:highlight w:val="none"/>
                <w:u w:val="none" w:color="auto"/>
              </w:rPr>
              <w:t>Barn</w:t>
            </w:r>
            <w:r>
              <w:t xml:space="preserve"> till sådana par som avses i led a eller till den person som beviljats internationellt skydd, oavsett om de fötts inom eller utom äktenskapet eller adopterats enligt nationell lagstiftning.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315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Elly Schlein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rPr>
                <w:rFonts w:ascii="Times New Roman" w:eastAsia="Times New Roman" w:hAnsi="Times New Roman" w:cs="Times New Roman"/>
                <w:b/>
                <w:i/>
                <w:strike w:val="0"/>
                <w:color w:val="000000"/>
                <w:sz w:val="24"/>
                <w:highlight w:val="none"/>
                <w:u w:val="none" w:color="auto"/>
              </w:rPr>
              <w:t>Underåriga barn</w:t>
            </w:r>
            <w:r>
              <w:t xml:space="preserve"> till sådana par som avses i led a eller till den person som beviljats internationellt skydd,</w:t>
            </w:r>
            <w:r>
              <w:rPr>
                <w:rFonts w:ascii="Times New Roman" w:eastAsia="Times New Roman" w:hAnsi="Times New Roman" w:cs="Times New Roman"/>
                <w:b/>
                <w:i/>
                <w:strike w:val="0"/>
                <w:color w:val="000000"/>
                <w:sz w:val="24"/>
                <w:highlight w:val="none"/>
                <w:u w:val="none" w:color="auto"/>
              </w:rPr>
              <w:t xml:space="preserve"> på villkor att de är ogifta, och</w:t>
            </w:r>
            <w:r>
              <w:t xml:space="preserve"> oavsett om de fötts inom eller utom äktenskapet eller adopterats enligt nationell lagstiftning.</w:t>
            </w:r>
          </w:p>
        </w:tc>
        <w:tc>
          <w:tcPr/>
          <w:p>
            <w:pPr>
              <w:pStyle w:val="Normal6"/>
            </w:pPr>
            <w:r>
              <w:t>(b)</w:t>
            </w:r>
            <w:r>
              <w:tab/>
            </w:r>
            <w:r>
              <w:rPr>
                <w:rFonts w:ascii="Times New Roman" w:eastAsia="Times New Roman" w:hAnsi="Times New Roman" w:cs="Times New Roman"/>
                <w:b/>
                <w:i/>
                <w:strike w:val="0"/>
                <w:color w:val="000000"/>
                <w:sz w:val="24"/>
                <w:highlight w:val="none"/>
                <w:u w:val="none" w:color="auto"/>
              </w:rPr>
              <w:t>Söner och döttrar</w:t>
            </w:r>
            <w:r>
              <w:t xml:space="preserve"> till sådana par som avses i led a eller till den person som beviljats internationellt skydd, oavsett om de fötts inom eller utom äktenskapet eller adopterats enligt nationell lagstiftning.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Den sökandes söner och döttrar bör betraktas som familjemedlemmar oavsett deras ålder och civilstånd.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316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Elly Schlein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(c)</w:t>
            </w:r>
            <w:r>
              <w:tab/>
            </w:r>
            <w:r>
              <w:rPr>
                <w:rFonts w:ascii="Times New Roman" w:eastAsia="Times New Roman" w:hAnsi="Times New Roman" w:cs="Times New Roman"/>
                <w:b/>
                <w:i/>
                <w:strike w:val="0"/>
                <w:color w:val="000000"/>
                <w:sz w:val="24"/>
                <w:highlight w:val="none"/>
                <w:u w:val="none" w:color="auto"/>
              </w:rPr>
              <w:t>Fadern, modern</w:t>
            </w:r>
            <w:r>
              <w:t xml:space="preserve"> eller någon annan vuxen som ansvarar för den person som beviljats internationellt skydd enligt lag eller praxis i den berörda medlemsstaten om den som beviljats internationellt skydd är underårig</w:t>
            </w:r>
            <w:r>
              <w:rPr>
                <w:rFonts w:ascii="Times New Roman" w:eastAsia="Times New Roman" w:hAnsi="Times New Roman" w:cs="Times New Roman"/>
                <w:b/>
                <w:i/>
                <w:strike w:val="0"/>
                <w:color w:val="000000"/>
                <w:sz w:val="24"/>
                <w:highlight w:val="none"/>
                <w:u w:val="none" w:color="auto"/>
              </w:rPr>
              <w:t xml:space="preserve"> och ogift</w:t>
            </w:r>
            <w:r>
              <w:t>.</w:t>
            </w:r>
          </w:p>
        </w:tc>
        <w:tc>
          <w:tcPr/>
          <w:p>
            <w:pPr>
              <w:pStyle w:val="Normal6"/>
            </w:pPr>
            <w:r>
              <w:t>(c)</w:t>
            </w:r>
            <w:r>
              <w:tab/>
            </w:r>
            <w:r>
              <w:rPr>
                <w:rFonts w:ascii="Times New Roman" w:eastAsia="Times New Roman" w:hAnsi="Times New Roman" w:cs="Times New Roman"/>
                <w:b/>
                <w:i/>
                <w:strike w:val="0"/>
                <w:color w:val="000000"/>
                <w:sz w:val="24"/>
                <w:highlight w:val="none"/>
                <w:u w:val="none" w:color="auto"/>
              </w:rPr>
              <w:t>Den sökandes moder och fader</w:t>
            </w:r>
            <w:r>
              <w:t xml:space="preserve"> eller någon annan vuxen som ansvarar för den person som beviljats internationellt skydd enligt lag eller praxis i den berörda medlemsstaten om den som beviljats internationellt skydd är underårig.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 föreslås att stärka bestämmelserna och garantierna för familjeåterförening genom att utvidga definitionen av familjemedlemmar.</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317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(c)</w:t>
            </w:r>
            <w:r>
              <w:tab/>
            </w:r>
            <w:r>
              <w:t xml:space="preserve">Fadern, modern eller någon annan vuxen som ansvarar för den person som beviljats internationellt skydd enligt lag eller praxis i </w:t>
            </w:r>
            <w:r>
              <w:rPr>
                <w:rFonts w:ascii="Times New Roman" w:eastAsia="Times New Roman" w:hAnsi="Times New Roman" w:cs="Times New Roman"/>
                <w:b/>
                <w:i/>
                <w:strike w:val="0"/>
                <w:color w:val="000000"/>
                <w:sz w:val="24"/>
                <w:highlight w:val="none"/>
                <w:u w:val="none" w:color="auto"/>
              </w:rPr>
              <w:t>den berörda medlemsstaten om den som beviljats internationellt skydd är underårig och ogift</w:t>
            </w:r>
            <w:r>
              <w:t>.</w:t>
            </w:r>
          </w:p>
        </w:tc>
        <w:tc>
          <w:tcPr/>
          <w:p>
            <w:pPr>
              <w:pStyle w:val="Normal6"/>
            </w:pPr>
            <w:r>
              <w:t>(c)</w:t>
            </w:r>
            <w:r>
              <w:tab/>
            </w:r>
            <w:r>
              <w:t xml:space="preserve">Fadern, modern eller någon annan vuxen som ansvarar för den person som </w:t>
            </w:r>
            <w:r>
              <w:rPr>
                <w:rFonts w:ascii="Times New Roman" w:eastAsia="Times New Roman" w:hAnsi="Times New Roman" w:cs="Times New Roman"/>
                <w:b/>
                <w:i/>
                <w:strike w:val="0"/>
                <w:color w:val="000000"/>
                <w:sz w:val="24"/>
                <w:highlight w:val="none"/>
                <w:u w:val="none" w:color="auto"/>
              </w:rPr>
              <w:t xml:space="preserve">ansöker om eller </w:t>
            </w:r>
            <w:r>
              <w:t xml:space="preserve">beviljats internationellt skydd enligt lag eller praxis i </w:t>
            </w:r>
            <w:r>
              <w:rPr>
                <w:rFonts w:ascii="Times New Roman" w:eastAsia="Times New Roman" w:hAnsi="Times New Roman" w:cs="Times New Roman"/>
                <w:b/>
                <w:i/>
                <w:strike w:val="0"/>
                <w:color w:val="000000"/>
                <w:sz w:val="24"/>
                <w:highlight w:val="none"/>
                <w:u w:val="none" w:color="auto"/>
              </w:rPr>
              <w:t>ursprungslandet eller i den berörda medlemsstaten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Skuggföredraganden håller med föredraganden om att hänsyn bör tas till om barn är gifta eller ogifta vid fastställandet av familjemedlemmar.</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318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(c)</w:t>
            </w:r>
            <w:r>
              <w:tab/>
            </w:r>
            <w:r>
              <w:t>Fadern, modern eller någon annan vuxen som ansvarar för den person som beviljats internationellt skydd enligt lag eller praxis i den berörda medlemsstaten om den som beviljats internationellt skydd är underårig</w:t>
            </w:r>
            <w:r>
              <w:rPr>
                <w:rFonts w:ascii="Times New Roman" w:eastAsia="Times New Roman" w:hAnsi="Times New Roman" w:cs="Times New Roman"/>
                <w:b/>
                <w:i/>
                <w:strike w:val="0"/>
                <w:color w:val="000000"/>
                <w:sz w:val="24"/>
                <w:highlight w:val="none"/>
                <w:u w:val="none" w:color="auto"/>
              </w:rPr>
              <w:t xml:space="preserve"> och ogift</w:t>
            </w:r>
            <w:r>
              <w:t>.</w:t>
            </w:r>
          </w:p>
        </w:tc>
        <w:tc>
          <w:tcPr/>
          <w:p>
            <w:pPr>
              <w:pStyle w:val="Normal6"/>
            </w:pPr>
            <w:r>
              <w:t>(c)</w:t>
            </w:r>
            <w:r>
              <w:tab/>
            </w:r>
            <w:r>
              <w:t>Fadern, modern eller någon annan vuxen som ansvarar för den person som beviljats internationellt skydd enligt lag eller praxis i den berörda medlemsstaten om den som beviljats internationellt skydd är underårig.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319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(c)</w:t>
            </w:r>
            <w:r>
              <w:tab/>
            </w:r>
            <w:r>
              <w:t>Fadern, modern eller någon annan vuxen som ansvarar för den person som beviljats internationellt skydd enligt lag eller praxis i den berörda medlemsstaten om den som beviljats internationellt skydd är underårig</w:t>
            </w:r>
            <w:r>
              <w:rPr>
                <w:rFonts w:ascii="Times New Roman" w:eastAsia="Times New Roman" w:hAnsi="Times New Roman" w:cs="Times New Roman"/>
                <w:b/>
                <w:i/>
                <w:strike w:val="0"/>
                <w:color w:val="000000"/>
                <w:sz w:val="24"/>
                <w:highlight w:val="none"/>
                <w:u w:val="none" w:color="auto"/>
              </w:rPr>
              <w:t xml:space="preserve"> och ogift</w:t>
            </w:r>
            <w:r>
              <w:t>.</w:t>
            </w:r>
          </w:p>
        </w:tc>
        <w:tc>
          <w:tcPr/>
          <w:p>
            <w:pPr>
              <w:pStyle w:val="Normal6"/>
            </w:pPr>
            <w:r>
              <w:t>(c)</w:t>
            </w:r>
            <w:r>
              <w:tab/>
            </w:r>
            <w:r>
              <w:t>Fadern, modern eller någon annan vuxen som ansvarar för den person som beviljats internationellt skydd enligt lag eller praxis i den berörda medlemsstaten om den som beviljats internationellt skydd är underårig.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320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ca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(ca)</w:t>
            </w:r>
            <w:r>
              <w:tab/>
            </w:r>
            <w:r>
              <w:rPr>
                <w:rFonts w:ascii="Times New Roman" w:eastAsia="Times New Roman" w:hAnsi="Times New Roman" w:cs="Times New Roman"/>
                <w:b/>
                <w:i/>
                <w:strike w:val="0"/>
                <w:color w:val="000000"/>
                <w:sz w:val="24"/>
                <w:highlight w:val="none"/>
                <w:u w:val="none" w:color="auto"/>
              </w:rPr>
              <w:t>Syskon till den person som ansöker om eller beviljats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321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ca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(ca)</w:t>
            </w:r>
            <w:r>
              <w:tab/>
            </w:r>
            <w:r>
              <w:rPr>
                <w:rFonts w:ascii="Times New Roman" w:eastAsia="Times New Roman" w:hAnsi="Times New Roman" w:cs="Times New Roman"/>
                <w:b/>
                <w:i/>
                <w:strike w:val="0"/>
                <w:color w:val="000000"/>
                <w:sz w:val="24"/>
                <w:highlight w:val="none"/>
                <w:u w:val="none" w:color="auto"/>
              </w:rPr>
              <w:t>Syskon till den person som beviljats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322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Elly Schlein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ca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(ca)</w:t>
            </w:r>
            <w:r>
              <w:tab/>
            </w:r>
            <w:r>
              <w:rPr>
                <w:rFonts w:ascii="Times New Roman" w:eastAsia="Times New Roman" w:hAnsi="Times New Roman" w:cs="Times New Roman"/>
                <w:b/>
                <w:i/>
                <w:strike w:val="0"/>
                <w:color w:val="000000"/>
                <w:sz w:val="24"/>
                <w:highlight w:val="none"/>
                <w:u w:val="none" w:color="auto"/>
              </w:rPr>
              <w:t>Far- och morföräldrar till den person som ansöker om eller beviljats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 föreslås att stärka bestämmelserna och garantierna för familjeåterförening genom att utvidga definitionen av familjemedlemmar.</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323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ca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(ca)</w:t>
            </w:r>
            <w:r>
              <w:tab/>
            </w:r>
            <w:r>
              <w:rPr>
                <w:rFonts w:ascii="Times New Roman" w:eastAsia="Times New Roman" w:hAnsi="Times New Roman" w:cs="Times New Roman"/>
                <w:b/>
                <w:i/>
                <w:strike w:val="0"/>
                <w:color w:val="000000"/>
                <w:sz w:val="24"/>
                <w:highlight w:val="none"/>
                <w:u w:val="none" w:color="auto"/>
              </w:rPr>
              <w:t>Syskon till den person som beviljats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324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cb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(cb)</w:t>
            </w:r>
            <w:r>
              <w:tab/>
            </w:r>
            <w:r>
              <w:rPr>
                <w:rFonts w:ascii="Times New Roman" w:eastAsia="Times New Roman" w:hAnsi="Times New Roman" w:cs="Times New Roman"/>
                <w:b/>
                <w:i/>
                <w:strike w:val="0"/>
                <w:color w:val="000000"/>
                <w:sz w:val="24"/>
                <w:highlight w:val="none"/>
                <w:u w:val="none" w:color="auto"/>
              </w:rPr>
              <w:t>Fader, moder, far- och morföräldrar, faster/moster eller farbror/morbror till den person som beviljats internationellt skydd, oavsett om den person som beviljats internationellt skydd fötts inom eller utom äktenskapet eller adopterats enligt nationell lagstiftning.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325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cb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(cb)</w:t>
            </w:r>
            <w:r>
              <w:tab/>
            </w:r>
            <w:r>
              <w:rPr>
                <w:rFonts w:ascii="Times New Roman" w:eastAsia="Times New Roman" w:hAnsi="Times New Roman" w:cs="Times New Roman"/>
                <w:b/>
                <w:i/>
                <w:strike w:val="0"/>
                <w:color w:val="000000"/>
                <w:sz w:val="24"/>
                <w:highlight w:val="none"/>
                <w:u w:val="none" w:color="auto"/>
              </w:rPr>
              <w:t>Släktingar i rakt uppstigande led till den person som ansöker om eller beviljats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326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Elly Schlein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cb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(cb)</w:t>
            </w:r>
            <w:r>
              <w:tab/>
            </w:r>
            <w:r>
              <w:rPr>
                <w:rFonts w:ascii="Times New Roman" w:eastAsia="Times New Roman" w:hAnsi="Times New Roman" w:cs="Times New Roman"/>
                <w:b/>
                <w:i/>
                <w:strike w:val="0"/>
                <w:color w:val="000000"/>
                <w:sz w:val="24"/>
                <w:highlight w:val="none"/>
                <w:u w:val="none" w:color="auto"/>
              </w:rPr>
              <w:t>Den sökandes barnbarn.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 föreslås att stärka bestämmelserna och garantierna för familjeåterförening genom att utvidga definitionen av familjemedlemmar.</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327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stycke 1 – led 9 – led cc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(cc)</w:t>
            </w:r>
            <w:r>
              <w:tab/>
            </w:r>
            <w:r>
              <w:rPr>
                <w:rFonts w:ascii="Times New Roman" w:eastAsia="Times New Roman" w:hAnsi="Times New Roman" w:cs="Times New Roman"/>
                <w:b/>
                <w:i/>
                <w:strike w:val="0"/>
                <w:color w:val="000000"/>
                <w:sz w:val="24"/>
                <w:highlight w:val="none"/>
                <w:u w:val="none" w:color="auto"/>
              </w:rPr>
              <w:t xml:space="preserve">Referensperson: medborgare i en medlemsstat, eller medborgare i ett tredjeland, som fått tillstånd av en medlemsstat att uppehålla sig på dennes territorium som innehavare av ett uppehållstillstånd som utfärdats enligt unionslagstiftningen eller nationell lagstiftning i den medlemsstaten för en period på ett år eller längre. </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328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led 1 – led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(10)</w:t>
            </w:r>
            <w:r>
              <w:tab/>
            </w:r>
            <w:r>
              <w:t xml:space="preserve">underårig: en tredjelandsmedborgare eller statslös person </w:t>
            </w:r>
            <w:r>
              <w:rPr>
                <w:rFonts w:ascii="Times New Roman" w:eastAsia="Times New Roman" w:hAnsi="Times New Roman" w:cs="Times New Roman"/>
                <w:b/>
                <w:i/>
                <w:strike w:val="0"/>
                <w:color w:val="000000"/>
                <w:sz w:val="24"/>
                <w:highlight w:val="none"/>
                <w:u w:val="none" w:color="auto"/>
              </w:rPr>
              <w:t>under</w:t>
            </w:r>
            <w:r>
              <w:t xml:space="preserve"> 18 år.</w:t>
            </w:r>
          </w:p>
        </w:tc>
        <w:tc>
          <w:tcPr/>
          <w:p>
            <w:pPr>
              <w:pStyle w:val="Normal6"/>
            </w:pPr>
            <w:r>
              <w:t>(10)</w:t>
            </w:r>
            <w:r>
              <w:tab/>
            </w:r>
            <w:r>
              <w:t xml:space="preserve">underårig: en tredjelandsmedborgare eller statslös person </w:t>
            </w:r>
            <w:r>
              <w:rPr>
                <w:rFonts w:ascii="Times New Roman" w:eastAsia="Times New Roman" w:hAnsi="Times New Roman" w:cs="Times New Roman"/>
                <w:b/>
                <w:i/>
                <w:strike w:val="0"/>
                <w:color w:val="000000"/>
                <w:sz w:val="24"/>
                <w:highlight w:val="none"/>
                <w:u w:val="none" w:color="auto"/>
              </w:rPr>
              <w:t>som är yngre än</w:t>
            </w:r>
            <w:r>
              <w:t xml:space="preserve"> 18 år</w:t>
            </w:r>
            <w:r>
              <w:rPr>
                <w:rFonts w:ascii="Times New Roman" w:eastAsia="Times New Roman" w:hAnsi="Times New Roman" w:cs="Times New Roman"/>
                <w:b/>
                <w:i/>
                <w:strike w:val="0"/>
                <w:color w:val="000000"/>
                <w:sz w:val="24"/>
                <w:highlight w:val="none"/>
                <w:u w:val="none" w:color="auto"/>
              </w:rPr>
              <w:t xml:space="preserve"> när hans/hennes ansökan om internationellt skydd läggs fram</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329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led 1 – led 10a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(10a)</w:t>
            </w:r>
            <w:r>
              <w:tab/>
            </w:r>
            <w:r>
              <w:rPr>
                <w:rFonts w:ascii="Times New Roman" w:eastAsia="Times New Roman" w:hAnsi="Times New Roman" w:cs="Times New Roman"/>
                <w:b/>
                <w:i/>
                <w:strike w:val="0"/>
                <w:color w:val="000000"/>
                <w:sz w:val="24"/>
                <w:highlight w:val="none"/>
                <w:u w:val="none" w:color="auto"/>
              </w:rPr>
              <w:t>barn: en tredjelandsmedborgare eller statslös person som är yngre än 18 år när hans/hennes ansökan om internationellt skydd läggs fram.</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330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led 1 – led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(11)</w:t>
            </w:r>
            <w:r>
              <w:tab/>
            </w:r>
            <w:r>
              <w:t>ensamkommande barn: en underårig som anländer till medlemsstaternas territorium utan en medföljande vuxen som enligt lag eller praxis i den berörda medlemsstaten ansvarar för honom eller henne, så länge vederbörande inte faktiskt tas om hand av en sådan person,</w:t>
            </w:r>
            <w:r>
              <w:rPr>
                <w:rFonts w:ascii="Times New Roman" w:eastAsia="Times New Roman" w:hAnsi="Times New Roman" w:cs="Times New Roman"/>
                <w:b/>
                <w:i/>
                <w:strike w:val="0"/>
                <w:color w:val="000000"/>
                <w:sz w:val="24"/>
                <w:highlight w:val="none"/>
                <w:u w:val="none" w:color="auto"/>
              </w:rPr>
              <w:t xml:space="preserve"> inbegripet en underårig som har lämnas ensam utan medföljande vuxen efter det att han eller hon rest in på medlemsstaternas territorium.</w:t>
            </w:r>
          </w:p>
        </w:tc>
        <w:tc>
          <w:tcPr/>
          <w:p>
            <w:pPr>
              <w:pStyle w:val="Normal6"/>
            </w:pPr>
            <w:r>
              <w:t>(11)</w:t>
            </w:r>
            <w:r>
              <w:tab/>
            </w:r>
            <w:r>
              <w:t>ensamkommande barn: en underårig som anländer till medlemsstaternas territorium utan en medföljande vuxen som enligt lag eller praxis i den berörda medlemsstaten ansvarar för honom eller henne, så länge vederbörande inte faktiskt tas om hand av en sådan person,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331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led 1 – led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(14)</w:t>
            </w:r>
            <w:r>
              <w:tab/>
            </w:r>
            <w:r>
              <w:t>återkallande av internationellt skydd: ett beslut av en behörig myndighet om att återkalla, upphäva eller vägra att förnya en persons flyktingstatus</w:t>
            </w:r>
            <w:r>
              <w:rPr>
                <w:rFonts w:ascii="Times New Roman" w:eastAsia="Times New Roman" w:hAnsi="Times New Roman" w:cs="Times New Roman"/>
                <w:b/>
                <w:i/>
                <w:strike w:val="0"/>
                <w:color w:val="000000"/>
                <w:sz w:val="24"/>
                <w:highlight w:val="none"/>
                <w:u w:val="none" w:color="auto"/>
              </w:rPr>
              <w:t xml:space="preserve"> eller status som subsidiärt skyddsbehövande</w:t>
            </w:r>
            <w:r>
              <w:t>.</w:t>
            </w:r>
          </w:p>
        </w:tc>
        <w:tc>
          <w:tcPr/>
          <w:p>
            <w:pPr>
              <w:pStyle w:val="Normal6"/>
            </w:pPr>
            <w:r>
              <w:t>(14)</w:t>
            </w:r>
            <w:r>
              <w:tab/>
            </w:r>
            <w:r>
              <w:t>återkallande av internationellt skydd: ett beslut av en behörig myndighet om att återkalla, upphäva eller vägra att förnya en persons flyktingstatus.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332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led 1 – led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(15)</w:t>
            </w:r>
            <w:r>
              <w:tab/>
            </w:r>
            <w:r>
              <w:t>efterföljande ansökan: en ytterligare ansökan om internationellt skydd som görs i någon medlemsstat efter det att ett slutligt beslut har fattats om en tidigare ansökan, inklusive fall där sökanden uttryckligen har återkallat sin ansökan</w:t>
            </w:r>
            <w:r>
              <w:rPr>
                <w:rFonts w:ascii="Times New Roman" w:eastAsia="Times New Roman" w:hAnsi="Times New Roman" w:cs="Times New Roman"/>
                <w:b/>
                <w:i/>
                <w:strike w:val="0"/>
                <w:color w:val="000000"/>
                <w:sz w:val="24"/>
                <w:highlight w:val="none"/>
                <w:u w:val="none" w:color="auto"/>
              </w:rPr>
              <w:t xml:space="preserve"> eller där den beslutande myndigheten har avslagit en ansökan såsom avstådd från sedan den återkallats implicit</w:t>
            </w:r>
            <w:r>
              <w:t>.</w:t>
            </w:r>
          </w:p>
        </w:tc>
        <w:tc>
          <w:tcPr/>
          <w:p>
            <w:pPr>
              <w:pStyle w:val="Normal6"/>
            </w:pPr>
            <w:r>
              <w:t>(15)</w:t>
            </w:r>
            <w:r>
              <w:tab/>
            </w:r>
            <w:r>
              <w:t>efterföljande ansökan: en ytterligare ansökan om internationellt skydd som görs i någon medlemsstat efter det att ett slutligt beslut har fattats om en tidigare ansökan, inklusive fall där sökanden uttryckligen har återkallat sin ansökan.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333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led 1 – led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(16)</w:t>
            </w:r>
            <w:r>
              <w:tab/>
            </w:r>
            <w:r>
              <w:t>beslutande myndighet: en myndighet med domstolsliknande uppgifter eller en administrativ myndighet i en medlemsstat som är ansvarig för att pröva ansökningar om internationellt skydd och behörig att fatta beslut i första instans i sådana ärenden.</w:t>
            </w:r>
          </w:p>
        </w:tc>
        <w:tc>
          <w:tcPr/>
          <w:p>
            <w:pPr>
              <w:pStyle w:val="Normal6"/>
            </w:pPr>
            <w:r>
              <w:t>(16)</w:t>
            </w:r>
            <w:r>
              <w:tab/>
            </w:r>
            <w:r>
              <w:t xml:space="preserve">beslutande myndighet: en </w:t>
            </w:r>
            <w:r>
              <w:rPr>
                <w:rFonts w:ascii="Times New Roman" w:eastAsia="Times New Roman" w:hAnsi="Times New Roman" w:cs="Times New Roman"/>
                <w:b/>
                <w:i/>
                <w:strike w:val="0"/>
                <w:color w:val="000000"/>
                <w:sz w:val="24"/>
                <w:highlight w:val="none"/>
                <w:u w:val="none" w:color="auto"/>
              </w:rPr>
              <w:t xml:space="preserve">rättslig myndighet, en </w:t>
            </w:r>
            <w:r>
              <w:t>myndighet med domstolsliknande uppgifter eller en administrativ myndighet i en medlemsstat som är ansvarig för att pröva ansökningar om internationellt skydd och behörig att fatta beslut i första instans i sådana ärenden.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334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t xml:space="preserve">, </w:t>
      </w:r>
      <w:r>
        <w:t>Helga Stevens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led 1 – led 17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(17)</w:t>
            </w:r>
            <w:r>
              <w:tab/>
            </w:r>
            <w:r>
              <w:t xml:space="preserve">social trygghet: de grenar av den sociala tryggheten som </w:t>
            </w:r>
            <w:r>
              <w:rPr>
                <w:rFonts w:ascii="Times New Roman" w:eastAsia="Times New Roman" w:hAnsi="Times New Roman" w:cs="Times New Roman"/>
                <w:b/>
                <w:i/>
                <w:strike w:val="0"/>
                <w:color w:val="000000"/>
                <w:sz w:val="24"/>
                <w:highlight w:val="none"/>
                <w:u w:val="none" w:color="auto"/>
              </w:rPr>
              <w:t>definieras i Europaparlamentets och rådets förordning (EG) nr 883/2004</w:t>
            </w:r>
            <w:r>
              <w:rPr>
                <w:rStyle w:val="SupBoldItalic"/>
              </w:rPr>
              <w:t>44</w:t>
            </w:r>
            <w:r>
              <w:rPr>
                <w:rFonts w:ascii="Times New Roman" w:eastAsia="Times New Roman" w:hAnsi="Times New Roman" w:cs="Times New Roman"/>
                <w:b/>
                <w:i/>
                <w:strike w:val="0"/>
                <w:color w:val="000000"/>
                <w:sz w:val="24"/>
                <w:highlight w:val="none"/>
                <w:u w:val="none" w:color="auto"/>
              </w:rPr>
              <w:t xml:space="preserve"> och som omfattar förmåner vid sjukdom, förmåner vid moderskap och likvärdiga förmåner vid faderskap, förmåner vid invaliditet, förmåner vid ålderdom, förmåner till efterlevande, förmåner vid olycksfall i arbetet och arbetssjukdom, dödsfallsersättningar, förmåner vid arbetslöshet, förmåner vid förtida pensionering och familjeförmåner</w:t>
            </w:r>
            <w:r>
              <w:t>.</w:t>
            </w:r>
          </w:p>
        </w:tc>
        <w:tc>
          <w:tcPr/>
          <w:p>
            <w:pPr>
              <w:pStyle w:val="Normal6"/>
            </w:pPr>
            <w:r>
              <w:t>(17)</w:t>
            </w:r>
            <w:r>
              <w:tab/>
            </w:r>
            <w:r>
              <w:t xml:space="preserve">social trygghet: de grenar av den sociala tryggheten som </w:t>
            </w:r>
            <w:r>
              <w:rPr>
                <w:rFonts w:ascii="Times New Roman" w:eastAsia="Times New Roman" w:hAnsi="Times New Roman" w:cs="Times New Roman"/>
                <w:b/>
                <w:i/>
                <w:strike w:val="0"/>
                <w:color w:val="000000"/>
                <w:sz w:val="24"/>
                <w:highlight w:val="none"/>
                <w:u w:val="none" w:color="auto"/>
              </w:rPr>
              <w:t>medlemsstaten har ställt upp</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44</w:t>
            </w:r>
            <w:r>
              <w:t xml:space="preserve"> </w:t>
            </w:r>
            <w:r>
              <w:rPr>
                <w:rFonts w:ascii="Times New Roman" w:eastAsia="Times New Roman" w:hAnsi="Times New Roman" w:cs="Times New Roman"/>
                <w:b/>
                <w:i/>
                <w:strike w:val="0"/>
                <w:color w:val="000000"/>
                <w:sz w:val="24"/>
                <w:highlight w:val="none"/>
                <w:u w:val="none" w:color="auto"/>
              </w:rPr>
              <w:t>Europaparlamentets och rådets förordning (EG) nr 883/2004 av den 29 april 2004 om samordning av de sociala trygghetssystemen (EUT L 166, 30.4.2004, s. 1).</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Medlemsstaterna har rätt att utan inblandning från EU bestämma vem som ska försäkras av deras nationella sociala trygghetssystem, vilka fördelar som ska ges och på vilka villkor. Förordning (EG) nr 883/2004 om samordning av de sociala trygghetssystemen är ett av de verktyg som medlemsstaterna kan använda för att fastställa vad som omfattas av den erbjudna sociala tryggheten.</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335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Kinga Gál</w:t>
      </w:r>
      <w:r>
        <w:t xml:space="preserve">, </w:t>
      </w:r>
      <w:r>
        <w:t>Pál Csáky</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led 1 – led 17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(17)</w:t>
            </w:r>
            <w:r>
              <w:tab/>
            </w:r>
            <w:r>
              <w:t>social trygghet: de grenar av den sociala tryggheten som definieras i Europaparlamentets och rådets förordning (EG) nr 883/2004</w:t>
            </w:r>
            <w:r>
              <w:rPr>
                <w:rStyle w:val="Sup"/>
              </w:rPr>
              <w:t>44</w:t>
            </w:r>
            <w:r>
              <w:rPr>
                <w:rFonts w:ascii="Times New Roman" w:eastAsia="Times New Roman" w:hAnsi="Times New Roman" w:cs="Times New Roman"/>
                <w:b/>
                <w:i/>
                <w:strike w:val="0"/>
                <w:color w:val="000000"/>
                <w:sz w:val="24"/>
                <w:highlight w:val="none"/>
                <w:u w:val="none" w:color="auto"/>
              </w:rPr>
              <w:t xml:space="preserve"> och som omfattar förmåner vid sjukdom, förmåner vid moderskap och likvärdiga förmåner vid faderskap, förmåner vid invaliditet, förmåner vid ålderdom, förmåner till efterlevande, förmåner vid olycksfall i arbetet och arbetssjukdom, dödsfallsersättningar, förmåner vid arbetslöshet, förmåner vid förtida pensionering och familjeförmåner</w:t>
            </w:r>
            <w:r>
              <w:t>.</w:t>
            </w:r>
          </w:p>
        </w:tc>
        <w:tc>
          <w:tcPr/>
          <w:p>
            <w:pPr>
              <w:pStyle w:val="Normal6"/>
            </w:pPr>
            <w:r>
              <w:t>(17)</w:t>
            </w:r>
            <w:r>
              <w:tab/>
            </w:r>
            <w:r>
              <w:t>social trygghet: de grenar av den sociala tryggheten som definieras i Europaparlamentets och rådets förordning (EG) nr 883/2004</w:t>
            </w:r>
            <w:r>
              <w:rPr>
                <w:rStyle w:val="Sup"/>
              </w:rPr>
              <w:t>44</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44</w:t>
            </w:r>
            <w:r>
              <w:t xml:space="preserve"> </w:t>
            </w:r>
            <w:r>
              <w:t>Europaparlamentets och rådets förordning (EG) nr 883/2004 av den 29 april 2004 om samordning av de sociala trygghetssystemen (EUT L 166, 30.4.2004, s. 1).</w:t>
            </w:r>
          </w:p>
        </w:tc>
        <w:tc>
          <w:tcPr/>
          <w:p>
            <w:pPr>
              <w:pStyle w:val="Normal6"/>
            </w:pPr>
            <w:r>
              <w:rPr>
                <w:rStyle w:val="Sup"/>
              </w:rPr>
              <w:t>44</w:t>
            </w:r>
            <w:r>
              <w:t xml:space="preserve"> </w:t>
            </w:r>
            <w:r>
              <w:t>Europaparlamentets och rådets förordning (EG) nr 883/2004 av den 29 april 2004 om samordning av de sociala trygghetssystemen (EUT L 166, 30.4.2004, s. 1).</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336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led 1 – led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(19)</w:t>
            </w:r>
            <w:r>
              <w:tab/>
            </w:r>
            <w:r>
              <w:t xml:space="preserve">förmyndare: en person eller organisation som utsetts av behöriga organ för att bistå och företräda ett ensamkommande barn i förfaranden som föreskrivs i </w:t>
            </w:r>
            <w:r>
              <w:rPr>
                <w:rFonts w:ascii="Times New Roman" w:eastAsia="Times New Roman" w:hAnsi="Times New Roman" w:cs="Times New Roman"/>
                <w:b/>
                <w:i/>
                <w:strike w:val="0"/>
                <w:color w:val="000000"/>
                <w:sz w:val="24"/>
                <w:highlight w:val="none"/>
                <w:u w:val="none" w:color="auto"/>
              </w:rPr>
              <w:t>denna förordning</w:t>
            </w:r>
            <w:r>
              <w:t xml:space="preserve"> för att </w:t>
            </w:r>
            <w:r>
              <w:rPr>
                <w:rFonts w:ascii="Times New Roman" w:eastAsia="Times New Roman" w:hAnsi="Times New Roman" w:cs="Times New Roman"/>
                <w:b/>
                <w:i/>
                <w:strike w:val="0"/>
                <w:color w:val="000000"/>
                <w:sz w:val="24"/>
                <w:highlight w:val="none"/>
                <w:u w:val="none" w:color="auto"/>
              </w:rPr>
              <w:t>tillgodose</w:t>
            </w:r>
            <w:r>
              <w:t xml:space="preserve"> barnets bästa och vid behov företräda det ensamkommande barnet rättsligt.</w:t>
            </w:r>
          </w:p>
        </w:tc>
        <w:tc>
          <w:tcPr/>
          <w:p>
            <w:pPr>
              <w:pStyle w:val="Normal6"/>
            </w:pPr>
            <w:r>
              <w:t>(19)</w:t>
            </w:r>
            <w:r>
              <w:tab/>
            </w:r>
            <w:r>
              <w:t xml:space="preserve">förmyndare: en person eller organisation som utsetts av behöriga organ för att bistå och företräda ett ensamkommande barn i förfaranden som föreskrivs i </w:t>
            </w:r>
            <w:r>
              <w:rPr>
                <w:rFonts w:ascii="Times New Roman" w:eastAsia="Times New Roman" w:hAnsi="Times New Roman" w:cs="Times New Roman"/>
                <w:b/>
                <w:i/>
                <w:strike w:val="0"/>
                <w:color w:val="000000"/>
                <w:sz w:val="24"/>
                <w:highlight w:val="none"/>
                <w:u w:val="none" w:color="auto"/>
              </w:rPr>
              <w:t>detta direktiv</w:t>
            </w:r>
            <w:r>
              <w:t xml:space="preserve"> för att </w:t>
            </w:r>
            <w:r>
              <w:rPr>
                <w:rFonts w:ascii="Times New Roman" w:eastAsia="Times New Roman" w:hAnsi="Times New Roman" w:cs="Times New Roman"/>
                <w:b/>
                <w:i/>
                <w:strike w:val="0"/>
                <w:color w:val="000000"/>
                <w:sz w:val="24"/>
                <w:highlight w:val="none"/>
                <w:u w:val="none" w:color="auto"/>
              </w:rPr>
              <w:t>garantera</w:t>
            </w:r>
            <w:r>
              <w:t xml:space="preserve"> barnets bästa</w:t>
            </w:r>
            <w:r>
              <w:rPr>
                <w:rFonts w:ascii="Times New Roman" w:eastAsia="Times New Roman" w:hAnsi="Times New Roman" w:cs="Times New Roman"/>
                <w:b/>
                <w:i/>
                <w:strike w:val="0"/>
                <w:color w:val="000000"/>
                <w:sz w:val="24"/>
                <w:highlight w:val="none"/>
                <w:u w:val="none" w:color="auto"/>
              </w:rPr>
              <w:t xml:space="preserve"> och hans eller hennes välbefinnande</w:t>
            </w:r>
            <w:r>
              <w:t xml:space="preserve"> och vid behov företräda det ensamkommande barnet rättsligt.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337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led 1 – led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(19)</w:t>
            </w:r>
            <w:r>
              <w:tab/>
            </w:r>
            <w:r>
              <w:t xml:space="preserve">förmyndare: en person eller organisation som utsetts av behöriga organ för att bistå och företräda ett ensamkommande barn i förfaranden som föreskrivs i denna förordning för att </w:t>
            </w:r>
            <w:r>
              <w:rPr>
                <w:rFonts w:ascii="Times New Roman" w:eastAsia="Times New Roman" w:hAnsi="Times New Roman" w:cs="Times New Roman"/>
                <w:b/>
                <w:i/>
                <w:strike w:val="0"/>
                <w:color w:val="000000"/>
                <w:sz w:val="24"/>
                <w:highlight w:val="none"/>
                <w:u w:val="none" w:color="auto"/>
              </w:rPr>
              <w:t>tillgodose</w:t>
            </w:r>
            <w:r>
              <w:t xml:space="preserve"> barnets bästa och vid behov företräda det ensamkommande barnet rättsligt.</w:t>
            </w:r>
          </w:p>
        </w:tc>
        <w:tc>
          <w:tcPr/>
          <w:p>
            <w:pPr>
              <w:pStyle w:val="Normal6"/>
            </w:pPr>
            <w:r>
              <w:t>(19)</w:t>
            </w:r>
            <w:r>
              <w:tab/>
            </w:r>
            <w:r>
              <w:t xml:space="preserve">förmyndare: en person eller organisation som utsetts av behöriga organ för att bistå och företräda ett ensamkommande barn i förfaranden som föreskrivs i denna förordning för att </w:t>
            </w:r>
            <w:r>
              <w:rPr>
                <w:rFonts w:ascii="Times New Roman" w:eastAsia="Times New Roman" w:hAnsi="Times New Roman" w:cs="Times New Roman"/>
                <w:b/>
                <w:i/>
                <w:strike w:val="0"/>
                <w:color w:val="000000"/>
                <w:sz w:val="24"/>
                <w:highlight w:val="none"/>
                <w:u w:val="none" w:color="auto"/>
              </w:rPr>
              <w:t>garantera</w:t>
            </w:r>
            <w:r>
              <w:t xml:space="preserve"> barnets bästa</w:t>
            </w:r>
            <w:r>
              <w:rPr>
                <w:rFonts w:ascii="Times New Roman" w:eastAsia="Times New Roman" w:hAnsi="Times New Roman" w:cs="Times New Roman"/>
                <w:b/>
                <w:i/>
                <w:strike w:val="0"/>
                <w:color w:val="000000"/>
                <w:sz w:val="24"/>
                <w:highlight w:val="none"/>
                <w:u w:val="none" w:color="auto"/>
              </w:rPr>
              <w:t xml:space="preserve"> och hans eller hennes välbefinnande</w:t>
            </w:r>
            <w:r>
              <w:t xml:space="preserve"> och vid behov företräda det ensamkommande barnet rättsligt.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Harmonisering av definitioner och hänvisning till artikel 3 i barnkonventionen.</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338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Kinga Gál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2 – led 1 – led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(19)</w:t>
            </w:r>
            <w:r>
              <w:tab/>
            </w:r>
            <w:r>
              <w:t xml:space="preserve">förmyndare: en person eller organisation som utsetts </w:t>
            </w:r>
            <w:r>
              <w:rPr>
                <w:rFonts w:ascii="Times New Roman" w:eastAsia="Times New Roman" w:hAnsi="Times New Roman" w:cs="Times New Roman"/>
                <w:b/>
                <w:i/>
                <w:strike w:val="0"/>
                <w:color w:val="000000"/>
                <w:sz w:val="24"/>
                <w:highlight w:val="none"/>
                <w:u w:val="none" w:color="auto"/>
              </w:rPr>
              <w:t xml:space="preserve">av behöriga organ </w:t>
            </w:r>
            <w:r>
              <w:t xml:space="preserve">för att bistå och företräda ett ensamkommande barn </w:t>
            </w:r>
            <w:r>
              <w:rPr>
                <w:rFonts w:ascii="Times New Roman" w:eastAsia="Times New Roman" w:hAnsi="Times New Roman" w:cs="Times New Roman"/>
                <w:b/>
                <w:i/>
                <w:strike w:val="0"/>
                <w:color w:val="000000"/>
                <w:sz w:val="24"/>
                <w:highlight w:val="none"/>
                <w:u w:val="none" w:color="auto"/>
              </w:rPr>
              <w:t>i</w:t>
            </w:r>
            <w:r>
              <w:t xml:space="preserve"> förfaranden som föreskrivs i denna förordning </w:t>
            </w:r>
            <w:r>
              <w:rPr>
                <w:rFonts w:ascii="Times New Roman" w:eastAsia="Times New Roman" w:hAnsi="Times New Roman" w:cs="Times New Roman"/>
                <w:b/>
                <w:i/>
                <w:strike w:val="0"/>
                <w:color w:val="000000"/>
                <w:sz w:val="24"/>
                <w:highlight w:val="none"/>
                <w:u w:val="none" w:color="auto"/>
              </w:rPr>
              <w:t xml:space="preserve">för att tillgodose barnets bästa </w:t>
            </w:r>
            <w:r>
              <w:t>och vid behov företräda</w:t>
            </w:r>
            <w:r>
              <w:rPr>
                <w:rFonts w:ascii="Times New Roman" w:eastAsia="Times New Roman" w:hAnsi="Times New Roman" w:cs="Times New Roman"/>
                <w:b/>
                <w:i/>
                <w:strike w:val="0"/>
                <w:color w:val="000000"/>
                <w:sz w:val="24"/>
                <w:highlight w:val="none"/>
                <w:u w:val="none" w:color="auto"/>
              </w:rPr>
              <w:t xml:space="preserve"> det ensamkommande</w:t>
            </w:r>
            <w:r>
              <w:t xml:space="preserve"> barnet rättsligt.</w:t>
            </w:r>
          </w:p>
        </w:tc>
        <w:tc>
          <w:tcPr/>
          <w:p>
            <w:pPr>
              <w:pStyle w:val="Normal6"/>
            </w:pPr>
            <w:r>
              <w:t>(19)</w:t>
            </w:r>
            <w:r>
              <w:tab/>
            </w:r>
            <w:r>
              <w:t xml:space="preserve">förmyndare: en person eller organisation som utsetts för att bistå och företräda ett ensamkommande barn </w:t>
            </w:r>
            <w:r>
              <w:rPr>
                <w:rFonts w:ascii="Times New Roman" w:eastAsia="Times New Roman" w:hAnsi="Times New Roman" w:cs="Times New Roman"/>
                <w:b/>
                <w:i/>
                <w:strike w:val="0"/>
                <w:color w:val="000000"/>
                <w:sz w:val="24"/>
                <w:highlight w:val="none"/>
                <w:u w:val="none" w:color="auto"/>
              </w:rPr>
              <w:t>för att garantera barnets bästa och allmänna välbefinnande i de</w:t>
            </w:r>
            <w:r>
              <w:t xml:space="preserve"> förfaranden som föreskrivs i denna förordning och vid behov företräda barnet rättsligt.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339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3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Denna förordning är tillämplig på fastställandet av när tredjelandsmedborgare eller statslösa personer ska anses berättigade till internationellt skydd och på innehållet i det beviljade internationella stödet.</w:t>
            </w:r>
          </w:p>
        </w:tc>
        <w:tc>
          <w:tcPr/>
          <w:p>
            <w:pPr>
              <w:pStyle w:val="Normal6"/>
            </w:pPr>
            <w:r>
              <w:t>1.</w:t>
            </w:r>
            <w:r>
              <w:tab/>
            </w:r>
            <w:r>
              <w:t xml:space="preserve">Denna förordning är tillämplig på fastställandet av när tredjelandsmedborgare eller statslösa personer ska anses berättigade till internationellt skydd och på innehållet i det beviljade internationella stödet. </w:t>
            </w:r>
            <w:r>
              <w:rPr>
                <w:rFonts w:ascii="Times New Roman" w:eastAsia="Times New Roman" w:hAnsi="Times New Roman" w:cs="Times New Roman"/>
                <w:b/>
                <w:i/>
                <w:strike w:val="0"/>
                <w:color w:val="000000"/>
                <w:sz w:val="24"/>
                <w:highlight w:val="none"/>
                <w:u w:val="none" w:color="auto"/>
              </w:rPr>
              <w:t>Bestämmelserna i artiklarna 15 och 21 i denna förordning ska tillämpas retroaktivt på personer som beviljats internationellt skydd och vars uppehållstillstånd fortfarande är giltiga.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340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3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rPr>
                <w:rFonts w:ascii="Times New Roman" w:eastAsia="Times New Roman" w:hAnsi="Times New Roman" w:cs="Times New Roman"/>
                <w:b/>
                <w:i/>
                <w:strike w:val="0"/>
                <w:color w:val="000000"/>
                <w:sz w:val="24"/>
                <w:highlight w:val="none"/>
                <w:u w:val="none" w:color="auto"/>
              </w:rPr>
              <w:t>Denna förordning är tillämplig</w:t>
            </w:r>
            <w:r>
              <w:t xml:space="preserve"> på fastställandet av när tredjelandsmedborgare eller statslösa personer ska anses berättigade till internationellt skydd och på innehållet i det beviljade internationella stödet.</w:t>
            </w:r>
          </w:p>
        </w:tc>
        <w:tc>
          <w:tcPr/>
          <w:p>
            <w:pPr>
              <w:pStyle w:val="Normal6"/>
            </w:pPr>
            <w:r>
              <w:t>1.</w:t>
            </w:r>
            <w:r>
              <w:tab/>
            </w:r>
            <w:r>
              <w:rPr>
                <w:rFonts w:ascii="Times New Roman" w:eastAsia="Times New Roman" w:hAnsi="Times New Roman" w:cs="Times New Roman"/>
                <w:b/>
                <w:i/>
                <w:strike w:val="0"/>
                <w:color w:val="000000"/>
                <w:sz w:val="24"/>
                <w:highlight w:val="none"/>
                <w:u w:val="none" w:color="auto"/>
              </w:rPr>
              <w:t>Detta direktiv är tillämpligt</w:t>
            </w:r>
            <w:r>
              <w:t xml:space="preserve"> på fastställandet av när tredjelandsmedborgare eller statslösa personer ska anses berättigade till internationellt skydd och på innehållet i det beviljade internationella stödet.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341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3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rPr>
                <w:rFonts w:ascii="Times New Roman" w:eastAsia="Times New Roman" w:hAnsi="Times New Roman" w:cs="Times New Roman"/>
                <w:b/>
                <w:i/>
                <w:strike w:val="0"/>
                <w:color w:val="000000"/>
                <w:sz w:val="24"/>
                <w:highlight w:val="none"/>
                <w:u w:val="none" w:color="auto"/>
              </w:rPr>
              <w:t>Denna förordning</w:t>
            </w:r>
            <w:r>
              <w:t xml:space="preserve"> är inte </w:t>
            </w:r>
            <w:r>
              <w:rPr>
                <w:rFonts w:ascii="Times New Roman" w:eastAsia="Times New Roman" w:hAnsi="Times New Roman" w:cs="Times New Roman"/>
                <w:b/>
                <w:i/>
                <w:strike w:val="0"/>
                <w:color w:val="000000"/>
                <w:sz w:val="24"/>
                <w:highlight w:val="none"/>
                <w:u w:val="none" w:color="auto"/>
              </w:rPr>
              <w:t>tillämplig</w:t>
            </w:r>
            <w:r>
              <w:t xml:space="preserve"> på andra typer av nationell humanitär status som medlemsstaterna beviljar enligt sin nationella rätt till de som inte uppfyller kraven för att betecknas som flykting eller subsidiärt skyddsbehövande.</w:t>
            </w:r>
            <w:r>
              <w:rPr>
                <w:rFonts w:ascii="Times New Roman" w:eastAsia="Times New Roman" w:hAnsi="Times New Roman" w:cs="Times New Roman"/>
                <w:b/>
                <w:i/>
                <w:strike w:val="0"/>
                <w:color w:val="000000"/>
                <w:sz w:val="24"/>
                <w:highlight w:val="none"/>
                <w:u w:val="none" w:color="auto"/>
              </w:rPr>
              <w:t xml:space="preserve"> Om sådan status beviljas ska det ske på ett sådant sätt att det inte medför risk för förväxling med internationellt skydd.</w:t>
            </w:r>
          </w:p>
        </w:tc>
        <w:tc>
          <w:tcPr/>
          <w:p>
            <w:pPr>
              <w:pStyle w:val="Normal6"/>
            </w:pPr>
            <w:r>
              <w:t>2.</w:t>
            </w:r>
            <w:r>
              <w:tab/>
            </w:r>
            <w:r>
              <w:rPr>
                <w:rFonts w:ascii="Times New Roman" w:eastAsia="Times New Roman" w:hAnsi="Times New Roman" w:cs="Times New Roman"/>
                <w:b/>
                <w:i/>
                <w:strike w:val="0"/>
                <w:color w:val="000000"/>
                <w:sz w:val="24"/>
                <w:highlight w:val="none"/>
                <w:u w:val="none" w:color="auto"/>
              </w:rPr>
              <w:t>Detta direktiv</w:t>
            </w:r>
            <w:r>
              <w:t xml:space="preserve"> är inte </w:t>
            </w:r>
            <w:r>
              <w:rPr>
                <w:rFonts w:ascii="Times New Roman" w:eastAsia="Times New Roman" w:hAnsi="Times New Roman" w:cs="Times New Roman"/>
                <w:b/>
                <w:i/>
                <w:strike w:val="0"/>
                <w:color w:val="000000"/>
                <w:sz w:val="24"/>
                <w:highlight w:val="none"/>
                <w:u w:val="none" w:color="auto"/>
              </w:rPr>
              <w:t>tillämpligt</w:t>
            </w:r>
            <w:r>
              <w:t xml:space="preserve"> på andra typer av nationell humanitär status som medlemsstaterna beviljar enligt sin nationella rätt till de som inte uppfyller kraven för att betecknas som flykting eller subsidiärt skyddsbehövande.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342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3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Denna förordning är inte tillämplig på andra typer av nationell humanitär status som medlemsstaterna beviljar enligt sin nationella rätt till de som inte uppfyller kraven för att betecknas som flykting eller subsidiärt skyddsbehövande.</w:t>
            </w:r>
            <w:r>
              <w:rPr>
                <w:rFonts w:ascii="Times New Roman" w:eastAsia="Times New Roman" w:hAnsi="Times New Roman" w:cs="Times New Roman"/>
                <w:b/>
                <w:i/>
                <w:strike w:val="0"/>
                <w:color w:val="000000"/>
                <w:sz w:val="24"/>
                <w:highlight w:val="none"/>
                <w:u w:val="none" w:color="auto"/>
              </w:rPr>
              <w:t xml:space="preserve"> Om sådan status beviljas ska det ske på ett sådant sätt att det inte medför risk för förväxling med internationellt skydd.</w:t>
            </w:r>
          </w:p>
        </w:tc>
        <w:tc>
          <w:tcPr/>
          <w:p>
            <w:pPr>
              <w:pStyle w:val="Normal6"/>
            </w:pPr>
            <w:r>
              <w:t>2.</w:t>
            </w:r>
            <w:r>
              <w:tab/>
            </w:r>
            <w:r>
              <w:t>Denna förordning är inte tillämplig på andra typer av nationell humanitär status som medlemsstaterna beviljar enligt sin nationella rätt till de som inte uppfyller kraven för att betecknas som flykting eller subsidiärt skyddsbehövande.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Detta ändringsförslag är i linje med ändringsförslaget till skäl 9.</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343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3 – punkt 2a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2a.</w:t>
            </w:r>
            <w:r>
              <w:tab/>
            </w:r>
            <w:r>
              <w:rPr>
                <w:rFonts w:ascii="Times New Roman" w:eastAsia="Times New Roman" w:hAnsi="Times New Roman" w:cs="Times New Roman"/>
                <w:b/>
                <w:i/>
                <w:strike w:val="0"/>
                <w:color w:val="000000"/>
                <w:sz w:val="24"/>
                <w:highlight w:val="none"/>
                <w:u w:val="none" w:color="auto"/>
              </w:rPr>
              <w:t>Det finns ingen allmänt vedertagen definition av miljöflykting på EU-nivå, men detta hindrar inte medlemsstaterna från att erbjuda skydd till sådana personer enligt nationell lagstiftning eller praxis.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344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t xml:space="preserve">, </w:t>
      </w:r>
      <w:r>
        <w:t>Helga Stevens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Sökanden ska lägga fram alla faktorer som han eller hon har tillgång till som styrker ansökan om internationellt skydd. Han eller hon ska samarbeta med den beslutande myndigheten och ska förbli närvarande och tillgänglig under hela förfarandet.</w:t>
            </w:r>
          </w:p>
        </w:tc>
        <w:tc>
          <w:tcPr/>
          <w:p>
            <w:pPr>
              <w:pStyle w:val="Normal6"/>
            </w:pPr>
            <w:r>
              <w:t>1.</w:t>
            </w:r>
            <w:r>
              <w:tab/>
            </w:r>
            <w:r>
              <w:t xml:space="preserve">Sökanden ska </w:t>
            </w:r>
            <w:r>
              <w:rPr>
                <w:rFonts w:ascii="Times New Roman" w:eastAsia="Times New Roman" w:hAnsi="Times New Roman" w:cs="Times New Roman"/>
                <w:b/>
                <w:i/>
                <w:strike w:val="0"/>
                <w:color w:val="000000"/>
                <w:sz w:val="24"/>
                <w:highlight w:val="none"/>
                <w:u w:val="none" w:color="auto"/>
              </w:rPr>
              <w:t xml:space="preserve">utan dröjsmål </w:t>
            </w:r>
            <w:r>
              <w:t xml:space="preserve">lägga fram alla faktorer som han eller hon har tillgång till som styrker ansökan om internationellt skydd. Han eller hon ska samarbeta med den beslutande myndigheten och ska förbli närvarande och tillgänglig under hela förfarandet. </w:t>
            </w:r>
            <w:r>
              <w:rPr>
                <w:rFonts w:ascii="Times New Roman" w:eastAsia="Times New Roman" w:hAnsi="Times New Roman" w:cs="Times New Roman"/>
                <w:b/>
                <w:i/>
                <w:strike w:val="0"/>
                <w:color w:val="000000"/>
                <w:sz w:val="24"/>
                <w:highlight w:val="none"/>
                <w:u w:val="none" w:color="auto"/>
              </w:rPr>
              <w:t>Alla perioder av olaglig vistelse på medlemsstaternas territorium före inlämnandet av en ansökan om internationellt skydd ska undersökas som eventuella bevis för andra motiv för att stanna i EU än att söka internationellt skydd på laglig väg.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345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Sökanden ska lägga fram alla faktorer som han eller hon har tillgång till som styrker ansökan om internationellt skydd. </w:t>
            </w:r>
            <w:r>
              <w:rPr>
                <w:rFonts w:ascii="Times New Roman" w:eastAsia="Times New Roman" w:hAnsi="Times New Roman" w:cs="Times New Roman"/>
                <w:b/>
                <w:i/>
                <w:strike w:val="0"/>
                <w:color w:val="000000"/>
                <w:sz w:val="24"/>
                <w:highlight w:val="none"/>
                <w:u w:val="none" w:color="auto"/>
              </w:rPr>
              <w:t>Han eller hon</w:t>
            </w:r>
            <w:r>
              <w:t xml:space="preserve"> ska samarbeta </w:t>
            </w:r>
            <w:r>
              <w:rPr>
                <w:rFonts w:ascii="Times New Roman" w:eastAsia="Times New Roman" w:hAnsi="Times New Roman" w:cs="Times New Roman"/>
                <w:b/>
                <w:i/>
                <w:strike w:val="0"/>
                <w:color w:val="000000"/>
                <w:sz w:val="24"/>
                <w:highlight w:val="none"/>
                <w:u w:val="none" w:color="auto"/>
              </w:rPr>
              <w:t>med den beslutande myndigheten och ska</w:t>
            </w:r>
            <w:r>
              <w:t xml:space="preserve"> förbli närvarande och tillgänglig under hela förfarandet.</w:t>
            </w:r>
          </w:p>
        </w:tc>
        <w:tc>
          <w:tcPr/>
          <w:p>
            <w:pPr>
              <w:pStyle w:val="Normal6"/>
            </w:pPr>
            <w:r>
              <w:t>1.</w:t>
            </w:r>
            <w:r>
              <w:tab/>
            </w:r>
            <w:r>
              <w:t xml:space="preserve">Sökanden ska lägga fram alla faktorer som han eller hon har tillgång till som styrker ansökan om internationellt skydd. </w:t>
            </w:r>
            <w:r>
              <w:rPr>
                <w:rFonts w:ascii="Times New Roman" w:eastAsia="Times New Roman" w:hAnsi="Times New Roman" w:cs="Times New Roman"/>
                <w:b/>
                <w:i/>
                <w:strike w:val="0"/>
                <w:color w:val="000000"/>
                <w:sz w:val="24"/>
                <w:highlight w:val="none"/>
                <w:u w:val="none" w:color="auto"/>
              </w:rPr>
              <w:t>Den beslutande myndigheten och sökanden</w:t>
            </w:r>
            <w:r>
              <w:t xml:space="preserve"> ska samarbeta </w:t>
            </w:r>
            <w:r>
              <w:rPr>
                <w:rFonts w:ascii="Times New Roman" w:eastAsia="Times New Roman" w:hAnsi="Times New Roman" w:cs="Times New Roman"/>
                <w:b/>
                <w:i/>
                <w:strike w:val="0"/>
                <w:color w:val="000000"/>
                <w:sz w:val="24"/>
                <w:highlight w:val="none"/>
                <w:u w:val="none" w:color="auto"/>
              </w:rPr>
              <w:t>under hela förfarandet. Sökanden bör</w:t>
            </w:r>
            <w:r>
              <w:t xml:space="preserve"> förbli närvarande och tillgänglig under hela förfarandet. </w:t>
            </w:r>
            <w:r>
              <w:rPr>
                <w:rFonts w:ascii="Times New Roman" w:eastAsia="Times New Roman" w:hAnsi="Times New Roman" w:cs="Times New Roman"/>
                <w:b/>
                <w:i/>
                <w:strike w:val="0"/>
                <w:color w:val="000000"/>
                <w:sz w:val="24"/>
                <w:highlight w:val="none"/>
                <w:u w:val="none" w:color="auto"/>
              </w:rPr>
              <w:t>Om sökanden inte är tillgänglig alls under förfarandet på grund av förmildrande omständigheter bör de särskilda orsakerna beaktas.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346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Alessandra Mussolini</w:t>
      </w:r>
      <w:r>
        <w:t xml:space="preserve">, </w:t>
      </w:r>
      <w:r>
        <w:t>Elissavet Vozemberg-Vrionidi</w:t>
      </w:r>
      <w:r>
        <w:t xml:space="preserve">, </w:t>
      </w:r>
      <w:r>
        <w:t>Frank Engel</w:t>
      </w:r>
      <w:r>
        <w:t xml:space="preserve">, </w:t>
      </w:r>
      <w:r>
        <w:t>Barbara Matera</w:t>
      </w:r>
      <w:r>
        <w:t xml:space="preserve">, </w:t>
      </w:r>
      <w:r>
        <w:t>Salvatore Domenico Pogliese</w:t>
      </w:r>
      <w:r>
        <w:t xml:space="preserve">, </w:t>
      </w:r>
      <w:r>
        <w:t>Carlos Coelho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rPr>
                <w:rFonts w:ascii="Times New Roman" w:eastAsia="Times New Roman" w:hAnsi="Times New Roman" w:cs="Times New Roman"/>
                <w:b/>
                <w:i/>
                <w:strike w:val="0"/>
                <w:color w:val="000000"/>
                <w:sz w:val="24"/>
                <w:highlight w:val="none"/>
                <w:u w:val="none" w:color="auto"/>
              </w:rPr>
              <w:t xml:space="preserve">Sökanden ska </w:t>
            </w:r>
            <w:r>
              <w:t xml:space="preserve">lägga fram alla faktorer som </w:t>
            </w:r>
            <w:r>
              <w:rPr>
                <w:rFonts w:ascii="Times New Roman" w:eastAsia="Times New Roman" w:hAnsi="Times New Roman" w:cs="Times New Roman"/>
                <w:b/>
                <w:i/>
                <w:strike w:val="0"/>
                <w:color w:val="000000"/>
                <w:sz w:val="24"/>
                <w:highlight w:val="none"/>
                <w:u w:val="none" w:color="auto"/>
              </w:rPr>
              <w:t>han eller hon har tillgång till som styrker</w:t>
            </w:r>
            <w:r>
              <w:t xml:space="preserve"> ansökan om internationellt skydd. </w:t>
            </w:r>
            <w:r>
              <w:rPr>
                <w:rFonts w:ascii="Times New Roman" w:eastAsia="Times New Roman" w:hAnsi="Times New Roman" w:cs="Times New Roman"/>
                <w:b/>
                <w:i/>
                <w:strike w:val="0"/>
                <w:color w:val="000000"/>
                <w:sz w:val="24"/>
                <w:highlight w:val="none"/>
                <w:u w:val="none" w:color="auto"/>
              </w:rPr>
              <w:t>Han eller hon ska samarbeta</w:t>
            </w:r>
            <w:r>
              <w:t xml:space="preserve"> med den </w:t>
            </w:r>
            <w:r>
              <w:rPr>
                <w:rFonts w:ascii="Times New Roman" w:eastAsia="Times New Roman" w:hAnsi="Times New Roman" w:cs="Times New Roman"/>
                <w:b/>
                <w:i/>
                <w:strike w:val="0"/>
                <w:color w:val="000000"/>
                <w:sz w:val="24"/>
                <w:highlight w:val="none"/>
                <w:u w:val="none" w:color="auto"/>
              </w:rPr>
              <w:t>beslutande myndigheten och</w:t>
            </w:r>
            <w:r>
              <w:t xml:space="preserve"> ska förbli närvarande och tillgänglig under hela förfarandet.</w:t>
            </w:r>
          </w:p>
        </w:tc>
        <w:tc>
          <w:tcPr/>
          <w:p>
            <w:pPr>
              <w:pStyle w:val="Normal6"/>
            </w:pPr>
            <w:r>
              <w:t>1.</w:t>
            </w:r>
            <w:r>
              <w:tab/>
            </w:r>
            <w:r>
              <w:rPr>
                <w:rFonts w:ascii="Times New Roman" w:eastAsia="Times New Roman" w:hAnsi="Times New Roman" w:cs="Times New Roman"/>
                <w:b/>
                <w:i/>
                <w:strike w:val="0"/>
                <w:color w:val="000000"/>
                <w:sz w:val="24"/>
                <w:highlight w:val="none"/>
                <w:u w:val="none" w:color="auto"/>
              </w:rPr>
              <w:t xml:space="preserve">Den beslutande myndigheten ska betrakta det som den sökandes skyldighet att så snart som möjligt </w:t>
            </w:r>
            <w:r>
              <w:t xml:space="preserve">lägga fram alla faktorer som </w:t>
            </w:r>
            <w:r>
              <w:rPr>
                <w:rFonts w:ascii="Times New Roman" w:eastAsia="Times New Roman" w:hAnsi="Times New Roman" w:cs="Times New Roman"/>
                <w:b/>
                <w:i/>
                <w:strike w:val="0"/>
                <w:color w:val="000000"/>
                <w:sz w:val="24"/>
                <w:highlight w:val="none"/>
                <w:u w:val="none" w:color="auto"/>
              </w:rPr>
              <w:t>behövs för att styrka</w:t>
            </w:r>
            <w:r>
              <w:t xml:space="preserve"> ansökan om internationellt skydd. </w:t>
            </w:r>
            <w:r>
              <w:rPr>
                <w:rFonts w:ascii="Times New Roman" w:eastAsia="Times New Roman" w:hAnsi="Times New Roman" w:cs="Times New Roman"/>
                <w:b/>
                <w:i/>
                <w:strike w:val="0"/>
                <w:color w:val="000000"/>
                <w:sz w:val="24"/>
                <w:highlight w:val="none"/>
                <w:u w:val="none" w:color="auto"/>
              </w:rPr>
              <w:t>Det är den beslutande myndighetens skyldighet att i samarbete</w:t>
            </w:r>
            <w:r>
              <w:t xml:space="preserve"> med den </w:t>
            </w:r>
            <w:r>
              <w:rPr>
                <w:rFonts w:ascii="Times New Roman" w:eastAsia="Times New Roman" w:hAnsi="Times New Roman" w:cs="Times New Roman"/>
                <w:b/>
                <w:i/>
                <w:strike w:val="0"/>
                <w:color w:val="000000"/>
                <w:sz w:val="24"/>
                <w:highlight w:val="none"/>
                <w:u w:val="none" w:color="auto"/>
              </w:rPr>
              <w:t>sökande bedöma de relevanta faktorerna i ansökan. Sökanden</w:t>
            </w:r>
            <w:r>
              <w:t xml:space="preserve"> ska förbli närvarande och tillgänglig under hela förfarandet.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Ordalydelsen i artikel 4.1 i direktiv 2011/95/EU tycks bättre beskriva omfattningen av sökandens och den beslutande myndighetens ansvar vid bedömningen av fakta och omständigheter.</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347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rPr>
                <w:rFonts w:ascii="Times New Roman" w:eastAsia="Times New Roman" w:hAnsi="Times New Roman" w:cs="Times New Roman"/>
                <w:b/>
                <w:i/>
                <w:strike w:val="0"/>
                <w:color w:val="000000"/>
                <w:sz w:val="24"/>
                <w:highlight w:val="none"/>
                <w:u w:val="none" w:color="auto"/>
              </w:rPr>
              <w:t>Sökanden ska lägga fram alla faktorer som han eller hon har tillgång till som styrker ansökan om internationellt skydd. Han eller hon ska samarbeta</w:t>
            </w:r>
            <w:r>
              <w:t xml:space="preserve"> med den </w:t>
            </w:r>
            <w:r>
              <w:rPr>
                <w:rFonts w:ascii="Times New Roman" w:eastAsia="Times New Roman" w:hAnsi="Times New Roman" w:cs="Times New Roman"/>
                <w:b/>
                <w:i/>
                <w:strike w:val="0"/>
                <w:color w:val="000000"/>
                <w:sz w:val="24"/>
                <w:highlight w:val="none"/>
                <w:u w:val="none" w:color="auto"/>
              </w:rPr>
              <w:t>beslutande myndigheten och ska förbli närvarande och tillgänglig under hela förfarandet</w:t>
            </w:r>
            <w:r>
              <w:t>.</w:t>
            </w:r>
          </w:p>
        </w:tc>
        <w:tc>
          <w:tcPr/>
          <w:p>
            <w:pPr>
              <w:pStyle w:val="Normal6"/>
            </w:pPr>
            <w:r>
              <w:t>1.</w:t>
            </w:r>
            <w:r>
              <w:tab/>
            </w:r>
            <w:r>
              <w:rPr>
                <w:rFonts w:ascii="Times New Roman" w:eastAsia="Times New Roman" w:hAnsi="Times New Roman" w:cs="Times New Roman"/>
                <w:b/>
                <w:i/>
                <w:strike w:val="0"/>
                <w:color w:val="000000"/>
                <w:sz w:val="24"/>
                <w:highlight w:val="none"/>
                <w:u w:val="none" w:color="auto"/>
              </w:rPr>
              <w:t>Det är medlemsstaternas skyldighet att i samarbete</w:t>
            </w:r>
            <w:r>
              <w:t xml:space="preserve"> med den </w:t>
            </w:r>
            <w:r>
              <w:rPr>
                <w:rFonts w:ascii="Times New Roman" w:eastAsia="Times New Roman" w:hAnsi="Times New Roman" w:cs="Times New Roman"/>
                <w:b/>
                <w:i/>
                <w:strike w:val="0"/>
                <w:color w:val="000000"/>
                <w:sz w:val="24"/>
                <w:highlight w:val="none"/>
                <w:u w:val="none" w:color="auto"/>
              </w:rPr>
              <w:t>sökande bedöma de relevanta faktorerna i ansökan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348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Sökanden ska lägga fram alla faktorer som han eller hon har tillgång till som styrker ansökan om internationellt skydd. </w:t>
            </w:r>
            <w:r>
              <w:rPr>
                <w:rFonts w:ascii="Times New Roman" w:eastAsia="Times New Roman" w:hAnsi="Times New Roman" w:cs="Times New Roman"/>
                <w:b/>
                <w:i/>
                <w:strike w:val="0"/>
                <w:color w:val="000000"/>
                <w:sz w:val="24"/>
                <w:highlight w:val="none"/>
                <w:u w:val="none" w:color="auto"/>
              </w:rPr>
              <w:t>Han eller hon ska</w:t>
            </w:r>
            <w:r>
              <w:t xml:space="preserve"> samarbeta med </w:t>
            </w:r>
            <w:r>
              <w:rPr>
                <w:rFonts w:ascii="Times New Roman" w:eastAsia="Times New Roman" w:hAnsi="Times New Roman" w:cs="Times New Roman"/>
                <w:b/>
                <w:i/>
                <w:strike w:val="0"/>
                <w:color w:val="000000"/>
                <w:sz w:val="24"/>
                <w:highlight w:val="none"/>
                <w:u w:val="none" w:color="auto"/>
              </w:rPr>
              <w:t>den beslutande myndigheten och</w:t>
            </w:r>
            <w:r>
              <w:t xml:space="preserve"> ska förbli närvarande och tillgänglig under hela förfarandet.</w:t>
            </w:r>
          </w:p>
        </w:tc>
        <w:tc>
          <w:tcPr/>
          <w:p>
            <w:pPr>
              <w:pStyle w:val="Normal6"/>
            </w:pPr>
            <w:r>
              <w:t>1.</w:t>
            </w:r>
            <w:r>
              <w:tab/>
            </w:r>
            <w:r>
              <w:t xml:space="preserve">Sökanden ska </w:t>
            </w:r>
            <w:r>
              <w:rPr>
                <w:rFonts w:ascii="Times New Roman" w:eastAsia="Times New Roman" w:hAnsi="Times New Roman" w:cs="Times New Roman"/>
                <w:b/>
                <w:i/>
                <w:strike w:val="0"/>
                <w:color w:val="000000"/>
                <w:sz w:val="24"/>
                <w:highlight w:val="none"/>
                <w:u w:val="none" w:color="auto"/>
              </w:rPr>
              <w:t xml:space="preserve">i samarbete med relevanta nationella myndigheter </w:t>
            </w:r>
            <w:r>
              <w:t xml:space="preserve">lägga fram alla faktorer som han eller hon har tillgång till som styrker ansökan om internationellt skydd. </w:t>
            </w:r>
            <w:r>
              <w:rPr>
                <w:rFonts w:ascii="Times New Roman" w:eastAsia="Times New Roman" w:hAnsi="Times New Roman" w:cs="Times New Roman"/>
                <w:b/>
                <w:i/>
                <w:strike w:val="0"/>
                <w:color w:val="000000"/>
                <w:sz w:val="24"/>
                <w:highlight w:val="none"/>
                <w:u w:val="none" w:color="auto"/>
              </w:rPr>
              <w:t>De relevanta nationella beslutande myndigheterna bör</w:t>
            </w:r>
            <w:r>
              <w:t xml:space="preserve"> samarbeta med </w:t>
            </w:r>
            <w:r>
              <w:rPr>
                <w:rFonts w:ascii="Times New Roman" w:eastAsia="Times New Roman" w:hAnsi="Times New Roman" w:cs="Times New Roman"/>
                <w:b/>
                <w:i/>
                <w:strike w:val="0"/>
                <w:color w:val="000000"/>
                <w:sz w:val="24"/>
                <w:highlight w:val="none"/>
                <w:u w:val="none" w:color="auto"/>
              </w:rPr>
              <w:t>sökanden och han eller hon</w:t>
            </w:r>
            <w:r>
              <w:t xml:space="preserve"> ska förbli närvarande och tillgänglig under hela förfarandet.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349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De faktorer som avses i punkt 1 ska utgöras av sökandens utsagor och alla handlingar som sökanden förfogar över angående sökandens ålder, bakgrund, inklusive relevanta släktingars bakgrund, identitet, nationalitet(er), tidigare bosättningsland(-länder) och -ort(er), tidigare ansökningar</w:t>
            </w:r>
            <w:r>
              <w:rPr>
                <w:rFonts w:ascii="Times New Roman" w:eastAsia="Times New Roman" w:hAnsi="Times New Roman" w:cs="Times New Roman"/>
                <w:b/>
                <w:i/>
                <w:strike w:val="0"/>
                <w:color w:val="000000"/>
                <w:sz w:val="24"/>
                <w:highlight w:val="none"/>
                <w:u w:val="none" w:color="auto"/>
              </w:rPr>
              <w:t xml:space="preserve"> [om internationell skydd och resultatet av eventuella påskyndade vidarebosättningsförfaranden enligt definitionen i förordning (EU) XXX/XX [Vidarebosättningsförordningen]]</w:t>
            </w:r>
            <w:r>
              <w:t>, resvägar och resehandlingar samt orsakerna till ansökan om internationellt skydd.</w:t>
            </w:r>
          </w:p>
        </w:tc>
        <w:tc>
          <w:tcPr/>
          <w:p>
            <w:pPr>
              <w:pStyle w:val="Normal6"/>
            </w:pPr>
            <w:r>
              <w:t>2.</w:t>
            </w:r>
            <w:r>
              <w:tab/>
            </w:r>
            <w:r>
              <w:t>De faktorer som avses i punkt 1 ska utgöras av sökandens utsagor och alla handlingar som sökanden förfogar över angående sökandens ålder, bakgrund, inklusive relevanta släktingars bakgrund, identitet, nationalitet(er), tidigare bosättningsland(-länder) och -ort(er), tidigare ansökningar, resvägar och resehandlingar samt orsakerna till ansökan om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350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De faktorer som avses i punkt 1 ska utgöras av sökandens utsagor och alla handlingar som sökanden förfogar över angående sökandens ålder, bakgrund, inklusive relevanta släktingars bakgrund, identitet, nationalitet(er), tidigare bosättningsland(-länder) och -ort(er), tidigare ansökningar [om internationell skydd och resultatet av eventuella påskyndade vidarebosättningsförfaranden</w:t>
            </w:r>
            <w:r>
              <w:rPr>
                <w:rFonts w:ascii="Times New Roman" w:eastAsia="Times New Roman" w:hAnsi="Times New Roman" w:cs="Times New Roman"/>
                <w:b/>
                <w:i/>
                <w:strike w:val="0"/>
                <w:color w:val="000000"/>
                <w:sz w:val="24"/>
                <w:highlight w:val="none"/>
                <w:u w:val="none" w:color="auto"/>
              </w:rPr>
              <w:t xml:space="preserve"> enligt definitionen i förordning (EU) XXX/XX [Vidarebosättningsförordningen]</w:t>
            </w:r>
            <w:r>
              <w:t>], resvägar och resehandlingar samt orsakerna till ansökan om internationellt skydd.</w:t>
            </w:r>
          </w:p>
        </w:tc>
        <w:tc>
          <w:tcPr/>
          <w:p>
            <w:pPr>
              <w:pStyle w:val="Normal6"/>
            </w:pPr>
            <w:r>
              <w:t>2.</w:t>
            </w:r>
            <w:r>
              <w:tab/>
            </w:r>
            <w:r>
              <w:t>De faktorer som avses i punkt 1 ska utgöras av sökandens utsagor och alla handlingar som sökanden förfogar över angående sökandens ålder, bakgrund, inklusive relevanta släktingars bakgrund, identitet, nationalitet(er), tidigare bosättningsland(-länder) och -ort(er), tidigare ansökningar [om internationell skydd och resultatet av eventuella påskyndade vidarebosättningsförfaranden], resvägar och resehandlingar samt orsakerna till ansökan om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351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Den beslutande myndigheten ska bedöma de relevanta faktorerna i ansökan i enlighet med artikel 33 i förordning (EU) XXX/XXX [Förfarandeförordningen].</w:t>
            </w:r>
          </w:p>
        </w:tc>
        <w:tc>
          <w:tcPr/>
          <w:p>
            <w:pPr>
              <w:pStyle w:val="Normal6"/>
            </w:pPr>
            <w:r>
              <w:t>3.</w:t>
            </w:r>
            <w:r>
              <w:tab/>
            </w:r>
            <w:r>
              <w:t>Den beslutande myndigheten ska bedöma de relevanta faktorerna i ansökan i enlighet med artikel 33 i förordning (EU) XXX/XXX [Förfarandeförordningen].</w:t>
            </w:r>
            <w:r>
              <w:rPr>
                <w:rFonts w:ascii="Times New Roman" w:eastAsia="Times New Roman" w:hAnsi="Times New Roman" w:cs="Times New Roman"/>
                <w:b/>
                <w:i/>
                <w:strike w:val="0"/>
                <w:color w:val="000000"/>
                <w:sz w:val="24"/>
                <w:highlight w:val="none"/>
                <w:u w:val="none" w:color="auto"/>
              </w:rPr>
              <w:t xml:space="preserve"> Sökanden ska genomgå en åldersbedömning där de mest aktuella vetenskapliga metoderna används, om det finns skäl att misstänka att sökanden är vuxen och han eller hon, utan tydliga faktaunderlag, hävdar att han eller hon är mellan 15 och 17 år gammal.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352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Den beslutande myndigheten ska bedöma de relevanta faktorerna i ansökan i enlighet med artikel 33 i förordning (EU) XXX/XXX [Förfarandeförordningen].</w:t>
            </w:r>
          </w:p>
        </w:tc>
        <w:tc>
          <w:tcPr/>
          <w:p>
            <w:pPr>
              <w:pStyle w:val="Normal6"/>
            </w:pPr>
            <w:r>
              <w:t>3.</w:t>
            </w:r>
            <w:r>
              <w:tab/>
            </w:r>
            <w:r>
              <w:t xml:space="preserve">Den beslutande myndigheten ska </w:t>
            </w:r>
            <w:r>
              <w:rPr>
                <w:rFonts w:ascii="Times New Roman" w:eastAsia="Times New Roman" w:hAnsi="Times New Roman" w:cs="Times New Roman"/>
                <w:b/>
                <w:i/>
                <w:strike w:val="0"/>
                <w:color w:val="000000"/>
                <w:sz w:val="24"/>
                <w:highlight w:val="none"/>
                <w:u w:val="none" w:color="auto"/>
              </w:rPr>
              <w:t xml:space="preserve">i samarbete med sökanden </w:t>
            </w:r>
            <w:r>
              <w:t xml:space="preserve">bedöma de relevanta faktorerna i ansökan </w:t>
            </w:r>
            <w:r>
              <w:rPr>
                <w:rFonts w:ascii="Times New Roman" w:eastAsia="Times New Roman" w:hAnsi="Times New Roman" w:cs="Times New Roman"/>
                <w:b/>
                <w:i/>
                <w:strike w:val="0"/>
                <w:color w:val="000000"/>
                <w:sz w:val="24"/>
                <w:highlight w:val="none"/>
                <w:u w:val="none" w:color="auto"/>
              </w:rPr>
              <w:t xml:space="preserve">om internationellt skydd </w:t>
            </w:r>
            <w:r>
              <w:t>i enlighet med artikel 33 i förordning (EU) XXX/XXX [Förfarandeförordningen]</w:t>
            </w:r>
            <w:r>
              <w:rPr>
                <w:rFonts w:ascii="Times New Roman" w:eastAsia="Times New Roman" w:hAnsi="Times New Roman" w:cs="Times New Roman"/>
                <w:b/>
                <w:i/>
                <w:strike w:val="0"/>
                <w:color w:val="000000"/>
                <w:sz w:val="24"/>
                <w:highlight w:val="none"/>
                <w:u w:val="none" w:color="auto"/>
              </w:rPr>
              <w:t xml:space="preserve"> och inhämta all information som krävs för en grundlig bedömning av ansökan om internationellt skydd</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353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Den beslutande myndigheten ska bedöma de relevanta faktorerna i ansökan i enlighet med artikel 33 i förordning (EU) XXX/XXX [Förfarandeförordningen].</w:t>
            </w:r>
          </w:p>
        </w:tc>
        <w:tc>
          <w:tcPr/>
          <w:p>
            <w:pPr>
              <w:pStyle w:val="Normal6"/>
            </w:pPr>
            <w:r>
              <w:t>3.</w:t>
            </w:r>
            <w:r>
              <w:tab/>
            </w:r>
            <w:r>
              <w:t xml:space="preserve">Den beslutande myndigheten ska </w:t>
            </w:r>
            <w:r>
              <w:rPr>
                <w:rFonts w:ascii="Times New Roman" w:eastAsia="Times New Roman" w:hAnsi="Times New Roman" w:cs="Times New Roman"/>
                <w:b/>
                <w:i/>
                <w:strike w:val="0"/>
                <w:color w:val="000000"/>
                <w:sz w:val="24"/>
                <w:highlight w:val="none"/>
                <w:u w:val="none" w:color="auto"/>
              </w:rPr>
              <w:t xml:space="preserve">i samarbete med sökanden </w:t>
            </w:r>
            <w:r>
              <w:t>bedöma de relevanta faktorerna i ansökan i enlighet med artikel 33 i förordning (EU) XXX/XXX [Förfarandeförordningen].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Ett förtydligande av ordalydelsen i denna artikel skulle säkerställa en samarbetsprocess mellan båda parter i asylförfaranden, och därmed följa Europadomstolens standarder.</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354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Det faktum att en sökande redan har varit utsatt för förföljelse eller allvarlig skada, eller för direkta hot om sådan förföljelse eller sådan skada, ska betraktas som en allvarlig indikation på att sökandens fruktan för förföljelse är välgrundad eller att det finns en verklig risk för att han eller hon kommer att lida allvarlig skada</w:t>
            </w:r>
            <w:r>
              <w:rPr>
                <w:rFonts w:ascii="Times New Roman" w:eastAsia="Times New Roman" w:hAnsi="Times New Roman" w:cs="Times New Roman"/>
                <w:b/>
                <w:i/>
                <w:strike w:val="0"/>
                <w:color w:val="000000"/>
                <w:sz w:val="24"/>
                <w:highlight w:val="none"/>
                <w:u w:val="none" w:color="auto"/>
              </w:rPr>
              <w:t>, såvida det inte finns goda skäl att anta att sådan förföljelse eller allvarlig skada inte kommer att upprepas</w:t>
            </w:r>
            <w:r>
              <w:t>.</w:t>
            </w:r>
          </w:p>
        </w:tc>
        <w:tc>
          <w:tcPr/>
          <w:p>
            <w:pPr>
              <w:pStyle w:val="Normal6"/>
            </w:pPr>
            <w:r>
              <w:t>4.</w:t>
            </w:r>
            <w:r>
              <w:tab/>
            </w:r>
            <w:r>
              <w:t>Det faktum att en sökande redan har varit utsatt för förföljelse eller allvarlig skada, eller för direkta hot om sådan förföljelse eller sådan skada, ska betraktas som en allvarlig indikation på att sökandens fruktan för förföljelse är välgrundad eller att det finns en verklig risk för att han eller hon kommer att lida allvarlig skada.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355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Det faktum att en sökande redan har varit utsatt för förföljelse eller allvarlig skada, eller för direkta hot om sådan förföljelse eller sådan skada, ska betraktas som en allvarlig indikation på att sökandens fruktan för förföljelse är välgrundad eller att det finns en verklig risk för att han eller hon kommer att lida allvarlig skada</w:t>
            </w:r>
            <w:r>
              <w:rPr>
                <w:rFonts w:ascii="Times New Roman" w:eastAsia="Times New Roman" w:hAnsi="Times New Roman" w:cs="Times New Roman"/>
                <w:b/>
                <w:i/>
                <w:strike w:val="0"/>
                <w:color w:val="000000"/>
                <w:sz w:val="24"/>
                <w:highlight w:val="none"/>
                <w:u w:val="none" w:color="auto"/>
              </w:rPr>
              <w:t>, såvida det inte finns goda skäl att anta att sådan förföljelse eller allvarlig skada inte kommer att upprepas</w:t>
            </w:r>
            <w:r>
              <w:t>.</w:t>
            </w:r>
          </w:p>
        </w:tc>
        <w:tc>
          <w:tcPr/>
          <w:p>
            <w:pPr>
              <w:pStyle w:val="Normal6"/>
            </w:pPr>
            <w:r>
              <w:t>4.</w:t>
            </w:r>
            <w:r>
              <w:tab/>
            </w:r>
            <w:r>
              <w:t>Det faktum att en sökande redan har varit utsatt för förföljelse eller allvarlig skada, eller för direkta hot om sådan förföljelse eller sådan skada, ska betraktas som en allvarlig indikation på att sökandens fruktan för förföljelse är välgrundad eller att det finns en verklig risk för att han eller hon kommer att lida allvarlig skada.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356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Det faktum att en sökande redan har varit utsatt för förföljelse eller allvarlig skada, eller för direkta hot om sådan förföljelse eller sådan skada, ska betraktas som en allvarlig indikation på att sökandens fruktan för förföljelse är välgrundad eller att det finns en verklig risk för att han eller hon kommer att lida allvarlig skada, såvida det inte finns goda skäl att anta att sådan förföljelse eller allvarlig skada inte kommer att upprepas.</w:t>
            </w:r>
          </w:p>
        </w:tc>
        <w:tc>
          <w:tcPr/>
          <w:p>
            <w:pPr>
              <w:pStyle w:val="Normal6"/>
            </w:pPr>
            <w:r>
              <w:t>4.</w:t>
            </w:r>
            <w:r>
              <w:tab/>
            </w:r>
            <w:r>
              <w:t>Det faktum att en sökande redan har varit utsatt för förföljelse eller allvarlig skada, eller för direkta hot om sådan förföljelse eller sådan skada</w:t>
            </w:r>
            <w:r>
              <w:rPr>
                <w:rFonts w:ascii="Times New Roman" w:eastAsia="Times New Roman" w:hAnsi="Times New Roman" w:cs="Times New Roman"/>
                <w:b/>
                <w:i/>
                <w:strike w:val="0"/>
                <w:color w:val="000000"/>
                <w:sz w:val="24"/>
                <w:highlight w:val="none"/>
                <w:u w:val="none" w:color="auto"/>
              </w:rPr>
              <w:t xml:space="preserve"> i sitt ursprungsland</w:t>
            </w:r>
            <w:r>
              <w:t>, ska betraktas som en allvarlig indikation på att sökandens fruktan för förföljelse är välgrundad eller att det finns en verklig risk för att han eller hon kommer att lida allvarlig skada, såvida det inte finns goda skäl att anta att sådan förföljelse eller allvarlig skada inte kommer att upprepas.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357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5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Om aspekter av sökandens utsagor inte kan styrkas av skriftliga eller andra bevis, ska inga ytterligare bevis krävas avseende dessa aspekter om följande villkor är uppfyllda:</w:t>
            </w:r>
          </w:p>
        </w:tc>
        <w:tc>
          <w:tcPr/>
          <w:p>
            <w:pPr>
              <w:pStyle w:val="Normal6"/>
            </w:pPr>
            <w:r>
              <w:t>5.</w:t>
            </w:r>
            <w:r>
              <w:tab/>
            </w:r>
            <w:r>
              <w:t xml:space="preserve">Om aspekter av sökandens utsagor inte kan styrkas av skriftliga eller andra bevis, ska inga ytterligare bevis krävas avseende dessa aspekter </w:t>
            </w:r>
            <w:r>
              <w:rPr>
                <w:rFonts w:ascii="Times New Roman" w:eastAsia="Times New Roman" w:hAnsi="Times New Roman" w:cs="Times New Roman"/>
                <w:b/>
                <w:i/>
                <w:strike w:val="0"/>
                <w:color w:val="000000"/>
                <w:sz w:val="24"/>
                <w:highlight w:val="none"/>
                <w:u w:val="none" w:color="auto"/>
              </w:rPr>
              <w:t xml:space="preserve">och sökanden ska hellre frias än fällas </w:t>
            </w:r>
            <w:r>
              <w:t>om följande villkor är uppfyllda: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358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5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Om aspekter av sökandens utsagor inte kan styrkas av skriftliga eller andra bevis, ska inga ytterligare bevis krävas avseende dessa aspekter om följande villkor är uppfyllda:</w:t>
            </w:r>
          </w:p>
        </w:tc>
        <w:tc>
          <w:tcPr/>
          <w:p>
            <w:pPr>
              <w:pStyle w:val="Normal6"/>
            </w:pPr>
            <w:r>
              <w:t>5.</w:t>
            </w:r>
            <w:r>
              <w:tab/>
            </w:r>
            <w:r>
              <w:t xml:space="preserve">Om aspekter av sökandens utsagor inte kan styrkas av skriftliga eller andra bevis, ska inga ytterligare bevis krävas avseende dessa aspekter </w:t>
            </w:r>
            <w:r>
              <w:rPr>
                <w:rFonts w:ascii="Times New Roman" w:eastAsia="Times New Roman" w:hAnsi="Times New Roman" w:cs="Times New Roman"/>
                <w:b/>
                <w:i/>
                <w:strike w:val="0"/>
                <w:color w:val="000000"/>
                <w:sz w:val="24"/>
                <w:highlight w:val="none"/>
                <w:u w:val="none" w:color="auto"/>
              </w:rPr>
              <w:t xml:space="preserve">och sökanden ska hellre frias än fällas </w:t>
            </w:r>
            <w:r>
              <w:t>om följande villkor är uppfyllda: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The benefit of the doubt principle is well-established in international refugee law and requires that where an applicant’s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individual’s declaration lacks credibility. The Court further clarified that all fundamental rights, including dignity and privacy, must be respected in the process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359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5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Om aspekter av sökandens utsagor inte kan styrkas av skriftliga eller andra bevis, ska inga ytterligare bevis krävas avseende dessa aspekter om följande villkor är uppfyllda:</w:t>
            </w:r>
          </w:p>
        </w:tc>
        <w:tc>
          <w:tcPr/>
          <w:p>
            <w:pPr>
              <w:pStyle w:val="Normal6"/>
            </w:pPr>
            <w:r>
              <w:t>5.</w:t>
            </w:r>
            <w:r>
              <w:tab/>
            </w:r>
            <w:r>
              <w:t xml:space="preserve">Om aspekter av sökandens utsagor inte kan styrkas av skriftliga eller andra bevis, ska inga ytterligare bevis krävas </w:t>
            </w:r>
            <w:r>
              <w:rPr>
                <w:rFonts w:ascii="Times New Roman" w:eastAsia="Times New Roman" w:hAnsi="Times New Roman" w:cs="Times New Roman"/>
                <w:b/>
                <w:i/>
                <w:strike w:val="0"/>
                <w:color w:val="000000"/>
                <w:sz w:val="24"/>
                <w:highlight w:val="none"/>
                <w:u w:val="none" w:color="auto"/>
              </w:rPr>
              <w:t xml:space="preserve">och sökanden ska hellre frias än fällas </w:t>
            </w:r>
            <w:r>
              <w:t>avseende dessa aspekter om följande villkor är uppfyllda: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360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5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 xml:space="preserve">Om aspekter av sökandens utsagor inte kan styrkas av skriftliga eller andra bevis, </w:t>
            </w:r>
            <w:r>
              <w:rPr>
                <w:rFonts w:ascii="Times New Roman" w:eastAsia="Times New Roman" w:hAnsi="Times New Roman" w:cs="Times New Roman"/>
                <w:b/>
                <w:i/>
                <w:strike w:val="0"/>
                <w:color w:val="000000"/>
                <w:sz w:val="24"/>
                <w:highlight w:val="none"/>
                <w:u w:val="none" w:color="auto"/>
              </w:rPr>
              <w:t>ska inga</w:t>
            </w:r>
            <w:r>
              <w:t xml:space="preserve"> ytterligare bevis krävas avseende dessa aspekter om följande villkor är uppfyllda:</w:t>
            </w:r>
          </w:p>
        </w:tc>
        <w:tc>
          <w:tcPr/>
          <w:p>
            <w:pPr>
              <w:pStyle w:val="Normal6"/>
            </w:pPr>
            <w:r>
              <w:t>5.</w:t>
            </w:r>
            <w:r>
              <w:tab/>
            </w:r>
            <w:r>
              <w:t xml:space="preserve">Om aspekter av sökandens utsagor inte kan styrkas av skriftliga eller andra bevis, </w:t>
            </w:r>
            <w:r>
              <w:rPr>
                <w:rFonts w:ascii="Times New Roman" w:eastAsia="Times New Roman" w:hAnsi="Times New Roman" w:cs="Times New Roman"/>
                <w:b/>
                <w:i/>
                <w:strike w:val="0"/>
                <w:color w:val="000000"/>
                <w:sz w:val="24"/>
                <w:highlight w:val="none"/>
                <w:u w:val="none" w:color="auto"/>
              </w:rPr>
              <w:t>kan</w:t>
            </w:r>
            <w:r>
              <w:t xml:space="preserve"> ytterligare bevis krävas avseende dessa aspekter om följande villkor</w:t>
            </w:r>
            <w:r>
              <w:rPr>
                <w:rFonts w:ascii="Times New Roman" w:eastAsia="Times New Roman" w:hAnsi="Times New Roman" w:cs="Times New Roman"/>
                <w:b/>
                <w:i/>
                <w:strike w:val="0"/>
                <w:color w:val="000000"/>
                <w:sz w:val="24"/>
                <w:highlight w:val="none"/>
                <w:u w:val="none" w:color="auto"/>
              </w:rPr>
              <w:t xml:space="preserve"> inte</w:t>
            </w:r>
            <w:r>
              <w:t xml:space="preserve"> är uppfyllda: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361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5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rPr>
                <w:rFonts w:ascii="Times New Roman" w:eastAsia="Times New Roman" w:hAnsi="Times New Roman" w:cs="Times New Roman"/>
                <w:b/>
                <w:i/>
                <w:strike w:val="0"/>
                <w:color w:val="000000"/>
                <w:sz w:val="24"/>
                <w:highlight w:val="none"/>
                <w:u w:val="none" w:color="auto"/>
              </w:rPr>
              <w:t>Sökanden har gjort en genuin ansträngning för att styrka sin ansökan.</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Begreppet "genuin ansträngning" är alldeles för långtgående och subjektivt.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362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5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t>Alla relevanta faktorer som sökanden förfogar över har lagts fram</w:t>
            </w:r>
            <w:r>
              <w:rPr>
                <w:rFonts w:ascii="Times New Roman" w:eastAsia="Times New Roman" w:hAnsi="Times New Roman" w:cs="Times New Roman"/>
                <w:b/>
                <w:i/>
                <w:strike w:val="0"/>
                <w:color w:val="000000"/>
                <w:sz w:val="24"/>
                <w:highlight w:val="none"/>
                <w:u w:val="none" w:color="auto"/>
              </w:rPr>
              <w:t xml:space="preserve"> och en tillfredsställande förklaring har lämnats till varför andra relevanta faktorer saknas</w:t>
            </w:r>
            <w:r>
              <w:t>.</w:t>
            </w:r>
          </w:p>
        </w:tc>
        <w:tc>
          <w:tcPr/>
          <w:p>
            <w:pPr>
              <w:pStyle w:val="Normal6"/>
            </w:pPr>
            <w:r>
              <w:t>(b)</w:t>
            </w:r>
            <w:r>
              <w:tab/>
            </w:r>
            <w:r>
              <w:t>Alla relevanta faktorer som sökanden förfogar över har lagts fram.</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Se motiveringen till artikel 4.5.</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363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5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t>Alla relevanta faktorer som sökanden förfogar över har lagts fram</w:t>
            </w:r>
            <w:r>
              <w:rPr>
                <w:rFonts w:ascii="Times New Roman" w:eastAsia="Times New Roman" w:hAnsi="Times New Roman" w:cs="Times New Roman"/>
                <w:b/>
                <w:i/>
                <w:strike w:val="0"/>
                <w:color w:val="000000"/>
                <w:sz w:val="24"/>
                <w:highlight w:val="none"/>
                <w:u w:val="none" w:color="auto"/>
              </w:rPr>
              <w:t xml:space="preserve"> och en tillfredsställande förklaring har lämnats till varför andra relevanta faktorer saknas</w:t>
            </w:r>
            <w:r>
              <w:t>.</w:t>
            </w:r>
          </w:p>
        </w:tc>
        <w:tc>
          <w:tcPr/>
          <w:p>
            <w:pPr>
              <w:pStyle w:val="Normal6"/>
            </w:pPr>
            <w:r>
              <w:t>(b)</w:t>
            </w:r>
            <w:r>
              <w:tab/>
            </w:r>
            <w:r>
              <w:t>Alla relevanta faktorer som sökanden förfogar över har lagts fram.</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364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5 – led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w:t>
            </w:r>
            <w:r>
              <w:tab/>
            </w:r>
            <w:r>
              <w:rPr>
                <w:rFonts w:ascii="Times New Roman" w:eastAsia="Times New Roman" w:hAnsi="Times New Roman" w:cs="Times New Roman"/>
                <w:b/>
                <w:i/>
                <w:strike w:val="0"/>
                <w:color w:val="000000"/>
                <w:sz w:val="24"/>
                <w:highlight w:val="none"/>
                <w:u w:val="none" w:color="auto"/>
              </w:rPr>
              <w:t>Sökanden har ansökt om internationellt skydd så tidigt som möjligt, såvida inte sökanden kan framföra goda skäl till varför han eller hon inte gjort det.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365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5 – led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w:t>
            </w:r>
            <w:r>
              <w:tab/>
            </w:r>
            <w:r>
              <w:rPr>
                <w:rFonts w:ascii="Times New Roman" w:eastAsia="Times New Roman" w:hAnsi="Times New Roman" w:cs="Times New Roman"/>
                <w:b/>
                <w:i/>
                <w:strike w:val="0"/>
                <w:color w:val="000000"/>
                <w:sz w:val="24"/>
                <w:highlight w:val="none"/>
                <w:u w:val="none" w:color="auto"/>
              </w:rPr>
              <w:t>Sökanden har ansökt om internationellt skydd så tidigt som möjligt, såvida inte sökanden kan framföra goda skäl till varför han eller hon inte gjort det.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366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5 – led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w:t>
            </w:r>
            <w:r>
              <w:tab/>
            </w:r>
            <w:r>
              <w:rPr>
                <w:rFonts w:ascii="Times New Roman" w:eastAsia="Times New Roman" w:hAnsi="Times New Roman" w:cs="Times New Roman"/>
                <w:b/>
                <w:i/>
                <w:strike w:val="0"/>
                <w:color w:val="000000"/>
                <w:sz w:val="24"/>
                <w:highlight w:val="none"/>
                <w:u w:val="none" w:color="auto"/>
              </w:rPr>
              <w:t>Sökanden har ansökt om internationellt skydd så tidigt som möjligt, såvida inte sökanden kan framföra goda skäl till varför han eller hon inte gjort det.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Skuggföredraganden håller med om föredragandens bedömning att det finns många skäl till varför en sökande kanske inte söker internationellt skydd omedelbart. Huruvida sökanden har ansökt om internationellt skydd så tidigt som möjligt bör inte avgöra vilken vikt som fästs vid sökandens utsagor.</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367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5 – led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(d)</w:t>
            </w:r>
            <w:r>
              <w:tab/>
            </w:r>
            <w:r>
              <w:t>Sökanden har ansökt om internationellt skydd så tidigt som möjligt</w:t>
            </w:r>
            <w:r>
              <w:rPr>
                <w:rFonts w:ascii="Times New Roman" w:eastAsia="Times New Roman" w:hAnsi="Times New Roman" w:cs="Times New Roman"/>
                <w:b/>
                <w:i/>
                <w:strike w:val="0"/>
                <w:color w:val="000000"/>
                <w:sz w:val="24"/>
                <w:highlight w:val="none"/>
                <w:u w:val="none" w:color="auto"/>
              </w:rPr>
              <w:t>, såvida inte sökanden kan framföra goda skäl till varför han eller hon inte gjort det</w:t>
            </w:r>
            <w:r>
              <w:t>.</w:t>
            </w:r>
          </w:p>
        </w:tc>
        <w:tc>
          <w:tcPr/>
          <w:p>
            <w:pPr>
              <w:pStyle w:val="Normal6"/>
            </w:pPr>
            <w:r>
              <w:t>(d)</w:t>
            </w:r>
            <w:r>
              <w:tab/>
            </w:r>
            <w:r>
              <w:t>Sökanden har ansökt om internationellt skydd så tidigt som möjligt.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368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t xml:space="preserve">, </w:t>
      </w:r>
      <w:r>
        <w:t>Helga Stevens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5 – led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(d)</w:t>
            </w:r>
            <w:r>
              <w:tab/>
            </w:r>
            <w:r>
              <w:t>Sökanden har ansökt om internationellt skydd så tidigt som möjligt</w:t>
            </w:r>
            <w:r>
              <w:rPr>
                <w:rFonts w:ascii="Times New Roman" w:eastAsia="Times New Roman" w:hAnsi="Times New Roman" w:cs="Times New Roman"/>
                <w:b/>
                <w:i/>
                <w:strike w:val="0"/>
                <w:color w:val="000000"/>
                <w:sz w:val="24"/>
                <w:highlight w:val="none"/>
                <w:u w:val="none" w:color="auto"/>
              </w:rPr>
              <w:t>, såvida inte sökanden kan framföra goda skäl till varför han eller hon inte gjort det</w:t>
            </w:r>
            <w:r>
              <w:t>.</w:t>
            </w:r>
          </w:p>
        </w:tc>
        <w:tc>
          <w:tcPr/>
          <w:p>
            <w:pPr>
              <w:pStyle w:val="Normal6"/>
            </w:pPr>
            <w:r>
              <w:t>(d)</w:t>
            </w:r>
            <w:r>
              <w:tab/>
            </w:r>
            <w:r>
              <w:t>Sökanden har ansökt om internationellt skydd så tidigt som möjligt.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369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 – punkt 5 – led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(e)</w:t>
            </w:r>
            <w:r>
              <w:tab/>
            </w:r>
            <w:r>
              <w:rPr>
                <w:rFonts w:ascii="Times New Roman" w:eastAsia="Times New Roman" w:hAnsi="Times New Roman" w:cs="Times New Roman"/>
                <w:b/>
                <w:i/>
                <w:strike w:val="0"/>
                <w:color w:val="000000"/>
                <w:sz w:val="24"/>
                <w:highlight w:val="none"/>
                <w:u w:val="none" w:color="auto"/>
              </w:rPr>
              <w:t>Sökandens allmänna trovärdighet är fastställd.</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370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En </w:t>
            </w:r>
            <w:r>
              <w:rPr>
                <w:rFonts w:ascii="Times New Roman" w:eastAsia="Times New Roman" w:hAnsi="Times New Roman" w:cs="Times New Roman"/>
                <w:b/>
                <w:i/>
                <w:strike w:val="0"/>
                <w:color w:val="000000"/>
                <w:sz w:val="24"/>
                <w:highlight w:val="none"/>
                <w:u w:val="none" w:color="auto"/>
              </w:rPr>
              <w:t xml:space="preserve">välgrundad </w:t>
            </w:r>
            <w:r>
              <w:t>fruktan för förföljelse eller en verklig risk för att lida allvarlig skada kan grunda sig på händelser som har ägt rum efter det att sökanden lämnade ursprungslandet.</w:t>
            </w:r>
          </w:p>
        </w:tc>
        <w:tc>
          <w:tcPr/>
          <w:p>
            <w:pPr>
              <w:pStyle w:val="Normal6"/>
            </w:pPr>
            <w:r>
              <w:t>1.</w:t>
            </w:r>
            <w:r>
              <w:tab/>
            </w:r>
            <w:r>
              <w:t>En fruktan för förföljelse eller en verklig risk för att lida allvarlig skada kan grunda sig på händelser som har ägt rum efter det att sökanden lämnade ursprungslandet.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371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En välgrundad fruktan för förföljelse eller en verklig risk för att lida allvarlig skada kan grunda sig på händelser som har ägt rum </w:t>
            </w:r>
            <w:r>
              <w:rPr>
                <w:rFonts w:ascii="Times New Roman" w:eastAsia="Times New Roman" w:hAnsi="Times New Roman" w:cs="Times New Roman"/>
                <w:b/>
                <w:i/>
                <w:strike w:val="0"/>
                <w:color w:val="000000"/>
                <w:sz w:val="24"/>
                <w:highlight w:val="none"/>
                <w:u w:val="none" w:color="auto"/>
              </w:rPr>
              <w:t>efter det att sökanden lämnade</w:t>
            </w:r>
            <w:r>
              <w:t xml:space="preserve"> ursprungslandet.</w:t>
            </w:r>
          </w:p>
        </w:tc>
        <w:tc>
          <w:tcPr/>
          <w:p>
            <w:pPr>
              <w:pStyle w:val="Normal6"/>
            </w:pPr>
            <w:r>
              <w:t>1.</w:t>
            </w:r>
            <w:r>
              <w:tab/>
            </w:r>
            <w:r>
              <w:t xml:space="preserve">En välgrundad fruktan för förföljelse eller en verklig risk för att lida allvarlig skada kan </w:t>
            </w:r>
            <w:r>
              <w:rPr>
                <w:rFonts w:ascii="Times New Roman" w:eastAsia="Times New Roman" w:hAnsi="Times New Roman" w:cs="Times New Roman"/>
                <w:b/>
                <w:i/>
                <w:strike w:val="0"/>
                <w:color w:val="000000"/>
                <w:sz w:val="24"/>
                <w:highlight w:val="none"/>
                <w:u w:val="none" w:color="auto"/>
              </w:rPr>
              <w:t xml:space="preserve">endast </w:t>
            </w:r>
            <w:r>
              <w:t xml:space="preserve">grunda sig på händelser som har ägt rum </w:t>
            </w:r>
            <w:r>
              <w:rPr>
                <w:rFonts w:ascii="Times New Roman" w:eastAsia="Times New Roman" w:hAnsi="Times New Roman" w:cs="Times New Roman"/>
                <w:b/>
                <w:i/>
                <w:strike w:val="0"/>
                <w:color w:val="000000"/>
                <w:sz w:val="24"/>
                <w:highlight w:val="none"/>
                <w:u w:val="none" w:color="auto"/>
              </w:rPr>
              <w:t>i</w:t>
            </w:r>
            <w:r>
              <w:t xml:space="preserve"> ursprungslandet.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372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w:t>
            </w:r>
            <w:r>
              <w:tab/>
            </w:r>
            <w:r>
              <w:rPr>
                <w:rFonts w:ascii="Times New Roman" w:eastAsia="Times New Roman" w:hAnsi="Times New Roman" w:cs="Times New Roman"/>
                <w:b/>
                <w:i/>
                <w:strike w:val="0"/>
                <w:color w:val="000000"/>
                <w:sz w:val="24"/>
                <w:highlight w:val="none"/>
                <w:u w:val="none" w:color="auto"/>
              </w:rPr>
              <w:t>En välgrundad fruktan för förföljelse eller en verklig risk för att lida allvarlig skada kan grunda sig på verksamhet som sökanden ägnat sig åt sedan han eller hon lämnade ursprungslandet, i synnerhet om det är fastställt att den verksamhet som åberopas är ett uttryck för och en fortsättning på åsikter eller en inställning som sökanden hade i ursprungslandet.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Strykningen överensstämmer med ändringsförslaget till artikel 5.1.</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373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t xml:space="preserve">, </w:t>
      </w:r>
      <w:r>
        <w:t>Helga Stevens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w:t>
            </w:r>
            <w:r>
              <w:tab/>
            </w:r>
            <w:r>
              <w:rPr>
                <w:rFonts w:ascii="Times New Roman" w:eastAsia="Times New Roman" w:hAnsi="Times New Roman" w:cs="Times New Roman"/>
                <w:b/>
                <w:i/>
                <w:strike w:val="0"/>
                <w:color w:val="000000"/>
                <w:sz w:val="24"/>
                <w:highlight w:val="none"/>
                <w:u w:val="none" w:color="auto"/>
              </w:rPr>
              <w:t>En välgrundad fruktan för förföljelse eller en verklig risk för att lida allvarlig skada kan grunda sig på verksamhet som sökanden ägnat sig åt sedan han eller hon lämnade ursprungslandet, i synnerhet om det är fastställt att den verksamhet som åberopas är ett uttryck för och en fortsättning på åsikter eller en inställning som sökanden hade i ursprungslandet.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374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Alessandra Mussolini</w:t>
      </w:r>
      <w:r>
        <w:t xml:space="preserve">, </w:t>
      </w:r>
      <w:r>
        <w:t>Elissavet Vozemberg-Vrionidi</w:t>
      </w:r>
      <w:r>
        <w:t xml:space="preserve">, </w:t>
      </w:r>
      <w:r>
        <w:t>Frank Engel</w:t>
      </w:r>
      <w:r>
        <w:t xml:space="preserve">, </w:t>
      </w:r>
      <w:r>
        <w:t>Barbara Matera</w:t>
      </w:r>
      <w:r>
        <w:t xml:space="preserve">, </w:t>
      </w:r>
      <w:r>
        <w:t>Salvatore Domenico Pogliese</w:t>
      </w:r>
      <w:r>
        <w:t xml:space="preserve">, </w:t>
      </w:r>
      <w:r>
        <w:t>Emil Radev</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 – punkt 2a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2a.</w:t>
            </w:r>
            <w:r>
              <w:tab/>
            </w:r>
            <w:r>
              <w:rPr>
                <w:rFonts w:ascii="Times New Roman" w:eastAsia="Times New Roman" w:hAnsi="Times New Roman" w:cs="Times New Roman"/>
                <w:b/>
                <w:i/>
                <w:strike w:val="0"/>
                <w:color w:val="000000"/>
                <w:sz w:val="24"/>
                <w:highlight w:val="none"/>
                <w:u w:val="none" w:color="auto"/>
              </w:rPr>
              <w:t>Vid behandlingen av en ansökan om internationellt skydd ska den beslutande myndigheten bedöma huruvida sökanden avsiktligen har betett sig på ett sätt som har föranlett hans/hennes förföljelse i ursprungslandet, med det huvudsakliga eller enda syftet att skapa de förutsättningar som krävs för att kunna ansöka om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 är nödvändigt att inrätta villkor för att förhindra att personer som ansöker om internationellt skydd på något sätt missbrukar det gemensamma europeiska asylsystemet.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375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w:t>
            </w:r>
            <w:r>
              <w:tab/>
            </w:r>
            <w:r>
              <w:rPr>
                <w:rFonts w:ascii="Times New Roman" w:eastAsia="Times New Roman" w:hAnsi="Times New Roman" w:cs="Times New Roman"/>
                <w:b/>
                <w:i/>
                <w:strike w:val="0"/>
                <w:color w:val="000000"/>
                <w:sz w:val="24"/>
                <w:highlight w:val="none"/>
                <w:u w:val="none" w:color="auto"/>
              </w:rPr>
              <w:t>Utan att det påverkar Genèvekonventionen och Europakonventionen om de mänskliga rättigheterna ska en sökande som lämnar in en efterföljande ansökan i enlighet med artikel 42 i förordning (EU) XXX/XXX [Förfarandeförordningen] normalt inte beviljas flyktingstatus eller status som subsidiärt skyddsbehövande om risken för förföljelse eller allvarlig skada grundar sig på omständigheter som sökanden genom eget beslut har skapat efter att ha lämnat ursprungslandet.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376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rPr>
                <w:rFonts w:ascii="Times New Roman" w:eastAsia="Times New Roman" w:hAnsi="Times New Roman" w:cs="Times New Roman"/>
                <w:b/>
                <w:i/>
                <w:strike w:val="0"/>
                <w:color w:val="000000"/>
                <w:sz w:val="24"/>
                <w:highlight w:val="none"/>
                <w:u w:val="none" w:color="auto"/>
              </w:rPr>
              <w:t>Utan att det påverkar Genèvekonventionen och Europakonventionen om de mänskliga rättigheterna ska en sökande som lämnar in en efterföljande ansökan i enlighet med artikel 42 i förordning (EU) XXX/XXX [Förfarandeförordningen] normalt inte beviljas flyktingstatus eller status som subsidiärt skyddsbehövande om risken för förföljelse eller allvarlig skada grundar sig på omständigheter som sökanden genom eget beslut har skapat efter att ha lämnat ursprungslandet.</w:t>
            </w:r>
          </w:p>
        </w:tc>
        <w:tc>
          <w:tcPr/>
          <w:p>
            <w:pPr>
              <w:pStyle w:val="Normal6"/>
            </w:pPr>
            <w:r>
              <w:t>3.</w:t>
            </w:r>
            <w:r>
              <w:tab/>
            </w: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Även om artikel 5.3 har formulerats som en fakultativ bestämmelse finns det risk för att förslaget leder till att personer som har en välgrundad fruktan för förföljelse eller riskerar att lida allvarlig skada nekas internationellt skydd på grund av en i rättsligt hänseende irrelevant och per definition mycket subjektiv bedömning av huruvida de försökte skapa omständigheter som skulle ge dem rätt till internationellt skydd.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377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rPr>
                <w:rFonts w:ascii="Times New Roman" w:eastAsia="Times New Roman" w:hAnsi="Times New Roman" w:cs="Times New Roman"/>
                <w:b/>
                <w:i/>
                <w:strike w:val="0"/>
                <w:color w:val="000000"/>
                <w:sz w:val="24"/>
                <w:highlight w:val="none"/>
                <w:u w:val="none" w:color="auto"/>
              </w:rPr>
              <w:t>Utan att det påverkar</w:t>
            </w:r>
            <w:r>
              <w:t xml:space="preserve"> Genèvekonventionen</w:t>
            </w:r>
            <w:r>
              <w:rPr>
                <w:rFonts w:ascii="Times New Roman" w:eastAsia="Times New Roman" w:hAnsi="Times New Roman" w:cs="Times New Roman"/>
                <w:b/>
                <w:i/>
                <w:strike w:val="0"/>
                <w:color w:val="000000"/>
                <w:sz w:val="24"/>
                <w:highlight w:val="none"/>
                <w:u w:val="none" w:color="auto"/>
              </w:rPr>
              <w:t xml:space="preserve"> och Europakonventionen</w:t>
            </w:r>
            <w:r>
              <w:t xml:space="preserve"> om de </w:t>
            </w:r>
            <w:r>
              <w:rPr>
                <w:rFonts w:ascii="Times New Roman" w:eastAsia="Times New Roman" w:hAnsi="Times New Roman" w:cs="Times New Roman"/>
                <w:b/>
                <w:i/>
                <w:strike w:val="0"/>
                <w:color w:val="000000"/>
                <w:sz w:val="24"/>
                <w:highlight w:val="none"/>
                <w:u w:val="none" w:color="auto"/>
              </w:rPr>
              <w:t>mänskliga</w:t>
            </w:r>
            <w:r>
              <w:t xml:space="preserve"> rättigheterna </w:t>
            </w:r>
            <w:r>
              <w:rPr>
                <w:rFonts w:ascii="Times New Roman" w:eastAsia="Times New Roman" w:hAnsi="Times New Roman" w:cs="Times New Roman"/>
                <w:b/>
                <w:i/>
                <w:strike w:val="0"/>
                <w:color w:val="000000"/>
                <w:sz w:val="24"/>
                <w:highlight w:val="none"/>
                <w:u w:val="none" w:color="auto"/>
              </w:rPr>
              <w:t>ska</w:t>
            </w:r>
            <w:r>
              <w:t xml:space="preserve"> en sökande som lämnar in en efterföljande ansökan i enlighet med artikel 42 i förordning (EU) XXX/XXX [Förfarandeförordningen] </w:t>
            </w:r>
            <w:r>
              <w:rPr>
                <w:rFonts w:ascii="Times New Roman" w:eastAsia="Times New Roman" w:hAnsi="Times New Roman" w:cs="Times New Roman"/>
                <w:b/>
                <w:i/>
                <w:strike w:val="0"/>
                <w:color w:val="000000"/>
                <w:sz w:val="24"/>
                <w:highlight w:val="none"/>
                <w:u w:val="none" w:color="auto"/>
              </w:rPr>
              <w:t>normalt inte beviljas</w:t>
            </w:r>
            <w:r>
              <w:t xml:space="preserve"> flyktingstatus eller status som subsidiärt skyddsbehövande om risken för förföljelse eller allvarlig skada grundar sig på omständigheter som sökanden genom eget beslut har skapat efter att ha lämnat ursprungslandet.</w:t>
            </w:r>
          </w:p>
        </w:tc>
        <w:tc>
          <w:tcPr/>
          <w:p>
            <w:pPr>
              <w:pStyle w:val="Normal6"/>
            </w:pPr>
            <w:r>
              <w:t>3.</w:t>
            </w:r>
            <w:r>
              <w:tab/>
            </w:r>
            <w:r>
              <w:rPr>
                <w:rFonts w:ascii="Times New Roman" w:eastAsia="Times New Roman" w:hAnsi="Times New Roman" w:cs="Times New Roman"/>
                <w:b/>
                <w:i/>
                <w:strike w:val="0"/>
                <w:color w:val="000000"/>
                <w:sz w:val="24"/>
                <w:highlight w:val="none"/>
                <w:u w:val="none" w:color="auto"/>
              </w:rPr>
              <w:t>Förutsatt att samtliga beslut fattas helt i linje med</w:t>
            </w:r>
            <w:r>
              <w:t xml:space="preserve"> Genèvekonventionen</w:t>
            </w:r>
            <w:r>
              <w:rPr>
                <w:rFonts w:ascii="Times New Roman" w:eastAsia="Times New Roman" w:hAnsi="Times New Roman" w:cs="Times New Roman"/>
                <w:b/>
                <w:i/>
                <w:strike w:val="0"/>
                <w:color w:val="000000"/>
                <w:sz w:val="24"/>
                <w:highlight w:val="none"/>
                <w:u w:val="none" w:color="auto"/>
              </w:rPr>
              <w:t>, den europeiska konventionen om skydd för de mänskliga rättigheterna och de grundläggande friheterna och Europeiska unionens stadga</w:t>
            </w:r>
            <w:r>
              <w:t xml:space="preserve"> om de </w:t>
            </w:r>
            <w:r>
              <w:rPr>
                <w:rFonts w:ascii="Times New Roman" w:eastAsia="Times New Roman" w:hAnsi="Times New Roman" w:cs="Times New Roman"/>
                <w:b/>
                <w:i/>
                <w:strike w:val="0"/>
                <w:color w:val="000000"/>
                <w:sz w:val="24"/>
                <w:highlight w:val="none"/>
                <w:u w:val="none" w:color="auto"/>
              </w:rPr>
              <w:t>grundläggande</w:t>
            </w:r>
            <w:r>
              <w:t xml:space="preserve"> rättigheterna </w:t>
            </w:r>
            <w:r>
              <w:rPr>
                <w:rFonts w:ascii="Times New Roman" w:eastAsia="Times New Roman" w:hAnsi="Times New Roman" w:cs="Times New Roman"/>
                <w:b/>
                <w:i/>
                <w:strike w:val="0"/>
                <w:color w:val="000000"/>
                <w:sz w:val="24"/>
                <w:highlight w:val="none"/>
                <w:u w:val="none" w:color="auto"/>
              </w:rPr>
              <w:t>kan</w:t>
            </w:r>
            <w:r>
              <w:t xml:space="preserve"> en sökande som lämnar in en efterföljande ansökan i enlighet med artikel 42 i förordning (EU) XXX/XXX [Förfarandeförordningen] </w:t>
            </w:r>
            <w:r>
              <w:rPr>
                <w:rFonts w:ascii="Times New Roman" w:eastAsia="Times New Roman" w:hAnsi="Times New Roman" w:cs="Times New Roman"/>
                <w:b/>
                <w:i/>
                <w:strike w:val="0"/>
                <w:color w:val="000000"/>
                <w:sz w:val="24"/>
                <w:highlight w:val="none"/>
                <w:u w:val="none" w:color="auto"/>
              </w:rPr>
              <w:t>nekas</w:t>
            </w:r>
            <w:r>
              <w:t xml:space="preserve"> flyktingstatus eller status som subsidiärt skyddsbehövande om risken för förföljelse eller allvarlig skada grundar sig på omständigheter som sökanden genom eget beslut har skapat efter att ha lämnat ursprungslandet. </w:t>
            </w:r>
            <w:r>
              <w:rPr>
                <w:rFonts w:ascii="Times New Roman" w:eastAsia="Times New Roman" w:hAnsi="Times New Roman" w:cs="Times New Roman"/>
                <w:b/>
                <w:i/>
                <w:strike w:val="0"/>
                <w:color w:val="000000"/>
                <w:sz w:val="24"/>
                <w:highlight w:val="none"/>
                <w:u w:val="none" w:color="auto"/>
              </w:rPr>
              <w:t>Detta undantar alla omständigheter som inte är beroende av sökandens beslutsfattande, inklusive men inte begränsat till deras sexuella läggning eller religiösa övertygelse, som han eller hon har hållit fast vid mer eller mindre öppet i ursprungslandet.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378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 xml:space="preserve">Utan att det påverkar Genèvekonventionen och Europakonventionen om de mänskliga rättigheterna ska en sökande som lämnar in en </w:t>
            </w:r>
            <w:r>
              <w:rPr>
                <w:rFonts w:ascii="Times New Roman" w:eastAsia="Times New Roman" w:hAnsi="Times New Roman" w:cs="Times New Roman"/>
                <w:b/>
                <w:i/>
                <w:strike w:val="0"/>
                <w:color w:val="000000"/>
                <w:sz w:val="24"/>
                <w:highlight w:val="none"/>
                <w:u w:val="none" w:color="auto"/>
              </w:rPr>
              <w:t xml:space="preserve">efterföljande </w:t>
            </w:r>
            <w:r>
              <w:t xml:space="preserve">ansökan </w:t>
            </w:r>
            <w:r>
              <w:rPr>
                <w:rFonts w:ascii="Times New Roman" w:eastAsia="Times New Roman" w:hAnsi="Times New Roman" w:cs="Times New Roman"/>
                <w:b/>
                <w:i/>
                <w:strike w:val="0"/>
                <w:color w:val="000000"/>
                <w:sz w:val="24"/>
                <w:highlight w:val="none"/>
                <w:u w:val="none" w:color="auto"/>
              </w:rPr>
              <w:t>i enlighet med artikel 42 i förordning (EU) XXX/XXX [Förfarandeförordningen]</w:t>
            </w:r>
            <w:r>
              <w:t xml:space="preserve"> normalt inte beviljas flyktingstatus eller status som subsidiärt skyddsbehövande om risken för förföljelse eller allvarlig skada grundar sig på omständigheter som sökanden genom eget beslut har skapat efter att ha lämnat ursprungslandet.</w:t>
            </w:r>
          </w:p>
        </w:tc>
        <w:tc>
          <w:tcPr/>
          <w:p>
            <w:pPr>
              <w:pStyle w:val="Normal6"/>
            </w:pPr>
            <w:r>
              <w:t>3.</w:t>
            </w:r>
            <w:r>
              <w:tab/>
            </w:r>
            <w:r>
              <w:t xml:space="preserve">Utan att det påverkar Genèvekonventionen och Europakonventionen om de mänskliga rättigheterna ska en sökande som lämnar in en ansökan </w:t>
            </w:r>
            <w:r>
              <w:rPr>
                <w:rFonts w:ascii="Times New Roman" w:eastAsia="Times New Roman" w:hAnsi="Times New Roman" w:cs="Times New Roman"/>
                <w:b/>
                <w:i/>
                <w:strike w:val="0"/>
                <w:color w:val="000000"/>
                <w:sz w:val="24"/>
                <w:highlight w:val="none"/>
                <w:u w:val="none" w:color="auto"/>
              </w:rPr>
              <w:t>om internationellt skydd</w:t>
            </w:r>
            <w:r>
              <w:t xml:space="preserve"> normalt inte beviljas flyktingstatus eller status som subsidiärt skyddsbehövande om risken för förföljelse eller allvarlig skada grundar sig på omständigheter som sökanden genom eget beslut har skapat efter att ha lämnat ursprungslandet.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379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Alessandra Mussolini</w:t>
      </w:r>
      <w:r>
        <w:t xml:space="preserve">, </w:t>
      </w:r>
      <w:r>
        <w:t>Elissavet Vozemberg-Vrionidi</w:t>
      </w:r>
      <w:r>
        <w:t xml:space="preserve">, </w:t>
      </w:r>
      <w:r>
        <w:t>Frank Engel</w:t>
      </w:r>
      <w:r>
        <w:t xml:space="preserve">, </w:t>
      </w:r>
      <w:r>
        <w:t>Barbara Matera</w:t>
      </w:r>
      <w:r>
        <w:t xml:space="preserve">, </w:t>
      </w:r>
      <w:r>
        <w:t>Salvatore Domenico Pogliese</w:t>
      </w:r>
      <w:r>
        <w:t xml:space="preserve">, </w:t>
      </w:r>
      <w:r>
        <w:t>Emil Radev</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 xml:space="preserve">Utan att det påverkar Genèvekonventionen och Europakonventionen om de mänskliga rättigheterna ska en sökande som lämnar in en </w:t>
            </w:r>
            <w:r>
              <w:rPr>
                <w:rFonts w:ascii="Times New Roman" w:eastAsia="Times New Roman" w:hAnsi="Times New Roman" w:cs="Times New Roman"/>
                <w:b/>
                <w:i/>
                <w:strike w:val="0"/>
                <w:color w:val="000000"/>
                <w:sz w:val="24"/>
                <w:highlight w:val="none"/>
                <w:u w:val="none" w:color="auto"/>
              </w:rPr>
              <w:t xml:space="preserve">efterföljande </w:t>
            </w:r>
            <w:r>
              <w:t xml:space="preserve">ansökan </w:t>
            </w:r>
            <w:r>
              <w:rPr>
                <w:rFonts w:ascii="Times New Roman" w:eastAsia="Times New Roman" w:hAnsi="Times New Roman" w:cs="Times New Roman"/>
                <w:b/>
                <w:i/>
                <w:strike w:val="0"/>
                <w:color w:val="000000"/>
                <w:sz w:val="24"/>
                <w:highlight w:val="none"/>
                <w:u w:val="none" w:color="auto"/>
              </w:rPr>
              <w:t xml:space="preserve">i enlighet med artikel 42 i förordning (EU) XXX/XXX [Förfarandeförordningen] </w:t>
            </w:r>
            <w:r>
              <w:t>normalt inte beviljas flyktingstatus eller status som subsidiärt skyddsbehövande om risken för förföljelse eller allvarlig skada grundar sig på omständigheter som sökanden genom eget beslut har skapat efter att ha lämnat ursprungslandet.</w:t>
            </w:r>
          </w:p>
        </w:tc>
        <w:tc>
          <w:tcPr/>
          <w:p>
            <w:pPr>
              <w:pStyle w:val="Normal6"/>
            </w:pPr>
            <w:r>
              <w:t>3.</w:t>
            </w:r>
            <w:r>
              <w:tab/>
            </w:r>
            <w:r>
              <w:t>Utan att det påverkar Genèvekonventionen och Europakonventionen om de mänskliga rättigheterna ska en sökande som lämnar in en ansökan normalt inte beviljas flyktingstatus eller status som subsidiärt skyddsbehövande om risken för förföljelse eller allvarlig skada grundar sig på omständigheter som sökanden genom eget beslut har skapat efter att ha lämnat ursprungslandet</w:t>
            </w:r>
            <w:r>
              <w:rPr>
                <w:rFonts w:ascii="Times New Roman" w:eastAsia="Times New Roman" w:hAnsi="Times New Roman" w:cs="Times New Roman"/>
                <w:b/>
                <w:i/>
                <w:strike w:val="0"/>
                <w:color w:val="000000"/>
                <w:sz w:val="24"/>
                <w:highlight w:val="none"/>
                <w:u w:val="none" w:color="auto"/>
              </w:rPr>
              <w:t xml:space="preserve"> med det huvudsakliga eller enda syftet att beviljas internationellt skydd</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 är nödvändigt att inrätta villkor för att förhindra att personer som ansöker om internationellt skydd på något sätt missbrukar det gemensamma europeiska asylsystemet.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380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 – punkt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Aktörer som utövar förföljelse eller tillfogar allvarlig skada kan </w:t>
            </w:r>
            <w:r>
              <w:rPr>
                <w:rFonts w:ascii="Times New Roman" w:eastAsia="Times New Roman" w:hAnsi="Times New Roman" w:cs="Times New Roman"/>
                <w:b/>
                <w:i/>
                <w:strike w:val="0"/>
                <w:color w:val="000000"/>
                <w:sz w:val="24"/>
                <w:highlight w:val="none"/>
                <w:u w:val="none" w:color="auto"/>
              </w:rPr>
              <w:t xml:space="preserve">endast </w:t>
            </w:r>
            <w:r>
              <w:t>vara följande:</w:t>
            </w:r>
          </w:p>
        </w:tc>
        <w:tc>
          <w:tcPr/>
          <w:p>
            <w:pPr>
              <w:pStyle w:val="Normal6"/>
            </w:pPr>
            <w:r>
              <w:t>Aktörer som utövar förföljelse eller tillfogar allvarlig skada kan vara följande: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381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 – punkt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Aktörer som utövar förföljelse eller tillfogar allvarlig skada </w:t>
            </w:r>
            <w:r>
              <w:rPr>
                <w:rFonts w:ascii="Times New Roman" w:eastAsia="Times New Roman" w:hAnsi="Times New Roman" w:cs="Times New Roman"/>
                <w:b/>
                <w:i/>
                <w:strike w:val="0"/>
                <w:color w:val="000000"/>
                <w:sz w:val="24"/>
                <w:highlight w:val="none"/>
                <w:u w:val="none" w:color="auto"/>
              </w:rPr>
              <w:t>kan endast vara</w:t>
            </w:r>
            <w:r>
              <w:t xml:space="preserve"> följande:</w:t>
            </w:r>
          </w:p>
        </w:tc>
        <w:tc>
          <w:tcPr/>
          <w:p>
            <w:pPr>
              <w:pStyle w:val="Normal6"/>
            </w:pPr>
            <w:r>
              <w:t xml:space="preserve">Aktörer som utövar förföljelse eller tillfogar allvarlig skada </w:t>
            </w:r>
            <w:r>
              <w:rPr>
                <w:rFonts w:ascii="Times New Roman" w:eastAsia="Times New Roman" w:hAnsi="Times New Roman" w:cs="Times New Roman"/>
                <w:b/>
                <w:i/>
                <w:strike w:val="0"/>
                <w:color w:val="000000"/>
                <w:sz w:val="24"/>
                <w:highlight w:val="none"/>
                <w:u w:val="none" w:color="auto"/>
              </w:rPr>
              <w:t>är framför allt</w:t>
            </w:r>
            <w:r>
              <w:t xml:space="preserve"> följande: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382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Lorenzo Fontana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 – punkt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t xml:space="preserve">Parter eller </w:t>
            </w:r>
            <w:r>
              <w:rPr>
                <w:rFonts w:ascii="Times New Roman" w:eastAsia="Times New Roman" w:hAnsi="Times New Roman" w:cs="Times New Roman"/>
                <w:b/>
                <w:i/>
                <w:strike w:val="0"/>
                <w:color w:val="000000"/>
                <w:sz w:val="24"/>
                <w:highlight w:val="none"/>
                <w:u w:val="none" w:color="auto"/>
              </w:rPr>
              <w:t>organisationer</w:t>
            </w:r>
            <w:r>
              <w:t xml:space="preserve"> som kontrollerar staten eller en betydande del av statens territorium.</w:t>
            </w:r>
          </w:p>
        </w:tc>
        <w:tc>
          <w:tcPr/>
          <w:p>
            <w:pPr>
              <w:pStyle w:val="Normal6"/>
            </w:pPr>
            <w:r>
              <w:t>(b)</w:t>
            </w:r>
            <w:r>
              <w:tab/>
            </w:r>
            <w:r>
              <w:t xml:space="preserve">Parter eller </w:t>
            </w:r>
            <w:r>
              <w:rPr>
                <w:rFonts w:ascii="Times New Roman" w:eastAsia="Times New Roman" w:hAnsi="Times New Roman" w:cs="Times New Roman"/>
                <w:b/>
                <w:i/>
                <w:strike w:val="0"/>
                <w:color w:val="000000"/>
                <w:sz w:val="24"/>
                <w:highlight w:val="none"/>
                <w:u w:val="none" w:color="auto"/>
              </w:rPr>
              <w:t>terrororganisationer</w:t>
            </w:r>
            <w:r>
              <w:t xml:space="preserve"> som kontrollerar staten eller en betydande del av statens territorium.</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383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 – punkt 1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w:t>
            </w:r>
            <w:r>
              <w:tab/>
            </w:r>
            <w:r>
              <w:t>Icke-statliga aktörer, om det kan visas att de aktörer som avses i leden a och b, inklusive internationella organisationer, är oförmögna eller ovilliga att ge skydd mot förföljelse eller allvarlig skada som avses i artikel 7.</w:t>
            </w:r>
          </w:p>
        </w:tc>
        <w:tc>
          <w:tcPr/>
          <w:p>
            <w:pPr>
              <w:pStyle w:val="Normal6"/>
            </w:pPr>
            <w:r>
              <w:rPr>
                <w:rFonts w:ascii="Times New Roman" w:eastAsia="Times New Roman" w:hAnsi="Times New Roman" w:cs="Times New Roman"/>
                <w:b/>
                <w:i/>
                <w:strike w:val="0"/>
                <w:color w:val="000000"/>
                <w:sz w:val="24"/>
                <w:highlight w:val="none"/>
                <w:u w:val="none" w:color="auto"/>
              </w:rPr>
              <w:t>c)</w:t>
            </w:r>
            <w:r>
              <w:tab/>
            </w:r>
            <w:r>
              <w:t>Icke-statliga aktörer</w:t>
            </w:r>
            <w:r>
              <w:rPr>
                <w:rFonts w:ascii="Times New Roman" w:eastAsia="Times New Roman" w:hAnsi="Times New Roman" w:cs="Times New Roman"/>
                <w:b/>
                <w:i/>
                <w:strike w:val="0"/>
                <w:color w:val="000000"/>
                <w:sz w:val="24"/>
                <w:highlight w:val="none"/>
                <w:u w:val="none" w:color="auto"/>
              </w:rPr>
              <w:t>, med undantag av kriminella organisationer och terroristorganisationer som sökanden frivilligt deltar eller har deltagit i</w:t>
            </w:r>
            <w:r>
              <w:t>, om det kan visas att de aktörer som avses i leden a och b, inklusive internationella organisationer, är oförmögna eller ovilliga att ge skydd mot förföljelse eller allvarlig skada som avses i artikel 7.</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384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Skydd mot förföljelse eller allvarlig skada kan endast ges av följande</w:t>
            </w:r>
            <w:r>
              <w:rPr>
                <w:rFonts w:ascii="Times New Roman" w:eastAsia="Times New Roman" w:hAnsi="Times New Roman" w:cs="Times New Roman"/>
                <w:b/>
                <w:i/>
                <w:strike w:val="0"/>
                <w:color w:val="000000"/>
                <w:sz w:val="24"/>
                <w:highlight w:val="none"/>
                <w:u w:val="none" w:color="auto"/>
              </w:rPr>
              <w:t xml:space="preserve"> aktörer</w:t>
            </w:r>
            <w:r>
              <w:t>:</w:t>
            </w:r>
          </w:p>
        </w:tc>
        <w:tc>
          <w:tcPr/>
          <w:p>
            <w:pPr>
              <w:pStyle w:val="Normal6"/>
            </w:pPr>
            <w:r>
              <w:t>1.</w:t>
            </w:r>
            <w:r>
              <w:tab/>
            </w:r>
            <w:r>
              <w:t>Skydd mot förföljelse eller allvarlig skada kan endast ges av följande: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385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parter eller organisationer, inklusive internationella organisationer, som kontrollerar staten eller en betydande del av statens territorium,</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förutsatt att dessa är villiga och förmögna att erbjuda skydd i enlighet med punkt 2.</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I linje med artikel 1A.2 i konventionen om flyktingars rättsliga ställning, undertecknad i Genève den 28 juli 1951, ändrad genom New York-protokollet av den 31 januari 1967.</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386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parter eller organisationer, inklusive internationella organisationer, som kontrollerar staten eller en betydande del av statens territorium,</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förutsatt att dessa är villiga och förmögna att erbjuda skydd i enlighet med punkt 2.</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According to the 1951 refugee convention, as amended in 1967, the only protection actor is the State [Art. 1A(2)]:</w:t>
      </w:r>
    </w:p>
    <w:p>
      <w:pPr>
        <w:pStyle w:val="Normal12Italic"/>
      </w:pPr>
      <w:r>
        <w:t>“For the purposes of the present Convention, the term “refugee” shall apply to any person who:</w:t>
      </w:r>
    </w:p>
    <w:p>
      <w:pPr>
        <w:pStyle w:val="Normal12Italic"/>
      </w:pPr>
      <w:r>
        <w:t>…</w:t>
      </w:r>
    </w:p>
    <w:p>
      <w:pPr>
        <w:pStyle w:val="Normal12Italic"/>
      </w:pPr>
      <w: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387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1 – led b – stycke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parter eller organisationer, inklusive internationella organisationer, som kontrollerar staten eller en betydande del av statens territorium,</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388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1 – led b – stycke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parter eller organisationer, inklusive internationella organisationer, som kontrollerar staten eller en betydande del av statens territorium,</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Enligt 1951 års konvention angående flyktingars rättsliga ställning är den enda aktören som kan erbjuda skydd staten [art. 1A.2]: en flykting är "den som [...] i anledning av välgrundad fruktan för förföljelse [...] är ur stånd att eller på grund av sådan fruktan [...] icke önskar att begagna sig av sagda lands skydd eller den som, utan att vara medborgare i något land [...] är ur stånd att eller på grund av sådan fruktan, som nyss sagts, icke önskar att återvända dit."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389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1 – led b – stycke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parter eller organisationer, inklusive internationella organisationer, som kontrollerar staten eller en betydande del av statens territorium,</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I linje med artikel 1A.2 i konventionen om flyktingars rättsliga ställning, undertecknad i Genève den 28 juli 1951, ändrad genom New York-protokollet av den 31 januari 1967.</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390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1 – led b – stycke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förutsatt att dessa är villiga och förmögna att erbjuda skydd i enlighet med punkt 2.</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I linje med artikel 1A.2 i konventionen om flyktingars rättsliga ställning, undertecknad i Genève den 28 juli 1951, ändrad genom New York-protokollet av den 31 januari 1967.</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391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1 – led b – stycke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förutsatt att</w:t>
            </w:r>
            <w:r>
              <w:t xml:space="preserve"> dessa är villiga och förmögna att </w:t>
            </w:r>
            <w:r>
              <w:rPr>
                <w:rFonts w:ascii="Times New Roman" w:eastAsia="Times New Roman" w:hAnsi="Times New Roman" w:cs="Times New Roman"/>
                <w:b/>
                <w:i/>
                <w:strike w:val="0"/>
                <w:color w:val="000000"/>
                <w:sz w:val="24"/>
                <w:highlight w:val="none"/>
                <w:u w:val="none" w:color="auto"/>
              </w:rPr>
              <w:t>erbjuda</w:t>
            </w:r>
            <w:r>
              <w:t xml:space="preserve"> skydd i enlighet med punkt 2.</w:t>
            </w:r>
          </w:p>
        </w:tc>
        <w:tc>
          <w:tcPr/>
          <w:p>
            <w:pPr>
              <w:pStyle w:val="Normal6"/>
            </w:pPr>
            <w:r>
              <w:rPr>
                <w:rFonts w:ascii="Times New Roman" w:eastAsia="Times New Roman" w:hAnsi="Times New Roman" w:cs="Times New Roman"/>
                <w:b/>
                <w:i/>
                <w:strike w:val="0"/>
                <w:color w:val="000000"/>
                <w:sz w:val="24"/>
                <w:highlight w:val="none"/>
                <w:u w:val="none" w:color="auto"/>
              </w:rPr>
              <w:t>så länge som</w:t>
            </w:r>
            <w:r>
              <w:t xml:space="preserve"> dessa är villiga och förmögna att </w:t>
            </w:r>
            <w:r>
              <w:rPr>
                <w:rFonts w:ascii="Times New Roman" w:eastAsia="Times New Roman" w:hAnsi="Times New Roman" w:cs="Times New Roman"/>
                <w:b/>
                <w:i/>
                <w:strike w:val="0"/>
                <w:color w:val="000000"/>
                <w:sz w:val="24"/>
                <w:highlight w:val="none"/>
                <w:u w:val="none" w:color="auto"/>
              </w:rPr>
              <w:t>ge</w:t>
            </w:r>
            <w:r>
              <w:t xml:space="preserve"> skydd i enlighet med punkt 2.</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392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1 – led b – stycke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förutsatt att</w:t>
            </w:r>
            <w:r>
              <w:t xml:space="preserve"> dessa är villiga och förmögna att </w:t>
            </w:r>
            <w:r>
              <w:rPr>
                <w:rFonts w:ascii="Times New Roman" w:eastAsia="Times New Roman" w:hAnsi="Times New Roman" w:cs="Times New Roman"/>
                <w:b/>
                <w:i/>
                <w:strike w:val="0"/>
                <w:color w:val="000000"/>
                <w:sz w:val="24"/>
                <w:highlight w:val="none"/>
                <w:u w:val="none" w:color="auto"/>
              </w:rPr>
              <w:t>erbjuda</w:t>
            </w:r>
            <w:r>
              <w:t xml:space="preserve"> skydd i enlighet med punkt 2.</w:t>
            </w:r>
          </w:p>
        </w:tc>
        <w:tc>
          <w:tcPr/>
          <w:p>
            <w:pPr>
              <w:pStyle w:val="Normal6"/>
            </w:pPr>
            <w:r>
              <w:rPr>
                <w:rFonts w:ascii="Times New Roman" w:eastAsia="Times New Roman" w:hAnsi="Times New Roman" w:cs="Times New Roman"/>
                <w:b/>
                <w:i/>
                <w:strike w:val="0"/>
                <w:color w:val="000000"/>
                <w:sz w:val="24"/>
                <w:highlight w:val="none"/>
                <w:u w:val="none" w:color="auto"/>
              </w:rPr>
              <w:t>så länge som</w:t>
            </w:r>
            <w:r>
              <w:t xml:space="preserve"> dessa är villiga och förmögna att </w:t>
            </w:r>
            <w:r>
              <w:rPr>
                <w:rFonts w:ascii="Times New Roman" w:eastAsia="Times New Roman" w:hAnsi="Times New Roman" w:cs="Times New Roman"/>
                <w:b/>
                <w:i/>
                <w:strike w:val="0"/>
                <w:color w:val="000000"/>
                <w:sz w:val="24"/>
                <w:highlight w:val="none"/>
                <w:u w:val="none" w:color="auto"/>
              </w:rPr>
              <w:t>ge</w:t>
            </w:r>
            <w:r>
              <w:t xml:space="preserve"> skydd i enlighet med punkt 2.</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Skuggföredraganden håller med föredraganden om att skydd för sökanden måste ges i praktiken och i det särskilda fallet, och inte bara principiellt eller i allmänna ordalag. Den behöriga myndigheten måste visa att skyddet inte bara ges tillfälligt med begränsad verkan.</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393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1 – led b – stycke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förutsatt att dessa är villiga och förmögna att </w:t>
            </w:r>
            <w:r>
              <w:rPr>
                <w:rFonts w:ascii="Times New Roman" w:eastAsia="Times New Roman" w:hAnsi="Times New Roman" w:cs="Times New Roman"/>
                <w:b/>
                <w:i/>
                <w:strike w:val="0"/>
                <w:color w:val="000000"/>
                <w:sz w:val="24"/>
                <w:highlight w:val="none"/>
                <w:u w:val="none" w:color="auto"/>
              </w:rPr>
              <w:t>erbjuda</w:t>
            </w:r>
            <w:r>
              <w:t xml:space="preserve"> skydd i enlighet med punkt 2.</w:t>
            </w:r>
          </w:p>
        </w:tc>
        <w:tc>
          <w:tcPr/>
          <w:p>
            <w:pPr>
              <w:pStyle w:val="Normal6"/>
            </w:pPr>
            <w:r>
              <w:t>förutsatt att dessa är villiga och förmögna att </w:t>
            </w:r>
            <w:r>
              <w:rPr>
                <w:rFonts w:ascii="Times New Roman" w:eastAsia="Times New Roman" w:hAnsi="Times New Roman" w:cs="Times New Roman"/>
                <w:b/>
                <w:i/>
                <w:strike w:val="0"/>
                <w:color w:val="000000"/>
                <w:sz w:val="24"/>
                <w:highlight w:val="none"/>
                <w:u w:val="none" w:color="auto"/>
              </w:rPr>
              <w:t>säkerställa</w:t>
            </w:r>
            <w:r>
              <w:t xml:space="preserve"> skydd i enlighet med punkt 2.</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394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Skydd mot förföljelse eller allvarlig skada ska vara verksamt och av icke-tillfällig natur.</w:t>
            </w:r>
            <w:r>
              <w:rPr>
                <w:rFonts w:ascii="Times New Roman" w:eastAsia="Times New Roman" w:hAnsi="Times New Roman" w:cs="Times New Roman"/>
                <w:b/>
                <w:i/>
                <w:strike w:val="0"/>
                <w:color w:val="000000"/>
                <w:sz w:val="24"/>
                <w:highlight w:val="none"/>
                <w:u w:val="none" w:color="auto"/>
              </w:rPr>
              <w:t xml:space="preserve"> Detta skydd ska anses ges när de aktörer som avses i punkt 1 vidtar rimliga åtgärder för att förhindra att en person förföljs eller lider allvarlig skada, bland annat genom att ombesörja att det finns ett effektivt rättssystem för avslöjande, åtal och bestraffning av handlingar som innebär förföljelse eller allvarlig skada, och när sökanden har tillgång till detta skydd.</w:t>
            </w:r>
          </w:p>
        </w:tc>
        <w:tc>
          <w:tcPr/>
          <w:p>
            <w:pPr>
              <w:pStyle w:val="Normal6"/>
            </w:pPr>
            <w:r>
              <w:t>2.</w:t>
            </w:r>
            <w:r>
              <w:tab/>
            </w:r>
            <w:r>
              <w:t>Skydd mot förföljelse eller allvarlig skada ska vara verksamt och av icke-tillfällig natur.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395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Skydd mot förföljelse eller allvarlig skada ska vara verksamt och av icke-tillfällig natur.</w:t>
            </w:r>
            <w:r>
              <w:rPr>
                <w:rFonts w:ascii="Times New Roman" w:eastAsia="Times New Roman" w:hAnsi="Times New Roman" w:cs="Times New Roman"/>
                <w:b/>
                <w:i/>
                <w:strike w:val="0"/>
                <w:color w:val="000000"/>
                <w:sz w:val="24"/>
                <w:highlight w:val="none"/>
                <w:u w:val="none" w:color="auto"/>
              </w:rPr>
              <w:t xml:space="preserve"> Detta skydd ska anses ges när de aktörer som avses i punkt 1 vidtar rimliga åtgärder för att förhindra att en person förföljs eller lider allvarlig skada, bland annat genom att ombesörja att det finns ett effektivt rättssystem för avslöjande, åtal och bestraffning av handlingar som innebär förföljelse eller allvarlig skada, och när sökanden har tillgång till detta skydd.</w:t>
            </w:r>
          </w:p>
        </w:tc>
        <w:tc>
          <w:tcPr/>
          <w:p>
            <w:pPr>
              <w:pStyle w:val="Normal6"/>
            </w:pPr>
            <w:r>
              <w:t>2.</w:t>
            </w:r>
            <w:r>
              <w:tab/>
            </w:r>
            <w:r>
              <w:t>Skydd mot förföljelse eller allvarlig skada ska vara verksamt och av icke-tillfällig natur.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396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Skydd mot förföljelse eller allvarlig skada ska vara verksamt</w:t>
            </w:r>
            <w:r>
              <w:rPr>
                <w:rFonts w:ascii="Times New Roman" w:eastAsia="Times New Roman" w:hAnsi="Times New Roman" w:cs="Times New Roman"/>
                <w:b/>
                <w:i/>
                <w:strike w:val="0"/>
                <w:color w:val="000000"/>
                <w:sz w:val="24"/>
                <w:highlight w:val="none"/>
                <w:u w:val="none" w:color="auto"/>
              </w:rPr>
              <w:t xml:space="preserve"> och av icke-tillfällig natur</w:t>
            </w:r>
            <w:r>
              <w:t>. Detta skydd ska anses ges när de aktörer som avses i punkt 1 vidtar rimliga åtgärder för att förhindra att en person förföljs eller lider allvarlig skada, bland annat genom att ombesörja att det finns ett effektivt rättssystem för avslöjande, åtal och bestraffning av handlingar som innebär förföljelse eller allvarlig skada, och när sökanden har tillgång till detta skydd.</w:t>
            </w:r>
          </w:p>
        </w:tc>
        <w:tc>
          <w:tcPr/>
          <w:p>
            <w:pPr>
              <w:pStyle w:val="Normal6"/>
            </w:pPr>
            <w:r>
              <w:t>2.</w:t>
            </w:r>
            <w:r>
              <w:tab/>
            </w:r>
            <w:r>
              <w:t>Skydd mot förföljelse eller allvarlig skada ska vara verksamt. Detta skydd ska anses ges när de aktörer som avses i punkt 1 vidtar rimliga åtgärder för att förhindra att en person förföljs eller lider allvarlig skada, bland annat genom att ombesörja att det finns ett effektivt rättssystem för avslöjande, åtal och bestraffning av handlingar som innebär förföljelse eller allvarlig skada, och när sökanden har tillgång till detta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397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 xml:space="preserve">Skydd mot förföljelse eller allvarlig skada ska vara verksamt och av icke-tillfällig natur. Detta skydd ska anses ges när </w:t>
            </w:r>
            <w:r>
              <w:rPr>
                <w:rFonts w:ascii="Times New Roman" w:eastAsia="Times New Roman" w:hAnsi="Times New Roman" w:cs="Times New Roman"/>
                <w:b/>
                <w:i/>
                <w:strike w:val="0"/>
                <w:color w:val="000000"/>
                <w:sz w:val="24"/>
                <w:highlight w:val="none"/>
                <w:u w:val="none" w:color="auto"/>
              </w:rPr>
              <w:t>de aktörer som avses i punkt 1</w:t>
            </w:r>
            <w:r>
              <w:t xml:space="preserve"> vidtar rimliga åtgärder för att förhindra att en person förföljs eller lider allvarlig skada, bland annat genom att ombesörja att det finns ett effektivt rättssystem för avslöjande, åtal och bestraffning av handlingar som innebär förföljelse eller allvarlig skada, och när sökanden har tillgång till detta skydd.</w:t>
            </w:r>
          </w:p>
        </w:tc>
        <w:tc>
          <w:tcPr/>
          <w:p>
            <w:pPr>
              <w:pStyle w:val="Normal6"/>
            </w:pPr>
            <w:r>
              <w:t>2.</w:t>
            </w:r>
            <w:r>
              <w:tab/>
            </w:r>
            <w:r>
              <w:t>Skydd mot förföljelse eller allvarlig skada ska vara verksamt och av icke-tillfällig natur. Detta skydd ska anses ges när </w:t>
            </w:r>
            <w:r>
              <w:rPr>
                <w:rFonts w:ascii="Times New Roman" w:eastAsia="Times New Roman" w:hAnsi="Times New Roman" w:cs="Times New Roman"/>
                <w:b/>
                <w:i/>
                <w:strike w:val="0"/>
                <w:color w:val="000000"/>
                <w:sz w:val="24"/>
                <w:highlight w:val="none"/>
                <w:u w:val="none" w:color="auto"/>
              </w:rPr>
              <w:t>staten</w:t>
            </w:r>
            <w:r>
              <w:t xml:space="preserve"> vidtar rimliga åtgärder för att förhindra att en person förföljs eller lider allvarlig skada, bland annat genom att ombesörja att det finns ett effektivt rättssystem för avslöjande, åtal och bestraffning av handlingar som innebär förföljelse eller allvarlig skada, och när sökanden har tillgång till detta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398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w:t>
            </w:r>
            <w:r>
              <w:tab/>
            </w:r>
            <w:r>
              <w:rPr>
                <w:rFonts w:ascii="Times New Roman" w:eastAsia="Times New Roman" w:hAnsi="Times New Roman" w:cs="Times New Roman"/>
                <w:b/>
                <w:i/>
                <w:strike w:val="0"/>
                <w:color w:val="000000"/>
                <w:sz w:val="24"/>
                <w:highlight w:val="none"/>
                <w:u w:val="none" w:color="auto"/>
              </w:rPr>
              <w:t>När beslutande myndigheter bedömer om en internationell organisation kontrollerar en stat eller en betydande del av dess territorium och ger skydd enligt punkt 2, ska de basera sig på varje vägledning som ges i relevant unionslagstiftning, särskilt den tillgängliga information på unionsnivå om ursprungsländer och den gemensamma analys av information om ursprungsländer som avses i artiklarna 8 och 10 i förordning (EU) XXX/XX [Förordning om Europeiska unionens asylbyrå].</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399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rPr>
                <w:rFonts w:ascii="Times New Roman" w:eastAsia="Times New Roman" w:hAnsi="Times New Roman" w:cs="Times New Roman"/>
                <w:b/>
                <w:i/>
                <w:strike w:val="0"/>
                <w:color w:val="000000"/>
                <w:sz w:val="24"/>
                <w:highlight w:val="none"/>
                <w:u w:val="none" w:color="auto"/>
              </w:rPr>
              <w:t xml:space="preserve">När </w:t>
            </w:r>
            <w:r>
              <w:rPr>
                <w:rFonts w:ascii="Times New Roman" w:eastAsia="Times New Roman" w:hAnsi="Times New Roman" w:cs="Times New Roman"/>
                <w:b/>
                <w:i/>
                <w:strike w:val="0"/>
                <w:color w:val="000000"/>
                <w:sz w:val="24"/>
                <w:highlight w:val="none"/>
                <w:u w:val="none" w:color="auto"/>
              </w:rPr>
              <w:t>beslutande</w:t>
            </w:r>
            <w:r>
              <w:t xml:space="preserve"> myndigheter </w:t>
            </w:r>
            <w:r>
              <w:rPr>
                <w:rFonts w:ascii="Times New Roman" w:eastAsia="Times New Roman" w:hAnsi="Times New Roman" w:cs="Times New Roman"/>
                <w:b/>
                <w:i/>
                <w:strike w:val="0"/>
                <w:color w:val="000000"/>
                <w:sz w:val="24"/>
                <w:highlight w:val="none"/>
                <w:u w:val="none" w:color="auto"/>
              </w:rPr>
              <w:t>bedömer om en internationell organisation kontrollerar en stat eller en betydande del av dess territorium och ger skydd enligt punkt 2, ska de basera sig på varje vägledning som ges i relevant unionslagstiftning, särskilt den tillgängliga</w:t>
            </w:r>
            <w:r>
              <w:t xml:space="preserve"> information på unionsnivå om ursprungsländer</w:t>
            </w:r>
            <w:r>
              <w:rPr>
                <w:rFonts w:ascii="Times New Roman" w:eastAsia="Times New Roman" w:hAnsi="Times New Roman" w:cs="Times New Roman"/>
                <w:b/>
                <w:i/>
                <w:strike w:val="0"/>
                <w:color w:val="000000"/>
                <w:sz w:val="24"/>
                <w:highlight w:val="none"/>
                <w:u w:val="none" w:color="auto"/>
              </w:rPr>
              <w:t xml:space="preserve"> och</w:t>
            </w:r>
            <w:r>
              <w:t xml:space="preserve"> den gemensamma analys av </w:t>
            </w:r>
            <w:r>
              <w:rPr>
                <w:rFonts w:ascii="Times New Roman" w:eastAsia="Times New Roman" w:hAnsi="Times New Roman" w:cs="Times New Roman"/>
                <w:b/>
                <w:i/>
                <w:strike w:val="0"/>
                <w:color w:val="000000"/>
                <w:sz w:val="24"/>
                <w:highlight w:val="none"/>
                <w:u w:val="none" w:color="auto"/>
              </w:rPr>
              <w:t>information om</w:t>
            </w:r>
            <w:r>
              <w:t xml:space="preserve"> ursprungsländer som avses i artiklarna 8 och 10 i förordning (EU) XXX/XX [Förordning om Europeiska unionens asylbyrå].</w:t>
            </w:r>
          </w:p>
        </w:tc>
        <w:tc>
          <w:tcPr/>
          <w:p>
            <w:pPr>
              <w:pStyle w:val="Normal6"/>
            </w:pPr>
            <w:r>
              <w:t>3.</w:t>
            </w:r>
            <w:r>
              <w:tab/>
            </w:r>
            <w:r>
              <w:rPr>
                <w:rFonts w:ascii="Times New Roman" w:eastAsia="Times New Roman" w:hAnsi="Times New Roman" w:cs="Times New Roman"/>
                <w:b/>
                <w:i/>
                <w:strike w:val="0"/>
                <w:color w:val="000000"/>
                <w:sz w:val="24"/>
                <w:highlight w:val="none"/>
                <w:u w:val="none" w:color="auto"/>
              </w:rPr>
              <w:t>Beslutande</w:t>
            </w:r>
            <w:r>
              <w:t xml:space="preserve"> myndigheter </w:t>
            </w:r>
            <w:r>
              <w:rPr>
                <w:rFonts w:ascii="Times New Roman" w:eastAsia="Times New Roman" w:hAnsi="Times New Roman" w:cs="Times New Roman"/>
                <w:b/>
                <w:i/>
                <w:strike w:val="0"/>
                <w:color w:val="000000"/>
                <w:sz w:val="24"/>
                <w:highlight w:val="none"/>
                <w:u w:val="none" w:color="auto"/>
              </w:rPr>
              <w:t>ska säkerställa att exakt och uppdaterad information och vägledning om situationen i ursprungslandet erhålls från alla relevanta nationella och internationella källor och unionskällor, inbegripet Europeiska unionens asylbyrå, FN:s flyktingkommissariats experter på människorättsområdet och icke-statliga organisationer, och att denna information beaktas. De beslutande myndigheterna får besluta att ägna särskild uppmärksamhet åt</w:t>
            </w:r>
            <w:r>
              <w:t xml:space="preserve"> information på unionsnivå om ursprungsländer</w:t>
            </w:r>
            <w:r>
              <w:rPr>
                <w:rFonts w:ascii="Times New Roman" w:eastAsia="Times New Roman" w:hAnsi="Times New Roman" w:cs="Times New Roman"/>
                <w:b/>
                <w:i/>
                <w:strike w:val="0"/>
                <w:color w:val="000000"/>
                <w:sz w:val="24"/>
                <w:highlight w:val="none"/>
                <w:u w:val="none" w:color="auto"/>
              </w:rPr>
              <w:t>,</w:t>
            </w:r>
            <w:r>
              <w:t xml:space="preserve"> den gemensamma analys av </w:t>
            </w:r>
            <w:r>
              <w:rPr>
                <w:rFonts w:ascii="Times New Roman" w:eastAsia="Times New Roman" w:hAnsi="Times New Roman" w:cs="Times New Roman"/>
                <w:b/>
                <w:i/>
                <w:strike w:val="0"/>
                <w:color w:val="000000"/>
                <w:sz w:val="24"/>
                <w:highlight w:val="none"/>
                <w:u w:val="none" w:color="auto"/>
              </w:rPr>
              <w:t>situationen i specifika</w:t>
            </w:r>
            <w:r>
              <w:t xml:space="preserve"> ursprungsländer </w:t>
            </w:r>
            <w:r>
              <w:rPr>
                <w:rFonts w:ascii="Times New Roman" w:eastAsia="Times New Roman" w:hAnsi="Times New Roman" w:cs="Times New Roman"/>
                <w:b/>
                <w:i/>
                <w:strike w:val="0"/>
                <w:color w:val="000000"/>
                <w:sz w:val="24"/>
                <w:highlight w:val="none"/>
                <w:u w:val="none" w:color="auto"/>
              </w:rPr>
              <w:t xml:space="preserve">och de vägledande noter </w:t>
            </w:r>
            <w:r>
              <w:t>som avses i artiklarna 8 och 10 i förordning (EU)</w:t>
            </w:r>
            <w:r>
              <w:rPr>
                <w:rFonts w:ascii="Times New Roman" w:eastAsia="Times New Roman" w:hAnsi="Times New Roman" w:cs="Times New Roman"/>
                <w:b/>
                <w:i/>
                <w:strike w:val="0"/>
                <w:color w:val="000000"/>
                <w:sz w:val="24"/>
                <w:highlight w:val="none"/>
                <w:u w:val="none" w:color="auto"/>
              </w:rPr>
              <w:t xml:space="preserve"> nr</w:t>
            </w:r>
            <w:r>
              <w:t xml:space="preserve"> XXX/XX [Förordning om Europeiska unionens asylbyrå].</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400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När beslutande myndigheter bedömer om en internationell organisation kontrollerar en stat eller en betydande del av dess territorium och ger skydd enligt punkt 2, ska de basera sig på varje vägledning som ges i relevant unionslagstiftning, särskilt den tillgängliga information på unionsnivå om ursprungsländer och den gemensamma analys av information om ursprungsländer som avses i artiklarna 8 och 10 i förordning (EU) XXX/XX [Förordning om Europeiska unionens asylbyrå].</w:t>
            </w:r>
          </w:p>
        </w:tc>
        <w:tc>
          <w:tcPr/>
          <w:p>
            <w:pPr>
              <w:pStyle w:val="Normal6"/>
            </w:pPr>
            <w:r>
              <w:t>3.</w:t>
            </w:r>
            <w:r>
              <w:tab/>
            </w:r>
            <w:r>
              <w:t xml:space="preserve">När beslutande myndigheter bedömer om en internationell organisation kontrollerar en stat eller en betydande del av dess territorium och ger skydd enligt punkt 2, ska de </w:t>
            </w:r>
            <w:r>
              <w:rPr>
                <w:rFonts w:ascii="Times New Roman" w:eastAsia="Times New Roman" w:hAnsi="Times New Roman" w:cs="Times New Roman"/>
                <w:b/>
                <w:i/>
                <w:strike w:val="0"/>
                <w:color w:val="000000"/>
                <w:sz w:val="24"/>
                <w:highlight w:val="none"/>
                <w:u w:val="none" w:color="auto"/>
              </w:rPr>
              <w:t xml:space="preserve">beakta och får de </w:t>
            </w:r>
            <w:r>
              <w:t>basera sig på varje vägledning som ges i relevant unionslagstiftning, särskilt den tillgängliga information på unionsnivå om ursprungsländer och den gemensamma analys av information om ursprungsländer som avses i artiklarna 8 och 10 i förordning (EU) XXX/XX [Förordning om Europeiska unionens asylbyrå].</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401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Kinga Gál</w:t>
      </w:r>
      <w:r>
        <w:t xml:space="preserve">, </w:t>
      </w:r>
      <w:r>
        <w:t>Pál Csáky</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7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 xml:space="preserve">När beslutande myndigheter bedömer om en internationell organisation kontrollerar en stat eller en betydande del av dess territorium och ger skydd enligt punkt 2, </w:t>
            </w:r>
            <w:r>
              <w:rPr>
                <w:rFonts w:ascii="Times New Roman" w:eastAsia="Times New Roman" w:hAnsi="Times New Roman" w:cs="Times New Roman"/>
                <w:b/>
                <w:i/>
                <w:strike w:val="0"/>
                <w:color w:val="000000"/>
                <w:sz w:val="24"/>
                <w:highlight w:val="none"/>
                <w:u w:val="none" w:color="auto"/>
              </w:rPr>
              <w:t>ska de basera sig på</w:t>
            </w:r>
            <w:r>
              <w:t xml:space="preserve"> varje vägledning som ges i relevant unionslagstiftning, särskilt den tillgängliga information på unionsnivå om ursprungsländer och den gemensamma analys av information om ursprungsländer som avses i artiklarna 8 och 10 i förordning (EU) XXX/XX [Förordning om Europeiska unionens asylbyrå].</w:t>
            </w:r>
          </w:p>
        </w:tc>
        <w:tc>
          <w:tcPr/>
          <w:p>
            <w:pPr>
              <w:pStyle w:val="Normal6"/>
            </w:pPr>
            <w:r>
              <w:t>3.</w:t>
            </w:r>
            <w:r>
              <w:tab/>
            </w:r>
            <w:r>
              <w:t xml:space="preserve">När beslutande myndigheter bedömer om en internationell organisation kontrollerar en stat eller en betydande del av dess territorium och ger skydd enligt punkt 2, </w:t>
            </w:r>
            <w:r>
              <w:rPr>
                <w:rFonts w:ascii="Times New Roman" w:eastAsia="Times New Roman" w:hAnsi="Times New Roman" w:cs="Times New Roman"/>
                <w:b/>
                <w:i/>
                <w:strike w:val="0"/>
                <w:color w:val="000000"/>
                <w:sz w:val="24"/>
                <w:highlight w:val="none"/>
                <w:u w:val="none" w:color="auto"/>
              </w:rPr>
              <w:t>får de beakta</w:t>
            </w:r>
            <w:r>
              <w:t xml:space="preserve"> varje vägledning som ges i relevant unionslagstiftning, särskilt den tillgängliga information på unionsnivå om ursprungsländer och den gemensamma analys av information om ursprungsländer som avses i artiklarna 8 och 10 i förordning (EU) XXX/XX [Förordning om Europeiska unionens asylbyrå].</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402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Barbara Spinelli</w:t>
      </w:r>
      <w:r>
        <w:t xml:space="preserve">, </w:t>
      </w:r>
      <w:r>
        <w:t>Cornelia Ernst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Begreppet internt skydd härrör inte från 1951 års flyktingkonvention, och det medför ytterligare ett urvalskriterium för flyktingstatus utöver de kriterier som föreskrivs i artikel 1A i flyktingkonventionen, vilket medför en risk för att sökande som har rätt till skydd enligt konventionen lämnas utan skydd enligt EU-lagstiftningen.</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403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404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405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8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w:t>
            </w:r>
            <w:r>
              <w:tab/>
            </w:r>
            <w:r>
              <w:rPr>
                <w:rFonts w:ascii="Times New Roman" w:eastAsia="Times New Roman" w:hAnsi="Times New Roman" w:cs="Times New Roman"/>
                <w:b/>
                <w:i/>
                <w:strike w:val="0"/>
                <w:color w:val="000000"/>
                <w:sz w:val="24"/>
                <w:highlight w:val="none"/>
                <w:u w:val="none" w:color="auto"/>
              </w:rPr>
              <w:t>Som en del av bedömningen av ansökan om internationellt skydd ska den beslutande myndigheten fastställa att en sökande inte är i behov av internationellt skydd om han eller hon på ett säkert och lagligt sätt kan resa till och beviljas rätt till inresa i en del av ursprungslandet och rimligen kan förväntas bosätta sig där, om han eller hon i den delen av landet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(a)inte känner någon välgrundad fruktan för förföljelse eller löper någon verklig risk för att lida allvarlig skada, eller</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(b)har tillgång till skydd mot förföljelse eller allvarlig skada.</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406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8 – punkt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Som en del av bedömningen av ansökan om internationellt skydd</w:t>
            </w:r>
            <w:r>
              <w:rPr>
                <w:rFonts w:ascii="Times New Roman" w:eastAsia="Times New Roman" w:hAnsi="Times New Roman" w:cs="Times New Roman"/>
                <w:b/>
                <w:i/>
                <w:strike w:val="0"/>
                <w:color w:val="000000"/>
                <w:sz w:val="24"/>
                <w:highlight w:val="none"/>
                <w:u w:val="none" w:color="auto"/>
              </w:rPr>
              <w:t xml:space="preserve"> ska</w:t>
            </w:r>
            <w:r>
              <w:t xml:space="preserve"> den beslutande myndigheten fastställa att en sökande inte är i behov av internationellt skydd om han eller hon på ett säkert och lagligt sätt kan resa till och beviljas rätt till inresa i en del av ursprungslandet och rimligen kan förväntas bosätta sig där, om han eller hon i den delen av landet</w:t>
            </w:r>
          </w:p>
        </w:tc>
        <w:tc>
          <w:tcPr/>
          <w:p>
            <w:pPr>
              <w:pStyle w:val="Normal6"/>
            </w:pPr>
            <w:r>
              <w:t>1.</w:t>
            </w:r>
            <w:r>
              <w:tab/>
            </w:r>
            <w:r>
              <w:t>Som en del av bedömningen av ansökan om internationellt skydd</w:t>
            </w:r>
            <w:r>
              <w:rPr>
                <w:rFonts w:ascii="Times New Roman" w:eastAsia="Times New Roman" w:hAnsi="Times New Roman" w:cs="Times New Roman"/>
                <w:b/>
                <w:i/>
                <w:strike w:val="0"/>
                <w:color w:val="000000"/>
                <w:sz w:val="24"/>
                <w:highlight w:val="none"/>
                <w:u w:val="none" w:color="auto"/>
              </w:rPr>
              <w:t>, och förutsatt att staten eller statens företrädare inte är de aktörer som utövar förföljelse eller ger upphov till allvarlig skada, kan</w:t>
            </w:r>
            <w:r>
              <w:t xml:space="preserve"> den beslutande myndigheten fastställa att en sökande inte är i behov av internationellt skydd om han eller hon på ett säkert och lagligt sätt kan resa till och beviljas rätt till inresa i en del av ursprungslandet och rimligen kan förväntas bosätta sig där, om han eller hon i den delen av landet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407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8 – punkt 1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rPr>
                <w:rFonts w:ascii="Times New Roman" w:eastAsia="Times New Roman" w:hAnsi="Times New Roman" w:cs="Times New Roman"/>
                <w:b/>
                <w:i/>
                <w:strike w:val="0"/>
                <w:color w:val="000000"/>
                <w:sz w:val="24"/>
                <w:highlight w:val="none"/>
                <w:u w:val="none" w:color="auto"/>
              </w:rPr>
              <w:t>inte känner någon välgrundad fruktan för förföljelse eller löper någon verklig risk för att lida allvarlig skada, eller</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408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8 – punkt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har tillgång till skydd mot förföljelse eller allvarlig skada.</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409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Angelika Mlinar</w:t>
      </w:r>
      <w:r>
        <w:t xml:space="preserve">, </w:t>
      </w:r>
      <w:r>
        <w:t>Cecilia Wikström</w:t>
      </w:r>
      <w:r>
        <w:t xml:space="preserve">, </w:t>
      </w:r>
      <w:r>
        <w:t>Maite Pagazaurtundúa Ruiz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8 – punkt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t>har tillgång till skydd mot förföljelse eller allvarlig skada.</w:t>
            </w:r>
          </w:p>
        </w:tc>
        <w:tc>
          <w:tcPr/>
          <w:p>
            <w:pPr>
              <w:pStyle w:val="Normal6"/>
            </w:pPr>
            <w:r>
              <w:rPr>
                <w:rFonts w:ascii="Times New Roman" w:eastAsia="Times New Roman" w:hAnsi="Times New Roman" w:cs="Times New Roman"/>
                <w:b/>
                <w:i/>
                <w:strike w:val="0"/>
                <w:color w:val="000000"/>
                <w:sz w:val="24"/>
                <w:highlight w:val="none"/>
                <w:u w:val="none" w:color="auto"/>
              </w:rPr>
              <w:t>b)</w:t>
            </w:r>
            <w:r>
              <w:tab/>
            </w:r>
            <w:r>
              <w:t>har tillgång till</w:t>
            </w:r>
            <w:r>
              <w:rPr>
                <w:rFonts w:ascii="Times New Roman" w:eastAsia="Times New Roman" w:hAnsi="Times New Roman" w:cs="Times New Roman"/>
                <w:b/>
                <w:i/>
                <w:strike w:val="0"/>
                <w:color w:val="000000"/>
                <w:sz w:val="24"/>
                <w:highlight w:val="none"/>
                <w:u w:val="none" w:color="auto"/>
              </w:rPr>
              <w:t xml:space="preserve"> fullständigt, verksamt och varaktigt</w:t>
            </w:r>
            <w:r>
              <w:t xml:space="preserve"> skydd mot förföljelse eller allvarlig skada.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410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8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w:t>
            </w:r>
            <w:r>
              <w:tab/>
            </w:r>
            <w:r>
              <w:rPr>
                <w:rFonts w:ascii="Times New Roman" w:eastAsia="Times New Roman" w:hAnsi="Times New Roman" w:cs="Times New Roman"/>
                <w:b/>
                <w:i/>
                <w:strike w:val="0"/>
                <w:color w:val="000000"/>
                <w:sz w:val="24"/>
                <w:highlight w:val="none"/>
                <w:u w:val="none" w:color="auto"/>
              </w:rPr>
              <w:t>Bedömningen av tillgången till internt skydd ska göras när den beslutande myndigheten har fastställt att kriterierna för att vara berättigad till skydd annars skulle tillämpas. Det ska ankomma på den beslutande myndigheten att visa att internt skydd finns tillgängligt. Det ska inte krävas att sökanden bevisar att han eller hon har uttömt alla möjligheter att få skydd i sitt ursprungsland innan han eller hon ansökte om internationellt skydd.</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411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Kinga Gál</w:t>
      </w:r>
      <w:r>
        <w:t xml:space="preserve">, </w:t>
      </w:r>
      <w:r>
        <w:t>Pál Csáky</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8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Bedömningen av tillgången till internt skydd ska göras när den beslutande myndigheten har fastställt att kriterierna för att vara berättigad till skydd annars skulle tillämpas.</w:t>
            </w:r>
            <w:r>
              <w:rPr>
                <w:rFonts w:ascii="Times New Roman" w:eastAsia="Times New Roman" w:hAnsi="Times New Roman" w:cs="Times New Roman"/>
                <w:b/>
                <w:i/>
                <w:strike w:val="0"/>
                <w:color w:val="000000"/>
                <w:sz w:val="24"/>
                <w:highlight w:val="none"/>
                <w:u w:val="none" w:color="auto"/>
              </w:rPr>
              <w:t xml:space="preserve"> Det ska ankomma på den beslutande myndigheten att visa att internt skydd finns tillgängligt. Det ska inte krävas att sökanden bevisar att han eller hon har uttömt alla möjligheter att få skydd i sitt ursprungsland innan han eller hon ansökte om internationellt skydd.</w:t>
            </w:r>
          </w:p>
        </w:tc>
        <w:tc>
          <w:tcPr/>
          <w:p>
            <w:pPr>
              <w:pStyle w:val="Normal6"/>
            </w:pPr>
            <w:r>
              <w:t>2.</w:t>
            </w:r>
            <w:r>
              <w:tab/>
            </w:r>
            <w:r>
              <w:t>Bedömningen av tillgången till internt skydd ska göras när den beslutande myndigheten har fastställt att kriterierna för att vara berättigad till skydd annars skulle tillämpas.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412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8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 xml:space="preserve">Bedömningen av tillgången till internt skydd ska göras när den beslutande myndigheten har fastställt att kriterierna för att vara berättigad till skydd annars skulle tillämpas. Det ska ankomma på </w:t>
            </w:r>
            <w:r>
              <w:rPr>
                <w:rFonts w:ascii="Times New Roman" w:eastAsia="Times New Roman" w:hAnsi="Times New Roman" w:cs="Times New Roman"/>
                <w:b/>
                <w:i/>
                <w:strike w:val="0"/>
                <w:color w:val="000000"/>
                <w:sz w:val="24"/>
                <w:highlight w:val="none"/>
                <w:u w:val="none" w:color="auto"/>
              </w:rPr>
              <w:t>den beslutande myndigheten</w:t>
            </w:r>
            <w:r>
              <w:t xml:space="preserve"> att visa att internt skydd finns tillgängligt. Det ska</w:t>
            </w:r>
            <w:r>
              <w:rPr>
                <w:rFonts w:ascii="Times New Roman" w:eastAsia="Times New Roman" w:hAnsi="Times New Roman" w:cs="Times New Roman"/>
                <w:b/>
                <w:i/>
                <w:strike w:val="0"/>
                <w:color w:val="000000"/>
                <w:sz w:val="24"/>
                <w:highlight w:val="none"/>
                <w:u w:val="none" w:color="auto"/>
              </w:rPr>
              <w:t xml:space="preserve"> inte</w:t>
            </w:r>
            <w:r>
              <w:t xml:space="preserve"> krävas att sökanden bevisar att han eller hon har uttömt alla möjligheter att få skydd i sitt ursprungsland innan han eller hon ansökte om internationellt skydd.</w:t>
            </w:r>
          </w:p>
        </w:tc>
        <w:tc>
          <w:tcPr/>
          <w:p>
            <w:pPr>
              <w:pStyle w:val="Normal6"/>
            </w:pPr>
            <w:r>
              <w:t>2.</w:t>
            </w:r>
            <w:r>
              <w:tab/>
            </w:r>
            <w:r>
              <w:t xml:space="preserve">Bedömningen av tillgången till internt skydd ska göras </w:t>
            </w:r>
            <w:r>
              <w:rPr>
                <w:rFonts w:ascii="Times New Roman" w:eastAsia="Times New Roman" w:hAnsi="Times New Roman" w:cs="Times New Roman"/>
                <w:b/>
                <w:i/>
                <w:strike w:val="0"/>
                <w:color w:val="000000"/>
                <w:sz w:val="24"/>
                <w:highlight w:val="none"/>
                <w:u w:val="none" w:color="auto"/>
              </w:rPr>
              <w:t xml:space="preserve">så fort som möjligt och senast </w:t>
            </w:r>
            <w:r>
              <w:t xml:space="preserve">när den beslutande myndigheten har fastställt att kriterierna för att vara berättigad till skydd annars skulle tillämpas. Det ska ankomma på </w:t>
            </w:r>
            <w:r>
              <w:rPr>
                <w:rFonts w:ascii="Times New Roman" w:eastAsia="Times New Roman" w:hAnsi="Times New Roman" w:cs="Times New Roman"/>
                <w:b/>
                <w:i/>
                <w:strike w:val="0"/>
                <w:color w:val="000000"/>
                <w:sz w:val="24"/>
                <w:highlight w:val="none"/>
                <w:u w:val="none" w:color="auto"/>
              </w:rPr>
              <w:t>sökanden</w:t>
            </w:r>
            <w:r>
              <w:t xml:space="preserve"> att visa att internt skydd</w:t>
            </w:r>
            <w:r>
              <w:rPr>
                <w:rFonts w:ascii="Times New Roman" w:eastAsia="Times New Roman" w:hAnsi="Times New Roman" w:cs="Times New Roman"/>
                <w:b/>
                <w:i/>
                <w:strike w:val="0"/>
                <w:color w:val="000000"/>
                <w:sz w:val="24"/>
                <w:highlight w:val="none"/>
                <w:u w:val="none" w:color="auto"/>
              </w:rPr>
              <w:t xml:space="preserve"> inte</w:t>
            </w:r>
            <w:r>
              <w:t xml:space="preserve"> finns tillgängligt. Det ska krävas att sökanden bevisar att han eller hon har uttömt alla möjligheter att få skydd i sitt ursprungsland innan han eller hon ansökte om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Särskilt när det finns tydliga indikationer på att det i ursprungslandet finns internt skydd för en person som ansöker om internationellt skydd behövs inte något förlängt förfarande med en föregående bedömning av kriterierna för att vara berättigad till skydd. Därför bör den ordning som dessa bedömningar ska utföras i vara flexibel.</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413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Alessandra Mussolini</w:t>
      </w:r>
      <w:r>
        <w:t xml:space="preserve">, </w:t>
      </w:r>
      <w:r>
        <w:t>Elissavet Vozemberg-Vrionidi</w:t>
      </w:r>
      <w:r>
        <w:t xml:space="preserve">, </w:t>
      </w:r>
      <w:r>
        <w:t>Frank Engel</w:t>
      </w:r>
      <w:r>
        <w:t xml:space="preserve">, </w:t>
      </w:r>
      <w:r>
        <w:t>Barbara Matera</w:t>
      </w:r>
      <w:r>
        <w:t xml:space="preserve">, </w:t>
      </w:r>
      <w:r>
        <w:t>Salvatore Domenico Pogliese</w:t>
      </w:r>
      <w:r>
        <w:t xml:space="preserve">, </w:t>
      </w:r>
      <w:r>
        <w:t>Carlos Coelho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8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 xml:space="preserve">Bedömningen av tillgången till internt skydd </w:t>
            </w:r>
            <w:r>
              <w:rPr>
                <w:rFonts w:ascii="Times New Roman" w:eastAsia="Times New Roman" w:hAnsi="Times New Roman" w:cs="Times New Roman"/>
                <w:b/>
                <w:i/>
                <w:strike w:val="0"/>
                <w:color w:val="000000"/>
                <w:sz w:val="24"/>
                <w:highlight w:val="none"/>
                <w:u w:val="none" w:color="auto"/>
              </w:rPr>
              <w:t>ska</w:t>
            </w:r>
            <w:r>
              <w:t xml:space="preserve"> göras när den beslutande myndigheten har fastställt att kriterierna för att vara berättigad till skydd annars skulle tillämpas. Det ska ankomma på den beslutande myndigheten att visa att internt skydd finns tillgängligt. </w:t>
            </w:r>
            <w:r>
              <w:rPr>
                <w:rFonts w:ascii="Times New Roman" w:eastAsia="Times New Roman" w:hAnsi="Times New Roman" w:cs="Times New Roman"/>
                <w:b/>
                <w:i/>
                <w:strike w:val="0"/>
                <w:color w:val="000000"/>
                <w:sz w:val="24"/>
                <w:highlight w:val="none"/>
                <w:u w:val="none" w:color="auto"/>
              </w:rPr>
              <w:t>Det ska inte krävas att sökanden bevisar att han eller hon har uttömt alla möjligheter att få</w:t>
            </w:r>
            <w:r>
              <w:t xml:space="preserve"> skydd </w:t>
            </w:r>
            <w:r>
              <w:rPr>
                <w:rFonts w:ascii="Times New Roman" w:eastAsia="Times New Roman" w:hAnsi="Times New Roman" w:cs="Times New Roman"/>
                <w:b/>
                <w:i/>
                <w:strike w:val="0"/>
                <w:color w:val="000000"/>
                <w:sz w:val="24"/>
                <w:highlight w:val="none"/>
                <w:u w:val="none" w:color="auto"/>
              </w:rPr>
              <w:t>i sitt ursprungsland innan han eller hon ansökte om internationellt skydd</w:t>
            </w:r>
            <w:r>
              <w:t>.</w:t>
            </w:r>
          </w:p>
        </w:tc>
        <w:tc>
          <w:tcPr/>
          <w:p>
            <w:pPr>
              <w:pStyle w:val="Normal6"/>
            </w:pPr>
            <w:r>
              <w:t>2.</w:t>
            </w:r>
            <w:r>
              <w:tab/>
            </w:r>
            <w:r>
              <w:t xml:space="preserve">Bedömningen av tillgången till internt skydd </w:t>
            </w:r>
            <w:r>
              <w:rPr>
                <w:rFonts w:ascii="Times New Roman" w:eastAsia="Times New Roman" w:hAnsi="Times New Roman" w:cs="Times New Roman"/>
                <w:b/>
                <w:i/>
                <w:strike w:val="0"/>
                <w:color w:val="000000"/>
                <w:sz w:val="24"/>
                <w:highlight w:val="none"/>
                <w:u w:val="none" w:color="auto"/>
              </w:rPr>
              <w:t>kan</w:t>
            </w:r>
            <w:r>
              <w:t xml:space="preserve"> göras när den beslutande myndigheten har fastställt att kriterierna för att vara berättigad till skydd annars skulle tillämpas. Det ska ankomma på den beslutande myndigheten att visa att internt skydd finns tillgängligt. </w:t>
            </w:r>
            <w:r>
              <w:rPr>
                <w:rFonts w:ascii="Times New Roman" w:eastAsia="Times New Roman" w:hAnsi="Times New Roman" w:cs="Times New Roman"/>
                <w:b/>
                <w:i/>
                <w:strike w:val="0"/>
                <w:color w:val="000000"/>
                <w:sz w:val="24"/>
                <w:highlight w:val="none"/>
                <w:u w:val="none" w:color="auto"/>
              </w:rPr>
              <w:t>Sökanden ska emellertid samarbeta med den beslutande myndigheten i syfte att fastställa huruvida villkoren för internt</w:t>
            </w:r>
            <w:r>
              <w:t xml:space="preserve"> skydd </w:t>
            </w:r>
            <w:r>
              <w:rPr>
                <w:rFonts w:ascii="Times New Roman" w:eastAsia="Times New Roman" w:hAnsi="Times New Roman" w:cs="Times New Roman"/>
                <w:b/>
                <w:i/>
                <w:strike w:val="0"/>
                <w:color w:val="000000"/>
                <w:sz w:val="24"/>
                <w:highlight w:val="none"/>
                <w:u w:val="none" w:color="auto"/>
              </w:rPr>
              <w:t>är uppfyllda i en del av vederbörandes ursprungsland</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Samtidigt som det bör ankomma på den beslutande myndigheten att visa att internt skydd finns tillgängligt, krävs det också att sökanden hjälper den beslutande myndigheten i arbetet med att fastställa huruvida villkoren för internt skydd är uppfyllda, detta genom att tillhandahålla relevant information och besvara samtliga frågor som ställs.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414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 Lambert</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för </w:t>
      </w:r>
      <w:r>
        <w:t>Verts/ALE</w:t>
      </w:r>
      <w:r>
        <w:t>-gruppen</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8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w:t>
            </w:r>
            <w:r>
              <w:tab/>
            </w:r>
            <w:r>
              <w:rPr>
                <w:rFonts w:ascii="Times New Roman" w:eastAsia="Times New Roman" w:hAnsi="Times New Roman" w:cs="Times New Roman"/>
                <w:b/>
                <w:i/>
                <w:strike w:val="0"/>
                <w:color w:val="000000"/>
                <w:sz w:val="24"/>
                <w:highlight w:val="none"/>
                <w:u w:val="none" w:color="auto"/>
              </w:rPr>
              <w:t>Vid prövningen av om en sökande känner en välgrundad fruktan för förföljelse eller löper en verklig risk för att lida allvarlig skada, eller har tillgång till skydd mot förföljelse eller allvarlig skada i en del av ursprungslandet i enlighet med punkt 1, ska beslutande myndigheter, när de fattar beslut om ansökan, beakta de allmänna omständigheter som råder i den delen av landet och sökandens personliga förhållanden i enlighet med artikel 4. För detta ändamål ska beslutande myndigheter säkerställa att exakt och uppdaterad information erhålls från alla relevanta källor, inbegripet tillgänglig information på unionsnivå om ursprungsländer och den gemensamma analys av information om ursprungsländer som avses i artiklarna 8 och 10 i förordning (EU) XXX/XX [Förordning om Europeiska unionens asylbyrå] samt information och vägledning som utfärdats av Förenta nationernas flyktingkommissariat.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415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8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Vid prövningen av om en sökande känner en välgrundad fruktan för förföljelse eller löper en verklig risk för att lida allvarlig skada, eller har tillgång till skydd mot förföljelse eller allvarlig skada i en del av ursprungslandet i enlighet med punkt 1, ska beslutande myndigheter, när de fattar beslut om ansökan, beakta de allmänna omständigheter som råder i den delen av landet och sökandens personliga förhållanden i enlighet med artikel 4. För detta ändamål ska beslutande myndigheter säkerställa att exakt och uppdaterad information erhålls från alla relevanta källor, inbegripet tillgänglig information på unionsnivå om ursprungsländer och den gemensamma analys av information om ursprungsländer som avses i artiklarna 8 och 10 i förordning (EU) XXX/XX [Förordning om Europeiska unionens asylbyrå]</w:t>
            </w:r>
            <w:r>
              <w:rPr>
                <w:rFonts w:ascii="Times New Roman" w:eastAsia="Times New Roman" w:hAnsi="Times New Roman" w:cs="Times New Roman"/>
                <w:b/>
                <w:i/>
                <w:strike w:val="0"/>
                <w:color w:val="000000"/>
                <w:sz w:val="24"/>
                <w:highlight w:val="none"/>
                <w:u w:val="none" w:color="auto"/>
              </w:rPr>
              <w:t xml:space="preserve"> samt information och vägledning som utfärdats av Förenta nationernas flyktingkommissariat</w:t>
            </w:r>
            <w:r>
              <w:t>.</w:t>
            </w:r>
          </w:p>
        </w:tc>
        <w:tc>
          <w:tcPr/>
          <w:p>
            <w:pPr>
              <w:pStyle w:val="Normal6"/>
            </w:pPr>
            <w:r>
              <w:t>3.</w:t>
            </w:r>
            <w:r>
              <w:tab/>
            </w:r>
            <w:r>
              <w:t>Vid prövningen av om en sökande känner en välgrundad fruktan för förföljelse eller löper en verklig risk för att lida allvarlig skada, eller har tillgång till skydd mot förföljelse eller allvarlig skada i en del av ursprungslandet i enlighet med punkt 1, ska beslutande myndigheter, när de fattar beslut om ansökan, beakta de allmänna omständigheter som råder i den delen av landet och sökandens personliga förhållanden i enlighet med artikel 4. För detta ändamål ska beslutande myndigheter säkerställa att exakt och uppdaterad information erhålls från alla relevanta källor, inbegripet tillgänglig information på unionsnivå om ursprungsländer och den gemensamma analys av information om ursprungsländer som avses i artiklarna 8 och 10 i förordning (EU) XXX/XX [Förordning om Europeiska unionens asylbyrå].</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Ändringsförslag</w:t>
      </w:r>
      <w:r>
        <w:t xml:space="preserve"> </w:t>
      </w:r>
      <w:r>
        <w:tab/>
      </w:r>
      <w:r>
        <w:tab/>
      </w:r>
      <w:r>
        <w:rPr>
          <w:rStyle w:val="HideTWBExt"/>
        </w:rPr>
        <w:t>&lt;</w:t>
      </w:r>
      <w:r>
        <w:rPr>
          <w:rStyle w:val="HideTWBExt"/>
        </w:rPr>
        <w:t>NumAmB</w:t>
      </w:r>
      <w:r>
        <w:rPr>
          <w:rStyle w:val="HideTWBExt"/>
        </w:rPr>
        <w:t>&gt;</w:t>
      </w:r>
      <w:r>
        <w:t>416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Artis Pabriks</w:t>
      </w:r>
      <w:r>
        <w:t xml:space="preserve">, </w:t>
      </w:r>
      <w:r>
        <w:t>Traian Ungureanu</w:t>
      </w:r>
      <w:r>
        <w:t xml:space="preserve">, </w:t>
      </w:r>
      <w:r>
        <w:t>Tomáš Zdechovský</w:t>
      </w:r>
      <w:r>
        <w:t xml:space="preserve">, </w:t>
      </w:r>
      <w:r>
        <w:t>Kinga Gál</w:t>
      </w:r>
      <w:r>
        <w:t xml:space="preserve">, </w:t>
      </w:r>
      <w:r>
        <w:t>Pál Csáky</w:t>
      </w:r>
      <w:r>
        <w:t xml:space="preserve">, </w:t>
      </w:r>
      <w:r>
        <w:t>Monica Macovei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8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 xml:space="preserve">Vid prövningen av om en sökande känner en välgrundad fruktan för förföljelse eller löper en verklig risk för att lida allvarlig skada, eller har tillgång till skydd mot förföljelse eller allvarlig skada i en del av ursprungslandet i enlighet med punkt 1, </w:t>
            </w:r>
            <w:r>
              <w:rPr>
                <w:rFonts w:ascii="Times New Roman" w:eastAsia="Times New Roman" w:hAnsi="Times New Roman" w:cs="Times New Roman"/>
                <w:b/>
                <w:i/>
                <w:strike w:val="0"/>
                <w:color w:val="000000"/>
                <w:sz w:val="24"/>
                <w:highlight w:val="none"/>
                <w:u w:val="none" w:color="auto"/>
              </w:rPr>
              <w:t>ska</w:t>
            </w:r>
            <w:r>
              <w:t xml:space="preserve"> beslutande myndigheter, när de fattar beslut om ansökan, beakta de allmänna omständigheter som råder i den delen av landet och sökandens personliga förhållanden i enlighet med artikel 4. För detta ändamål ska beslutande myndigheter säkerställa att exakt och uppdaterad information erhålls från alla relevanta källor, inbegripet tillgänglig information på unionsnivå om ursprungsländer och den gemensamma analys av information om ursprungsländer som avses i artiklarna 8 och 10 i förordning (EU) XXX/XX [Förordning om Europeiska unionens asylbyrå] samt information och vägledning som utfärdats av Förenta nationernas flyktingkommissariat.</w:t>
            </w:r>
          </w:p>
        </w:tc>
        <w:tc>
          <w:tcPr/>
          <w:p>
            <w:pPr>
              <w:pStyle w:val="Normal6"/>
            </w:pPr>
            <w:r>
              <w:t>3.</w:t>
            </w:r>
            <w:r>
              <w:tab/>
            </w:r>
            <w:r>
              <w:t xml:space="preserve">Vid prövningen av om en sökande känner en välgrundad fruktan för förföljelse eller löper en verklig risk för att lida allvarlig skada, eller har tillgång till skydd mot förföljelse eller allvarlig skada i en del av ursprungslandet i enlighet med punkt 1, </w:t>
            </w:r>
            <w:r>
              <w:rPr>
                <w:rFonts w:ascii="Times New Roman" w:eastAsia="Times New Roman" w:hAnsi="Times New Roman" w:cs="Times New Roman"/>
                <w:b/>
                <w:i/>
                <w:strike w:val="0"/>
                <w:color w:val="000000"/>
                <w:sz w:val="24"/>
                <w:highlight w:val="none"/>
                <w:u w:val="none" w:color="auto"/>
              </w:rPr>
              <w:t>kan</w:t>
            </w:r>
            <w:r>
              <w:t xml:space="preserve"> beslutande myndigheter, när de fattar beslut om ansökan, beakta de allmänna omständigheter som råder i den delen av landet och sökandens personliga förhållanden i enlighet med artikel 4. För detta ändamål ska beslutande myndigheter säkerställa att exakt och uppdaterad information erhålls från alla relevanta källor, inbegripet tillgänglig information på unionsnivå om ursprungsländer och den gemensamma analys av information om ursprungsländer som avses i artiklarna 8 och 10 i förordning (EU) XXX/XX [Förordning om Europeiska unionens asylbyrå] samt information och vägledning som utfärdats av Förenta nationernas flyktingkommissariat.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r>
        <w:rPr>
          <w:rStyle w:val="HideTWBExt"/>
        </w:rPr>
        <w:t>&lt;/</w:t>
      </w:r>
      <w:r>
        <w:rPr>
          <w:rStyle w:val="HideTWBExt"/>
        </w:rPr>
        <w:t>RepeatBlock-AmendB</w:t>
      </w:r>
      <w:r>
        <w:rPr>
          <w:rStyle w:val="HideTWBExt"/>
        </w:rPr>
        <w:t>&gt;</w:t>
      </w:r>
    </w:p>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PE</w:t>
    </w:r>
    <w:r>
      <w:rPr>
        <w:rStyle w:val="HideTWBExt"/>
      </w:rPr>
      <w:t>&lt;</w:t>
    </w:r>
    <w:r>
      <w:rPr>
        <w:rStyle w:val="HideTWBExt"/>
      </w:rPr>
      <w:t>NoPE</w:t>
    </w:r>
    <w:r>
      <w:rPr>
        <w:rStyle w:val="HideTWBExt"/>
      </w:rPr>
      <w:t>&gt;</w:t>
    </w:r>
    <w:r>
      <w:t>602.739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fldChar w:fldCharType="end"/>
    </w:r>
    <w:r>
      <w:t>/</w:t>
    </w:r>
    <w:r>
      <w:fldChar w:fldCharType="begin"/>
    </w:r>
    <w:r>
      <w:instrText>NUMPAGES</w:instrText>
    </w:r>
    <w:r>
      <w:fldChar w:fldCharType="separate"/>
    </w:r>
    <w:r>
      <w:fldChar w:fldCharType="end"/>
    </w:r>
    <w:r>
      <w:tab/>
    </w:r>
    <w:r>
      <w:rPr>
        <w:rStyle w:val="HideTWBExt"/>
      </w:rPr>
      <w:t>&lt;</w:t>
    </w:r>
    <w:r>
      <w:rPr>
        <w:rStyle w:val="HideTWBExt"/>
      </w:rPr>
      <w:t>PathFdR</w:t>
    </w:r>
    <w:r>
      <w:rPr>
        <w:rStyle w:val="HideTWBExt"/>
      </w:rPr>
      <w:t>&gt;</w:t>
    </w:r>
    <w:r>
      <w:t>AM\1121329SV.docx</w:t>
    </w:r>
    <w:r>
      <w:rPr>
        <w:rStyle w:val="HideTWBExt"/>
      </w:rPr>
      <w:t>&lt;/</w:t>
    </w:r>
    <w:r>
      <w:rPr>
        <w:rStyle w:val="HideTWBExt"/>
      </w:rPr>
      <w:t>PathFdR</w:t>
    </w:r>
    <w:r>
      <w:rPr>
        <w:rStyle w:val="HideTWBExt"/>
      </w:rPr>
      <w:t>&gt;</w:t>
    </w:r>
  </w:p>
  <w:p>
    <w:pPr>
      <w:pStyle w:val="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rPr>
        <w:rStyle w:val="HideTWBExt"/>
      </w:rPr>
      <w:t>&lt;</w:t>
    </w:r>
    <w:r>
      <w:rPr>
        <w:rStyle w:val="HideTWBExt"/>
      </w:rPr>
      <w:t>PathFdR</w:t>
    </w:r>
    <w:r>
      <w:rPr>
        <w:rStyle w:val="HideTWBExt"/>
      </w:rPr>
      <w:t>&gt;</w:t>
    </w:r>
    <w:r>
      <w:t>AM\1121329SV.docx</w:t>
    </w:r>
    <w:r>
      <w:rPr>
        <w:rStyle w:val="HideTWBExt"/>
      </w:rPr>
      <w:t>&lt;/</w:t>
    </w:r>
    <w:r>
      <w:rPr>
        <w:rStyle w:val="HideTWBExt"/>
      </w:rPr>
      <w:t>PathFdR</w:t>
    </w:r>
    <w:r>
      <w:rPr>
        <w:rStyle w:val="HideTWBExt"/>
      </w:rPr>
      <w:t>&gt;</w:t>
    </w:r>
    <w:r>
      <w:tab/>
    </w:r>
    <w:r>
      <w:fldChar w:fldCharType="begin"/>
    </w:r>
    <w:r>
      <w:instrText>PAGE</w:instrText>
    </w:r>
    <w:r>
      <w:fldChar w:fldCharType="separate"/>
    </w:r>
    <w:r>
      <w:fldChar w:fldCharType="end"/>
    </w:r>
    <w:r>
      <w:t>/</w:t>
    </w:r>
    <w:r>
      <w:fldChar w:fldCharType="begin"/>
    </w:r>
    <w:r>
      <w:instrText>NUMPAGES</w:instrText>
    </w:r>
    <w:r>
      <w:fldChar w:fldCharType="separate"/>
    </w:r>
    <w:r>
      <w:fldChar w:fldCharType="end"/>
    </w:r>
    <w:r>
      <w:tab/>
    </w:r>
    <w:r>
      <w:t>PE</w:t>
    </w:r>
    <w:r>
      <w:rPr>
        <w:rStyle w:val="HideTWBExt"/>
      </w:rPr>
      <w:t>&lt;</w:t>
    </w:r>
    <w:r>
      <w:rPr>
        <w:rStyle w:val="HideTWBExt"/>
      </w:rPr>
      <w:t>NoPE</w:t>
    </w:r>
    <w:r>
      <w:rPr>
        <w:rStyle w:val="HideTWBExt"/>
      </w:rPr>
      <w:t>&gt;</w:t>
    </w:r>
    <w:r>
      <w:t>602.739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rPr>
        <w:rStyle w:val="HideTWBExt"/>
      </w:rPr>
      <w:t>&lt;</w:t>
    </w:r>
    <w:r>
      <w:rPr>
        <w:rStyle w:val="HideTWBExt"/>
      </w:rPr>
      <w:t>PathFdR</w:t>
    </w:r>
    <w:r>
      <w:rPr>
        <w:rStyle w:val="HideTWBExt"/>
      </w:rPr>
      <w:t>&gt;</w:t>
    </w:r>
    <w:r>
      <w:t>AM\1121329SV.docx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602.739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Footer2"/>
    </w:pPr>
    <w:r>
      <w:t>SV</w:t>
    </w:r>
    <w:r>
      <w:tab/>
    </w:r>
    <w:r>
      <w:rPr>
        <w:rStyle w:val="Footer2Middle"/>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13127606 HideTWBExt;}}{\*\rsidtbl \rsid24658\rsid735077\rsid2892074\rsid4666813\rsid6641733\rsid7286045\rsid9636012\rsid11215221\rsid12154954\rsid13127606\rsid14424199\rsid15204470&#13;&#10;\rsid15285974\rsid15950462\rsid16324206\rsid16662270}{\mmathPr\mmathFont34\mbrkBin0\mbrkBinSub0\msmallFrac0\mdispDef1\mlMargin0\mrMargin0\mdefJc1\mwrapIndent1440\mintLim0\mnaryLim1}{\info{\author FELIX Karina}{\operator FELIX Karina}&#13;&#10;{\creatim\yr2015\mo5\dy8\hr15\min23}{\revtim\yr2015\mo5\dy8\hr15\min23}{\version1}{\edmins0}{\nofpages1}{\nofwords6}{\nofchars33}{\*\company European Parliament}{\nofcharsws38}{\vern49165}}{\*\xmlnstbl {\xmlns1 http://schemas.microsoft.com/office/word/200&#13;&#1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13127606\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7286045 \chftnsep &#13;&#10;\par }}{\*\ftnsepc \ltrpar \pard\plain \ltrpar\ql \li0\ri0\widctlpar\wrapdefault\aspalpha\aspnum\faauto\adjustright\rin0\lin0\itap0 \rtlch\fcs1 \af0\afs20\alang1025 \ltrch\fcs0 \fs24\lang2057\langfe2057\cgrid\langnp2057\langfenp2057 {\rtlch\fcs1 \af0 &#13;&#10;\ltrch\fcs0 \insrsid7286045 \chftnsepc &#13;&#10;\par }}{\*\aftnsep \ltrpar \pard\plain \ltrpar\ql \li0\ri0\widctlpar\wrapdefault\aspalpha\aspnum\faauto\adjustright\rin0\lin0\itap0 \rtlch\fcs1 \af0\afs20\alang1025 \ltrch\fcs0 \fs24\lang2057\langfe2057\cgrid\langnp2057\langfenp2057 {\rtlch\fcs1 \af0 &#13;&#10;\ltrch\fcs0 \insrsid7286045 \chftnsep &#13;&#10;\par }}{\*\aftnsepc \ltrpar \pard\plain \ltrpar\ql \li0\ri0\widctlpar\wrapdefault\aspalpha\aspnum\faauto\adjustright\rin0\lin0\itap0 \rtlch\fcs1 \af0\afs20\alang1025 \ltrch\fcs0 \fs24\lang2057\langfe2057\cgrid\langnp2057\langfenp2057 {\rtlch\fcs1 \af0 &#13;&#10;\ltrch\fcs0 \insrsid7286045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ql \li0\ri0\widctlpar\wrapdefault\aspalpha\aspnum\faauto\adjustright\rin0\lin0\itap0\pararsid16390444 \rtlch\fcs1 \af0\afs20\alang1025 \ltrch\fcs0 \fs24\lang2057\langfe2057\cgrid\langnp2057\langfenp2057 {\rtlch\fcs1 \af0 \ltrch\fcs0 &#13;&#10;\cs15\v\f1\fs20\cf9\insrsid13127606\charrsid946740 {\*\bkmkstart EndA}&lt;&lt;&lt;}{\rtlch\fcs1 \af0 \ltrch\fcs0 \insrsid13127606\charrsid946740 #@&gt;ZOTHAMA&lt;@#}{\rtlch\fcs1 \af0 \ltrch\fcs0 \cs15\v\f1\fs20\cf9\insrsid13127606\charrsid946740 &lt;/RepeatBlock-AmendA&gt;}{&#13;&#10;\rtlch\fcs1 \af0 \ltrch\fcs0 \insrsid13127606\charrsid946740 &#13;&#10;\par }\pard \ltrpar\ql \li0\ri0\widctlpar\wrapdefault\aspalpha\aspnum\faauto\adjustright\rin0\lin0\itap0\pararsid16324206 {\rtlch\fcs1 \af0 \ltrch\fcs0 \insrsid24658\charrsid16324206 {\*\bkmkend EndA}&#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407c&#13;&#10;a320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10948606 HideTWBExt;}}{\*\rsidtbl \rsid24658\rsid735077\rsid2892074\rsid4666813\rsid6641733\rsid9636012\rsid10711257\rsid10948606\rsid11215221\rsid12154954\rsid14424199\rsid15204470&#13;&#10;\rsid15285974\rsid15950462\rsid16324206\rsid16662270}{\mmathPr\mmathFont34\mbrkBin0\mbrkBinSub0\msmallFrac0\mdispDef1\mlMargin0\mrMargin0\mdefJc1\mwrapIndent1440\mintLim0\mnaryLim1}{\info{\author FELIX Karina}{\operator FELIX Karina}&#13;&#10;{\creatim\yr2015\mo5\dy8\hr15\min23}{\revtim\yr2015\mo5\dy8\hr15\min23}{\version1}{\edmins0}{\nofpages1}{\nofwords5}{\nofchars33}{\*\company European Parliament}{\nofcharsws37}{\vern49165}}{\*\xmlnstbl {\xmlns1 http://schemas.microsoft.com/office/word/200&#13;&#1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10948606\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10711257 \chftnsep &#13;&#10;\par }}{\*\ftnsepc \ltrpar \pard\plain \ltrpar\ql \li0\ri0\widctlpar\wrapdefault\aspalpha\aspnum\faauto\adjustright\rin0\lin0\itap0 \rtlch\fcs1 \af0\afs20\alang1025 \ltrch\fcs0 \fs24\lang2057\langfe2057\cgrid\langnp2057\langfenp2057 {\rtlch\fcs1 \af0 &#13;&#10;\ltrch\fcs0 \insrsid10711257 \chftnsepc &#13;&#10;\par }}{\*\aftnsep \ltrpar \pard\plain \ltrpar\ql \li0\ri0\widctlpar\wrapdefault\aspalpha\aspnum\faauto\adjustright\rin0\lin0\itap0 \rtlch\fcs1 \af0\afs20\alang1025 \ltrch\fcs0 \fs24\lang2057\langfe2057\cgrid\langnp2057\langfenp2057 {\rtlch\fcs1 \af0 &#13;&#10;\ltrch\fcs0 \insrsid10711257 \chftnsep &#13;&#10;\par }}{\*\aftnsepc \ltrpar \pard\plain \ltrpar\ql \li0\ri0\widctlpar\wrapdefault\aspalpha\aspnum\faauto\adjustright\rin0\lin0\itap0 \rtlch\fcs1 \af0\afs20\alang1025 \ltrch\fcs0 \fs24\lang2057\langfe2057\cgrid\langnp2057\langfenp2057 {\rtlch\fcs1 \af0 &#13;&#10;\ltrch\fcs0 \insrsid10711257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ql \li0\ri0\widctlpar\wrapdefault\aspalpha\aspnum\faauto\adjustright\rin0\lin0\itap0\pararsid16324206 \rtlch\fcs1 \af0\afs20\alang1025 \ltrch\fcs0 \fs24\lang2057\langfe2057\cgrid\langnp2057\langfenp2057 {\rtlch\fcs1 \af0 \ltrch\fcs0 &#13;&#10;\cs15\v\f1\fs20\cf9\insrsid10948606\charrsid946740 {\*\bkmkstart EndB}&lt;&lt;&lt;}{\rtlch\fcs1 \af0 \ltrch\fcs0 \insrsid10948606\charrsid946740 #@&gt;ZOTHAMB&lt;@#}{\rtlch\fcs1 \af0 \ltrch\fcs0 \cs15\v\f1\fs20\cf9\insrsid10948606\charrsid946740 &lt;/RepeatBlock-AmendB&gt;}{&#13;&#10;\rtlch\fcs1 \af0 \ltrch\fcs0 \insrsid24658\charrsid16324206 {\*\bkmkend EndB}&#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0027&#13;&#10;2921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11163973 HideTWBExt;}}{\*\rsidtbl \rsid24658\rsid735077\rsid2892074\rsid4666813\rsid6057549\rsid6641733\rsid9636012\rsid11163973\rsid11215221\rsid12154954\rsid14424199\rsid15204470&#13;&#10;\rsid15285974\rsid15950462\rsid16324206\rsid16662270}{\mmathPr\mmathFont34\mbrkBin0\mbrkBinSub0\msmallFrac0\mdispDef1\mlMargin0\mrMargin0\mdefJc1\mwrapIndent1440\mintLim0\mnaryLim1}{\info{\author FELIX Karina}{\operator FELIX Karina}&#13;&#10;{\creatim\yr2015\mo5\dy8\hr15\min23}{\revtim\yr2015\mo5\dy8\hr15\min23}{\version1}{\edmins0}{\nofpages1}{\nofwords3}{\nofchars18}{\*\company European Parliament}{\nofcharsws20}{\vern49165}}{\*\xmlnstbl {\xmlns1 http://schemas.microsoft.com/office/word/200&#13;&#1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11163973\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6057549 \chftnsep &#13;&#10;\par }}{\*\ftnsepc \ltrpar \pard\plain \ltrpar\ql \li0\ri0\widctlpar\wrapdefault\aspalpha\aspnum\faauto\adjustright\rin0\lin0\itap0 \rtlch\fcs1 \af0\afs20\alang1025 \ltrch\fcs0 \fs24\lang2057\langfe2057\cgrid\langnp2057\langfenp2057 {\rtlch\fcs1 \af0 &#13;&#10;\ltrch\fcs0 \insrsid6057549 \chftnsepc &#13;&#10;\par }}{\*\aftnsep \ltrpar \pard\plain \ltrpar\ql \li0\ri0\widctlpar\wrapdefault\aspalpha\aspnum\faauto\adjustright\rin0\lin0\itap0 \rtlch\fcs1 \af0\afs20\alang1025 \ltrch\fcs0 \fs24\lang2057\langfe2057\cgrid\langnp2057\langfenp2057 {\rtlch\fcs1 \af0 &#13;&#10;\ltrch\fcs0 \insrsid6057549 \chftnsep &#13;&#10;\par }}{\*\aftnsepc \ltrpar \pard\plain \ltrpar\ql \li0\ri0\widctlpar\wrapdefault\aspalpha\aspnum\faauto\adjustright\rin0\lin0\itap0 \rtlch\fcs1 \af0\afs20\alang1025 \ltrch\fcs0 \fs24\lang2057\langfe2057\cgrid\langnp2057\langfenp2057 {\rtlch\fcs1 \af0 &#13;&#10;\ltrch\fcs0 \insrsid6057549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ql \li0\ri0\widctlpar\wrapdefault\aspalpha\aspnum\faauto\adjustright\rin0\lin0\itap0\pararsid16324206 \rtlch\fcs1 \af0\afs20\alang1025 \ltrch\fcs0 \fs24\lang2057\langfe2057\cgrid\langnp2057\langfenp2057 {\rtlch\fcs1 \af0 \ltrch\fcs0 &#13;&#10;\cs15\b\v\f1\fs20\cf9\insrsid11163973\charrsid946740 {\*\bkmkstart IntroA}&lt;RepeatBlock-AmendA&gt;}{\rtlch\fcs1 \af0 \ltrch\fcs0 \insrsid24658\charrsid16324206 {\*\bkmkend IntroA}&#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0095&#13;&#10;761f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12335126 HideTWBExt;}}{\*\rsidtbl \rsid24658\rsid735077\rsid2892074\rsid4666813\rsid6641733\rsid9636012\rsid11215221\rsid11358468\rsid12154954\rsid12335126\rsid14424199\rsid15204470&#13;&#10;\rsid15285974\rsid15950462\rsid16324206\rsid16662270}{\mmathPr\mmathFont34\mbrkBin0\mbrkBinSub0\msmallFrac0\mdispDef1\mlMargin0\mrMargin0\mdefJc1\mwrapIndent1440\mintLim0\mnaryLim1}{\info{\author FELIX Karina}{\operator FELIX Karina}&#13;&#10;{\creatim\yr2015\mo5\dy8\hr15\min23}{\revtim\yr2015\mo5\dy8\hr15\min23}{\version1}{\edmins0}{\nofpages1}{\nofwords3}{\nofchars18}{\*\company European Parliament}{\nofcharsws20}{\vern49165}}{\*\xmlnstbl {\xmlns1 http://schemas.microsoft.com/office/word/200&#13;&#1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12335126\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11358468 \chftnsep &#13;&#10;\par }}{\*\ftnsepc \ltrpar \pard\plain \ltrpar\ql \li0\ri0\widctlpar\wrapdefault\aspalpha\aspnum\faauto\adjustright\rin0\lin0\itap0 \rtlch\fcs1 \af0\afs20\alang1025 \ltrch\fcs0 \fs24\lang2057\langfe2057\cgrid\langnp2057\langfenp2057 {\rtlch\fcs1 \af0 &#13;&#10;\ltrch\fcs0 \insrsid11358468 \chftnsepc &#13;&#10;\par }}{\*\aftnsep \ltrpar \pard\plain \ltrpar\ql \li0\ri0\widctlpar\wrapdefault\aspalpha\aspnum\faauto\adjustright\rin0\lin0\itap0 \rtlch\fcs1 \af0\afs20\alang1025 \ltrch\fcs0 \fs24\lang2057\langfe2057\cgrid\langnp2057\langfenp2057 {\rtlch\fcs1 \af0 &#13;&#10;\ltrch\fcs0 \insrsid11358468 \chftnsep &#13;&#10;\par }}{\*\aftnsepc \ltrpar \pard\plain \ltrpar\ql \li0\ri0\widctlpar\wrapdefault\aspalpha\aspnum\faauto\adjustright\rin0\lin0\itap0 \rtlch\fcs1 \af0\afs20\alang1025 \ltrch\fcs0 \fs24\lang2057\langfe2057\cgrid\langnp2057\langfenp2057 {\rtlch\fcs1 \af0 &#13;&#10;\ltrch\fcs0 \insrsid11358468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ql \li0\ri0\widctlpar\wrapdefault\aspalpha\aspnum\faauto\adjustright\rin0\lin0\itap0\pararsid16324206 \rtlch\fcs1 \af0\afs20\alang1025 \ltrch\fcs0 \fs24\lang2057\langfe2057\cgrid\langnp2057\langfenp2057 {\rtlch\fcs1 \af0 \ltrch\fcs0 &#13;&#10;\cs15\b\v\f1\fs20\cf9\insrsid12335126\charrsid946740 {\*\bkmkstart IntroB}&lt;RepeatBlock-AmendB&gt;}{\rtlch\fcs1 \af0 \ltrch\fcs0 \insrsid24658\charrsid16324206 {\*\bkmkend IntroB}&#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c0fc&#13;&#10;1b20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15625260 HideTWBExt;}{\s16\ql \li0\ri0\sa120\nowidctlpar\wrapdefault\aspalpha\aspnum\faauto\adjustright\rin0\lin0\itap0 \rtlch\fcs1 \af0\afs20\alang1025 \ltrch\fcs0 &#13;&#10;\fs24\lang2057\langfe2057\cgrid\langnp2057\langfenp2057 \sbasedon0 \snext16 \slink17 \spriority0 \styrsid15625260 Normal6;}{\*\cs17 \additive \fs24\lang2057\langfe2057\langnp2057\langfenp2057 \slink16 \slocked \spriority0 \styrsid15625260 Normal6 Char;}{&#13;&#10;\s18\ql \li0\ri0\nowidctlpar\wrapdefault\aspalpha\aspnum\faauto\adjustright\rin0\lin0\itap0 \rtlch\fcs1 \af0\afs20\alang1025 \ltrch\fcs0 \b\fs24\lang2057\langfe2057\cgrid\langnp2057\langfenp2057 \sbasedon0 \snext18 \slink19 \spriority0 \styrsid15625260 &#13;&#10;NormalBold;}{\*\cs19 \additive \b\fs24\lang2057\langfe2057\langnp2057\langfenp2057 \slink18 \slocked \spriority0 \styrsid15625260 NormalBold Char;}{\s20\ql \li0\ri0\sa240\nowidctlpar\wrapdefault\aspalpha\aspnum\faauto\adjustright\rin0\lin0\itap0 &#13;&#10;\rtlch\fcs1 \af0\afs20\alang1025 \ltrch\fcs0 \i\fs24\lang1024\langfe1024\cgrid\noproof\langnp2057\langfenp2057 \sbasedon0 \snext20 \spriority0 \styrsid15625260 Normal12Italic;}{&#13;&#10;\s21\qc \li0\ri0\sb240\sa240\keepn\nowidctlpar\wrapdefault\aspalpha\aspnum\faauto\adjustright\rin0\lin0\itap0 \rtlch\fcs1 \af0\afs20\alang1025 \ltrch\fcs0 \i\fs24\lang1024\langfe1024\cgrid\noproof\langnp2057\langfenp2057 &#13;&#10;\sbasedon0 \snext0 \spriority0 \styrsid15625260 JustificationTitle;}{\s22\qr \li0\ri0\sb240\sa240\nowidctlpar\wrapdefault\aspalpha\aspnum\faauto\adjustright\rin0\lin0\itap0 \rtlch\fcs1 \af0\afs20\alang1025 \ltrch\fcs0 &#13;&#10;\fs24\lang1024\langfe1024\cgrid\noproof\langnp2057\langfenp2057 \sbasedon0 \snext22 \spriority0 \styrsid15625260 Olang;}{\s23\qc \li0\ri0\sa240\nowidctlpar\wrapdefault\aspalpha\aspnum\faauto\adjustright\rin0\lin0\itap0 \rtlch\fcs1 \af0\afs20\alang1025 &#13;&#10;\ltrch\fcs0 \i\fs24\lang2057\langfe2057\cgrid\langnp2057\langfenp2057 \sbasedon0 \snext23 \spriority0 \styrsid15625260 ColumnHeading;}{\s24\ql \li0\ri0\sb240\nowidctlpar&#13;&#10;\tx879\tx936\tx1021\tx1077\tx1134\tx1191\tx1247\tx1304\tx1361\tx1418\tx1474\tx1531\tx1588\tx1644\tx1701\tx1758\tx1814\tx1871\tx2070\tx2126\tx3374\tx3430\wrapdefault\aspalpha\aspnum\faauto\adjustright\rin0\lin0\itap0 \rtlch\fcs1 \af0\afs20\alang1025 &#13;&#10;\ltrch\fcs0 \b\fs24\lang2057\langfe2057\cgrid\langnp2057\langfenp2057 \sbasedon0 \snext24 \spriority0 \styrsid15625260 AMNumberTabs;}}{\*\rsidtbl \rsid24658\rsid735077\rsid2892074\rsid4666813\rsid6641733\rsid9636012\rsid11215221\rsid12154954\rsid14424199&#13;&#10;\rsid15204470\rsid15285974\rsid15625260\rsid15950462\rsid16324206\rsid16662270\rsid16743564}{\mmathPr\mmathFont34\mbrkBin0\mbrkBinSub0\msmallFrac0\mdispDef1\mlMargin0\mrMargin0\mdefJc1\mwrapIndent1440\mintLim0\mnaryLim1}{\info{\author FELIX Karina}&#13;&#10;{\operator FELIX Karina}{\creatim\yr2015\mo5\dy8\hr15\min23}{\revtim\yr2015\mo5\dy8\hr15\min23}{\version1}{\edmins0}{\nofpages1}{\nofwords62}{\nofchars342}{\*\company European Parliament}{\nofcharsws403}{\vern49165}}{\*\xmlnstbl {\xmlns1 http://schemas.mi&#13;&#10;crosoft.com/office/word/20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15625260\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16743564 \chftnsep &#13;&#10;\par }}{\*\ftnsepc \ltrpar \pard\plain \ltrpar\ql \li0\ri0\widctlpar\wrapdefault\aspalpha\aspnum\faauto\adjustright\rin0\lin0\itap0 \rtlch\fcs1 \af0\afs20\alang1025 \ltrch\fcs0 \fs24\lang2057\langfe2057\cgrid\langnp2057\langfenp2057 {\rtlch\fcs1 \af0 &#13;&#10;\ltrch\fcs0 \insrsid16743564 \chftnsepc &#13;&#10;\par }}{\*\aftnsep \ltrpar \pard\plain \ltrpar\ql \li0\ri0\widctlpar\wrapdefault\aspalpha\aspnum\faauto\adjustright\rin0\lin0\itap0 \rtlch\fcs1 \af0\afs20\alang1025 \ltrch\fcs0 \fs24\lang2057\langfe2057\cgrid\langnp2057\langfenp2057 {\rtlch\fcs1 \af0 &#13;&#10;\ltrch\fcs0 \insrsid16743564 \chftnsep &#13;&#10;\par }}{\*\aftnsepc \ltrpar \pard\plain \ltrpar\ql \li0\ri0\widctlpar\wrapdefault\aspalpha\aspnum\faauto\adjustright\rin0\lin0\itap0 \rtlch\fcs1 \af0\afs20\alang1025 \ltrch\fcs0 \fs24\lang2057\langfe2057\cgrid\langnp2057\langfenp2057 {\rtlch\fcs1 \af0 &#13;&#10;\ltrch\fcs0 \insrsid16743564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s24\ql \li0\ri0\sb240\keepn\nowidctlpar\tx879\tx936\tx1021\tx1077\tx1134\tx1191\tx1247\tx1304\tx1361\tx1418\tx1474\tx1531\tx1588\tx1644\tx1701\tx1758\tx1814\tx1871\tx2070\tx2126\tx3374\tx3430\wrapdefault\aspalpha\aspnum\faauto\adjustright\rin0&#13;&#10;\lin0\itap0\pararsid6905025 \rtlch\fcs1 \af0\afs20\alang1025 \ltrch\fcs0 \b\fs24\lang2057\langfe2057\cgrid\langnp2057\langfenp2057 {\rtlch\fcs1 \af0 \ltrch\fcs0 \cs15\b0\v\f1\fs20\cf9\insrsid15625260\charrsid946740 {\*\bkmkstart restartA}&lt;AmendA&gt;}{&#13;&#10;\rtlch\fcs1 \af0 \ltrch\fcs0 \insrsid15625260\charrsid946740 [ZAMENDMENT]\tab \tab }{\rtlch\fcs1 \af0 \ltrch\fcs0 \cs15\b0\v\f1\fs20\cf9\insrsid15625260\charrsid946740 &lt;NumAmA&gt;}{\rtlch\fcs1 \af0 \ltrch\fcs0 \insrsid15625260\charrsid946740 [ZNRAM]}{&#13;&#10;\rtlch\fcs1 \af0 \ltrch\fcs0 \cs15\b0\v\f1\fs20\cf9\insrsid15625260\charrsid946740 &lt;/NumAmA&gt;}{\rtlch\fcs1 \af0 \ltrch\fcs0 \insrsid15625260\charrsid946740 &#13;&#10;\par }\pard\plain \ltrpar\s18\ql \li0\ri0\nowidctlpar\wrapdefault\aspalpha\aspnum\faauto\adjustright\rin0\lin0\itap0\pararsid5976803 \rtlch\fcs1 \af0\afs20\alang1025 \ltrch\fcs0 \b\fs24\lang2057\langfe2057\cgrid\langnp2057\langfenp2057 {\rtlch\fcs1 \af0 &#13;&#10;\ltrch\fcs0 \cs15\b0\v\f1\fs20\cf9\lang1024\langfe1024\noproof\insrsid15625260\charrsid14699840 &lt;RepeatBlock-By&gt;}{\rtlch\fcs1 \af0 \ltrch\fcs0 \lang1024\langfe1024\noproof\insrsid15625260\charrsid14699840 [RepeatMembers]}{\rtlch\fcs1 \af0 \ltrch\fcs0 &#13;&#10;\cs15\b0\v\f1\fs20\cf9\lang1024\langfe1024\noproof\insrsid15625260\charrsid14699840 &lt;Members&gt;}{\rtlch\fcs1 \af0 \ltrch\fcs0 \insrsid15625260\charrsid14699840 [ZMEMBERS]}{\rtlch\fcs1 \af0 \ltrch\fcs0 &#13;&#10;\cs15\b0\v\f1\fs20\cf9\lang1024\langfe1024\noproof\insrsid15625260\charrsid14699840 &lt;/Members&gt;}{\rtlch\fcs1 \af0 \ltrch\fcs0 \insrsid15625260\charrsid14699840 &#13;&#10;\par }\pard\plain \ltrpar\ql \li0\ri0\widctlpar\wrapdefault\aspalpha\aspnum\faauto\adjustright\rin0\lin0\itap0\pararsid5976803 \rtlch\fcs1 \af0\afs20\alang1025 \ltrch\fcs0 \fs24\lang2057\langfe2057\cgrid\langnp2057\langfenp2057 {\rtlch\fcs1 \af0 \ltrch\fcs0 &#13;&#10;\cs15\v\f1\fs20\cf9\lang1024\langfe1024\noproof\insrsid15625260\charrsid14699840 &lt;AuNomDe&gt;&lt;OptDel&gt;}{\rtlch\fcs1 \af0 \ltrch\fcs0 \lang1024\langfe1024\noproof\insrsid15625260\charrsid14699840 [ZONBEHALF]}{\rtlch\fcs1 \af0 \ltrch\fcs0 &#13;&#10;\cs15\v\f1\fs20\cf9\lang1024\langfe1024\noproof\insrsid15625260\charrsid14699840 &lt;/OptDel&gt;&lt;/AuNomDe&gt;}{\rtlch\fcs1 \af0 \ltrch\fcs0 \insrsid15625260\charrsid14699840 &#13;&#10;\par &lt;&lt;&lt;}{\rtlch\fcs1 \af0 \ltrch\fcs0 \cs15\v\f1\fs20\cf9\lang1024\langfe1024\noproof\insrsid15625260\charrsid14699840 &lt;/RepeatBlock-By&gt;}{\rtlch\fcs1 \af0 \ltrch\fcs0 \insrsid15625260\charrsid14699840 &#13;&#10;\par }\pard\plain \ltrpar\s18\ql \li0\ri0\nowidctlpar\wrapdefault\aspalpha\aspnum\faauto\adjustright\rin0\lin0\itap0\pararsid5976803 \rtlch\fcs1 \af0\afs20\alang1025 \ltrch\fcs0 \b\fs24\lang2057\langfe2057\cgrid\langnp2057\langfenp2057 {\rtlch\fcs1 \af0 &#13;&#10;\ltrch\fcs0 \cs15\b0\v\f1\fs20\cf9\insrsid15625260\charrsid946740 &lt;DocAmend&gt;}{\rtlch\fcs1 \af0 \ltrch\fcs0 \insrsid15625260\charrsid946740 [ZRESOLUTION]}{\rtlch\fcs1 \af0 \ltrch\fcs0 \cs15\b0\v\f1\fs20\cf9\insrsid15625260\charrsid946740 &lt;/DocAmend&gt;}{&#13;&#10;\rtlch\fcs1 \af0 \ltrch\fcs0 \insrsid15625260\charrsid946740 &#13;&#10;\par }\pard \ltrpar\s18\ql \li0\ri0\nowidctlpar\wrapdefault\aspalpha\aspnum\faauto\adjustright\rin0\lin0\itap0\pararsid16013815 {\rtlch\fcs1 \af0 \ltrch\fcs0 \cs15\b0\v\f1\fs20\cf9\lang1024\langfe1024\noproof\insrsid15625260\charrsid16013815 &lt;Article&gt;}{&#13;&#10;\rtlch\fcs1 \af0 \ltrch\fcs0 \insrsid15625260\charrsid16013815 [ZRESPART]}{\rtlch\fcs1 \af0 \ltrch\fcs0 \cs15\b0\v\f1\fs20\cf9\lang1024\langfe1024\noproof\insrsid15625260\charrsid16013815 &lt;/Article&gt;}{\rtlch\fcs1 \af0 \ltrch\fcs0 &#13;&#10;\insrsid15625260\charrsid16013815 &#13;&#10;\par \ltrrow}\trowd \ltrrow\ts11\trqc\trgaph340\trleft-340\trftsWidth1\trftsWidthB3\trftsWidthA3\trpaddl340\trpaddr340\trpaddfl3\trpaddfr3\tblind0\tblindtype3 \clvertalt\clbrdrt\brdrtbl \clbrdrl\brdrtbl \clbrdrb\brdrtbl \clbrdrr\brdrtbl &#13;&#10;\cltxlrtb\clftsWidth3\clwWidth9752\clshdrawnil \cellx9412\pard\plain \ltrpar\ql \li0\ri0\keepn\widctlpar\intbl\wrapdefault\aspalpha\aspnum\faauto\adjustright\rin0\lin0\pararsid10630121 \rtlch\fcs1 \af0\afs20\alang1025 \ltrch\fcs0 &#13;&#10;\fs24\lang2057\langfe2057\cgrid\langnp2057\langfenp2057 {\rtlch\fcs1 \af0 \ltrch\fcs0 \insrsid15625260\charrsid946740 \cell }\pard \ltrpar\ql \li0\ri0\widctlpar\intbl\wrapdefault\aspalpha\aspnum\faauto\adjustright\rin0\lin0 {\rtlch\fcs1 \af0 \ltrch\fcs0 &#13;&#10;\insrsid15625260\charrsid946740 \trowd \ltrrow\ts11\trqc\trgaph340\trleft-340\trftsWidth1\trftsWidthB3\trftsWidthA3\trpaddl340\trpaddr340\trpaddfl3\trpaddfr3\tblind0\tblindtype3 \clvertalt\clbrdrt\brdrtbl \clbrdrl\brdrtbl \clbrdrb\brdrtbl \clbrdrr&#13;&#10;\brdrtbl \cltxlrtb\clftsWidth3\clwWidth9752\clshdrawnil \cellx9412\row \ltrrow}\trowd \ltrrow\ts11\trqc\trgaph340\trleft-340\trftsWidth1\trftsWidthB3\trftsWidthA3\trpaddl340\trpaddr340\trpaddfl3\trpaddfr3\tblind0\tblindtype3 \clvertalt\clbrdrt\brdrtbl &#13;&#10;\clbrdrl\brdrtbl \clbrdrb\brdrtbl \clbrdrr\brdrtbl \cltxlrtb\clftsWidth3\clwWidth4876\clshdrawnil \cellx4536\clvertalt\clbrdrt\brdrtbl \clbrdrl\brdrtbl \clbrdrb\brdrtbl \clbrdrr\brdrtbl \cltxlrtb\clftsWidth3\clwWidth4876\clshdrawnil \cellx9412&#13;&#10;\pard\plain \ltrpar\s23\qc \li0\ri0\sa240\keepn\nowidctlpar\intbl\wrapdefault\aspalpha\aspnum\faauto\adjustright\rin0\lin0\pararsid10630121 \rtlch\fcs1 \af0\afs20\alang1025 \ltrch\fcs0 \i\fs24\lang2057\langfe2057\cgrid\langnp2057\langfenp2057 {&#13;&#10;\rtlch\fcs1 \af0 \ltrch\fcs0 \insrsid15625260\charrsid946740 [ZLEFTA]\cell [ZRIGHT]\cell }\pard\plain \ltrpar\ql \li0\ri0\widctlpar\intbl\wrapdefault\aspalpha\aspnum\faauto\adjustright\rin0\lin0 \rtlch\fcs1 \af0\afs20\alang1025 \ltrch\fcs0 &#13;&#10;\fs24\lang2057\langfe2057\cgrid\langnp2057\langfenp2057 {\rtlch\fcs1 \af0 \ltrch\fcs0 \insrsid15625260\charrsid946740 \trowd \ltrrow&#13;&#10;\ts11\trqc\trgaph340\trleft-340\trftsWidth1\trftsWidthB3\trftsWidthA3\trpaddl340\trpaddr340\trpaddfl3\trpaddfr3\tblind0\tblindtype3 \clvertalt\clbrdrt\brdrtbl \clbrdrl\brdrtbl \clbrdrb\brdrtbl \clbrdrr\brdrtbl &#13;&#10;\cltxlrtb\clftsWidth3\clwWidth4876\clshdrawnil \cellx4536\clvertalt\clbrdrt\brdrtbl \clbrdrl\brdrtbl \clbrdrb\brdrtbl \clbrdrr\brdrtbl \cltxlrtb\clftsWidth3\clwWidth4876\clshdrawnil \cellx9412\row \ltrrow}\pard\plain \ltrpar&#13;&#10;\s16\ql \li0\ri0\sa120\nowidctlpar\intbl\wrapdefault\aspalpha\aspnum\faauto\adjustright\rin0\lin0\pararsid12024389 \rtlch\fcs1 \af0\afs20\alang1025 \ltrch\fcs0 \fs24\lang2057\langfe2057\cgrid\langnp2057\langfenp2057 {\rtlch\fcs1 \af0 \ltrch\fcs0 &#13;&#10;\insrsid15625260\charrsid946740 [ZTEXTL]\cell [ZTEXTR]}{\rtlch\fcs1 \af0\afs24 \ltrch\fcs0 \insrsid15625260\charrsid946740 \cell }\pard\plain \ltrpar\ql \li0\ri0\widctlpar\intbl\wrapdefault\aspalpha\aspnum\faauto\adjustright\rin0\lin0 \rtlch\fcs1 &#13;&#10;\af0\afs20\alang1025 \ltrch\fcs0 \fs24\lang2057\langfe2057\cgrid\langnp2057\langfenp2057 {\rtlch\fcs1 \af0 \ltrch\fcs0 \insrsid15625260\charrsid946740 \trowd \lastrow \ltrrow&#13;&#10;\ts11\trqc\trgaph340\trleft-340\trftsWidth1\trftsWidthB3\trftsWidthA3\trpaddl340\trpaddr340\trpaddfl3\trpaddfr3\tblind0\tblindtype3 \clvertalt\clbrdrt\brdrtbl \clbrdrl\brdrtbl \clbrdrb\brdrtbl \clbrdrr\brdrtbl &#13;&#10;\cltxlrtb\clftsWidth3\clwWidth4876\clshdrawnil \cellx4536\clvertalt\clbrdrt\brdrtbl \clbrdrl\brdrtbl \clbrdrb\brdrtbl \clbrdrr\brdrtbl \cltxlrtb\clftsWidth3\clwWidth4876\clshdrawnil \cellx9412\row }\pard\plain \ltrpar&#13;&#10;\s22\qr \li0\ri0\sb240\sa240\nowidctlpar\wrapdefault\aspalpha\aspnum\faauto\adjustright\rin0\lin0\itap0\pararsid10118616 \rtlch\fcs1 \af0\afs20\alang1025 \ltrch\fcs0 \fs24\lang1024\langfe1024\cgrid\noproof\langnp2057\langfenp2057 {\rtlch\fcs1 \af0 &#13;&#10;\ltrch\fcs0 \noproof0\insrsid15625260\charrsid946740 Or. }{\rtlch\fcs1 \af0 \ltrch\fcs0 \cs15\v\f1\fs20\cf9\noproof0\insrsid15625260\charrsid946740 &lt;Original&gt;}{\rtlch\fcs1 \af0 \ltrch\fcs0 \noproof0\insrsid15625260\charrsid946740 [ZORLANG]}{\rtlch\fcs1 &#13;&#10;\af0 \ltrch\fcs0 \cs15\v\f1\fs20\cf9\noproof0\insrsid15625260\charrsid946740 &lt;/Original&gt;}{\rtlch\fcs1 \af0 \ltrch\fcs0 \noproof0\insrsid15625260\charrsid946740 &#13;&#10;\par }\pard\plain \ltrpar\s21\qc \li0\ri0\sb240\sa240\keepn\nowidctlpar\wrapdefault\aspalpha\aspnum\faauto\adjustright\rin0\lin0\itap0\pararsid16390444 \rtlch\fcs1 \af0\afs20\alang1025 \ltrch\fcs0 &#13;&#10;\i\fs24\lang1024\langfe1024\cgrid\noproof\langnp2057\langfenp2057 {\rtlch\fcs1 \af0 \ltrch\fcs0 \cs15\i0\v\f1\fs20\cf9\noproof0\insrsid15625260\charrsid946740 &lt;TitreJust&gt;}{\rtlch\fcs1 \af0 \ltrch\fcs0 \noproof0\insrsid15625260\charrsid946740 &#13;&#10;[ZJUSTIFICATION]}{\rtlch\fcs1 \af0 \ltrch\fcs0 \cs15\i0\v\f1\fs20\cf9\noproof0\insrsid15625260\charrsid946740 &lt;/TitreJust&gt;}{\rtlch\fcs1 \af0 \ltrch\fcs0 \noproof0\insrsid15625260\charrsid946740 &#13;&#10;\par }\pard\plain \ltrpar\s20\ql \li0\ri0\sa240\nowidctlpar\wrapdefault\aspalpha\aspnum\faauto\adjustright\rin0\lin0\itap0\pararsid16390444 \rtlch\fcs1 \af0\afs20\alang1025 \ltrch\fcs0 \i\fs24\lang1024\langfe1024\cgrid\noproof\langnp2057\langfenp2057 {&#13;&#10;\rtlch\fcs1 \af0 \ltrch\fcs0 \cs15\i0\v\f1\fs20\cf9\noproof0\insrsid15625260\charrsid946740 &lt;OptDelPrev&gt;}{\rtlch\fcs1 \af0 \ltrch\fcs0 \noproof0\insrsid15625260\charrsid946740 [ZTEXTJUST]}{\rtlch\fcs1 \af0 \ltrch\fcs0 &#13;&#10;\cs15\i0\v\f1\fs20\cf9\noproof0\insrsid15625260\charrsid946740 &lt;/OptDelPrev&gt;}{\rtlch\fcs1 \af0 \ltrch\fcs0 \noproof0\insrsid15625260\charrsid946740 &#13;&#10;\par }\pard\plain \ltrpar\ql \li0\ri0\widctlpar\wrapdefault\aspalpha\aspnum\faauto\adjustright\rin0\lin0\itap0\pararsid16324206 \rtlch\fcs1 \af0\afs20\alang1025 \ltrch\fcs0 \fs24\lang2057\langfe2057\cgrid\langnp2057\langfenp2057 {\rtlch\fcs1 \af0 \ltrch\fcs0 &#13;&#10;\cs15\v\f1\fs20\cf9\insrsid15625260\charrsid946740 &lt;/AmendA&gt;}{\rtlch\fcs1 \af0 \ltrch\fcs0 \insrsid24658\charrsid16324206 {\*\bkmkend restartA}&#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a09a&#13;&#10;bf21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2490866 HideTWBExt;}{\s16\ql \li0\ri0\sa120\nowidctlpar\wrapdefault\aspalpha\aspnum\faauto\adjustright\rin0\lin0\itap0 \rtlch\fcs1 \af0\afs20\alang1025 \ltrch\fcs0 &#13;&#10;\fs24\lang2057\langfe2057\cgrid\langnp2057\langfenp2057 \sbasedon0 \snext16 \slink17 \spriority0 \styrsid2490866 Normal6;}{\*\cs17 \additive \fs24\lang2057\langfe2057\langnp2057\langfenp2057 \slink16 \slocked \spriority0 \styrsid2490866 Normal6 Char;}{&#13;&#10;\s18\ql \li0\ri0\nowidctlpar\wrapdefault\aspalpha\aspnum\faauto\adjustright\rin0\lin0\itap0 \rtlch\fcs1 \af0\afs20\alang1025 \ltrch\fcs0 \b\fs24\lang2057\langfe2057\cgrid\langnp2057\langfenp2057 \sbasedon0 \snext18 \slink19 \spriority0 \styrsid2490866 &#13;&#10;NormalBold;}{\*\cs19 \additive \b\fs24\lang2057\langfe2057\langnp2057\langfenp2057 \slink18 \slocked \spriority0 \styrsid2490866 NormalBold Char;}{\s20\ql \li0\ri0\sa240\nowidctlpar\wrapdefault\aspalpha\aspnum\faauto\adjustright\rin0\lin0\itap0 &#13;&#10;\rtlch\fcs1 \af0\afs20\alang1025 \ltrch\fcs0 \i\fs24\lang1024\langfe1024\cgrid\noproof\langnp2057\langfenp2057 \sbasedon0 \snext20 \spriority0 \styrsid2490866 Normal12Italic;}{&#13;&#10;\s21\qc \li0\ri0\sb240\nowidctlpar\wrapdefault\aspalpha\aspnum\faauto\adjustright\rin0\lin0\itap0 \rtlch\fcs1 \af0\afs20\alang1025 \ltrch\fcs0 \i\fs24\lang2057\langfe2057\cgrid\langnp2057\langfenp2057 \sbasedon0 \snext21 \spriority0 \styrsid2490866 &#13;&#10;CrossRef;}{\s22\qc \li0\ri0\sb240\sa240\keepn\nowidctlpar\wrapdefault\aspalpha\aspnum\faauto\adjustright\rin0\lin0\itap0 \rtlch\fcs1 \af0\afs20\alang1025 \ltrch\fcs0 \i\fs24\lang1024\langfe1024\cgrid\noproof\langnp2057\langfenp2057 &#13;&#10;\sbasedon0 \snext0 \spriority0 \styrsid2490866 JustificationTitle;}{\s23\qr \li0\ri0\sb240\sa240\nowidctlpar\wrapdefault\aspalpha\aspnum\faauto\adjustright\rin0\lin0\itap0 \rtlch\fcs1 \af0\afs20\alang1025 \ltrch\fcs0 &#13;&#10;\fs24\lang1024\langfe1024\cgrid\noproof\langnp2057\langfenp2057 \sbasedon0 \snext23 \spriority0 \styrsid2490866 Olang;}{\s24\qc \li0\ri0\sa240\nowidctlpar\wrapdefault\aspalpha\aspnum\faauto\adjustright\rin0\lin0\itap0 \rtlch\fcs1 \af0\afs20\alang1025 &#13;&#10;\ltrch\fcs0 \i\fs24\lang2057\langfe2057\cgrid\langnp2057\langfenp2057 \sbasedon0 \snext24 \spriority0 \styrsid2490866 ColumnHeading;}{\s25\ql \li0\ri0\sb240\nowidctlpar&#13;&#10;\tx879\tx936\tx1021\tx1077\tx1134\tx1191\tx1247\tx1304\tx1361\tx1418\tx1474\tx1531\tx1588\tx1644\tx1701\tx1758\tx1814\tx1871\tx2070\tx2126\tx3374\tx3430\wrapdefault\aspalpha\aspnum\faauto\adjustright\rin0\lin0\itap0 \rtlch\fcs1 \af0\afs20\alang1025 &#13;&#10;\ltrch\fcs0 \b\fs24\lang2057\langfe2057\cgrid\langnp2057\langfenp2057 \sbasedon0 \snext25 \spriority0 \styrsid2490866 AMNumberTabs;}}{\*\rsidtbl \rsid24658\rsid735077\rsid2490866\rsid2892074\rsid4666813\rsid6641733\rsid7298627\rsid9636012\rsid11215221&#13;&#10;\rsid12154954\rsid14424199\rsid15204470\rsid15285974\rsid15950462\rsid16324206\rsid16662270}{\mmathPr\mmathFont34\mbrkBin0\mbrkBinSub0\msmallFrac0\mdispDef1\mlMargin0\mrMargin0\mdefJc1\mwrapIndent1440\mintLim0\mnaryLim1}{\info{\author FELIX Karina}&#13;&#10;{\operator FELIX Karina}{\creatim\yr2015\mo5\dy8\hr15\min23}{\revtim\yr2015\mo5\dy8\hr15\min23}{\version1}{\edmins0}{\nofpages1}{\nofwords80}{\nofchars445}{\*\company European Parliament}{\nofcharsws524}{\vern49165}}{\*\xmlnstbl {\xmlns1 http://schemas.mi&#13;&#10;crosoft.com/office/word/20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2490866\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7298627 \chftnsep &#13;&#10;\par }}{\*\ftnsepc \ltrpar \pard\plain \ltrpar\ql \li0\ri0\widctlpar\wrapdefault\aspalpha\aspnum\faauto\adjustright\rin0\lin0\itap0 \rtlch\fcs1 \af0\afs20\alang1025 \ltrch\fcs0 \fs24\lang2057\langfe2057\cgrid\langnp2057\langfenp2057 {\rtlch\fcs1 \af0 &#13;&#10;\ltrch\fcs0 \insrsid7298627 \chftnsepc &#13;&#10;\par }}{\*\aftnsep \ltrpar \pard\plain \ltrpar\ql \li0\ri0\widctlpar\wrapdefault\aspalpha\aspnum\faauto\adjustright\rin0\lin0\itap0 \rtlch\fcs1 \af0\afs20\alang1025 \ltrch\fcs0 \fs24\lang2057\langfe2057\cgrid\langnp2057\langfenp2057 {\rtlch\fcs1 \af0 &#13;&#10;\ltrch\fcs0 \insrsid7298627 \chftnsep &#13;&#10;\par }}{\*\aftnsepc \ltrpar \pard\plain \ltrpar\ql \li0\ri0\widctlpar\wrapdefault\aspalpha\aspnum\faauto\adjustright\rin0\lin0\itap0 \rtlch\fcs1 \af0\afs20\alang1025 \ltrch\fcs0 \fs24\lang2057\langfe2057\cgrid\langnp2057\langfenp2057 {\rtlch\fcs1 \af0 &#13;&#10;\ltrch\fcs0 \insrsid7298627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s25\ql \li0\ri0\sb240\keepn\nowidctlpar\tx879\tx936\tx1021\tx1077\tx1134\tx1191\tx1247\tx1304\tx1361\tx1418\tx1474\tx1531\tx1588\tx1644\tx1701\tx1758\tx1814\tx1871\tx2070\tx2126\tx3374\tx3430\wrapdefault\aspalpha\aspnum\faauto\adjustright\rin0&#13;&#10;\lin0\itap0\pararsid3744759 \rtlch\fcs1 \af0\afs20\alang1025 \ltrch\fcs0 \b\fs24\lang2057\langfe2057\cgrid\langnp2057\langfenp2057 {\rtlch\fcs1 \af0 \ltrch\fcs0 \cs15\b0\v\f1\fs20\cf9\insrsid2490866\charrsid946740 {\*\bkmkstart restartB}&lt;AmendB&gt;}{&#13;&#10;\rtlch\fcs1 \af0 \ltrch\fcs0 \insrsid2490866\charrsid946740 [ZAMENDMENT]\tab \tab }{\rtlch\fcs1 \af0 \ltrch\fcs0 \cs15\b0\v\f1\fs20\cf9\insrsid2490866\charrsid946740 &lt;NumAmB&gt;}{\rtlch\fcs1 \af0 \ltrch\fcs0 \insrsid2490866\charrsid946740 [ZNRAM]}{&#13;&#10;\rtlch\fcs1 \af0 \ltrch\fcs0 \cs15\b0\v\f1\fs20\cf9\insrsid2490866\charrsid946740 &lt;/NumAmB&gt;}{\rtlch\fcs1 \af0 \ltrch\fcs0 \insrsid2490866\charrsid946740 &#13;&#10;\par }\pard\plain \ltrpar\s18\ql \li0\ri0\nowidctlpar\wrapdefault\aspalpha\aspnum\faauto\adjustright\rin0\lin0\itap0\pararsid5976803 \rtlch\fcs1 \af0\afs20\alang1025 \ltrch\fcs0 \b\fs24\lang2057\langfe2057\cgrid\langnp2057\langfenp2057 {\rtlch\fcs1 \af0 &#13;&#10;\ltrch\fcs0 \cs15\b0\v\f1\fs20\cf9\lang1024\langfe1024\noproof\insrsid2490866\charrsid14699840 &lt;RepeatBlock-By&gt;}{\rtlch\fcs1 \af0 \ltrch\fcs0 \lang1024\langfe1024\noproof\insrsid2490866\charrsid14699840 [RepeatMembers]}{\rtlch\fcs1 \af0 \ltrch\fcs0 &#13;&#10;\cs15\b0\v\f1\fs20\cf9\lang1024\langfe1024\noproof\insrsid2490866\charrsid14699840 &lt;Members&gt;}{\rtlch\fcs1 \af0 \ltrch\fcs0 \insrsid2490866\charrsid14699840 [ZMEMBERS]}{\rtlch\fcs1 \af0 \ltrch\fcs0 &#13;&#10;\cs15\b0\v\f1\fs20\cf9\lang1024\langfe1024\noproof\insrsid2490866\charrsid14699840 &lt;/Members&gt;}{\rtlch\fcs1 \af0 \ltrch\fcs0 \insrsid2490866\charrsid14699840 &#13;&#10;\par }\pard\plain \ltrpar\ql \li0\ri0\widctlpar\wrapdefault\aspalpha\aspnum\faauto\adjustright\rin0\lin0\itap0\pararsid5976803 \rtlch\fcs1 \af0\afs20\alang1025 \ltrch\fcs0 \fs24\lang2057\langfe2057\cgrid\langnp2057\langfenp2057 {\rtlch\fcs1 \af0 \ltrch\fcs0 &#13;&#10;\cs15\v\f1\fs20\cf9\lang1024\langfe1024\noproof\insrsid2490866\charrsid14699840 &lt;AuNomDe&gt;&lt;OptDel&gt;}{\rtlch\fcs1 \af0 \ltrch\fcs0 \lang1024\langfe1024\noproof\insrsid2490866\charrsid14699840 [ZONBEHALF]}{\rtlch\fcs1 \af0 \ltrch\fcs0 &#13;&#10;\cs15\v\f1\fs20\cf9\lang1024\langfe1024\noproof\insrsid2490866\charrsid14699840 &lt;/OptDel&gt;&lt;/AuNomDe&gt;}{\rtlch\fcs1 \af0 \ltrch\fcs0 \insrsid2490866\charrsid14699840 &#13;&#10;\par &lt;&lt;&lt;}{\rtlch\fcs1 \af0 \ltrch\fcs0 \cs15\v\f1\fs20\cf9\lang1024\langfe1024\noproof\insrsid2490866\charrsid14699840 &lt;/RepeatBlock-By&gt;}{\rtlch\fcs1 \af0 \ltrch\fcs0 \insrsid2490866\charrsid14699840 &#13;&#10;\par }\pard\plain \ltrpar\s18\ql \li0\ri0\nowidctlpar\wrapdefault\aspalpha\aspnum\faauto\adjustright\rin0\lin0\itap0\pararsid5976803 \rtlch\fcs1 \af0\afs20\alang1025 \ltrch\fcs0 \b\fs24\lang2057\langfe2057\cgrid\langnp2057\langfenp2057 {\rtlch\fcs1 \af0 &#13;&#10;\ltrch\fcs0 \cs15\b0\v\f1\fs20\cf9\insrsid2490866\charrsid946740 &lt;DocAmend&gt;}{\rtlch\fcs1 \af0 \ltrch\fcs0 \insrsid2490866\charrsid946740 [Z}{\rtlch\fcs1 \af0 \ltrch\fcs0 \insrsid2490866 AMDOC}{\rtlch\fcs1 \af0 \ltrch\fcs0 \insrsid2490866\charrsid946740 ]}&#13;&#10;{\rtlch\fcs1 \af0 \ltrch\fcs0 \cs15\b0\v\f1\fs20\cf9\insrsid2490866\charrsid946740 &lt;/DocAmend&gt;}{\rtlch\fcs1 \af0 \ltrch\fcs0 \insrsid2490866\charrsid946740 &#13;&#10;\par }\pard \ltrpar\s18\ql \li0\ri0\keepn\nowidctlpar\wrapdefault\aspalpha\aspnum\faauto\adjustright\rin0\lin0\itap0\pararsid10630121 {\rtlch\fcs1 \af0 \ltrch\fcs0 \cs15\b0\v\f1\fs20\cf9\insrsid2490866\charrsid946740 &lt;Article&gt;}{\rtlch\fcs1 \af0 \ltrch\fcs0 &#13;&#10;\insrsid2490866\charrsid946740 [ZAMPART]}{\rtlch\fcs1 \af0 \ltrch\fcs0 \cs15\b0\v\f1\fs20\cf9\insrsid2490866\charrsid946740 &lt;/Article&gt;}{\rtlch\fcs1 \af0 \ltrch\fcs0 \insrsid2490866\charrsid946740 &#13;&#10;\par }\pard\plain \ltrpar\ql \li0\ri0\keepn\widctlpar\wrapdefault\aspalpha\aspnum\faauto\adjustright\rin0\lin0\itap0\pararsid3744759 \rtlch\fcs1 \af0\afs20\alang1025 \ltrch\fcs0 \fs24\lang2057\langfe2057\cgrid\langnp2057\langfenp2057 {\rtlch\fcs1 \af0 &#13;&#10;\ltrch\fcs0 \cs15\v\f1\fs20\cf9\insrsid2490866\charrsid946740 &lt;DocAmend2&gt;&lt;OptDel&gt;}{\rtlch\fcs1 \af0 \ltrch\fcs0 \insrsid2490866\charrsid946740 [ZNRACT]}{\rtlch\fcs1 \af0 \ltrch\fcs0 \cs15\v\f1\fs20\cf9\insrsid2490866\charrsid946740 &lt;/OptDel&gt;&lt;/DocAmend2&gt;}{&#13;&#10;\rtlch\fcs1 \af0 \ltrch\fcs0 \insrsid2490866\charrsid946740 &#13;&#10;\par }\pard \ltrpar\ql \li0\ri0\widctlpar\wrapdefault\aspalpha\aspnum\faauto\adjustright\rin0\lin0\itap0\pararsid10158853 {\rtlch\fcs1 \af0 \ltrch\fcs0 \cs15\v\f1\fs20\cf9\insrsid2490866\charrsid946740 &lt;Article2&gt;&lt;OptDel&gt;}{\rtlch\fcs1 \af0 \ltrch\fcs0 &#13;&#10;\insrsid2490866\charrsid946740 [ZACTPART]}{\rtlch\fcs1 \af0 \ltrch\fcs0 \cs15\v\f1\fs20\cf9\insrsid2490866\charrsid946740 &lt;/OptDel&gt;&lt;/Article2&gt;}{\rtlch\fcs1 \af0 \ltrch\fcs0 \insrsid2490866\charrsid946740 &#13;&#10;\par \ltrrow}\trowd \ltrrow\ts11\trqc\trgaph340\trleft-340\trftsWidth3\trwWidth9752\trftsWidthB3\trftsWidthA3\trpaddl340\trpaddr340\trpaddfl3\trpaddfr3\tblind0\tblindtype3 \clvertalt\clbrdrt\brdrtbl \clbrdrl\brdrtbl \clbrdrb\brdrtbl \clbrdrr\brdrtbl &#13;&#10;\cltxlrtb\clftsWidth3\clwWidth9752\clshdrawnil \cellx9412\pard \ltrpar\ql \li0\ri0\keepn\widctlpar\intbl\wrapdefault\aspalpha\aspnum\faauto\adjustright\rin0\lin0\pararsid10630121 {\rtlch\fcs1 \af0 \ltrch\fcs0 \insrsid2490866\charrsid946740 \cell &#13;&#10;}\pard \ltrpar\ql \li0\ri0\widctlpar\intbl\wrapdefault\aspalpha\aspnum\faauto\adjustright\rin0\lin0 {\rtlch\fcs1 \af0 \ltrch\fcs0 \insrsid2490866\charrsid946740 \trowd \ltrrow&#13;&#10;\ts11\trqc\trgaph340\trleft-340\trftsWidth3\trwWidth9752\trftsWidthB3\trftsWidthA3\trpaddl340\trpaddr340\trpaddfl3\trpaddfr3\tblind0\tblindtype3 \clvertalt\clbrdrt\brdrtbl \clbrdrl\brdrtbl \clbrdrb\brdrtbl \clbrdrr\brdrtbl &#13;&#10;\cltxlrtb\clftsWidth3\clwWidth9752\clshdrawnil \cellx9412\row \ltrrow}\trowd \ltrrow\ts11\trqc\trgaph340\trleft-340\trftsWidth3\trwWidth9752\trftsWidthB3\trftsWidthA3\trpaddl340\trpaddr340\trpaddfl3\trpaddfr3\tblind0\tblindtype3 \clvertalt\clbrdrt&#13;&#10;\brdrtbl \clbrdrl\brdrtbl \clbrdrb\brdrtbl \clbrdrr\brdrtbl \cltxlrtb\clftsWidth3\clwWidth4876\clshdrawnil \cellx4536\clvertalt\clbrdrt\brdrtbl \clbrdrl\brdrtbl \clbrdrb\brdrtbl \clbrdrr\brdrtbl \cltxlrtb\clftsWidth3\clwWidth4876\clshdrawnil \cellx9412&#13;&#10;\pard\plain \ltrpar\s24\qc \li0\ri0\sa240\keepn\nowidctlpar\intbl\wrapdefault\aspalpha\aspnum\faauto\adjustright\rin0\lin0\pararsid10630121 \rtlch\fcs1 \af0\afs20\alang1025 \ltrch\fcs0 \i\fs24\lang2057\langfe2057\cgrid\langnp2057\langfenp2057 {&#13;&#10;\rtlch\fcs1 \af0 \ltrch\fcs0 \insrsid2490866\charrsid946740 [ZLEFTB]\cell [ZRIGHT]\cell }\pard\plain \ltrpar\ql \li0\ri0\widctlpar\intbl\wrapdefault\aspalpha\aspnum\faauto\adjustright\rin0\lin0 \rtlch\fcs1 \af0\afs20\alang1025 \ltrch\fcs0 &#13;&#10;\fs24\lang2057\langfe2057\cgrid\langnp2057\langfenp2057 {\rtlch\fcs1 \af0 \ltrch\fcs0 \insrsid2490866\charrsid946740 \trowd \ltrrow&#13;&#10;\ts11\trqc\trgaph340\trleft-340\trftsWidth3\trwWidth9752\trftsWidthB3\trftsWidthA3\trpaddl340\trpaddr340\trpaddfl3\trpaddfr3\tblind0\tblindtype3 \clvertalt\clbrdrt\brdrtbl \clbrdrl\brdrtbl \clbrdrb\brdrtbl \clbrdrr\brdrtbl &#13;&#10;\cltxlrtb\clftsWidth3\clwWidth4876\clshdrawnil \cellx4536\clvertalt\clbrdrt\brdrtbl \clbrdrl\brdrtbl \clbrdrb\brdrtbl \clbrdrr\brdrtbl \cltxlrtb\clftsWidth3\clwWidth4876\clshdrawnil \cellx9412\row \ltrrow}\pard\plain \ltrpar&#13;&#10;\s16\ql \li0\ri0\sa120\nowidctlpar\intbl\wrapdefault\aspalpha\aspnum\faauto\adjustright\rin0\lin0\pararsid12024389 \rtlch\fcs1 \af0\afs20\alang1025 \ltrch\fcs0 \fs24\lang2057\langfe2057\cgrid\langnp2057\langfenp2057 {\rtlch\fcs1 \af0 \ltrch\fcs0 &#13;&#10;\insrsid2490866\charrsid946740 [ZTEXTL]\cell [ZTEXTR]}{\rtlch\fcs1 \af0\afs24 \ltrch\fcs0 \insrsid2490866\charrsid946740 \cell }\pard\plain \ltrpar\ql \li0\ri0\widctlpar\intbl\wrapdefault\aspalpha\aspnum\faauto\adjustright\rin0\lin0 \rtlch\fcs1 &#13;&#10;\af0\afs20\alang1025 \ltrch\fcs0 \fs24\lang2057\langfe2057\cgrid\langnp2057\langfenp2057 {\rtlch\fcs1 \af0 \ltrch\fcs0 \insrsid2490866\charrsid946740 \trowd \lastrow \ltrrow&#13;&#10;\ts11\trqc\trgaph340\trleft-340\trftsWidth3\trwWidth9752\trftsWidthB3\trftsWidthA3\trpaddl340\trpaddr340\trpaddfl3\trpaddfr3\tblind0\tblindtype3 \clvertalt\clbrdrt\brdrtbl \clbrdrl\brdrtbl \clbrdrb\brdrtbl \clbrdrr\brdrtbl &#13;&#10;\cltxlrtb\clftsWidth3\clwWidth4876\clshdrawnil \cellx4536\clvertalt\clbrdrt\brdrtbl \clbrdrl\brdrtbl \clbrdrb\brdrtbl \clbrdrr\brdrtbl \cltxlrtb\clftsWidth3\clwWidth4876\clshdrawnil \cellx9412\row }\pard\plain \ltrpar&#13;&#10;\s23\qr \li0\ri0\sb240\sa240\nowidctlpar\wrapdefault\aspalpha\aspnum\faauto\adjustright\rin0\lin0\itap0\pararsid16390444 \rtlch\fcs1 \af0\afs20\alang1025 \ltrch\fcs0 \fs24\lang1024\langfe1024\cgrid\noproof\langnp2057\langfenp2057 {\rtlch\fcs1 \af0 &#13;&#10;\ltrch\fcs0 \noproof0\insrsid2490866\charrsid946740 Or. }{\rtlch\fcs1 \af0 \ltrch\fcs0 \cs15\v\f1\fs20\cf9\noproof0\insrsid2490866\charrsid946740 &lt;Original&gt;}{\rtlch\fcs1 \af0 \ltrch\fcs0 \noproof0\insrsid2490866\charrsid946740 [ZORLANG]}{\rtlch\fcs1 \af0 &#13;&#10;\ltrch\fcs0 \cs15\v\f1\fs20\cf9\noproof0\insrsid2490866\charrsid946740 &lt;/Original&gt;}{\rtlch\fcs1 \af0 \ltrch\fcs0 \noproof0\insrsid2490866\charrsid946740 &#13;&#10;\par }\pard\plain \ltrpar\s21\qc \li0\ri0\sb240\nowidctlpar\wrapdefault\aspalpha\aspnum\faauto\adjustright\rin0\lin0\itap0\pararsid10630121 \rtlch\fcs1 \af0\afs20\alang1025 \ltrch\fcs0 \i\fs24\lang2057\langfe2057\cgrid\langnp2057\langfenp2057 {\rtlch\fcs1 &#13;&#10;\af0 \ltrch\fcs0 \cs15\i0\v\f1\fs20\cf9\insrsid2490866\charrsid946740 &lt;OptDel&gt;}{\rtlch\fcs1 \af0 \ltrch\fcs0 \insrsid2490866\charrsid946740 [ZCROSSREF]}{\rtlch\fcs1 \af0 \ltrch\fcs0 \cs15\i0\v\f1\fs20\cf9\insrsid2490866\charrsid946740 &lt;/OptDel&gt;}{&#13;&#10;\rtlch\fcs1 \af0 \ltrch\fcs0 \insrsid2490866\charrsid946740 &#13;&#10;\par }\pard\plain \ltrpar\s22\qc \li0\ri0\sb240\sa240\keepn\nowidctlpar\wrapdefault\aspalpha\aspnum\faauto\adjustright\rin0\lin0\itap0\pararsid3744759 \rtlch\fcs1 \af0\afs20\alang1025 \ltrch\fcs0 &#13;&#10;\i\fs24\lang1024\langfe1024\cgrid\noproof\langnp2057\langfenp2057 {\rtlch\fcs1 \af0 \ltrch\fcs0 \cs15\i0\v\f1\fs20\cf9\noproof0\insrsid2490866\charrsid946740 &lt;TitreJust&gt;}{\rtlch\fcs1 \af0 \ltrch\fcs0 \noproof0\insrsid2490866\charrsid946740 &#13;&#10;[ZJUSTIFICATION]}{\rtlch\fcs1 \af0 \ltrch\fcs0 \cs15\i0\v\f1\fs20\cf9\noproof0\insrsid2490866\charrsid946740 &lt;/TitreJust&gt;}{\rtlch\fcs1 \af0 \ltrch\fcs0 \noproof0\insrsid2490866\charrsid946740 &#13;&#10;\par }\pard\plain \ltrpar\s20\ql \li0\ri0\sa240\nowidctlpar\wrapdefault\aspalpha\aspnum\faauto\adjustright\rin0\lin0\itap0\pararsid16390444 \rtlch\fcs1 \af0\afs20\alang1025 \ltrch\fcs0 \i\fs24\lang1024\langfe1024\cgrid\noproof\langnp2057\langfenp2057 {&#13;&#10;\rtlch\fcs1 \af0 \ltrch\fcs0 \cs15\i0\v\f1\fs20\cf9\noproof0\insrsid2490866\charrsid946740 &lt;OptDelPrev&gt;}{\rtlch\fcs1 \af0 \ltrch\fcs0 \noproof0\insrsid2490866\charrsid946740 [ZTEXTJUST]}{\rtlch\fcs1 \af0 \ltrch\fcs0 &#13;&#10;\cs15\i0\v\f1\fs20\cf9\noproof0\insrsid2490866\charrsid946740 &lt;/OptDelPrev&gt;}{\rtlch\fcs1 \af0 \ltrch\fcs0 \noproof0\insrsid2490866\charrsid946740 &#13;&#10;\par }\pard\plain \ltrpar\ql \li0\ri0\widctlpar\wrapdefault\aspalpha\aspnum\faauto\adjustright\rin0\lin0\itap0\pararsid16324206 \rtlch\fcs1 \af0\afs20\alang1025 \ltrch\fcs0 \fs24\lang2057\langfe2057\cgrid\langnp2057\langfenp2057 {\rtlch\fcs1 \af0 \ltrch\fcs0 &#13;&#10;\cs15\v\f1\fs20\cf9\insrsid2490866\charrsid946740 &lt;/AmendB&gt;}{\rtlch\fcs1 \af0 \ltrch\fcs0 \insrsid24658\charrsid16324206 {\*\bkmkend restartB}&#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c03f&#13;&#10;6d22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sz w:val="24"/>
      <w:szCs w:val="24"/>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sz w:val="24"/>
      <w:szCs w:val="24"/>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sz w:val="24"/>
      <w:szCs w:val="24"/>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next w:val="DefaultParagraphFont"/>
    <w:uiPriority w:val="1"/>
    <w:semiHidden/>
    <w:unhideWhenUsed/>
  </w:style>
  <w:style w:type="paragraph" w:customStyle="1" w:styleId="EPLogo">
    <w:name w:val="EPLogo"/>
    <w:basedOn w:val="Normal"/>
    <w:qFormat/>
    <w:rsid w:val="00D7732B"/>
    <w:pPr>
      <w:widowControl w:val="0"/>
      <w:jc w:val="right"/>
    </w:pPr>
    <w:rPr>
      <w:sz w:val="24"/>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6"/>
        <w:tab w:val="right" w:pos="9072"/>
      </w:tabs>
      <w:spacing w:before="0" w:after="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rsid w:val="00A801F5"/>
    <w:pPr>
      <w:tabs>
        <w:tab w:val="center" w:pos="4535"/>
        <w:tab w:val="right" w:pos="9923"/>
      </w:tabs>
      <w:spacing w:after="240"/>
      <w:ind w:left="-851"/>
    </w:pPr>
    <w:rPr>
      <w:rFonts w:ascii="Arial" w:eastAsia="Arial" w:hAnsi="Arial" w:cs="Arial"/>
      <w:b/>
      <w:color w:val="000000"/>
      <w:sz w:val="48"/>
      <w:szCs w:val="24"/>
    </w:rPr>
  </w:style>
  <w:style w:type="paragraph" w:customStyle="1" w:styleId="Footer2Landscape">
    <w:name w:val="Footer2Landscape"/>
    <w:qFormat/>
    <w:rsid w:val="00126EF9"/>
    <w:pPr>
      <w:tabs>
        <w:tab w:val="center" w:pos="4535"/>
        <w:tab w:val="center" w:pos="6804"/>
        <w:tab w:val="clear" w:pos="9923"/>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lear" w:pos="4536"/>
        <w:tab w:val="center" w:pos="6804"/>
        <w:tab w:val="clear" w:pos="9072"/>
        <w:tab w:val="center" w:pos="13608"/>
      </w:tabs>
      <w:spacing w:before="0" w:after="0"/>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szCs w:val="24"/>
    </w:rPr>
  </w:style>
  <w:style w:type="paragraph" w:customStyle="1" w:styleId="LineTop">
    <w:name w:val="LineTop"/>
    <w:basedOn w:val="Normal"/>
    <w:pPr>
      <w:pBdr>
        <w:top w:val="single" w:sz="4" w:space="0" w:color="auto"/>
      </w:pBdr>
      <w:jc w:val="center"/>
    </w:pPr>
    <w:rPr>
      <w:rFonts w:ascii="Arial" w:eastAsia="Arial" w:hAnsi="Arial" w:cs="Arial"/>
      <w:color w:val="000000"/>
      <w:sz w:val="16"/>
      <w:szCs w:val="24"/>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sz w:val="24"/>
      <w:szCs w:val="24"/>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sz w:val="24"/>
      <w:szCs w:val="24"/>
    </w:rPr>
  </w:style>
  <w:style w:type="paragraph" w:customStyle="1" w:styleId="Normal24">
    <w:name w:val="Normal24"/>
    <w:basedOn w:val="Normal"/>
    <w:pPr>
      <w:spacing w:after="480"/>
    </w:pPr>
    <w:rPr>
      <w:color w:val="000000"/>
      <w:sz w:val="24"/>
      <w:szCs w:val="24"/>
    </w:rPr>
  </w:style>
  <w:style w:type="paragraph" w:customStyle="1" w:styleId="Normal6">
    <w:name w:val="Normal6"/>
    <w:basedOn w:val="Normal"/>
    <w:pPr>
      <w:spacing w:after="120"/>
    </w:pPr>
    <w:rPr>
      <w:color w:val="000000"/>
      <w:sz w:val="24"/>
      <w:szCs w:val="24"/>
    </w:rPr>
  </w:style>
  <w:style w:type="paragraph" w:customStyle="1" w:styleId="Normal6Italic">
    <w:name w:val="Normal6Italic"/>
    <w:basedOn w:val="Normal"/>
    <w:pPr>
      <w:spacing w:after="120"/>
    </w:pPr>
    <w:rPr>
      <w:i/>
      <w:color w:val="000000"/>
      <w:sz w:val="24"/>
      <w:szCs w:val="24"/>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sz w:val="24"/>
      <w:szCs w:val="24"/>
    </w:rPr>
  </w:style>
  <w:style w:type="paragraph" w:customStyle="1" w:styleId="NormalBold12b">
    <w:name w:val="NormalBold12b"/>
    <w:basedOn w:val="Normal"/>
    <w:pPr>
      <w:spacing w:before="240"/>
    </w:pPr>
    <w:rPr>
      <w:b/>
      <w:color w:val="000000"/>
      <w:sz w:val="24"/>
      <w:szCs w:val="24"/>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sz w:val="24"/>
      <w:szCs w:val="24"/>
    </w:rPr>
  </w:style>
  <w:style w:type="paragraph" w:customStyle="1" w:styleId="RefProc">
    <w:name w:val="RefProc"/>
    <w:basedOn w:val="Normal"/>
    <w:pPr>
      <w:spacing w:after="240"/>
      <w:jc w:val="right"/>
    </w:pPr>
    <w:rPr>
      <w:rFonts w:ascii="Arial" w:eastAsia="Arial" w:hAnsi="Arial" w:cs="Arial"/>
      <w:b/>
      <w:caps/>
      <w:color w:val="000000"/>
      <w:sz w:val="22"/>
      <w:szCs w:val="24"/>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b w:val="0"/>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szCs w:val="24"/>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szCs w:val="24"/>
    </w:rPr>
  </w:style>
  <w:style w:type="paragraph" w:customStyle="1" w:styleId="ZDate">
    <w:name w:val="ZDate"/>
    <w:basedOn w:val="Normal"/>
    <w:pPr>
      <w:spacing w:after="1680"/>
    </w:pPr>
    <w:rPr>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1121329</vt:lpwstr>
  </property>
  <property fmtid="{D5CDD505-2E9C-101B-9397-08002B2CF9AE}" pid="4" name="&lt;FooterPath&gt;">
    <vt:lpwstr>AM\1121329SV.doc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20170412-143844-205379-792522</vt:lpwstr>
  </property>
  <property fmtid="{D5CDD505-2E9C-101B-9397-08002B2CF9AE}" pid="8" name="PE Number">
    <vt:lpwstr>602.739</vt:lpwstr>
  </property>
  <property fmtid="{D5CDD505-2E9C-101B-9397-08002B2CF9AE}" pid="9" name="UID">
    <vt:lpwstr>eu.europa.europarl-DIN1-2017-0000037715_02.00-sv-01.00_text-xml</vt:lpwstr>
  </property>
</Properties>
</file>