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4.1.0.0 -->
  <w:body>
    <w:tbl>
      <w:tblPr>
        <w:jc w:val="center"/>
        <w:tblLayout w:type="fixed"/>
        <w:tblCellMar>
          <w:top w:w="0" w:type="dxa"/>
          <w:left w:w="108" w:type="dxa"/>
          <w:bottom w:w="0" w:type="dxa"/>
          <w:right w:w="108" w:type="dxa"/>
        </w:tblCellMar>
      </w:tblPr>
      <w:tblGrid>
        <w:gridCol w:w="6804"/>
        <w:gridCol w:w="2268"/>
      </w:tblGrid>
      <w:tr>
        <w:tblPrEx>
          <w:jc w:val="center"/>
          <w:tblLayout w:type="fixed"/>
          <w:tblCellMar>
            <w:top w:w="0" w:type="dxa"/>
            <w:left w:w="108" w:type="dxa"/>
            <w:bottom w:w="0" w:type="dxa"/>
            <w:right w:w="108" w:type="dxa"/>
          </w:tblCellMar>
        </w:tblPrEx>
        <w:trPr>
          <w:trHeight w:hRule="exact" w:val="1417"/>
          <w:jc w:val="center"/>
        </w:trPr>
        <w:tc>
          <w:tcPr>
            <w:vAlign w:val="center"/>
          </w:tcPr>
          <w:p w:rsidR="00A77B3E">
            <w:pPr>
              <w:pStyle w:val="EPName"/>
            </w:pPr>
            <w:r>
              <w:t>Europaparlamentet</w:t>
            </w:r>
          </w:p>
          <w:p>
            <w:pPr>
              <w:pStyle w:val="EPTerm"/>
            </w:pPr>
            <w:r>
              <w:t>2014-2019</w:t>
            </w:r>
          </w:p>
        </w:tc>
        <w:tc>
          <w:tcPr/>
          <w:p>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1.02pt;width:91.56pt">
                  <v:imagedata r:id="rId4" o:title=""/>
                </v:shape>
              </w:pict>
            </w:r>
          </w:p>
        </w:tc>
      </w:tr>
    </w:tbl>
    <w:p w:rsidR="00A77B3E">
      <w:pPr>
        <w:pStyle w:val="LineTop"/>
      </w:pPr>
    </w:p>
    <w:p>
      <w:pPr>
        <w:pStyle w:val="ZCommittee"/>
      </w:pPr>
      <w:r>
        <w:rPr>
          <w:rStyle w:val="HideTWBExt"/>
        </w:rPr>
        <w:t>&lt;</w:t>
      </w:r>
      <w:r>
        <w:rPr>
          <w:rStyle w:val="HideTWBExt"/>
        </w:rPr>
        <w:t>Commission</w:t>
      </w:r>
      <w:r>
        <w:rPr>
          <w:rStyle w:val="HideTWBExt"/>
        </w:rPr>
        <w:t>&gt;</w:t>
      </w:r>
      <w:r>
        <w:rPr>
          <w:rStyle w:val="HideTWBInt"/>
        </w:rPr>
        <w:t>{LIBE}</w:t>
      </w:r>
      <w:r>
        <w:t>Utskottet för medborgerliga fri- och rättigheter samt rättsliga och inrikes frågor</w:t>
      </w:r>
      <w:r>
        <w:rPr>
          <w:rStyle w:val="HideTWBExt"/>
        </w:rPr>
        <w:t>&lt;/</w:t>
      </w:r>
      <w:r>
        <w:rPr>
          <w:rStyle w:val="HideTWBExt"/>
        </w:rPr>
        <w:t>Commission</w:t>
      </w:r>
      <w:r>
        <w:rPr>
          <w:rStyle w:val="HideTWBExt"/>
        </w:rPr>
        <w:t>&gt;</w:t>
      </w:r>
    </w:p>
    <w:p>
      <w:pPr>
        <w:pStyle w:val="LineBottom"/>
      </w:pPr>
    </w:p>
    <w:p>
      <w:pPr>
        <w:pStyle w:val="RefProc"/>
      </w:pPr>
      <w:r>
        <w:rPr>
          <w:rStyle w:val="HideTWBExt"/>
        </w:rPr>
        <w:t>&lt;</w:t>
      </w:r>
      <w:r>
        <w:rPr>
          <w:rStyle w:val="HideTWBExt"/>
        </w:rPr>
        <w:t>RefProc</w:t>
      </w:r>
      <w:r>
        <w:rPr>
          <w:rStyle w:val="HideTWBExt"/>
        </w:rPr>
        <w:t>&gt;</w:t>
      </w:r>
      <w:r>
        <w:t>2016/0224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ZDate"/>
      </w:pPr>
      <w:r>
        <w:rPr>
          <w:rStyle w:val="HideTWBExt"/>
        </w:rPr>
        <w:t>&lt;</w:t>
      </w:r>
      <w:r>
        <w:rPr>
          <w:rStyle w:val="HideTWBExt"/>
        </w:rPr>
        <w:t>Date</w:t>
      </w:r>
      <w:r>
        <w:rPr>
          <w:rStyle w:val="HideTWBExt"/>
        </w:rPr>
        <w:t>&gt;</w:t>
      </w:r>
      <w:r>
        <w:rPr>
          <w:rStyle w:val="HideTWBInt"/>
        </w:rPr>
        <w:t>{</w:t>
      </w:r>
      <w:r>
        <w:rPr>
          <w:rStyle w:val="HideTWBInt"/>
        </w:rPr>
        <w:t>26/06/2017</w:t>
      </w:r>
      <w:r>
        <w:rPr>
          <w:rStyle w:val="HideTWBInt"/>
        </w:rPr>
        <w:t>}</w:t>
      </w:r>
      <w:r>
        <w:t>26.6.2017</w:t>
      </w:r>
      <w:r>
        <w:rPr>
          <w:rStyle w:val="HideTWBExt"/>
        </w:rPr>
        <w:t>&lt;/</w:t>
      </w:r>
      <w:r>
        <w:rPr>
          <w:rStyle w:val="HideTWBExt"/>
        </w:rPr>
        <w:t>Date</w:t>
      </w:r>
      <w:r>
        <w:rPr>
          <w:rStyle w:val="HideTWBExt"/>
        </w:rPr>
        <w:t>&gt;</w:t>
      </w:r>
    </w:p>
    <w:p>
      <w:pPr>
        <w:pStyle w:val="TypeDocAM"/>
      </w:pPr>
      <w:r>
        <w:rPr>
          <w:rStyle w:val="HideTWBExt"/>
        </w:rPr>
        <w:t>&lt;</w:t>
      </w:r>
      <w:r>
        <w:rPr>
          <w:rStyle w:val="HideTWBExt"/>
        </w:rPr>
        <w:t>TypeAM</w:t>
      </w:r>
      <w:r>
        <w:rPr>
          <w:rStyle w:val="HideTWBExt"/>
        </w:rPr>
        <w:t>&gt;</w:t>
      </w:r>
      <w:r>
        <w:t>ÄNDRINGSFÖRSLAG</w:t>
      </w:r>
      <w:r>
        <w:rPr>
          <w:rStyle w:val="HideTWBExt"/>
        </w:rPr>
        <w:t>&lt;/</w:t>
      </w:r>
      <w:r>
        <w:rPr>
          <w:rStyle w:val="HideTWBExt"/>
        </w:rPr>
        <w:t>TypeAM</w:t>
      </w:r>
      <w:r>
        <w:rPr>
          <w:rStyle w:val="HideTWBExt"/>
        </w:rPr>
        <w:t>&gt;</w:t>
      </w:r>
    </w:p>
    <w:p>
      <w:pPr>
        <w:pStyle w:val="NRAMS"/>
      </w:pPr>
      <w:r>
        <w:rPr>
          <w:rStyle w:val="HideTWBExt"/>
        </w:rPr>
        <w:t>&lt;</w:t>
      </w:r>
      <w:r>
        <w:rPr>
          <w:rStyle w:val="HideTWBExt"/>
        </w:rPr>
        <w:t>RangeAM</w:t>
      </w:r>
      <w:r>
        <w:rPr>
          <w:rStyle w:val="HideTWBExt"/>
        </w:rPr>
        <w:t>&gt;</w:t>
      </w:r>
      <w:r>
        <w:t>1348</w:t>
      </w:r>
      <w:r>
        <w:t xml:space="preserve"> - </w:t>
      </w:r>
      <w:r>
        <w:t>1596</w:t>
      </w:r>
      <w:r>
        <w:rPr>
          <w:rStyle w:val="HideTWBExt"/>
        </w:rPr>
        <w:t>&lt;/</w:t>
      </w:r>
      <w:r>
        <w:rPr>
          <w:rStyle w:val="HideTWBExt"/>
        </w:rPr>
        <w:t>RangeAM</w:t>
      </w:r>
      <w:r>
        <w:rPr>
          <w:rStyle w:val="HideTWBExt"/>
        </w:rPr>
        <w:t>&gt;</w:t>
      </w:r>
    </w:p>
    <w:p>
      <w:pPr>
        <w:pStyle w:val="CoverBold"/>
      </w:pPr>
      <w:r>
        <w:rPr>
          <w:rStyle w:val="HideTWBExt"/>
        </w:rPr>
        <w:t>&lt;</w:t>
      </w:r>
      <w:r>
        <w:rPr>
          <w:rStyle w:val="HideTWBExt"/>
        </w:rPr>
        <w:t>TitreType</w:t>
      </w:r>
      <w:r>
        <w:rPr>
          <w:rStyle w:val="HideTWBExt"/>
        </w:rPr>
        <w:t>&gt;</w:t>
      </w:r>
      <w:r>
        <w:t>Förslag till betänkande</w:t>
      </w:r>
      <w:r>
        <w:rPr>
          <w:rStyle w:val="HideTWBExt"/>
        </w:rPr>
        <w:t>&lt;/</w:t>
      </w:r>
      <w:r>
        <w:rPr>
          <w:rStyle w:val="HideTWBExt"/>
        </w:rPr>
        <w:t>TitreType</w:t>
      </w:r>
      <w:r>
        <w:rPr>
          <w:rStyle w:val="HideTWBExt"/>
        </w:rPr>
        <w:t>&gt;</w:t>
      </w:r>
    </w:p>
    <w:p>
      <w:pPr>
        <w:pStyle w:val="CoverBold"/>
      </w:pPr>
      <w:r>
        <w:rPr>
          <w:rStyle w:val="HideTWBExt"/>
        </w:rPr>
        <w:t>&lt;</w:t>
      </w:r>
      <w:r>
        <w:rPr>
          <w:rStyle w:val="HideTWBExt"/>
        </w:rPr>
        <w:t>Rapporteur</w:t>
      </w:r>
      <w:r>
        <w:rPr>
          <w:rStyle w:val="HideTWBExt"/>
        </w:rPr>
        <w:t>&gt;</w:t>
      </w:r>
      <w:r>
        <w:t>Laura Ferrara</w:t>
      </w:r>
      <w:r>
        <w:rPr>
          <w:rStyle w:val="HideTWBExt"/>
        </w:rPr>
        <w:t>&lt;/</w:t>
      </w:r>
      <w:r>
        <w:rPr>
          <w:rStyle w:val="HideTWBExt"/>
        </w:rPr>
        <w:t>Rapporteur</w:t>
      </w:r>
      <w:r>
        <w:rPr>
          <w:rStyle w:val="HideTWBExt"/>
        </w:rPr>
        <w:t>&gt;</w:t>
      </w:r>
    </w:p>
    <w:p>
      <w:pPr>
        <w:pStyle w:val="Cover24"/>
      </w:pPr>
      <w:r>
        <w:t>(</w:t>
      </w:r>
      <w:r>
        <w:t>PE597.506v01-00</w:t>
      </w:r>
      <w:r>
        <w:t>)</w:t>
      </w:r>
    </w:p>
    <w:p>
      <w:pPr>
        <w:pStyle w:val="Cover24"/>
      </w:pPr>
      <w:r>
        <w:rPr>
          <w:rStyle w:val="HideTWBExt"/>
        </w:rPr>
        <w:t>&lt;</w:t>
      </w:r>
      <w:r>
        <w:rPr>
          <w:rStyle w:val="HideTWBExt"/>
        </w:rPr>
        <w:t>Titre</w:t>
      </w:r>
      <w:r>
        <w:rPr>
          <w:rStyle w:val="HideTWBExt"/>
        </w:rPr>
        <w:t>&gt;</w:t>
      </w:r>
      <w:r>
        <w:t>Gemensamt förfarande för internationellt skydd i unionen</w:t>
      </w:r>
      <w:r>
        <w:rPr>
          <w:rStyle w:val="HideTWBExt"/>
        </w:rPr>
        <w:t>&lt;/</w:t>
      </w:r>
      <w:r>
        <w:rPr>
          <w:rStyle w:val="HideTWBExt"/>
        </w:rPr>
        <w:t>Titre</w:t>
      </w:r>
      <w:r>
        <w:rPr>
          <w:rStyle w:val="HideTWBExt"/>
        </w:rPr>
        <w:t>&gt;</w:t>
      </w:r>
    </w:p>
    <w:p>
      <w:pPr>
        <w:pStyle w:val="CoverNormal"/>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Cover24"/>
      </w:pPr>
      <w:r>
        <w:rPr>
          <w:rStyle w:val="HideTWBExt"/>
        </w:rPr>
        <w:t>&lt;</w:t>
      </w:r>
      <w:r>
        <w:rPr>
          <w:rStyle w:val="HideTWBExt"/>
        </w:rPr>
        <w:t>DocRef</w:t>
      </w:r>
      <w:r>
        <w:rPr>
          <w:rStyle w:val="HideTWBExt"/>
        </w:rPr>
        <w:t>&gt;</w:t>
      </w:r>
      <w:r>
        <w:t>(</w:t>
      </w:r>
      <w:r>
        <w:t>COM(2016)0467</w:t>
      </w:r>
      <w:r>
        <w:t xml:space="preserve"> – </w:t>
      </w:r>
      <w:r>
        <w:t>C8-0321/2016</w:t>
      </w:r>
      <w:r>
        <w:t xml:space="preserve"> – </w:t>
      </w:r>
      <w:r>
        <w:t>2016/0224(COD)</w:t>
      </w:r>
      <w:r>
        <w:t>)</w:t>
      </w:r>
      <w:r>
        <w:rPr>
          <w:rStyle w:val="HideTWBExt"/>
        </w:rPr>
        <w:t>&lt;/</w:t>
      </w:r>
      <w:r>
        <w:rPr>
          <w:rStyle w:val="HideTWBExt"/>
        </w:rPr>
        <w:t>DocRef</w:t>
      </w:r>
      <w:r>
        <w:rPr>
          <w:rStyle w:val="HideTWBExt"/>
        </w:rPr>
        <w:t>&gt;</w:t>
      </w:r>
    </w:p>
    <w:p>
      <w:r>
        <w:br w:type="page"/>
      </w:r>
      <w:r>
        <w:t>AM_Com_LegReport</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Kapitel 3 – avdelning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Ett tredjeland </w:t>
            </w:r>
            <w:r>
              <w:rPr>
                <w:rFonts w:ascii="Times New Roman" w:eastAsia="Times New Roman" w:hAnsi="Times New Roman" w:cs="Times New Roman"/>
                <w:b/>
                <w:i/>
                <w:strike w:val="0"/>
                <w:color w:val="000000"/>
                <w:sz w:val="24"/>
                <w:highlight w:val="none"/>
                <w:u w:val="none" w:color="auto"/>
              </w:rPr>
              <w:t>kan</w:t>
            </w:r>
            <w:r>
              <w:t xml:space="preserve"> betraktas som första asylland för en enskild sökande, förutsatt att</w:t>
            </w:r>
          </w:p>
        </w:tc>
        <w:tc>
          <w:tcPr/>
          <w:p>
            <w:pPr>
              <w:pStyle w:val="Normal6"/>
            </w:pPr>
            <w:r>
              <w:t>1.</w:t>
            </w:r>
            <w:r>
              <w:tab/>
            </w:r>
            <w:r>
              <w:t xml:space="preserve">Ett tredjeland </w:t>
            </w:r>
            <w:r>
              <w:rPr>
                <w:rFonts w:ascii="Times New Roman" w:eastAsia="Times New Roman" w:hAnsi="Times New Roman" w:cs="Times New Roman"/>
                <w:b/>
                <w:i/>
                <w:strike w:val="0"/>
                <w:color w:val="000000"/>
                <w:sz w:val="24"/>
                <w:highlight w:val="none"/>
                <w:u w:val="none" w:color="auto"/>
              </w:rPr>
              <w:t>får</w:t>
            </w:r>
            <w:r>
              <w:t xml:space="preserve"> betraktas som första asylland för en enskild sökande, förutsatt att</w:t>
            </w:r>
            <w:r>
              <w:rPr>
                <w:rFonts w:ascii="Times New Roman" w:eastAsia="Times New Roman" w:hAnsi="Times New Roman" w:cs="Times New Roman"/>
                <w:b/>
                <w:i/>
                <w:strike w:val="0"/>
                <w:color w:val="000000"/>
                <w:sz w:val="24"/>
                <w:highlight w:val="none"/>
                <w:u w:val="none" w:color="auto"/>
              </w:rPr>
              <w:t xml:space="preserve"> sökanden har erkänts som flykting i enlighet med Genèvekonventionen i det landet före sin resa till unionen och att sökanden fortfarande kan använda sig av detta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Ett tredjeland </w:t>
            </w:r>
            <w:r>
              <w:rPr>
                <w:rFonts w:ascii="Times New Roman" w:eastAsia="Times New Roman" w:hAnsi="Times New Roman" w:cs="Times New Roman"/>
                <w:b/>
                <w:i/>
                <w:strike w:val="0"/>
                <w:color w:val="000000"/>
                <w:sz w:val="24"/>
                <w:highlight w:val="none"/>
                <w:u w:val="none" w:color="auto"/>
              </w:rPr>
              <w:t>kan</w:t>
            </w:r>
            <w:r>
              <w:t xml:space="preserve"> betraktas som första asylland för en enskild sökande, förutsatt att</w:t>
            </w:r>
          </w:p>
        </w:tc>
        <w:tc>
          <w:tcPr/>
          <w:p>
            <w:pPr>
              <w:pStyle w:val="Normal6"/>
            </w:pPr>
            <w:r>
              <w:t>1.</w:t>
            </w:r>
            <w:r>
              <w:tab/>
            </w:r>
            <w:r>
              <w:t xml:space="preserve">Ett tredjeland </w:t>
            </w:r>
            <w:r>
              <w:rPr>
                <w:rFonts w:ascii="Times New Roman" w:eastAsia="Times New Roman" w:hAnsi="Times New Roman" w:cs="Times New Roman"/>
                <w:b/>
                <w:i/>
                <w:strike w:val="0"/>
                <w:color w:val="000000"/>
                <w:sz w:val="24"/>
                <w:highlight w:val="none"/>
                <w:u w:val="none" w:color="auto"/>
              </w:rPr>
              <w:t>får</w:t>
            </w:r>
            <w:r>
              <w:t xml:space="preserve"> betraktas som första asylland för en enskild sökande, förutsatt att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Begreppet första asylland bör förbli en valmöjlighet för medlemsstaterna.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Ett tredjeland </w:t>
            </w:r>
            <w:r>
              <w:rPr>
                <w:rFonts w:ascii="Times New Roman" w:eastAsia="Times New Roman" w:hAnsi="Times New Roman" w:cs="Times New Roman"/>
                <w:b/>
                <w:i/>
                <w:strike w:val="0"/>
                <w:color w:val="000000"/>
                <w:sz w:val="24"/>
                <w:highlight w:val="none"/>
                <w:u w:val="none" w:color="auto"/>
              </w:rPr>
              <w:t>kan</w:t>
            </w:r>
            <w:r>
              <w:t xml:space="preserve"> betraktas som första asylland för en enskild sökande, förutsatt att</w:t>
            </w:r>
          </w:p>
        </w:tc>
        <w:tc>
          <w:tcPr/>
          <w:p>
            <w:pPr>
              <w:pStyle w:val="Normal6"/>
            </w:pPr>
            <w:r>
              <w:t>1.</w:t>
            </w:r>
            <w:r>
              <w:tab/>
            </w:r>
            <w:r>
              <w:t xml:space="preserve">Ett tredjeland </w:t>
            </w:r>
            <w:r>
              <w:rPr>
                <w:rFonts w:ascii="Times New Roman" w:eastAsia="Times New Roman" w:hAnsi="Times New Roman" w:cs="Times New Roman"/>
                <w:b/>
                <w:i/>
                <w:strike w:val="0"/>
                <w:color w:val="000000"/>
                <w:sz w:val="24"/>
                <w:highlight w:val="none"/>
                <w:u w:val="none" w:color="auto"/>
              </w:rPr>
              <w:t>får</w:t>
            </w:r>
            <w:r>
              <w:t xml:space="preserve"> betraktas som första asylland för en enskild sökande, förutsatt att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Ett tredjeland kan betraktas som första asylland för en enskild sökande</w:t>
            </w:r>
            <w:r>
              <w:rPr>
                <w:rFonts w:ascii="Times New Roman" w:eastAsia="Times New Roman" w:hAnsi="Times New Roman" w:cs="Times New Roman"/>
                <w:b/>
                <w:i/>
                <w:strike w:val="0"/>
                <w:color w:val="000000"/>
                <w:sz w:val="24"/>
                <w:highlight w:val="none"/>
                <w:u w:val="none" w:color="auto"/>
              </w:rPr>
              <w:t>, förutsatt att</w:t>
            </w:r>
          </w:p>
        </w:tc>
        <w:tc>
          <w:tcPr/>
          <w:p>
            <w:pPr>
              <w:pStyle w:val="Normal6"/>
            </w:pPr>
            <w:r>
              <w:t>1.</w:t>
            </w:r>
            <w:r>
              <w:tab/>
            </w:r>
            <w:r>
              <w:t>Ett tredjeland kan betraktas som första asylland för en enskild sökande</w:t>
            </w:r>
            <w:r>
              <w:rPr>
                <w:rFonts w:ascii="Times New Roman" w:eastAsia="Times New Roman" w:hAnsi="Times New Roman" w:cs="Times New Roman"/>
                <w:b/>
                <w:i/>
                <w:strike w:val="0"/>
                <w:color w:val="000000"/>
                <w:sz w:val="24"/>
                <w:highlight w:val="none"/>
                <w:u w:val="none" w:color="auto"/>
              </w:rPr>
              <w:t xml:space="preserve"> om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sökanden har åtnjutit skydd i landet i enlighet med Genèvekonventionen innan han eller hon reste in till unionen och kan fortfarande erhålla detta skydd, eller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Har samband med ändringen av artikel 44.1.</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t xml:space="preserve">, </w:t>
      </w:r>
      <w:r>
        <w:t>Jean Lambert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t>sökanden har åtnjutit skydd i landet i enlighet med Genèvekonventionen innan han eller hon reste in till unionen och kan fortfarande erhålla detta skydd</w:t>
            </w:r>
            <w:r>
              <w:rPr>
                <w:rFonts w:ascii="Times New Roman" w:eastAsia="Times New Roman" w:hAnsi="Times New Roman" w:cs="Times New Roman"/>
                <w:b/>
                <w:i/>
                <w:strike w:val="0"/>
                <w:color w:val="000000"/>
                <w:sz w:val="24"/>
                <w:highlight w:val="none"/>
                <w:u w:val="none" w:color="auto"/>
              </w:rPr>
              <w:t>, eller</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t xml:space="preserve">sökanden har </w:t>
            </w:r>
            <w:r>
              <w:rPr>
                <w:rFonts w:ascii="Times New Roman" w:eastAsia="Times New Roman" w:hAnsi="Times New Roman" w:cs="Times New Roman"/>
                <w:b/>
                <w:i/>
                <w:strike w:val="0"/>
                <w:color w:val="000000"/>
                <w:sz w:val="24"/>
                <w:highlight w:val="none"/>
                <w:u w:val="none" w:color="auto"/>
              </w:rPr>
              <w:t xml:space="preserve">erkänts som flykting och </w:t>
            </w:r>
            <w:r>
              <w:t xml:space="preserve">åtnjutit </w:t>
            </w:r>
            <w:r>
              <w:rPr>
                <w:rFonts w:ascii="Times New Roman" w:eastAsia="Times New Roman" w:hAnsi="Times New Roman" w:cs="Times New Roman"/>
                <w:b/>
                <w:i/>
                <w:strike w:val="0"/>
                <w:color w:val="000000"/>
                <w:sz w:val="24"/>
                <w:highlight w:val="none"/>
                <w:u w:val="none" w:color="auto"/>
              </w:rPr>
              <w:t xml:space="preserve">effektivt </w:t>
            </w:r>
            <w:r>
              <w:t>skydd i landet i enlighet med Genèvekonventionen</w:t>
            </w:r>
            <w:r>
              <w:rPr>
                <w:rFonts w:ascii="Times New Roman" w:eastAsia="Times New Roman" w:hAnsi="Times New Roman" w:cs="Times New Roman"/>
                <w:b/>
                <w:i/>
                <w:strike w:val="0"/>
                <w:color w:val="000000"/>
                <w:sz w:val="24"/>
                <w:highlight w:val="none"/>
                <w:u w:val="none" w:color="auto"/>
              </w:rPr>
              <w:t>, utan någon geografisk begränsning,</w:t>
            </w:r>
            <w:r>
              <w:t xml:space="preserve"> innan han eller hon reste in till unionen och kan fortfarande erhålla detta skydd</w:t>
            </w:r>
            <w:r>
              <w:rPr>
                <w:rFonts w:ascii="Times New Roman" w:eastAsia="Times New Roman" w:hAnsi="Times New Roman" w:cs="Times New Roman"/>
                <w:b/>
                <w:i/>
                <w:strike w:val="0"/>
                <w:color w:val="000000"/>
                <w:sz w:val="24"/>
                <w:highlight w:val="none"/>
                <w:u w:val="none" w:color="auto"/>
              </w:rP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t xml:space="preserve">sökanden har </w:t>
            </w:r>
            <w:r>
              <w:rPr>
                <w:rFonts w:ascii="Times New Roman" w:eastAsia="Times New Roman" w:hAnsi="Times New Roman" w:cs="Times New Roman"/>
                <w:b/>
                <w:i/>
                <w:strike w:val="0"/>
                <w:color w:val="000000"/>
                <w:sz w:val="24"/>
                <w:highlight w:val="none"/>
                <w:u w:val="none" w:color="auto"/>
              </w:rPr>
              <w:t>åtnjutit skydd</w:t>
            </w:r>
            <w:r>
              <w:t xml:space="preserve"> i landet i enlighet med Genèvekonventionen innan han eller hon reste in till unionen och kan fortfarande erhålla detta skydd, eller</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t>sökanden har </w:t>
            </w:r>
            <w:r>
              <w:rPr>
                <w:rFonts w:ascii="Times New Roman" w:eastAsia="Times New Roman" w:hAnsi="Times New Roman" w:cs="Times New Roman"/>
                <w:b/>
                <w:i/>
                <w:strike w:val="0"/>
                <w:color w:val="000000"/>
                <w:sz w:val="24"/>
                <w:highlight w:val="none"/>
                <w:u w:val="none" w:color="auto"/>
              </w:rPr>
              <w:t>erkänts som flykting</w:t>
            </w:r>
            <w:r>
              <w:t xml:space="preserve"> i landet i enlighet med Genèvekonventionen innan han eller hon reste in till unionen och kan fortfarande erhålla detta skydd, eller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Detta begrepp bör användas endast om sökanden redan erkänts som flykting.</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t xml:space="preserve">, </w:t>
      </w:r>
      <w:r>
        <w:t>Jean Lambert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sökanden har på annat sätt åtnjutit tillräckligt skydd i landet innan han eller hon reste in till unionen och kan fortfarande erhålla detta skydd.</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sökanden har på annat sätt åtnjutit tillräckligt skydd i landet innan han eller hon reste in till unionen och kan fortfarande erhålla detta skydd.</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Har samband med ändringen av artikel 44.1.</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t xml:space="preserve">sökanden har på annat sätt åtnjutit </w:t>
            </w:r>
            <w:r>
              <w:rPr>
                <w:rFonts w:ascii="Times New Roman" w:eastAsia="Times New Roman" w:hAnsi="Times New Roman" w:cs="Times New Roman"/>
                <w:b/>
                <w:i/>
                <w:strike w:val="0"/>
                <w:color w:val="000000"/>
                <w:sz w:val="24"/>
                <w:highlight w:val="none"/>
                <w:u w:val="none" w:color="auto"/>
              </w:rPr>
              <w:t>tillräckligt</w:t>
            </w:r>
            <w:r>
              <w:t xml:space="preserve"> skydd </w:t>
            </w:r>
            <w:r>
              <w:rPr>
                <w:rFonts w:ascii="Times New Roman" w:eastAsia="Times New Roman" w:hAnsi="Times New Roman" w:cs="Times New Roman"/>
                <w:b/>
                <w:i/>
                <w:strike w:val="0"/>
                <w:color w:val="000000"/>
                <w:sz w:val="24"/>
                <w:highlight w:val="none"/>
                <w:u w:val="none" w:color="auto"/>
              </w:rPr>
              <w:t>i landet</w:t>
            </w:r>
            <w:r>
              <w:t xml:space="preserve"> innan han eller hon reste in till unionen och kan fortfarande erhålla detta skydd.</w:t>
            </w:r>
          </w:p>
        </w:tc>
        <w:tc>
          <w:tcPr/>
          <w:p>
            <w:pPr>
              <w:pStyle w:val="Normal6"/>
            </w:pPr>
            <w:r>
              <w:rPr>
                <w:rFonts w:ascii="Times New Roman" w:eastAsia="Times New Roman" w:hAnsi="Times New Roman" w:cs="Times New Roman"/>
                <w:b/>
                <w:i/>
                <w:strike w:val="0"/>
                <w:color w:val="000000"/>
                <w:sz w:val="24"/>
                <w:highlight w:val="none"/>
                <w:u w:val="none" w:color="auto"/>
              </w:rPr>
              <w:t>b)</w:t>
            </w:r>
            <w:r>
              <w:tab/>
            </w:r>
            <w:r>
              <w:t xml:space="preserve">sökanden har på annat sätt åtnjutit </w:t>
            </w:r>
            <w:r>
              <w:rPr>
                <w:rFonts w:ascii="Times New Roman" w:eastAsia="Times New Roman" w:hAnsi="Times New Roman" w:cs="Times New Roman"/>
                <w:b/>
                <w:i/>
                <w:strike w:val="0"/>
                <w:color w:val="000000"/>
                <w:sz w:val="24"/>
                <w:highlight w:val="none"/>
                <w:u w:val="none" w:color="auto"/>
              </w:rPr>
              <w:t>effektivt skydd, som är likvärdigt med nivån på</w:t>
            </w:r>
            <w:r>
              <w:t xml:space="preserve"> skydd </w:t>
            </w:r>
            <w:r>
              <w:rPr>
                <w:rFonts w:ascii="Times New Roman" w:eastAsia="Times New Roman" w:hAnsi="Times New Roman" w:cs="Times New Roman"/>
                <w:b/>
                <w:i/>
                <w:strike w:val="0"/>
                <w:color w:val="000000"/>
                <w:sz w:val="24"/>
                <w:highlight w:val="none"/>
                <w:u w:val="none" w:color="auto"/>
              </w:rPr>
              <w:t>som åtnjuts av flyktingar,</w:t>
            </w:r>
            <w:r>
              <w:t xml:space="preserve"> innan han eller hon reste in till unionen och kan fortfarande erhålla detta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Detta begrepp kan användas endast om skyddsnivån är likvärdig med skydd enligt Genèvekonventionen.</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Den beslutande myndigheten ska anse att en sökande åtnjuter tillräckligt skydd såsom avses i punkt 1 b, förutsatt att den övertygat sig om att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(a)sökandens liv och frihet inte är hotade på grund av ras, religion, medborgarskap, tillhörighet till en viss samhällsgrupp eller politisk övertygelse,</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(b)det inte föreligger någon risk för allvarlig skada enligt definitionen i förordning (EU) nr XXX/XXX (Skyddsdirektivet),</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(c)principen om ”non-refoulement” iakttas i enlighet med Genèvekonventionen,</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(d)förbudet mot varje återsändande som innebär åsidosättande av förbudet mot tortyr och grym, omänsklig eller förnedrande behandling i enlighet med folkrätten iakttas,</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(e)det finns en rätt till laglig bosättning,</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(f)det finns tillräcklig tillgång till arbetsmarknaden, mottagningsanläggningar, hälso- och sjukvård och utbildning och</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(g)det finns en rätt till familjeåterförening i enlighet med internationella människorättsnormer.</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Företeckningen ger ingen komplett översikt över vad som skulle utgöra ett första asylland och skulle således kunna äventyra en korrekt tillämpning av Genèvekonventionen.</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Den beslutande myndigheten </w:t>
            </w:r>
            <w:r>
              <w:rPr>
                <w:rFonts w:ascii="Times New Roman" w:eastAsia="Times New Roman" w:hAnsi="Times New Roman" w:cs="Times New Roman"/>
                <w:b/>
                <w:i/>
                <w:strike w:val="0"/>
                <w:color w:val="000000"/>
                <w:sz w:val="24"/>
                <w:highlight w:val="none"/>
                <w:u w:val="none" w:color="auto"/>
              </w:rPr>
              <w:t>ska</w:t>
            </w:r>
            <w:r>
              <w:t xml:space="preserve"> anse att en sökande åtnjuter </w:t>
            </w:r>
            <w:r>
              <w:rPr>
                <w:rFonts w:ascii="Times New Roman" w:eastAsia="Times New Roman" w:hAnsi="Times New Roman" w:cs="Times New Roman"/>
                <w:b/>
                <w:i/>
                <w:strike w:val="0"/>
                <w:color w:val="000000"/>
                <w:sz w:val="24"/>
                <w:highlight w:val="none"/>
                <w:u w:val="none" w:color="auto"/>
              </w:rPr>
              <w:t>tillräckligt</w:t>
            </w:r>
            <w:r>
              <w:t xml:space="preserve"> skydd såsom avses i punkt 1 b, förutsatt att den övertygat sig om att</w:t>
            </w:r>
          </w:p>
        </w:tc>
        <w:tc>
          <w:tcPr/>
          <w:p>
            <w:pPr>
              <w:pStyle w:val="Normal6"/>
            </w:pPr>
            <w:r>
              <w:t>2.</w:t>
            </w:r>
            <w:r>
              <w:tab/>
            </w:r>
            <w:r>
              <w:t xml:space="preserve">Den beslutande myndigheten </w:t>
            </w:r>
            <w:r>
              <w:rPr>
                <w:rFonts w:ascii="Times New Roman" w:eastAsia="Times New Roman" w:hAnsi="Times New Roman" w:cs="Times New Roman"/>
                <w:b/>
                <w:i/>
                <w:strike w:val="0"/>
                <w:color w:val="000000"/>
                <w:sz w:val="24"/>
                <w:highlight w:val="none"/>
                <w:u w:val="none" w:color="auto"/>
              </w:rPr>
              <w:t>får</w:t>
            </w:r>
            <w:r>
              <w:t xml:space="preserve"> anse att en sökande åtnjuter </w:t>
            </w:r>
            <w:r>
              <w:rPr>
                <w:rFonts w:ascii="Times New Roman" w:eastAsia="Times New Roman" w:hAnsi="Times New Roman" w:cs="Times New Roman"/>
                <w:b/>
                <w:i/>
                <w:strike w:val="0"/>
                <w:color w:val="000000"/>
                <w:sz w:val="24"/>
                <w:highlight w:val="none"/>
                <w:u w:val="none" w:color="auto"/>
              </w:rPr>
              <w:t>effektivt</w:t>
            </w:r>
            <w:r>
              <w:t xml:space="preserve"> skydd såsom avses i punkt 1 b, förutsatt att den övertygat sig om att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Om ett land korrekt ska betraktas som första asylland måste den skyddsnivå som det landet erbjuder vara effektiv i praktiken.</w:t>
      </w:r>
      <w:r>
        <w:t>Detta innebär att det erbjudna skyddet bör ligga på samma nivå som det skydd som beviljas inom unionen.</w:t>
      </w:r>
      <w:r>
        <w:t>De ytterligare delarna återspeglar krav på att säkerställa att ett sådant effektiv skydd verkligen är tillgängligt.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t>sökandens liv och frihet inte är hotade på grund av ras, religion, medborgarskap, tillhörighet till en viss samhällsgrupp eller politisk övertygelse,</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t>sökandens liv och frihet inte är hotade på grund av ras, religion, medborgarskap, tillhörighet till en viss samhällsgrupp eller politisk övertygelse,</w:t>
            </w:r>
            <w:r>
              <w:rPr>
                <w:rFonts w:ascii="Times New Roman" w:eastAsia="Times New Roman" w:hAnsi="Times New Roman" w:cs="Times New Roman"/>
                <w:b/>
                <w:i/>
                <w:strike w:val="0"/>
                <w:color w:val="000000"/>
                <w:sz w:val="24"/>
                <w:highlight w:val="none"/>
                <w:u w:val="none" w:color="auto"/>
              </w:rPr>
              <w:t xml:space="preserve"> och att inget frihetsberövande sker utan korrekt rättsförfarande,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ca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ca)</w:t>
            </w:r>
            <w:r>
              <w:tab/>
            </w:r>
            <w:r>
              <w:rPr>
                <w:rFonts w:ascii="Times New Roman" w:eastAsia="Times New Roman" w:hAnsi="Times New Roman" w:cs="Times New Roman"/>
                <w:b/>
                <w:i/>
                <w:strike w:val="0"/>
                <w:color w:val="000000"/>
                <w:sz w:val="24"/>
                <w:highlight w:val="none"/>
                <w:u w:val="none" w:color="auto"/>
              </w:rPr>
              <w:t>ingen verklig risk föreligger för att sökanden skulle överföras av tredjelandet till en annan stat där sökanden inte skulle få effektivt skydd, eller skulle riskera att överföras därifrån till en annan stat där något sådant skydd inte vore tillgängligt,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ca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ca)</w:t>
            </w:r>
            <w:r>
              <w:tab/>
            </w:r>
            <w:r>
              <w:rPr>
                <w:rFonts w:ascii="Times New Roman" w:eastAsia="Times New Roman" w:hAnsi="Times New Roman" w:cs="Times New Roman"/>
                <w:b/>
                <w:i/>
                <w:strike w:val="0"/>
                <w:color w:val="000000"/>
                <w:sz w:val="24"/>
                <w:highlight w:val="none"/>
                <w:u w:val="none" w:color="auto"/>
              </w:rPr>
              <w:t>ingen risk föreligger för att sökanden skulle överföras av tredjelandet till ett annat tredjeland där sökanden inte skulle få effektivt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w:t>
            </w:r>
            <w:r>
              <w:tab/>
            </w:r>
            <w:r>
              <w:rPr>
                <w:rFonts w:ascii="Times New Roman" w:eastAsia="Times New Roman" w:hAnsi="Times New Roman" w:cs="Times New Roman"/>
                <w:b/>
                <w:i/>
                <w:strike w:val="0"/>
                <w:color w:val="000000"/>
                <w:sz w:val="24"/>
                <w:highlight w:val="none"/>
                <w:u w:val="none" w:color="auto"/>
              </w:rPr>
              <w:t>det finns en rätt till laglig bosättning,</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ea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ea)</w:t>
            </w:r>
            <w:r>
              <w:tab/>
            </w:r>
            <w:r>
              <w:rPr>
                <w:rFonts w:ascii="Times New Roman" w:eastAsia="Times New Roman" w:hAnsi="Times New Roman" w:cs="Times New Roman"/>
                <w:b/>
                <w:i/>
                <w:strike w:val="0"/>
                <w:color w:val="000000"/>
                <w:sz w:val="24"/>
                <w:highlight w:val="none"/>
                <w:u w:val="none" w:color="auto"/>
              </w:rPr>
              <w:t>grundläggande rättigheter respekteras i enlighet med tillämpliga internationella normer, däribland att det inte föreligger någon verklig risk för sökandens liv och ingen verklig risk för att sökanden skulle berövas sin frihet utan korrekt rättsförfarande,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f</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(f)</w:t>
            </w:r>
            <w:r>
              <w:tab/>
            </w:r>
            <w:r>
              <w:rPr>
                <w:rFonts w:ascii="Times New Roman" w:eastAsia="Times New Roman" w:hAnsi="Times New Roman" w:cs="Times New Roman"/>
                <w:b/>
                <w:i/>
                <w:strike w:val="0"/>
                <w:color w:val="000000"/>
                <w:sz w:val="24"/>
                <w:highlight w:val="none"/>
                <w:u w:val="none" w:color="auto"/>
              </w:rPr>
              <w:t>det finns tillräcklig tillgång till arbetsmarknaden, mottagningsanläggningar, hälso- och sjukvård och utbildning och</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f</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(f)</w:t>
            </w:r>
            <w:r>
              <w:tab/>
            </w:r>
            <w:r>
              <w:t>det finns tillräcklig tillgång till arbetsmarknaden, mottagningsanläggningar, hälso- och sjukvård och utbildning</w:t>
            </w:r>
            <w:r>
              <w:rPr>
                <w:rFonts w:ascii="Times New Roman" w:eastAsia="Times New Roman" w:hAnsi="Times New Roman" w:cs="Times New Roman"/>
                <w:b/>
                <w:i/>
                <w:strike w:val="0"/>
                <w:color w:val="000000"/>
                <w:sz w:val="24"/>
                <w:highlight w:val="none"/>
                <w:u w:val="none" w:color="auto"/>
              </w:rPr>
              <w:t xml:space="preserve"> och</w:t>
            </w:r>
          </w:p>
        </w:tc>
        <w:tc>
          <w:tcPr/>
          <w:p>
            <w:pPr>
              <w:pStyle w:val="Normal6"/>
            </w:pPr>
            <w:r>
              <w:rPr>
                <w:rFonts w:ascii="Times New Roman" w:eastAsia="Times New Roman" w:hAnsi="Times New Roman" w:cs="Times New Roman"/>
                <w:b/>
                <w:i/>
                <w:strike w:val="0"/>
                <w:color w:val="000000"/>
                <w:sz w:val="24"/>
                <w:highlight w:val="none"/>
                <w:u w:val="none" w:color="auto"/>
              </w:rPr>
              <w:t>f)</w:t>
            </w:r>
            <w:r>
              <w:tab/>
            </w:r>
            <w:r>
              <w:t>det finns tillräcklig tillgång till arbetsmarknaden, mottagningsanläggningar, hälso- och sjukvård och utbildning</w:t>
            </w:r>
            <w:r>
              <w:rPr>
                <w:rFonts w:ascii="Times New Roman" w:eastAsia="Times New Roman" w:hAnsi="Times New Roman" w:cs="Times New Roman"/>
                <w:b/>
                <w:i/>
                <w:strike w:val="0"/>
                <w:color w:val="000000"/>
                <w:sz w:val="24"/>
                <w:highlight w:val="none"/>
                <w:u w:val="none" w:color="auto"/>
              </w:rP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fa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fa)</w:t>
            </w:r>
            <w:r>
              <w:tab/>
            </w:r>
            <w:r>
              <w:rPr>
                <w:rFonts w:ascii="Times New Roman" w:eastAsia="Times New Roman" w:hAnsi="Times New Roman" w:cs="Times New Roman"/>
                <w:b/>
                <w:i/>
                <w:strike w:val="0"/>
                <w:color w:val="000000"/>
                <w:sz w:val="24"/>
                <w:highlight w:val="none"/>
                <w:u w:val="none" w:color="auto"/>
              </w:rPr>
              <w:t>sökanden har tillgång till tillräckliga medel för sitt uppehälle för att upprätthålla en lämplig levnadsstandard, och tredjelandet vidtar åtgärder för att möjliggöra successivt uppnående av självförsörjning, i avvaktan på att hållbara lösningar åstadkoms,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fa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fa)</w:t>
            </w:r>
            <w:r>
              <w:tab/>
            </w:r>
            <w:r>
              <w:rPr>
                <w:rFonts w:ascii="Times New Roman" w:eastAsia="Times New Roman" w:hAnsi="Times New Roman" w:cs="Times New Roman"/>
                <w:b/>
                <w:i/>
                <w:strike w:val="0"/>
                <w:color w:val="000000"/>
                <w:sz w:val="24"/>
                <w:highlight w:val="none"/>
                <w:u w:val="none" w:color="auto"/>
              </w:rPr>
              <w:t>det finns tillgång till medel för uppehälle som är tillräckliga för att upprätthålla en lämplig levnadsstandard,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fb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fb)</w:t>
            </w:r>
            <w:r>
              <w:tab/>
            </w:r>
            <w:r>
              <w:rPr>
                <w:rFonts w:ascii="Times New Roman" w:eastAsia="Times New Roman" w:hAnsi="Times New Roman" w:cs="Times New Roman"/>
                <w:b/>
                <w:i/>
                <w:strike w:val="0"/>
                <w:color w:val="000000"/>
                <w:sz w:val="24"/>
                <w:highlight w:val="none"/>
                <w:u w:val="none" w:color="auto"/>
              </w:rPr>
              <w:t>tredjelandet beaktar eventuell särskild utsatthet hos sökanden och upprätthåller sökandens intressen i fråga om integritet,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fb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fb)</w:t>
            </w:r>
            <w:r>
              <w:tab/>
            </w:r>
            <w:r>
              <w:rPr>
                <w:rFonts w:ascii="Times New Roman" w:eastAsia="Times New Roman" w:hAnsi="Times New Roman" w:cs="Times New Roman"/>
                <w:b/>
                <w:i/>
                <w:strike w:val="0"/>
                <w:color w:val="000000"/>
                <w:sz w:val="24"/>
                <w:highlight w:val="none"/>
                <w:u w:val="none" w:color="auto"/>
              </w:rPr>
              <w:t>tredjelandet beaktar eventuell särskild utsatthet hos sökanden och upprätthåller sökandens intressen i fråga om integritet,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fc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fc)</w:t>
            </w:r>
            <w:r>
              <w:tab/>
            </w:r>
            <w:r>
              <w:rPr>
                <w:rFonts w:ascii="Times New Roman" w:eastAsia="Times New Roman" w:hAnsi="Times New Roman" w:cs="Times New Roman"/>
                <w:b/>
                <w:i/>
                <w:strike w:val="0"/>
                <w:color w:val="000000"/>
                <w:sz w:val="24"/>
                <w:highlight w:val="none"/>
                <w:u w:val="none" w:color="auto"/>
              </w:rPr>
              <w:t>effektivt skydd förblir tillgängligt fram till dess att en hållbar lösning kan hittas.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g</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(g)</w:t>
            </w:r>
            <w:r>
              <w:tab/>
            </w:r>
            <w:r>
              <w:rPr>
                <w:rFonts w:ascii="Times New Roman" w:eastAsia="Times New Roman" w:hAnsi="Times New Roman" w:cs="Times New Roman"/>
                <w:b/>
                <w:i/>
                <w:strike w:val="0"/>
                <w:color w:val="000000"/>
                <w:sz w:val="24"/>
                <w:highlight w:val="none"/>
                <w:u w:val="none" w:color="auto"/>
              </w:rPr>
              <w:t>det finns en rätt till familjeåterförening i enlighet med internationella människorättsnormer.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g</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(g)</w:t>
            </w:r>
            <w:r>
              <w:tab/>
            </w:r>
            <w:r>
              <w:t>det finns en rätt till familjeåterförening i enlighet med internationella människorättsnormer</w:t>
            </w:r>
            <w:r>
              <w:rPr>
                <w:rFonts w:ascii="Times New Roman" w:eastAsia="Times New Roman" w:hAnsi="Times New Roman" w:cs="Times New Roman"/>
                <w:b/>
                <w:i/>
                <w:strike w:val="0"/>
                <w:color w:val="000000"/>
                <w:sz w:val="24"/>
                <w:highlight w:val="none"/>
                <w:u w:val="none" w:color="auto"/>
              </w:rPr>
              <w:t>.</w:t>
            </w:r>
          </w:p>
        </w:tc>
        <w:tc>
          <w:tcPr/>
          <w:p>
            <w:pPr>
              <w:pStyle w:val="Normal6"/>
            </w:pPr>
            <w:r>
              <w:rPr>
                <w:rFonts w:ascii="Times New Roman" w:eastAsia="Times New Roman" w:hAnsi="Times New Roman" w:cs="Times New Roman"/>
                <w:b/>
                <w:i/>
                <w:strike w:val="0"/>
                <w:color w:val="000000"/>
                <w:sz w:val="24"/>
                <w:highlight w:val="none"/>
                <w:u w:val="none" w:color="auto"/>
              </w:rPr>
              <w:t>g)</w:t>
            </w:r>
            <w:r>
              <w:tab/>
            </w:r>
            <w:r>
              <w:t>det finns en rätt till familjeåterförening i enlighet med internationella människorättsnormer</w:t>
            </w:r>
            <w:r>
              <w:rPr>
                <w:rFonts w:ascii="Times New Roman" w:eastAsia="Times New Roman" w:hAnsi="Times New Roman" w:cs="Times New Roman"/>
                <w:b/>
                <w:i/>
                <w:strike w:val="0"/>
                <w:color w:val="000000"/>
                <w:sz w:val="24"/>
                <w:highlight w:val="none"/>
                <w:u w:val="none" w:color="auto"/>
              </w:rPr>
              <w:t>, och</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 – led ga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ga)</w:t>
            </w:r>
            <w:r>
              <w:tab/>
            </w:r>
            <w:r>
              <w:rPr>
                <w:rFonts w:ascii="Times New Roman" w:eastAsia="Times New Roman" w:hAnsi="Times New Roman" w:cs="Times New Roman"/>
                <w:b/>
                <w:i/>
                <w:strike w:val="0"/>
                <w:color w:val="000000"/>
                <w:sz w:val="24"/>
                <w:highlight w:val="none"/>
                <w:u w:val="none" w:color="auto"/>
              </w:rPr>
              <w:t>tredjelandet har anslutit sig till internationella flyktinginstrument och grundläggande människorättsinstrument och efterlever deras normer i praktiken.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2a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2a.</w:t>
            </w:r>
            <w:r>
              <w:tab/>
            </w:r>
            <w:r>
              <w:rPr>
                <w:rFonts w:ascii="Times New Roman" w:eastAsia="Times New Roman" w:hAnsi="Times New Roman" w:cs="Times New Roman"/>
                <w:b/>
                <w:i/>
                <w:strike w:val="0"/>
                <w:color w:val="000000"/>
                <w:sz w:val="24"/>
                <w:highlight w:val="none"/>
                <w:u w:val="none" w:color="auto"/>
              </w:rPr>
              <w:t>Beslut om att villkoren i punkt 1 är uppfyllda bör regelbundet ses över av oberoende organisationer.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Sergei Stanishev</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Innan hans eller hennes ansökan kan nekas prövning i enlighet med artikel 36.1 a ska sökanden ges möjlighet att överklaga tillämpningen av begreppet första asylland med hänsyn till hans eller hennes särskilda omständigheter vid inlämnandet av ansökan och vid intervjun avseende huruvida ansökan kan tas upp till prövning.</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I linje med de föregående ändringsförslagen om att ta bort tillåtlighetskontroller som krav innan Dublinförordningen tillämpas.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Innan hans eller hennes ansökan kan nekas prövning i enlighet med artikel 36.1 a ska sökanden ges möjlighet att överklaga tillämpningen av begreppet första asylland med hänsyn till hans eller hennes särskilda omständigheter</w:t>
            </w:r>
            <w:r>
              <w:rPr>
                <w:rFonts w:ascii="Times New Roman" w:eastAsia="Times New Roman" w:hAnsi="Times New Roman" w:cs="Times New Roman"/>
                <w:b/>
                <w:i/>
                <w:strike w:val="0"/>
                <w:color w:val="000000"/>
                <w:sz w:val="24"/>
                <w:highlight w:val="none"/>
                <w:u w:val="none" w:color="auto"/>
              </w:rPr>
              <w:t xml:space="preserve"> vid inlämnandet av ansökan och vid intervjun avseende huruvida ansökan kan tas upp till prövning</w:t>
            </w:r>
            <w:r>
              <w:t>.</w:t>
            </w:r>
          </w:p>
        </w:tc>
        <w:tc>
          <w:tcPr/>
          <w:p>
            <w:pPr>
              <w:pStyle w:val="Normal6"/>
            </w:pPr>
            <w:r>
              <w:t>3.</w:t>
            </w:r>
            <w:r>
              <w:tab/>
            </w:r>
            <w:r>
              <w:t>Innan hans eller hennes ansökan kan nekas prövning i enlighet med artikel 36.1 a ska sökanden ges möjlighet att överklaga tillämpningen av begreppet första asylland med hänsyn till hans eller hennes särskilda omständigheter.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Sökanden bör ha rätt att överklaga tillämpningen av begreppet under hela sitt förfarande, fram till ett slutgiltigt beslut.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t xml:space="preserve">, </w:t>
      </w:r>
      <w:r>
        <w:t>Jean Lambert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Innan hans eller hennes ansökan kan </w:t>
            </w:r>
            <w:r>
              <w:rPr>
                <w:rFonts w:ascii="Times New Roman" w:eastAsia="Times New Roman" w:hAnsi="Times New Roman" w:cs="Times New Roman"/>
                <w:b/>
                <w:i/>
                <w:strike w:val="0"/>
                <w:color w:val="000000"/>
                <w:sz w:val="24"/>
                <w:highlight w:val="none"/>
                <w:u w:val="none" w:color="auto"/>
              </w:rPr>
              <w:t>nekas prövning</w:t>
            </w:r>
            <w:r>
              <w:t xml:space="preserve"> i enlighet med </w:t>
            </w:r>
            <w:r>
              <w:rPr>
                <w:rFonts w:ascii="Times New Roman" w:eastAsia="Times New Roman" w:hAnsi="Times New Roman" w:cs="Times New Roman"/>
                <w:b/>
                <w:i/>
                <w:strike w:val="0"/>
                <w:color w:val="000000"/>
                <w:sz w:val="24"/>
                <w:highlight w:val="none"/>
                <w:u w:val="none" w:color="auto"/>
              </w:rPr>
              <w:t>artikel 36.1 a</w:t>
            </w:r>
            <w:r>
              <w:t xml:space="preserve"> ska sökanden ges möjlighet att överklaga tillämpningen av begreppet första asylland med hänsyn till hans eller hennes särskilda omständigheter</w:t>
            </w:r>
            <w:r>
              <w:rPr>
                <w:rFonts w:ascii="Times New Roman" w:eastAsia="Times New Roman" w:hAnsi="Times New Roman" w:cs="Times New Roman"/>
                <w:b/>
                <w:i/>
                <w:strike w:val="0"/>
                <w:color w:val="000000"/>
                <w:sz w:val="24"/>
                <w:highlight w:val="none"/>
                <w:u w:val="none" w:color="auto"/>
              </w:rPr>
              <w:t xml:space="preserve"> vid inlämnandet av ansökan och vid intervjun avseende huruvida ansökan kan tas upp till prövning</w:t>
            </w:r>
            <w:r>
              <w:t>.</w:t>
            </w:r>
          </w:p>
        </w:tc>
        <w:tc>
          <w:tcPr/>
          <w:p>
            <w:pPr>
              <w:pStyle w:val="Normal6"/>
            </w:pPr>
            <w:r>
              <w:t>3.</w:t>
            </w:r>
            <w:r>
              <w:tab/>
            </w:r>
            <w:r>
              <w:t xml:space="preserve">Innan hans eller hennes ansökan kan </w:t>
            </w:r>
            <w:r>
              <w:rPr>
                <w:rFonts w:ascii="Times New Roman" w:eastAsia="Times New Roman" w:hAnsi="Times New Roman" w:cs="Times New Roman"/>
                <w:b/>
                <w:i/>
                <w:strike w:val="0"/>
                <w:color w:val="000000"/>
                <w:sz w:val="24"/>
                <w:highlight w:val="none"/>
                <w:u w:val="none" w:color="auto"/>
              </w:rPr>
              <w:t>avslås som ett led i sakprövningen av ansökan</w:t>
            </w:r>
            <w:r>
              <w:t xml:space="preserve"> i enlighet med </w:t>
            </w:r>
            <w:r>
              <w:rPr>
                <w:rFonts w:ascii="Times New Roman" w:eastAsia="Times New Roman" w:hAnsi="Times New Roman" w:cs="Times New Roman"/>
                <w:b/>
                <w:i/>
                <w:strike w:val="0"/>
                <w:color w:val="000000"/>
                <w:sz w:val="24"/>
                <w:highlight w:val="none"/>
                <w:u w:val="none" w:color="auto"/>
              </w:rPr>
              <w:t>avsnitt II i denna förordning</w:t>
            </w:r>
            <w:r>
              <w:t xml:space="preserve"> ska sökanden ges möjlighet att </w:t>
            </w:r>
            <w:r>
              <w:rPr>
                <w:rFonts w:ascii="Times New Roman" w:eastAsia="Times New Roman" w:hAnsi="Times New Roman" w:cs="Times New Roman"/>
                <w:b/>
                <w:i/>
                <w:strike w:val="0"/>
                <w:color w:val="000000"/>
                <w:sz w:val="24"/>
                <w:highlight w:val="none"/>
                <w:u w:val="none" w:color="auto"/>
              </w:rPr>
              <w:t xml:space="preserve">i varje skede av förfarandet </w:t>
            </w:r>
            <w:r>
              <w:t>överklaga tillämpningen av begreppet första asylland med hänsyn till hans eller hennes särskilda omständigheter.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rPr>
                <w:rFonts w:ascii="Times New Roman" w:eastAsia="Times New Roman" w:hAnsi="Times New Roman" w:cs="Times New Roman"/>
                <w:b/>
                <w:i/>
                <w:strike w:val="0"/>
                <w:color w:val="000000"/>
                <w:sz w:val="24"/>
                <w:highlight w:val="none"/>
                <w:u w:val="none" w:color="auto"/>
              </w:rPr>
              <w:t xml:space="preserve">När det gäller ensamkommande barn får </w:t>
            </w:r>
            <w:r>
              <w:rPr>
                <w:rFonts w:ascii="Times New Roman" w:eastAsia="Times New Roman" w:hAnsi="Times New Roman" w:cs="Times New Roman"/>
                <w:b/>
                <w:i/>
                <w:strike w:val="0"/>
                <w:color w:val="000000"/>
                <w:sz w:val="24"/>
                <w:highlight w:val="none"/>
                <w:u w:val="none" w:color="auto"/>
              </w:rPr>
              <w:t>begreppet</w:t>
            </w:r>
            <w:r>
              <w:t xml:space="preserve"> första asylland </w:t>
            </w:r>
            <w:r>
              <w:rPr>
                <w:rFonts w:ascii="Times New Roman" w:eastAsia="Times New Roman" w:hAnsi="Times New Roman" w:cs="Times New Roman"/>
                <w:b/>
                <w:i/>
                <w:strike w:val="0"/>
                <w:color w:val="000000"/>
                <w:sz w:val="24"/>
                <w:highlight w:val="none"/>
                <w:u w:val="none" w:color="auto"/>
              </w:rPr>
              <w:t>tillämpas endast om medlemsstaternas myndigheter först från det berörda tredjelandets myndigheter erhållit tillförsäkran om att det</w:t>
            </w:r>
            <w:r>
              <w:t xml:space="preserve"> ensamkommande </w:t>
            </w:r>
            <w:r>
              <w:rPr>
                <w:rFonts w:ascii="Times New Roman" w:eastAsia="Times New Roman" w:hAnsi="Times New Roman" w:cs="Times New Roman"/>
                <w:b/>
                <w:i/>
                <w:strike w:val="0"/>
                <w:color w:val="000000"/>
                <w:sz w:val="24"/>
                <w:highlight w:val="none"/>
                <w:u w:val="none" w:color="auto"/>
              </w:rPr>
              <w:t>barnet kommer att tas om hand av dessa myndigheter och att han eller hon omedelbart kommer att åtnjuta en av de former av skydd som avses i punkt 1</w:t>
            </w:r>
            <w:r>
              <w:t>.</w:t>
            </w:r>
          </w:p>
        </w:tc>
        <w:tc>
          <w:tcPr/>
          <w:p>
            <w:pPr>
              <w:pStyle w:val="Normal6"/>
            </w:pPr>
            <w:r>
              <w:t>4.</w:t>
            </w:r>
            <w:r>
              <w:tab/>
            </w:r>
            <w:r>
              <w:rPr>
                <w:rFonts w:ascii="Times New Roman" w:eastAsia="Times New Roman" w:hAnsi="Times New Roman" w:cs="Times New Roman"/>
                <w:b/>
                <w:i/>
                <w:strike w:val="0"/>
                <w:color w:val="000000"/>
                <w:sz w:val="24"/>
                <w:highlight w:val="none"/>
                <w:u w:val="none" w:color="auto"/>
              </w:rPr>
              <w:t>Begreppet</w:t>
            </w:r>
            <w:r>
              <w:t xml:space="preserve"> första asylland </w:t>
            </w:r>
            <w:r>
              <w:rPr>
                <w:rFonts w:ascii="Times New Roman" w:eastAsia="Times New Roman" w:hAnsi="Times New Roman" w:cs="Times New Roman"/>
                <w:b/>
                <w:i/>
                <w:strike w:val="0"/>
                <w:color w:val="000000"/>
                <w:sz w:val="24"/>
                <w:highlight w:val="none"/>
                <w:u w:val="none" w:color="auto"/>
              </w:rPr>
              <w:t>får inte tillämpas på</w:t>
            </w:r>
            <w:r>
              <w:t xml:space="preserve"> ensamkommande </w:t>
            </w:r>
            <w:r>
              <w:rPr>
                <w:rFonts w:ascii="Times New Roman" w:eastAsia="Times New Roman" w:hAnsi="Times New Roman" w:cs="Times New Roman"/>
                <w:b/>
                <w:i/>
                <w:strike w:val="0"/>
                <w:color w:val="000000"/>
                <w:sz w:val="24"/>
                <w:highlight w:val="none"/>
                <w:u w:val="none" w:color="auto"/>
              </w:rPr>
              <w:t>barn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rPr>
                <w:rFonts w:ascii="Times New Roman" w:eastAsia="Times New Roman" w:hAnsi="Times New Roman" w:cs="Times New Roman"/>
                <w:b/>
                <w:i/>
                <w:strike w:val="0"/>
                <w:color w:val="000000"/>
                <w:sz w:val="24"/>
                <w:highlight w:val="none"/>
                <w:u w:val="none" w:color="auto"/>
              </w:rPr>
              <w:t xml:space="preserve">När det gäller ensamkommande barn får </w:t>
            </w:r>
            <w:r>
              <w:rPr>
                <w:rFonts w:ascii="Times New Roman" w:eastAsia="Times New Roman" w:hAnsi="Times New Roman" w:cs="Times New Roman"/>
                <w:b/>
                <w:i/>
                <w:strike w:val="0"/>
                <w:color w:val="000000"/>
                <w:sz w:val="24"/>
                <w:highlight w:val="none"/>
                <w:u w:val="none" w:color="auto"/>
              </w:rPr>
              <w:t>begreppet</w:t>
            </w:r>
            <w:r>
              <w:t xml:space="preserve"> första asylland </w:t>
            </w:r>
            <w:r>
              <w:rPr>
                <w:rFonts w:ascii="Times New Roman" w:eastAsia="Times New Roman" w:hAnsi="Times New Roman" w:cs="Times New Roman"/>
                <w:b/>
                <w:i/>
                <w:strike w:val="0"/>
                <w:color w:val="000000"/>
                <w:sz w:val="24"/>
                <w:highlight w:val="none"/>
                <w:u w:val="none" w:color="auto"/>
              </w:rPr>
              <w:t>tillämpas endast om medlemsstaternas myndigheter först från det berörda tredjelandets myndigheter erhållit tillförsäkran om att det</w:t>
            </w:r>
            <w:r>
              <w:t xml:space="preserve"> ensamkommande </w:t>
            </w:r>
            <w:r>
              <w:rPr>
                <w:rFonts w:ascii="Times New Roman" w:eastAsia="Times New Roman" w:hAnsi="Times New Roman" w:cs="Times New Roman"/>
                <w:b/>
                <w:i/>
                <w:strike w:val="0"/>
                <w:color w:val="000000"/>
                <w:sz w:val="24"/>
                <w:highlight w:val="none"/>
                <w:u w:val="none" w:color="auto"/>
              </w:rPr>
              <w:t>barnet kommer att tas om hand av dessa myndigheter och att han eller hon omedelbart kommer att åtnjuta en av de former av skydd som avses i punkt 1</w:t>
            </w:r>
            <w:r>
              <w:t>.</w:t>
            </w:r>
          </w:p>
        </w:tc>
        <w:tc>
          <w:tcPr/>
          <w:p>
            <w:pPr>
              <w:pStyle w:val="Normal6"/>
            </w:pPr>
            <w:r>
              <w:t>4.</w:t>
            </w:r>
            <w:r>
              <w:tab/>
            </w:r>
            <w:r>
              <w:rPr>
                <w:rFonts w:ascii="Times New Roman" w:eastAsia="Times New Roman" w:hAnsi="Times New Roman" w:cs="Times New Roman"/>
                <w:b/>
                <w:i/>
                <w:strike w:val="0"/>
                <w:color w:val="000000"/>
                <w:sz w:val="24"/>
                <w:highlight w:val="none"/>
                <w:u w:val="none" w:color="auto"/>
              </w:rPr>
              <w:t>Begreppet</w:t>
            </w:r>
            <w:r>
              <w:t xml:space="preserve"> första asylland </w:t>
            </w:r>
            <w:r>
              <w:rPr>
                <w:rFonts w:ascii="Times New Roman" w:eastAsia="Times New Roman" w:hAnsi="Times New Roman" w:cs="Times New Roman"/>
                <w:b/>
                <w:i/>
                <w:strike w:val="0"/>
                <w:color w:val="000000"/>
                <w:sz w:val="24"/>
                <w:highlight w:val="none"/>
                <w:u w:val="none" w:color="auto"/>
              </w:rPr>
              <w:t>får inte tillämpas på</w:t>
            </w:r>
            <w:r>
              <w:t xml:space="preserve"> ensamkommande </w:t>
            </w:r>
            <w:r>
              <w:rPr>
                <w:rFonts w:ascii="Times New Roman" w:eastAsia="Times New Roman" w:hAnsi="Times New Roman" w:cs="Times New Roman"/>
                <w:b/>
                <w:i/>
                <w:strike w:val="0"/>
                <w:color w:val="000000"/>
                <w:sz w:val="24"/>
                <w:highlight w:val="none"/>
                <w:u w:val="none" w:color="auto"/>
              </w:rPr>
              <w:t>barn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Underåriga utan medföljande vuxen är särskilt utsatta och bör inte vara föremål för användning av begreppet första asylland.</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rPr>
                <w:rFonts w:ascii="Times New Roman" w:eastAsia="Times New Roman" w:hAnsi="Times New Roman" w:cs="Times New Roman"/>
                <w:b/>
                <w:i/>
                <w:strike w:val="0"/>
                <w:color w:val="000000"/>
                <w:sz w:val="24"/>
                <w:highlight w:val="none"/>
                <w:u w:val="none" w:color="auto"/>
              </w:rPr>
              <w:t xml:space="preserve">När det gäller ensamkommande barn får </w:t>
            </w:r>
            <w:r>
              <w:rPr>
                <w:rFonts w:ascii="Times New Roman" w:eastAsia="Times New Roman" w:hAnsi="Times New Roman" w:cs="Times New Roman"/>
                <w:b/>
                <w:i/>
                <w:strike w:val="0"/>
                <w:color w:val="000000"/>
                <w:sz w:val="24"/>
                <w:highlight w:val="none"/>
                <w:u w:val="none" w:color="auto"/>
              </w:rPr>
              <w:t>begreppet</w:t>
            </w:r>
            <w:r>
              <w:t xml:space="preserve"> första asylland </w:t>
            </w:r>
            <w:r>
              <w:rPr>
                <w:rFonts w:ascii="Times New Roman" w:eastAsia="Times New Roman" w:hAnsi="Times New Roman" w:cs="Times New Roman"/>
                <w:b/>
                <w:i/>
                <w:strike w:val="0"/>
                <w:color w:val="000000"/>
                <w:sz w:val="24"/>
                <w:highlight w:val="none"/>
                <w:u w:val="none" w:color="auto"/>
              </w:rPr>
              <w:t>tillämpas endast om medlemsstaternas myndigheter först från det berörda tredjelandets myndigheter erhållit tillförsäkran om att det</w:t>
            </w:r>
            <w:r>
              <w:t xml:space="preserve"> ensamkommande </w:t>
            </w:r>
            <w:r>
              <w:rPr>
                <w:rFonts w:ascii="Times New Roman" w:eastAsia="Times New Roman" w:hAnsi="Times New Roman" w:cs="Times New Roman"/>
                <w:b/>
                <w:i/>
                <w:strike w:val="0"/>
                <w:color w:val="000000"/>
                <w:sz w:val="24"/>
                <w:highlight w:val="none"/>
                <w:u w:val="none" w:color="auto"/>
              </w:rPr>
              <w:t>barnet kommer att tas om hand av dessa myndigheter och att han eller hon omedelbart kommer att åtnjuta en av de former av skydd som avses i punkt 1</w:t>
            </w:r>
            <w:r>
              <w:t>.</w:t>
            </w:r>
          </w:p>
        </w:tc>
        <w:tc>
          <w:tcPr/>
          <w:p>
            <w:pPr>
              <w:pStyle w:val="Normal6"/>
            </w:pPr>
            <w:r>
              <w:t>4.</w:t>
            </w:r>
            <w:r>
              <w:tab/>
            </w:r>
            <w:r>
              <w:rPr>
                <w:rFonts w:ascii="Times New Roman" w:eastAsia="Times New Roman" w:hAnsi="Times New Roman" w:cs="Times New Roman"/>
                <w:b/>
                <w:i/>
                <w:strike w:val="0"/>
                <w:color w:val="000000"/>
                <w:sz w:val="24"/>
                <w:highlight w:val="none"/>
                <w:u w:val="none" w:color="auto"/>
              </w:rPr>
              <w:t>Begreppet</w:t>
            </w:r>
            <w:r>
              <w:t xml:space="preserve"> första asylland </w:t>
            </w:r>
            <w:r>
              <w:rPr>
                <w:rFonts w:ascii="Times New Roman" w:eastAsia="Times New Roman" w:hAnsi="Times New Roman" w:cs="Times New Roman"/>
                <w:b/>
                <w:i/>
                <w:strike w:val="0"/>
                <w:color w:val="000000"/>
                <w:sz w:val="24"/>
                <w:highlight w:val="none"/>
                <w:u w:val="none" w:color="auto"/>
              </w:rPr>
              <w:t>får inte tillämpas på</w:t>
            </w:r>
            <w:r>
              <w:t xml:space="preserve"> ensamkommande </w:t>
            </w:r>
            <w:r>
              <w:rPr>
                <w:rFonts w:ascii="Times New Roman" w:eastAsia="Times New Roman" w:hAnsi="Times New Roman" w:cs="Times New Roman"/>
                <w:b/>
                <w:i/>
                <w:strike w:val="0"/>
                <w:color w:val="000000"/>
                <w:sz w:val="24"/>
                <w:highlight w:val="none"/>
                <w:u w:val="none" w:color="auto"/>
              </w:rPr>
              <w:t>barn om det inte fastställts ligga i barnets intresse</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Begreppet första asylland bör inte tillämpas på underåriga utan medföljande vuxen om det inte bedöms ligga i deras intresse.</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 Maria Corazza Bildt</w:t>
      </w:r>
      <w:r>
        <w:t xml:space="preserve">, </w:t>
      </w:r>
      <w:r>
        <w:t>Caterina Chinnici</w:t>
      </w:r>
      <w:r>
        <w:t xml:space="preserve">, </w:t>
      </w:r>
      <w:r>
        <w:t>Hilde Vautmans</w:t>
      </w:r>
      <w:r>
        <w:t xml:space="preserve">, </w:t>
      </w:r>
      <w:r>
        <w:t>Barbara Matera</w:t>
      </w:r>
      <w:r>
        <w:t xml:space="preserve">, </w:t>
      </w:r>
      <w:r>
        <w:t>Damiano Zoffoli</w:t>
      </w:r>
      <w:r>
        <w:t xml:space="preserve">, </w:t>
      </w:r>
      <w:r>
        <w:t>Michaela Šojdrová</w:t>
      </w:r>
      <w:r>
        <w:t xml:space="preserve">, </w:t>
      </w:r>
      <w:r>
        <w:t>Brando Benifei</w:t>
      </w:r>
      <w:r>
        <w:t xml:space="preserve">, </w:t>
      </w:r>
      <w:r>
        <w:t>Lara Comi</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 xml:space="preserve">När det gäller ensamkommande barn får begreppet första asylland tillämpas </w:t>
            </w:r>
            <w:r>
              <w:rPr>
                <w:rFonts w:ascii="Times New Roman" w:eastAsia="Times New Roman" w:hAnsi="Times New Roman" w:cs="Times New Roman"/>
                <w:b/>
                <w:i/>
                <w:strike w:val="0"/>
                <w:color w:val="000000"/>
                <w:sz w:val="24"/>
                <w:highlight w:val="none"/>
                <w:u w:val="none" w:color="auto"/>
              </w:rPr>
              <w:t>endast</w:t>
            </w:r>
            <w:r>
              <w:t xml:space="preserve"> om medlemsstaternas myndigheter först från det berörda tredjelandets myndigheter erhållit tillförsäkran om att det ensamkommande barnet kommer att tas om hand av dessa myndigheter och att han eller hon omedelbart kommer att åtnjuta en av de former av skydd som avses i punkt 1.</w:t>
            </w:r>
          </w:p>
        </w:tc>
        <w:tc>
          <w:tcPr/>
          <w:p>
            <w:pPr>
              <w:pStyle w:val="Normal6"/>
            </w:pPr>
            <w:r>
              <w:t>4.</w:t>
            </w:r>
            <w:r>
              <w:tab/>
            </w:r>
            <w:r>
              <w:t xml:space="preserve">När det gäller ensamkommande barn får begreppet första asylland </w:t>
            </w:r>
            <w:r>
              <w:rPr>
                <w:rFonts w:ascii="Times New Roman" w:eastAsia="Times New Roman" w:hAnsi="Times New Roman" w:cs="Times New Roman"/>
                <w:b/>
                <w:i/>
                <w:strike w:val="0"/>
                <w:color w:val="000000"/>
                <w:sz w:val="24"/>
                <w:highlight w:val="none"/>
                <w:u w:val="none" w:color="auto"/>
              </w:rPr>
              <w:t xml:space="preserve">inte </w:t>
            </w:r>
            <w:r>
              <w:t xml:space="preserve">tillämpas </w:t>
            </w:r>
            <w:r>
              <w:rPr>
                <w:rFonts w:ascii="Times New Roman" w:eastAsia="Times New Roman" w:hAnsi="Times New Roman" w:cs="Times New Roman"/>
                <w:b/>
                <w:i/>
                <w:strike w:val="0"/>
                <w:color w:val="000000"/>
                <w:sz w:val="24"/>
                <w:highlight w:val="none"/>
                <w:u w:val="none" w:color="auto"/>
              </w:rPr>
              <w:t>om det inte ligger i deras intresse och</w:t>
            </w:r>
            <w:r>
              <w:t xml:space="preserve"> om medlemsstaternas myndigheter först från det berörda tredjelandets myndigheter erhållit tillförsäkran om att det ensamkommande barnet kommer att tas om hand av dessa myndigheter och att han eller hon omedelbart kommer att åtnjuta en av de former av skydd som avses i punkt 1.</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rPr>
                <w:rFonts w:ascii="Times New Roman" w:eastAsia="Times New Roman" w:hAnsi="Times New Roman" w:cs="Times New Roman"/>
                <w:b/>
                <w:i/>
                <w:strike w:val="0"/>
                <w:color w:val="000000"/>
                <w:sz w:val="24"/>
                <w:highlight w:val="none"/>
                <w:u w:val="none" w:color="auto"/>
              </w:rPr>
              <w:t>När det gäller ensamkommande barn får begreppet första asylland tillämpas</w:t>
            </w:r>
            <w:r>
              <w:t xml:space="preserve"> endast om medlemsstaternas myndigheter först från det berörda tredjelandets myndigheter erhållit tillförsäkran om att det ensamkommande barnet kommer att tas om hand av dessa myndigheter och att han eller hon omedelbart kommer att åtnjuta en av de former av skydd som avses i punkt 1.</w:t>
            </w:r>
          </w:p>
        </w:tc>
        <w:tc>
          <w:tcPr/>
          <w:p>
            <w:pPr>
              <w:pStyle w:val="Normal6"/>
            </w:pPr>
            <w:r>
              <w:t>4.</w:t>
            </w:r>
            <w:r>
              <w:tab/>
            </w:r>
            <w:r>
              <w:rPr>
                <w:rFonts w:ascii="Times New Roman" w:eastAsia="Times New Roman" w:hAnsi="Times New Roman" w:cs="Times New Roman"/>
                <w:b/>
                <w:i/>
                <w:strike w:val="0"/>
                <w:color w:val="000000"/>
                <w:sz w:val="24"/>
                <w:highlight w:val="none"/>
                <w:u w:val="none" w:color="auto"/>
              </w:rPr>
              <w:t>Begreppet första asylland får tillämpas på ensamkommande barn</w:t>
            </w:r>
            <w:r>
              <w:t xml:space="preserve"> endast om medlemsstaternas myndigheter först från det berörda tredjelandets myndigheter erhållit tillförsäkran om att det ensamkommande barnet kommer att tas om hand av dessa myndigheter och att han eller hon omedelbart kommer att åtnjuta en av de former av skydd som avses i punkt 1.</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w:t>
            </w:r>
            <w:r>
              <w:tab/>
            </w:r>
            <w:r>
              <w:rPr>
                <w:rFonts w:ascii="Times New Roman" w:eastAsia="Times New Roman" w:hAnsi="Times New Roman" w:cs="Times New Roman"/>
                <w:b/>
                <w:i/>
                <w:strike w:val="0"/>
                <w:color w:val="000000"/>
                <w:sz w:val="24"/>
                <w:highlight w:val="none"/>
                <w:u w:val="none" w:color="auto"/>
              </w:rPr>
              <w:t>Om en ansökan nekas prövning genom tillämpning av begreppet första asylland ska den beslutande myndigheten</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(a)informera sökanden om detta,</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(b)förse sökanden med en handling på tredjelandets språk som underrättar myndigheterna i det landet om att ansökan inte har prövats i sak till följd av tillämpningen av begreppet första asylland.</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6.</w:t>
            </w:r>
            <w:r>
              <w:tab/>
            </w:r>
            <w:r>
              <w:t xml:space="preserve">Om det berörda tredjelandet inte tillåter att sökanden reser in eller reser in på nytt på dess territorium </w:t>
            </w:r>
            <w:r>
              <w:rPr>
                <w:rFonts w:ascii="Times New Roman" w:eastAsia="Times New Roman" w:hAnsi="Times New Roman" w:cs="Times New Roman"/>
                <w:b/>
                <w:i/>
                <w:strike w:val="0"/>
                <w:color w:val="000000"/>
                <w:sz w:val="24"/>
                <w:highlight w:val="none"/>
                <w:u w:val="none" w:color="auto"/>
              </w:rPr>
              <w:t>ska</w:t>
            </w:r>
            <w:r>
              <w:t xml:space="preserve"> den beslutande myndigheten återkalla beslutet om att neka ansökan prövning och ge tillgång till förfarandet i enlighet med de grundläggande principerna och garantierna i kapitel II och avsnitt I i kapitel III.</w:t>
            </w:r>
          </w:p>
        </w:tc>
        <w:tc>
          <w:tcPr/>
          <w:p>
            <w:pPr>
              <w:pStyle w:val="Normal6"/>
            </w:pPr>
            <w:r>
              <w:t>6.</w:t>
            </w:r>
            <w:r>
              <w:tab/>
            </w:r>
            <w:r>
              <w:t xml:space="preserve">Om det berörda tredjelandet </w:t>
            </w:r>
            <w:r>
              <w:rPr>
                <w:rFonts w:ascii="Times New Roman" w:eastAsia="Times New Roman" w:hAnsi="Times New Roman" w:cs="Times New Roman"/>
                <w:b/>
                <w:i/>
                <w:strike w:val="0"/>
                <w:color w:val="000000"/>
                <w:sz w:val="24"/>
                <w:highlight w:val="none"/>
                <w:u w:val="none" w:color="auto"/>
              </w:rPr>
              <w:t xml:space="preserve">trots upprepade försök </w:t>
            </w:r>
            <w:r>
              <w:t>inte tillåter att sökanden reser in eller reser in på nytt på dess territorium </w:t>
            </w:r>
            <w:r>
              <w:rPr>
                <w:rFonts w:ascii="Times New Roman" w:eastAsia="Times New Roman" w:hAnsi="Times New Roman" w:cs="Times New Roman"/>
                <w:b/>
                <w:i/>
                <w:strike w:val="0"/>
                <w:color w:val="000000"/>
                <w:sz w:val="24"/>
                <w:highlight w:val="none"/>
                <w:u w:val="none" w:color="auto"/>
              </w:rPr>
              <w:t>får</w:t>
            </w:r>
            <w:r>
              <w:t xml:space="preserve"> den beslutande myndigheten återkalla beslutet om att neka ansökan prövning och ge tillgång till förfarandet i enlighet med de grundläggande principerna och garantierna i kapitel II och avsnitt I i kapitel III. </w:t>
            </w:r>
            <w:r>
              <w:rPr>
                <w:rFonts w:ascii="Times New Roman" w:eastAsia="Times New Roman" w:hAnsi="Times New Roman" w:cs="Times New Roman"/>
                <w:b/>
                <w:i/>
                <w:strike w:val="0"/>
                <w:color w:val="000000"/>
                <w:sz w:val="24"/>
                <w:highlight w:val="none"/>
                <w:u w:val="none" w:color="auto"/>
              </w:rPr>
              <w:t>Återvändandeförfarandet bör dock fortsätta fram till dess att inresa eller återtagande blir möjligt.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6.</w:t>
            </w:r>
            <w:r>
              <w:tab/>
            </w:r>
            <w:r>
              <w:t xml:space="preserve">Om det berörda tredjelandet inte tillåter att sökanden reser in eller reser in på nytt på dess territorium ska den beslutande myndigheten återkalla beslutet om att </w:t>
            </w:r>
            <w:r>
              <w:rPr>
                <w:rFonts w:ascii="Times New Roman" w:eastAsia="Times New Roman" w:hAnsi="Times New Roman" w:cs="Times New Roman"/>
                <w:b/>
                <w:i/>
                <w:strike w:val="0"/>
                <w:color w:val="000000"/>
                <w:sz w:val="24"/>
                <w:highlight w:val="none"/>
                <w:u w:val="none" w:color="auto"/>
              </w:rPr>
              <w:t>neka</w:t>
            </w:r>
            <w:r>
              <w:t xml:space="preserve"> ansökan</w:t>
            </w:r>
            <w:r>
              <w:rPr>
                <w:rFonts w:ascii="Times New Roman" w:eastAsia="Times New Roman" w:hAnsi="Times New Roman" w:cs="Times New Roman"/>
                <w:b/>
                <w:i/>
                <w:strike w:val="0"/>
                <w:color w:val="000000"/>
                <w:sz w:val="24"/>
                <w:highlight w:val="none"/>
                <w:u w:val="none" w:color="auto"/>
              </w:rPr>
              <w:t xml:space="preserve"> prövning</w:t>
            </w:r>
            <w:r>
              <w:t xml:space="preserve"> och ge tillgång till förfarandet i enlighet med de grundläggande principerna och garantierna i kapitel II och avsnitt I i kapitel III.</w:t>
            </w:r>
          </w:p>
        </w:tc>
        <w:tc>
          <w:tcPr/>
          <w:p>
            <w:pPr>
              <w:pStyle w:val="Normal6"/>
            </w:pPr>
            <w:r>
              <w:t>6.</w:t>
            </w:r>
            <w:r>
              <w:tab/>
            </w:r>
            <w:r>
              <w:t>Om det berörda tredjelandet inte tillåter att sökanden reser in eller reser in på nytt på dess territorium ska den beslutande myndigheten återkalla beslutet om att</w:t>
            </w:r>
            <w:r>
              <w:rPr>
                <w:rFonts w:ascii="Times New Roman" w:eastAsia="Times New Roman" w:hAnsi="Times New Roman" w:cs="Times New Roman"/>
                <w:b/>
                <w:i/>
                <w:strike w:val="0"/>
                <w:color w:val="000000"/>
                <w:sz w:val="24"/>
                <w:highlight w:val="none"/>
                <w:u w:val="none" w:color="auto"/>
              </w:rPr>
              <w:t>avvisa</w:t>
            </w:r>
            <w:r>
              <w:t>ansökan och ge tillgång till förfarandet i enlighet med de grundläggande principerna och garantierna i kapitel II och avsnitt I i kapitel III.</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44 – punkt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7.</w:t>
            </w:r>
            <w:r>
              <w:tab/>
            </w:r>
            <w:r>
              <w:t>Medlemsstaten ska varje år till kommissionen och Europeiska unionens asylbyrå meddela de länder på vilka begreppet första asylland tillämpas.</w:t>
            </w:r>
          </w:p>
        </w:tc>
        <w:tc>
          <w:tcPr/>
          <w:p>
            <w:pPr>
              <w:pStyle w:val="Normal6"/>
            </w:pPr>
            <w:r>
              <w:t>7.</w:t>
            </w:r>
            <w:r>
              <w:tab/>
            </w:r>
            <w:r>
              <w:t>Medlemsstaten ska varje år till kommissionen och Europeiska unionens asylbyrå meddela de länder på vilka begreppet första asylland tillämpas</w:t>
            </w:r>
            <w:r>
              <w:rPr>
                <w:rFonts w:ascii="Times New Roman" w:eastAsia="Times New Roman" w:hAnsi="Times New Roman" w:cs="Times New Roman"/>
                <w:b/>
                <w:i/>
                <w:strike w:val="0"/>
                <w:color w:val="000000"/>
                <w:sz w:val="24"/>
                <w:highlight w:val="none"/>
                <w:u w:val="none" w:color="auto"/>
              </w:rPr>
              <w:t xml:space="preserve"> och de fall då tredjelandet inte tillät sökanden att resa in eller resa in på nytt till dess territorium, tillsammans med de motiveringar som lämnats till medlemsstaten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Ett tredjeland </w:t>
            </w:r>
            <w:r>
              <w:rPr>
                <w:rFonts w:ascii="Times New Roman" w:eastAsia="Times New Roman" w:hAnsi="Times New Roman" w:cs="Times New Roman"/>
                <w:b/>
                <w:i/>
                <w:strike w:val="0"/>
                <w:color w:val="000000"/>
                <w:sz w:val="24"/>
                <w:highlight w:val="none"/>
                <w:u w:val="none" w:color="auto"/>
              </w:rPr>
              <w:t>ska</w:t>
            </w:r>
            <w:r>
              <w:t xml:space="preserve"> betecknas som ett säkert tredjeland, förutsatt att</w:t>
            </w:r>
          </w:p>
        </w:tc>
        <w:tc>
          <w:tcPr/>
          <w:p>
            <w:pPr>
              <w:pStyle w:val="Normal6"/>
            </w:pPr>
            <w:r>
              <w:t xml:space="preserve">Ett tredjeland </w:t>
            </w:r>
            <w:r>
              <w:rPr>
                <w:rFonts w:ascii="Times New Roman" w:eastAsia="Times New Roman" w:hAnsi="Times New Roman" w:cs="Times New Roman"/>
                <w:b/>
                <w:i/>
                <w:strike w:val="0"/>
                <w:color w:val="000000"/>
                <w:sz w:val="24"/>
                <w:highlight w:val="none"/>
                <w:u w:val="none" w:color="auto"/>
              </w:rPr>
              <w:t>får</w:t>
            </w:r>
            <w:r>
              <w:t xml:space="preserve"> betecknas som ett säkert tredjeland</w:t>
            </w:r>
            <w:r>
              <w:rPr>
                <w:rFonts w:ascii="Times New Roman" w:eastAsia="Times New Roman" w:hAnsi="Times New Roman" w:cs="Times New Roman"/>
                <w:b/>
                <w:i/>
                <w:strike w:val="0"/>
                <w:color w:val="000000"/>
                <w:sz w:val="24"/>
                <w:highlight w:val="none"/>
                <w:u w:val="none" w:color="auto"/>
              </w:rPr>
              <w:t xml:space="preserve"> under sökandens individuella omständigheter</w:t>
            </w:r>
            <w:r>
              <w:t>, förutsatt att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Ett tredjeland </w:t>
            </w:r>
            <w:r>
              <w:rPr>
                <w:rFonts w:ascii="Times New Roman" w:eastAsia="Times New Roman" w:hAnsi="Times New Roman" w:cs="Times New Roman"/>
                <w:b/>
                <w:i/>
                <w:strike w:val="0"/>
                <w:color w:val="000000"/>
                <w:sz w:val="24"/>
                <w:highlight w:val="none"/>
                <w:u w:val="none" w:color="auto"/>
              </w:rPr>
              <w:t>ska betecknas</w:t>
            </w:r>
            <w:r>
              <w:t xml:space="preserve"> som ett säkert tredjeland, förutsatt att</w:t>
            </w:r>
          </w:p>
        </w:tc>
        <w:tc>
          <w:tcPr/>
          <w:p>
            <w:pPr>
              <w:pStyle w:val="Normal6"/>
            </w:pPr>
            <w:r>
              <w:t>Ett tredjeland </w:t>
            </w:r>
            <w:r>
              <w:rPr>
                <w:rFonts w:ascii="Times New Roman" w:eastAsia="Times New Roman" w:hAnsi="Times New Roman" w:cs="Times New Roman"/>
                <w:b/>
                <w:i/>
                <w:strike w:val="0"/>
                <w:color w:val="000000"/>
                <w:sz w:val="24"/>
                <w:highlight w:val="none"/>
                <w:u w:val="none" w:color="auto"/>
              </w:rPr>
              <w:t>får betraktas</w:t>
            </w:r>
            <w:r>
              <w:t xml:space="preserve"> som ett säkert tredjeland, förutsatt att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Begreppet säkert tredjeland bör förbli en valmöjlighet för medlemsstaterna.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Ett tredjeland </w:t>
            </w:r>
            <w:r>
              <w:rPr>
                <w:rFonts w:ascii="Times New Roman" w:eastAsia="Times New Roman" w:hAnsi="Times New Roman" w:cs="Times New Roman"/>
                <w:b/>
                <w:i/>
                <w:strike w:val="0"/>
                <w:color w:val="000000"/>
                <w:sz w:val="24"/>
                <w:highlight w:val="none"/>
                <w:u w:val="none" w:color="auto"/>
              </w:rPr>
              <w:t>ska</w:t>
            </w:r>
            <w:r>
              <w:t xml:space="preserve"> betecknas som ett säkert tredjeland, förutsatt att</w:t>
            </w:r>
          </w:p>
        </w:tc>
        <w:tc>
          <w:tcPr/>
          <w:p>
            <w:pPr>
              <w:pStyle w:val="Normal6"/>
            </w:pPr>
            <w:r>
              <w:t xml:space="preserve">Ett tredjeland </w:t>
            </w:r>
            <w:r>
              <w:rPr>
                <w:rFonts w:ascii="Times New Roman" w:eastAsia="Times New Roman" w:hAnsi="Times New Roman" w:cs="Times New Roman"/>
                <w:b/>
                <w:i/>
                <w:strike w:val="0"/>
                <w:color w:val="000000"/>
                <w:sz w:val="24"/>
                <w:highlight w:val="none"/>
                <w:u w:val="none" w:color="auto"/>
              </w:rPr>
              <w:t>får</w:t>
            </w:r>
            <w:r>
              <w:t xml:space="preserve"> betecknas som ett säkert tredjeland, förutsatt att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Ett tredjeland ska betecknas som ett säkert tredjeland</w:t>
            </w:r>
            <w:r>
              <w:rPr>
                <w:rFonts w:ascii="Times New Roman" w:eastAsia="Times New Roman" w:hAnsi="Times New Roman" w:cs="Times New Roman"/>
                <w:b/>
                <w:i/>
                <w:strike w:val="0"/>
                <w:color w:val="000000"/>
                <w:sz w:val="24"/>
                <w:highlight w:val="none"/>
                <w:u w:val="none" w:color="auto"/>
              </w:rPr>
              <w:t>, förutsatt att</w:t>
            </w:r>
          </w:p>
        </w:tc>
        <w:tc>
          <w:tcPr/>
          <w:p>
            <w:pPr>
              <w:pStyle w:val="Normal6"/>
            </w:pPr>
            <w:r>
              <w:t>Ett tredjeland ska betecknas som ett säkert tredjeland</w:t>
            </w:r>
            <w:r>
              <w:rPr>
                <w:rFonts w:ascii="Times New Roman" w:eastAsia="Times New Roman" w:hAnsi="Times New Roman" w:cs="Times New Roman"/>
                <w:b/>
                <w:i/>
                <w:strike w:val="0"/>
                <w:color w:val="000000"/>
                <w:sz w:val="24"/>
                <w:highlight w:val="none"/>
                <w:u w:val="none" w:color="auto"/>
              </w:rPr>
              <w:t xml:space="preserve"> om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t>det inte föreligger någon risk för allvarlig skada enligt definitionen i förordning (EU) nr XXX/XXX,</w:t>
            </w:r>
          </w:p>
        </w:tc>
        <w:tc>
          <w:tcPr/>
          <w:p>
            <w:pPr>
              <w:pStyle w:val="Normal6"/>
            </w:pPr>
            <w:r>
              <w:rPr>
                <w:rFonts w:ascii="Times New Roman" w:eastAsia="Times New Roman" w:hAnsi="Times New Roman" w:cs="Times New Roman"/>
                <w:b/>
                <w:i/>
                <w:strike w:val="0"/>
                <w:color w:val="000000"/>
                <w:sz w:val="24"/>
                <w:highlight w:val="none"/>
                <w:u w:val="none" w:color="auto"/>
              </w:rPr>
              <w:t>b)</w:t>
            </w:r>
            <w:r>
              <w:tab/>
            </w:r>
            <w:r>
              <w:t>det inte föreligger någon risk för allvarlig skada enligt definitionen i förordning (EU) nr XXX/XXX</w:t>
            </w:r>
            <w:r>
              <w:rPr>
                <w:rFonts w:ascii="Times New Roman" w:eastAsia="Times New Roman" w:hAnsi="Times New Roman" w:cs="Times New Roman"/>
                <w:b/>
                <w:i/>
                <w:strike w:val="0"/>
                <w:color w:val="000000"/>
                <w:sz w:val="24"/>
                <w:highlight w:val="none"/>
                <w:u w:val="none" w:color="auto"/>
              </w:rPr>
              <w:t xml:space="preserve"> (skyddsförordningen)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led ca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ca)</w:t>
            </w:r>
            <w:r>
              <w:tab/>
            </w:r>
            <w:r>
              <w:rPr>
                <w:rFonts w:ascii="Times New Roman" w:eastAsia="Times New Roman" w:hAnsi="Times New Roman" w:cs="Times New Roman"/>
                <w:b/>
                <w:i/>
                <w:strike w:val="0"/>
                <w:color w:val="000000"/>
                <w:sz w:val="24"/>
                <w:highlight w:val="none"/>
                <w:u w:val="none" w:color="auto"/>
              </w:rPr>
              <w:t>ingen verklig risk föreligger för att sökanden skulle överföras av tredjelandet till en annan stat där sökanden inte skulle få effektivt skydd, eller skulle riskera att överföras därifrån till en annan stat där något sådant skydd inte vore tillgängligt,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led da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da)</w:t>
            </w:r>
            <w:r>
              <w:tab/>
            </w:r>
            <w:r>
              <w:rPr>
                <w:rFonts w:ascii="Times New Roman" w:eastAsia="Times New Roman" w:hAnsi="Times New Roman" w:cs="Times New Roman"/>
                <w:b/>
                <w:i/>
                <w:strike w:val="0"/>
                <w:color w:val="000000"/>
                <w:sz w:val="24"/>
                <w:highlight w:val="none"/>
                <w:u w:val="none" w:color="auto"/>
              </w:rPr>
              <w:t>grundläggande rättigheter respekteras i enlighet med tillämpliga internationella normer, däribland att det inte föreligger någon verklig risk för sökandens liv och ingen verklig risk för att sökanden skulle berövas sin frihet utan korrekt rättsförfarande,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led db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db)</w:t>
            </w:r>
            <w:r>
              <w:tab/>
            </w:r>
            <w:r>
              <w:rPr>
                <w:rFonts w:ascii="Times New Roman" w:eastAsia="Times New Roman" w:hAnsi="Times New Roman" w:cs="Times New Roman"/>
                <w:b/>
                <w:i/>
                <w:strike w:val="0"/>
                <w:color w:val="000000"/>
                <w:sz w:val="24"/>
                <w:highlight w:val="none"/>
                <w:u w:val="none" w:color="auto"/>
              </w:rPr>
              <w:t>sökanden har tillgång till tillräckliga medel för sitt uppehälle för att upprätthålla en lämplig levnadsstandard, och tredjelandet vidtar åtgärder för att möjliggöra successivt uppnående av självförsörjning, i avvaktan på att hållbara lösningar åstadkoms,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1399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led dc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dc)</w:t>
            </w:r>
            <w:r>
              <w:tab/>
            </w:r>
            <w:r>
              <w:rPr>
                <w:rFonts w:ascii="Times New Roman" w:eastAsia="Times New Roman" w:hAnsi="Times New Roman" w:cs="Times New Roman"/>
                <w:b/>
                <w:i/>
                <w:strike w:val="0"/>
                <w:color w:val="000000"/>
                <w:sz w:val="24"/>
                <w:highlight w:val="none"/>
                <w:u w:val="none" w:color="auto"/>
              </w:rPr>
              <w:t>tredjelandet beaktar eventuell särskild utsatthet hos sökanden och upprätthåller sökandens intressen i fråga om integritet,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led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w:t>
            </w:r>
            <w:r>
              <w:tab/>
            </w:r>
            <w:r>
              <w:rPr>
                <w:rFonts w:ascii="Times New Roman" w:eastAsia="Times New Roman" w:hAnsi="Times New Roman" w:cs="Times New Roman"/>
                <w:b/>
                <w:i/>
                <w:strike w:val="0"/>
                <w:color w:val="000000"/>
                <w:sz w:val="24"/>
                <w:highlight w:val="none"/>
                <w:u w:val="none" w:color="auto"/>
              </w:rPr>
              <w:t>det finns</w:t>
            </w:r>
            <w:r>
              <w:t xml:space="preserve"> möjlighet att </w:t>
            </w:r>
            <w:r>
              <w:rPr>
                <w:rFonts w:ascii="Times New Roman" w:eastAsia="Times New Roman" w:hAnsi="Times New Roman" w:cs="Times New Roman"/>
                <w:b/>
                <w:i/>
                <w:strike w:val="0"/>
                <w:color w:val="000000"/>
                <w:sz w:val="24"/>
                <w:highlight w:val="none"/>
                <w:u w:val="none" w:color="auto"/>
              </w:rPr>
              <w:t>åtnjuta skydd i enlighet med de materiella normerna i Genèvekonventionen eller</w:t>
            </w:r>
            <w:r>
              <w:t>,</w:t>
            </w:r>
            <w:r>
              <w:rPr>
                <w:rFonts w:ascii="Times New Roman" w:eastAsia="Times New Roman" w:hAnsi="Times New Roman" w:cs="Times New Roman"/>
                <w:b/>
                <w:i/>
                <w:strike w:val="0"/>
                <w:color w:val="000000"/>
                <w:sz w:val="24"/>
                <w:highlight w:val="none"/>
                <w:u w:val="none" w:color="auto"/>
              </w:rPr>
              <w:t xml:space="preserve"> i tillämpliga fall, tillräckligt skydd enligt artikel 44.2</w:t>
            </w:r>
            <w:r>
              <w:t>.</w:t>
            </w:r>
          </w:p>
        </w:tc>
        <w:tc>
          <w:tcPr/>
          <w:p>
            <w:pPr>
              <w:pStyle w:val="Normal6"/>
            </w:pPr>
            <w:r>
              <w:rPr>
                <w:rFonts w:ascii="Times New Roman" w:eastAsia="Times New Roman" w:hAnsi="Times New Roman" w:cs="Times New Roman"/>
                <w:b/>
                <w:i/>
                <w:strike w:val="0"/>
                <w:color w:val="000000"/>
                <w:sz w:val="24"/>
                <w:highlight w:val="none"/>
                <w:u w:val="none" w:color="auto"/>
              </w:rPr>
              <w:t>e)</w:t>
            </w:r>
            <w:r>
              <w:tab/>
            </w:r>
            <w:r>
              <w:rPr>
                <w:rFonts w:ascii="Times New Roman" w:eastAsia="Times New Roman" w:hAnsi="Times New Roman" w:cs="Times New Roman"/>
                <w:b/>
                <w:i/>
                <w:strike w:val="0"/>
                <w:color w:val="000000"/>
                <w:sz w:val="24"/>
                <w:highlight w:val="none"/>
                <w:u w:val="none" w:color="auto"/>
              </w:rPr>
              <w:t>sökanden har</w:t>
            </w:r>
            <w:r>
              <w:t xml:space="preserve"> möjlighet att </w:t>
            </w:r>
            <w:r>
              <w:rPr>
                <w:rFonts w:ascii="Times New Roman" w:eastAsia="Times New Roman" w:hAnsi="Times New Roman" w:cs="Times New Roman"/>
                <w:b/>
                <w:i/>
                <w:strike w:val="0"/>
                <w:color w:val="000000"/>
                <w:sz w:val="24"/>
                <w:highlight w:val="none"/>
                <w:u w:val="none" w:color="auto"/>
              </w:rPr>
              <w:t>ansöka om flyktingstatus och, om han eller hon befinns vara flykting</w:t>
            </w:r>
            <w:r>
              <w:t>,</w:t>
            </w:r>
            <w:r>
              <w:rPr>
                <w:rFonts w:ascii="Times New Roman" w:eastAsia="Times New Roman" w:hAnsi="Times New Roman" w:cs="Times New Roman"/>
                <w:b/>
                <w:i/>
                <w:strike w:val="0"/>
                <w:color w:val="000000"/>
                <w:sz w:val="24"/>
                <w:highlight w:val="none"/>
                <w:u w:val="none" w:color="auto"/>
              </w:rPr>
              <w:t xml:space="preserve"> erhålla skydd i enlighet med Genèvekonventionen, som ratificerats och tillämpas utan geografiska begränsningar</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För att ett tredjeland ska anses som säkert av en medlemsstat måste detta tredjeland ha anslutit sig till och ratificerat Genèvekonventionen utan några geografiska begränsningar.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t xml:space="preserve">, </w:t>
      </w:r>
      <w:r>
        <w:t>Jean Lambert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led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w:t>
            </w:r>
            <w:r>
              <w:tab/>
            </w:r>
            <w:r>
              <w:t xml:space="preserve">det finns möjlighet att åtnjuta skydd i enlighet med </w:t>
            </w:r>
            <w:r>
              <w:rPr>
                <w:rFonts w:ascii="Times New Roman" w:eastAsia="Times New Roman" w:hAnsi="Times New Roman" w:cs="Times New Roman"/>
                <w:b/>
                <w:i/>
                <w:strike w:val="0"/>
                <w:color w:val="000000"/>
                <w:sz w:val="24"/>
                <w:highlight w:val="none"/>
                <w:u w:val="none" w:color="auto"/>
              </w:rPr>
              <w:t>de materiella normerna i Genèvekonventionen eller, i tillämpliga fall, tillräckligt skydd enligt artikel 44.2</w:t>
            </w:r>
            <w:r>
              <w:t>.</w:t>
            </w:r>
          </w:p>
        </w:tc>
        <w:tc>
          <w:tcPr/>
          <w:p>
            <w:pPr>
              <w:pStyle w:val="Normal6"/>
            </w:pPr>
            <w:r>
              <w:rPr>
                <w:rFonts w:ascii="Times New Roman" w:eastAsia="Times New Roman" w:hAnsi="Times New Roman" w:cs="Times New Roman"/>
                <w:b/>
                <w:i/>
                <w:strike w:val="0"/>
                <w:color w:val="000000"/>
                <w:sz w:val="24"/>
                <w:highlight w:val="none"/>
                <w:u w:val="none" w:color="auto"/>
              </w:rPr>
              <w:t>e)</w:t>
            </w:r>
            <w:r>
              <w:tab/>
            </w:r>
            <w:r>
              <w:t xml:space="preserve">det finns möjlighet att </w:t>
            </w:r>
            <w:r>
              <w:rPr>
                <w:rFonts w:ascii="Times New Roman" w:eastAsia="Times New Roman" w:hAnsi="Times New Roman" w:cs="Times New Roman"/>
                <w:b/>
                <w:i/>
                <w:strike w:val="0"/>
                <w:color w:val="000000"/>
                <w:sz w:val="24"/>
                <w:highlight w:val="none"/>
                <w:u w:val="none" w:color="auto"/>
              </w:rPr>
              <w:t xml:space="preserve">ansöka om internationellt skydd och, om sökanden erkänns som flykting, att </w:t>
            </w:r>
            <w:r>
              <w:t>åtnjuta</w:t>
            </w:r>
            <w:r>
              <w:rPr>
                <w:rFonts w:ascii="Times New Roman" w:eastAsia="Times New Roman" w:hAnsi="Times New Roman" w:cs="Times New Roman"/>
                <w:b/>
                <w:i/>
                <w:strike w:val="0"/>
                <w:color w:val="000000"/>
                <w:sz w:val="24"/>
                <w:highlight w:val="none"/>
                <w:u w:val="none" w:color="auto"/>
              </w:rPr>
              <w:t xml:space="preserve"> effektivt</w:t>
            </w:r>
            <w:r>
              <w:t xml:space="preserve"> skydd i enlighet med </w:t>
            </w:r>
            <w:r>
              <w:rPr>
                <w:rFonts w:ascii="Times New Roman" w:eastAsia="Times New Roman" w:hAnsi="Times New Roman" w:cs="Times New Roman"/>
                <w:b/>
                <w:i/>
                <w:strike w:val="0"/>
                <w:color w:val="000000"/>
                <w:sz w:val="24"/>
                <w:highlight w:val="none"/>
                <w:u w:val="none" w:color="auto"/>
              </w:rPr>
              <w:t>Genèvekonventionen utan någon geografisk begränsning, vilket förblir tillgängligt fram till dess att en hållbar lösning kan hittas</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led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w:t>
            </w:r>
            <w:r>
              <w:tab/>
            </w:r>
            <w:r>
              <w:t xml:space="preserve">det finns möjlighet att åtnjuta skydd i enlighet med </w:t>
            </w:r>
            <w:r>
              <w:rPr>
                <w:rFonts w:ascii="Times New Roman" w:eastAsia="Times New Roman" w:hAnsi="Times New Roman" w:cs="Times New Roman"/>
                <w:b/>
                <w:i/>
                <w:strike w:val="0"/>
                <w:color w:val="000000"/>
                <w:sz w:val="24"/>
                <w:highlight w:val="none"/>
                <w:u w:val="none" w:color="auto"/>
              </w:rPr>
              <w:t xml:space="preserve">de materiella normerna i </w:t>
            </w:r>
            <w:r>
              <w:t>Genèvekonventionen</w:t>
            </w:r>
            <w:r>
              <w:rPr>
                <w:rFonts w:ascii="Times New Roman" w:eastAsia="Times New Roman" w:hAnsi="Times New Roman" w:cs="Times New Roman"/>
                <w:b/>
                <w:i/>
                <w:strike w:val="0"/>
                <w:color w:val="000000"/>
                <w:sz w:val="24"/>
                <w:highlight w:val="none"/>
                <w:u w:val="none" w:color="auto"/>
              </w:rPr>
              <w:t xml:space="preserve"> eller, i tillämpliga fall, tillräckligt skydd enligt artikel 44.2</w:t>
            </w:r>
            <w:r>
              <w:t>.</w:t>
            </w:r>
          </w:p>
        </w:tc>
        <w:tc>
          <w:tcPr/>
          <w:p>
            <w:pPr>
              <w:pStyle w:val="Normal6"/>
            </w:pPr>
            <w:r>
              <w:rPr>
                <w:rFonts w:ascii="Times New Roman" w:eastAsia="Times New Roman" w:hAnsi="Times New Roman" w:cs="Times New Roman"/>
                <w:b/>
                <w:i/>
                <w:strike w:val="0"/>
                <w:color w:val="000000"/>
                <w:sz w:val="24"/>
                <w:highlight w:val="none"/>
                <w:u w:val="none" w:color="auto"/>
              </w:rPr>
              <w:t>e)</w:t>
            </w:r>
            <w:r>
              <w:tab/>
            </w:r>
            <w:r>
              <w:t>det finns möjlighet att åtnjuta skydd i enlighet med Genèvekonventionen.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Elly Schlein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led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w:t>
            </w:r>
            <w:r>
              <w:tab/>
            </w:r>
            <w:r>
              <w:t xml:space="preserve">det finns möjlighet att åtnjuta skydd i enlighet med </w:t>
            </w:r>
            <w:r>
              <w:rPr>
                <w:rFonts w:ascii="Times New Roman" w:eastAsia="Times New Roman" w:hAnsi="Times New Roman" w:cs="Times New Roman"/>
                <w:b/>
                <w:i/>
                <w:strike w:val="0"/>
                <w:color w:val="000000"/>
                <w:sz w:val="24"/>
                <w:highlight w:val="none"/>
                <w:u w:val="none" w:color="auto"/>
              </w:rPr>
              <w:t>de materiella normerna i Genèvekonventionen eller, i tillämpliga fall, tillräckligt skydd enligt artikel 44.2</w:t>
            </w:r>
            <w:r>
              <w:t>.</w:t>
            </w:r>
          </w:p>
        </w:tc>
        <w:tc>
          <w:tcPr/>
          <w:p>
            <w:pPr>
              <w:pStyle w:val="Normal6"/>
            </w:pPr>
            <w:r>
              <w:rPr>
                <w:rFonts w:ascii="Times New Roman" w:eastAsia="Times New Roman" w:hAnsi="Times New Roman" w:cs="Times New Roman"/>
                <w:b/>
                <w:i/>
                <w:strike w:val="0"/>
                <w:color w:val="000000"/>
                <w:sz w:val="24"/>
                <w:highlight w:val="none"/>
                <w:u w:val="none" w:color="auto"/>
              </w:rPr>
              <w:t>e)</w:t>
            </w:r>
            <w:r>
              <w:tab/>
            </w:r>
            <w:r>
              <w:t xml:space="preserve">det finns </w:t>
            </w:r>
            <w:r>
              <w:rPr>
                <w:rFonts w:ascii="Times New Roman" w:eastAsia="Times New Roman" w:hAnsi="Times New Roman" w:cs="Times New Roman"/>
                <w:b/>
                <w:i/>
                <w:strike w:val="0"/>
                <w:color w:val="000000"/>
                <w:sz w:val="24"/>
                <w:highlight w:val="none"/>
                <w:u w:val="none" w:color="auto"/>
              </w:rPr>
              <w:t xml:space="preserve">enligt nationell lagstiftning </w:t>
            </w:r>
            <w:r>
              <w:t xml:space="preserve">möjlighet att åtnjuta </w:t>
            </w:r>
            <w:r>
              <w:rPr>
                <w:rFonts w:ascii="Times New Roman" w:eastAsia="Times New Roman" w:hAnsi="Times New Roman" w:cs="Times New Roman"/>
                <w:b/>
                <w:i/>
                <w:strike w:val="0"/>
                <w:color w:val="000000"/>
                <w:sz w:val="24"/>
                <w:highlight w:val="none"/>
                <w:u w:val="none" w:color="auto"/>
              </w:rPr>
              <w:t xml:space="preserve">effektivt </w:t>
            </w:r>
            <w:r>
              <w:t xml:space="preserve">skydd i enlighet med </w:t>
            </w:r>
            <w:r>
              <w:rPr>
                <w:rFonts w:ascii="Times New Roman" w:eastAsia="Times New Roman" w:hAnsi="Times New Roman" w:cs="Times New Roman"/>
                <w:b/>
                <w:i/>
                <w:strike w:val="0"/>
                <w:color w:val="000000"/>
                <w:sz w:val="24"/>
                <w:highlight w:val="none"/>
                <w:u w:val="none" w:color="auto"/>
              </w:rPr>
              <w:t>Genèvekonventionen, med fullständig respekt för alla rättigheter denna ger och utan några begränsningar av geografiskt tillämpningsområde</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1 – led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w:t>
            </w:r>
            <w:r>
              <w:tab/>
            </w:r>
            <w:r>
              <w:t>det finns möjlighet att åtnjuta skydd i enlighet med de materiella normerna i Genèvekonventionen eller, i tillämpliga fall, tillräckligt skydd enligt artikel 44.2.</w:t>
            </w:r>
          </w:p>
        </w:tc>
        <w:tc>
          <w:tcPr/>
          <w:p>
            <w:pPr>
              <w:pStyle w:val="Normal6"/>
            </w:pPr>
            <w:r>
              <w:rPr>
                <w:rFonts w:ascii="Times New Roman" w:eastAsia="Times New Roman" w:hAnsi="Times New Roman" w:cs="Times New Roman"/>
                <w:b/>
                <w:i/>
                <w:strike w:val="0"/>
                <w:color w:val="000000"/>
                <w:sz w:val="24"/>
                <w:highlight w:val="none"/>
                <w:u w:val="none" w:color="auto"/>
              </w:rPr>
              <w:t>e)</w:t>
            </w:r>
            <w:r>
              <w:tab/>
            </w:r>
            <w:r>
              <w:t>det finns möjlighet att åtnjuta skydd i enlighet med de materiella normerna i Genèvekonventionen eller, i tillämpliga fall, tillräckligt skydd enligt artikel 44.2</w:t>
            </w:r>
            <w:r>
              <w:rPr>
                <w:rFonts w:ascii="Times New Roman" w:eastAsia="Times New Roman" w:hAnsi="Times New Roman" w:cs="Times New Roman"/>
                <w:b/>
                <w:i/>
                <w:strike w:val="0"/>
                <w:color w:val="000000"/>
                <w:sz w:val="24"/>
                <w:highlight w:val="none"/>
                <w:u w:val="none" w:color="auto"/>
              </w:rPr>
              <w:t>a–d</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Bedömningen av huruvida ett tredjeland kan betecknas som ett säkert tredjeland i enlighet med denna förordning ska grunda sig på ett urval av informationskällor, särskilt information från andra medlemsstater, stödkontoret, Europeiska unionens asylbyrå, Europeiska utrikestjänsten, FN:s flyktingkommissariat, Europarådet och andra berörda internationella organisationer.</w:t>
            </w:r>
          </w:p>
        </w:tc>
        <w:tc>
          <w:tcPr/>
          <w:p>
            <w:pPr>
              <w:pStyle w:val="Normal6"/>
            </w:pPr>
            <w:r>
              <w:t>Bedömningen av huruvida ett tredjeland kan betecknas som ett säkert tredjeland i enlighet med denna förordning ska grunda sig på ett urval av informationskällor, särskilt information från andra medlemsstater, stödkontoret, Europeiska unionens asylbyrå, Europeiska utrikestjänsten, FN:s flyktingkommissariat, Europarådet och andra berörda internationella organisationer</w:t>
            </w:r>
            <w:r>
              <w:rPr>
                <w:rFonts w:ascii="Times New Roman" w:eastAsia="Times New Roman" w:hAnsi="Times New Roman" w:cs="Times New Roman"/>
                <w:b/>
                <w:i/>
                <w:strike w:val="0"/>
                <w:color w:val="000000"/>
                <w:sz w:val="24"/>
                <w:highlight w:val="none"/>
                <w:u w:val="none" w:color="auto"/>
              </w:rPr>
              <w:t xml:space="preserve"> och nationella eller internationella icke-statliga organisationer</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 28 som antogs i parlamentets ståndpunkt om förordningen om säkra ursprungsländer.</w:t>
      </w:r>
      <w:r>
        <w:t>Detta överensstämmer med ändringsförslag till artikel 49a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Bedömningen av huruvida ett tredjeland kan betecknas som ett säkert tredjeland i enlighet med denna förordning ska grunda sig på ett urval av informationskällor, särskilt information från andra medlemsstater,</w:t>
            </w:r>
            <w:r>
              <w:rPr>
                <w:rFonts w:ascii="Times New Roman" w:eastAsia="Times New Roman" w:hAnsi="Times New Roman" w:cs="Times New Roman"/>
                <w:b/>
                <w:i/>
                <w:strike w:val="0"/>
                <w:color w:val="000000"/>
                <w:sz w:val="24"/>
                <w:highlight w:val="none"/>
                <w:u w:val="none" w:color="auto"/>
              </w:rPr>
              <w:t>stödkontoret,</w:t>
            </w:r>
            <w:r>
              <w:t>Europeiska unionens asylbyrå</w:t>
            </w:r>
            <w:r>
              <w:rPr>
                <w:rFonts w:ascii="Times New Roman" w:eastAsia="Times New Roman" w:hAnsi="Times New Roman" w:cs="Times New Roman"/>
                <w:b/>
                <w:i/>
                <w:strike w:val="0"/>
                <w:color w:val="000000"/>
                <w:sz w:val="24"/>
                <w:highlight w:val="none"/>
                <w:u w:val="none" w:color="auto"/>
              </w:rPr>
              <w:t>, Europeiska utrikestjänsten, FN:s flyktingkommissariat, Europarådet och andra berörda internationella organisationer</w:t>
            </w:r>
            <w:r>
              <w:t>.</w:t>
            </w:r>
          </w:p>
        </w:tc>
        <w:tc>
          <w:tcPr/>
          <w:p>
            <w:pPr>
              <w:pStyle w:val="Normal6"/>
            </w:pPr>
            <w:r>
              <w:t>Bedömningen av huruvida ett tredjeland kan betecknas som ett säkert tredjeland i enlighet med denna förordning ska grunda sig på ett urval av informationskällor, särskilt information från andra medlemsstater, Europeiska unionens asylbyrå</w:t>
            </w:r>
            <w:r>
              <w:rPr>
                <w:rFonts w:ascii="Times New Roman" w:eastAsia="Times New Roman" w:hAnsi="Times New Roman" w:cs="Times New Roman"/>
                <w:b/>
                <w:i/>
                <w:strike w:val="0"/>
                <w:color w:val="000000"/>
                <w:sz w:val="24"/>
                <w:highlight w:val="none"/>
                <w:u w:val="none" w:color="auto"/>
              </w:rPr>
              <w:t>och Europeiska utrikestjänsten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Bedömningen av huruvida ett tredjeland kan betecknas som ett säkert tredjeland i enlighet med denna förordning ska grunda sig på ett urval av informationskällor, särskilt information från andra medlemsstater</w:t>
            </w:r>
            <w:r>
              <w:rPr>
                <w:rFonts w:ascii="Times New Roman" w:eastAsia="Times New Roman" w:hAnsi="Times New Roman" w:cs="Times New Roman"/>
                <w:b/>
                <w:i/>
                <w:strike w:val="0"/>
                <w:color w:val="000000"/>
                <w:sz w:val="24"/>
                <w:highlight w:val="none"/>
                <w:u w:val="none" w:color="auto"/>
              </w:rPr>
              <w:t>, stödkontoret</w:t>
            </w:r>
            <w:r>
              <w:t>, Europeiska unionens asylbyrå, Europeiska utrikestjänsten, FN:s flyktingkommissariat, Europarådet och andra berörda internationella organisationer.</w:t>
            </w:r>
          </w:p>
        </w:tc>
        <w:tc>
          <w:tcPr/>
          <w:p>
            <w:pPr>
              <w:pStyle w:val="Normal6"/>
            </w:pPr>
            <w:r>
              <w:t xml:space="preserve">Bedömningen av huruvida ett tredjeland kan betecknas som ett säkert tredjeland i enlighet med denna förordning ska grunda sig på </w:t>
            </w:r>
            <w:r>
              <w:rPr>
                <w:rFonts w:ascii="Times New Roman" w:eastAsia="Times New Roman" w:hAnsi="Times New Roman" w:cs="Times New Roman"/>
                <w:b/>
                <w:i/>
                <w:strike w:val="0"/>
                <w:color w:val="000000"/>
                <w:sz w:val="24"/>
                <w:highlight w:val="none"/>
                <w:u w:val="none" w:color="auto"/>
              </w:rPr>
              <w:t xml:space="preserve">sökandens individuella omständigheter och </w:t>
            </w:r>
            <w:r>
              <w:t>ett urval av informationskällor, särskilt information från andra medlemsstater, Europeiska unionens asylbyrå, Europeiska utrikestjänsten, FN:s flyktingkommissariat, Europarådet och andra berörda internationella organisationer.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1 – stycke 2a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Fastställande av ett tredjeland som säkert ursprungsland ska inte utesluta möjligheten att ange särskilda grupper, på grundval av kön, ras, religion, nationalitet, sexuell läggning, tillhörighet till en särskild samhällsgrupp eller politisk övertygelse, för vilka detta särskilda tredjeland inte ska anses vara säkert.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Begreppet säkert tredjeland ska tillämpas</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(a)om ett tredjeland betecknas som ett säkert tredjeland i enlighet med artikel 50,</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(b)om ett tredjeland betecknas som säkert tredjeland på unionsnivå, eller</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(c)i enskilda fall med avseende på en särskild sökande.</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Detta ändringsförslag läggs fram för att skapa konsekvens med strykningen av artikel 46.</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2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Begreppet säkert tredjeland ska tillämpas</w:t>
            </w:r>
          </w:p>
        </w:tc>
        <w:tc>
          <w:tcPr/>
          <w:p>
            <w:pPr>
              <w:pStyle w:val="Normal6"/>
            </w:pPr>
            <w:r>
              <w:t>2.</w:t>
            </w:r>
            <w:r>
              <w:tab/>
            </w:r>
            <w:r>
              <w:t>Begreppet säkert tredjeland ska tillämpas</w:t>
            </w:r>
            <w:r>
              <w:rPr>
                <w:rFonts w:ascii="Times New Roman" w:eastAsia="Times New Roman" w:hAnsi="Times New Roman" w:cs="Times New Roman"/>
                <w:b/>
                <w:i/>
                <w:strike w:val="0"/>
                <w:color w:val="000000"/>
                <w:sz w:val="24"/>
                <w:highlight w:val="none"/>
                <w:u w:val="none" w:color="auto"/>
              </w:rPr>
              <w:t xml:space="preserve"> när ett tredjeland fastställts som säkert land i enlighet med artikel 50 eller när ett tredjeland fastställts som säkert land på unionsnivå.</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t xml:space="preserve">, </w:t>
      </w:r>
      <w:r>
        <w:t>Jean Lambert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2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Begreppet säkert tredjeland ska tillämpas</w:t>
            </w:r>
          </w:p>
        </w:tc>
        <w:tc>
          <w:tcPr/>
          <w:p>
            <w:pPr>
              <w:pStyle w:val="Normal6"/>
            </w:pPr>
            <w:r>
              <w:t>2.</w:t>
            </w:r>
            <w:r>
              <w:tab/>
            </w:r>
            <w:r>
              <w:t>Begreppet säkert tredjeland ska tillämpas</w:t>
            </w:r>
            <w:r>
              <w:rPr>
                <w:rFonts w:ascii="Times New Roman" w:eastAsia="Times New Roman" w:hAnsi="Times New Roman" w:cs="Times New Roman"/>
                <w:b/>
                <w:i/>
                <w:strike w:val="0"/>
                <w:color w:val="000000"/>
                <w:sz w:val="24"/>
                <w:highlight w:val="none"/>
                <w:u w:val="none" w:color="auto"/>
              </w:rPr>
              <w:t xml:space="preserve"> endast i enskilda fall i förbindelse med en specifik sökande som ett led i sakprövningen av en ansökan i enlighet med avsnitt II i denna förordning.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2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rPr>
                <w:rFonts w:ascii="Times New Roman" w:eastAsia="Times New Roman" w:hAnsi="Times New Roman" w:cs="Times New Roman"/>
                <w:b/>
                <w:i/>
                <w:strike w:val="0"/>
                <w:color w:val="000000"/>
                <w:sz w:val="24"/>
                <w:highlight w:val="none"/>
                <w:u w:val="none" w:color="auto"/>
              </w:rPr>
              <w:t>Begreppet</w:t>
            </w:r>
            <w:r>
              <w:t xml:space="preserve"> säkert tredjeland </w:t>
            </w:r>
            <w:r>
              <w:rPr>
                <w:rFonts w:ascii="Times New Roman" w:eastAsia="Times New Roman" w:hAnsi="Times New Roman" w:cs="Times New Roman"/>
                <w:b/>
                <w:i/>
                <w:strike w:val="0"/>
                <w:color w:val="000000"/>
                <w:sz w:val="24"/>
                <w:highlight w:val="none"/>
                <w:u w:val="none" w:color="auto"/>
              </w:rPr>
              <w:t>ska tillämpas</w:t>
            </w:r>
          </w:p>
        </w:tc>
        <w:tc>
          <w:tcPr/>
          <w:p>
            <w:pPr>
              <w:pStyle w:val="Normal6"/>
            </w:pPr>
            <w:r>
              <w:t>2.</w:t>
            </w:r>
            <w:r>
              <w:tab/>
            </w:r>
            <w:r>
              <w:rPr>
                <w:rFonts w:ascii="Times New Roman" w:eastAsia="Times New Roman" w:hAnsi="Times New Roman" w:cs="Times New Roman"/>
                <w:b/>
                <w:i/>
                <w:strike w:val="0"/>
                <w:color w:val="000000"/>
                <w:sz w:val="24"/>
                <w:highlight w:val="none"/>
                <w:u w:val="none" w:color="auto"/>
              </w:rPr>
              <w:t xml:space="preserve">En medlemsstat kan tillämpa </w:t>
            </w:r>
            <w:r>
              <w:rPr>
                <w:rFonts w:ascii="Times New Roman" w:eastAsia="Times New Roman" w:hAnsi="Times New Roman" w:cs="Times New Roman"/>
                <w:b/>
                <w:i/>
                <w:strike w:val="0"/>
                <w:color w:val="000000"/>
                <w:sz w:val="24"/>
                <w:highlight w:val="none"/>
                <w:u w:val="none" w:color="auto"/>
              </w:rPr>
              <w:t>begreppet</w:t>
            </w:r>
            <w:r>
              <w:t xml:space="preserve"> säkert tredjeland </w:t>
            </w:r>
            <w:r>
              <w:rPr>
                <w:rFonts w:ascii="Times New Roman" w:eastAsia="Times New Roman" w:hAnsi="Times New Roman" w:cs="Times New Roman"/>
                <w:b/>
                <w:i/>
                <w:strike w:val="0"/>
                <w:color w:val="000000"/>
                <w:sz w:val="24"/>
                <w:highlight w:val="none"/>
                <w:u w:val="none" w:color="auto"/>
              </w:rPr>
              <w:t>när tredjelandet på nationell nivå har betecknats som säkert tredjeland med tillämpning av kriterierna i artikel 50.</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2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om ett tredjeland betecknas som ett säkert tredjeland i enlighet med artikel 50,</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2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om ett tredjeland betecknas som ett säkert tredjeland i enlighet med artikel 50,</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2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om ett tredjeland betecknas som säkert tredjeland på unionsnivå, eller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2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om ett tredjeland betecknas som säkert tredjeland på unionsnivå, eller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2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w:t>
            </w:r>
            <w:r>
              <w:tab/>
            </w:r>
            <w:r>
              <w:rPr>
                <w:rFonts w:ascii="Times New Roman" w:eastAsia="Times New Roman" w:hAnsi="Times New Roman" w:cs="Times New Roman"/>
                <w:b/>
                <w:i/>
                <w:strike w:val="0"/>
                <w:color w:val="000000"/>
                <w:sz w:val="24"/>
                <w:highlight w:val="none"/>
                <w:u w:val="none" w:color="auto"/>
              </w:rPr>
              <w:t>i enskilda fall med avseende på en särskild sökande.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2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w:t>
            </w:r>
            <w:r>
              <w:tab/>
            </w:r>
            <w:r>
              <w:rPr>
                <w:rFonts w:ascii="Times New Roman" w:eastAsia="Times New Roman" w:hAnsi="Times New Roman" w:cs="Times New Roman"/>
                <w:b/>
                <w:i/>
                <w:strike w:val="0"/>
                <w:color w:val="000000"/>
                <w:sz w:val="24"/>
                <w:highlight w:val="none"/>
                <w:u w:val="none" w:color="auto"/>
              </w:rPr>
              <w:t>i enskilda fall med avseende på en särskild sökande.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3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Den beslutande myndigheten </w:t>
            </w:r>
            <w:r>
              <w:rPr>
                <w:rFonts w:ascii="Times New Roman" w:eastAsia="Times New Roman" w:hAnsi="Times New Roman" w:cs="Times New Roman"/>
                <w:b/>
                <w:i/>
                <w:strike w:val="0"/>
                <w:color w:val="000000"/>
                <w:sz w:val="24"/>
                <w:highlight w:val="none"/>
                <w:u w:val="none" w:color="auto"/>
              </w:rPr>
              <w:t>ska</w:t>
            </w:r>
            <w:r>
              <w:t xml:space="preserve"> betrakta ett tredjeland som ett säkert tredjeland för en särskild sökande, efter en individuell prövning av ansökan, endast om den har övertygat sig om tredjelandets säkerhet för en särskild sökande i enlighet med de kriterier som anges i punkt 1 och det har fastställts att</w:t>
            </w:r>
          </w:p>
        </w:tc>
        <w:tc>
          <w:tcPr/>
          <w:p>
            <w:pPr>
              <w:pStyle w:val="Normal6"/>
            </w:pPr>
            <w:r>
              <w:t>3.</w:t>
            </w:r>
            <w:r>
              <w:tab/>
            </w:r>
            <w:r>
              <w:t xml:space="preserve">Den beslutande myndigheten </w:t>
            </w:r>
            <w:r>
              <w:rPr>
                <w:rFonts w:ascii="Times New Roman" w:eastAsia="Times New Roman" w:hAnsi="Times New Roman" w:cs="Times New Roman"/>
                <w:b/>
                <w:i/>
                <w:strike w:val="0"/>
                <w:color w:val="000000"/>
                <w:sz w:val="24"/>
                <w:highlight w:val="none"/>
                <w:u w:val="none" w:color="auto"/>
              </w:rPr>
              <w:t>får</w:t>
            </w:r>
            <w:r>
              <w:t xml:space="preserve"> betrakta ett tredjeland som ett säkert tredjeland för en särskild sökande, efter en individuell prövning av ansökan, endast om den har övertygat sig om tredjelandets säkerhet för en särskild sökande i enlighet med de kriterier som anges i punkt 1 och det har fastställts att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Begreppet säkert tredjeland bör förbli en valmöjlighet för medlemsstaterna.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3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Den beslutande myndigheten </w:t>
            </w:r>
            <w:r>
              <w:rPr>
                <w:rFonts w:ascii="Times New Roman" w:eastAsia="Times New Roman" w:hAnsi="Times New Roman" w:cs="Times New Roman"/>
                <w:b/>
                <w:i/>
                <w:strike w:val="0"/>
                <w:color w:val="000000"/>
                <w:sz w:val="24"/>
                <w:highlight w:val="none"/>
                <w:u w:val="none" w:color="auto"/>
              </w:rPr>
              <w:t>ska</w:t>
            </w:r>
            <w:r>
              <w:t xml:space="preserve"> betrakta ett tredjeland som ett säkert tredjeland för en särskild sökande, efter en individuell prövning av ansökan, endast om den har övertygat sig om tredjelandets säkerhet för en särskild sökande i enlighet med de kriterier som anges i punkt 1 och det har fastställts att</w:t>
            </w:r>
          </w:p>
        </w:tc>
        <w:tc>
          <w:tcPr/>
          <w:p>
            <w:pPr>
              <w:pStyle w:val="Normal6"/>
            </w:pPr>
            <w:r>
              <w:t>3.</w:t>
            </w:r>
            <w:r>
              <w:tab/>
            </w:r>
            <w:r>
              <w:t xml:space="preserve">Den beslutande myndigheten </w:t>
            </w:r>
            <w:r>
              <w:rPr>
                <w:rFonts w:ascii="Times New Roman" w:eastAsia="Times New Roman" w:hAnsi="Times New Roman" w:cs="Times New Roman"/>
                <w:b/>
                <w:i/>
                <w:strike w:val="0"/>
                <w:color w:val="000000"/>
                <w:sz w:val="24"/>
                <w:highlight w:val="none"/>
                <w:u w:val="none" w:color="auto"/>
              </w:rPr>
              <w:t>får</w:t>
            </w:r>
            <w:r>
              <w:t xml:space="preserve"> betrakta ett tredjeland som ett säkert tredjeland för en särskild sökande, efter en individuell prövning av ansökan, endast om den har övertygat sig om tredjelandets säkerhet för en särskild sökande i enlighet med de kriterier som anges i punkt 1 och det har fastställts att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3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Den beslutande myndigheten </w:t>
            </w:r>
            <w:r>
              <w:rPr>
                <w:rFonts w:ascii="Times New Roman" w:eastAsia="Times New Roman" w:hAnsi="Times New Roman" w:cs="Times New Roman"/>
                <w:b/>
                <w:i/>
                <w:strike w:val="0"/>
                <w:color w:val="000000"/>
                <w:sz w:val="24"/>
                <w:highlight w:val="none"/>
                <w:u w:val="none" w:color="auto"/>
              </w:rPr>
              <w:t>ska</w:t>
            </w:r>
            <w:r>
              <w:t xml:space="preserve"> betrakta ett tredjeland som ett säkert tredjeland för en särskild sökande, efter en individuell prövning av ansökan, endast om den har övertygat sig om tredjelandets säkerhet för en särskild sökande i enlighet med de kriterier som anges i punkt 1 och det har fastställts att</w:t>
            </w:r>
          </w:p>
        </w:tc>
        <w:tc>
          <w:tcPr/>
          <w:p>
            <w:pPr>
              <w:pStyle w:val="Normal6"/>
            </w:pPr>
            <w:r>
              <w:t>3.</w:t>
            </w:r>
            <w:r>
              <w:tab/>
            </w:r>
            <w:r>
              <w:t xml:space="preserve">Den beslutande myndigheten </w:t>
            </w:r>
            <w:r>
              <w:rPr>
                <w:rFonts w:ascii="Times New Roman" w:eastAsia="Times New Roman" w:hAnsi="Times New Roman" w:cs="Times New Roman"/>
                <w:b/>
                <w:i/>
                <w:strike w:val="0"/>
                <w:color w:val="000000"/>
                <w:sz w:val="24"/>
                <w:highlight w:val="none"/>
                <w:u w:val="none" w:color="auto"/>
              </w:rPr>
              <w:t>får</w:t>
            </w:r>
            <w:r>
              <w:t xml:space="preserve"> betrakta ett tredjeland som ett säkert tredjeland för en särskild sökande, efter en individuell prövning av ansökan, endast om den har övertygat sig om tredjelandets säkerhet för en särskild sökande i enlighet med de kriterier som anges i punkt 1 och det har fastställts att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3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t>sökanden har en anknytning till det berörda tredjelandet som gör att det skulle vara rimligt för denne att resa till det landet,</w:t>
            </w:r>
            <w:r>
              <w:rPr>
                <w:rFonts w:ascii="Times New Roman" w:eastAsia="Times New Roman" w:hAnsi="Times New Roman" w:cs="Times New Roman"/>
                <w:b/>
                <w:i/>
                <w:strike w:val="0"/>
                <w:color w:val="000000"/>
                <w:sz w:val="24"/>
                <w:highlight w:val="none"/>
                <w:u w:val="none" w:color="auto"/>
              </w:rPr>
              <w:t>bland annat därför att sökanden har transiterat genom detta tredjeland, som ligger geografiskt nära sökandens ursprungsland,</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t>sökanden har en</w:t>
            </w:r>
            <w:r>
              <w:rPr>
                <w:rFonts w:ascii="Times New Roman" w:eastAsia="Times New Roman" w:hAnsi="Times New Roman" w:cs="Times New Roman"/>
                <w:b/>
                <w:i/>
                <w:strike w:val="0"/>
                <w:color w:val="000000"/>
                <w:sz w:val="24"/>
                <w:highlight w:val="none"/>
                <w:u w:val="none" w:color="auto"/>
              </w:rPr>
              <w:t xml:space="preserve"> meningsfull</w:t>
            </w:r>
            <w:r>
              <w:t xml:space="preserve"> anknytning till det berörda tredjelandet som gör att det skulle vara rimligt för denne att resa till det landet,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3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t>sökanden har en anknytning till det berörda tredjelandet som gör att det skulle vara rimligt för denne att resa till det landet,</w:t>
            </w:r>
            <w:r>
              <w:rPr>
                <w:rFonts w:ascii="Times New Roman" w:eastAsia="Times New Roman" w:hAnsi="Times New Roman" w:cs="Times New Roman"/>
                <w:b/>
                <w:i/>
                <w:strike w:val="0"/>
                <w:color w:val="000000"/>
                <w:sz w:val="24"/>
                <w:highlight w:val="none"/>
                <w:u w:val="none" w:color="auto"/>
              </w:rPr>
              <w:t>bland annat därför att sökanden har transiterat genom detta tredjeland, som ligger geografiskt nära sökandens ursprungsland,</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t>sökanden har en</w:t>
            </w:r>
            <w:r>
              <w:rPr>
                <w:rFonts w:ascii="Times New Roman" w:eastAsia="Times New Roman" w:hAnsi="Times New Roman" w:cs="Times New Roman"/>
                <w:b/>
                <w:i/>
                <w:strike w:val="0"/>
                <w:color w:val="000000"/>
                <w:sz w:val="24"/>
                <w:highlight w:val="none"/>
                <w:u w:val="none" w:color="auto"/>
              </w:rPr>
              <w:t xml:space="preserve"> meningsfull</w:t>
            </w:r>
            <w:r>
              <w:t xml:space="preserve"> anknytning till det berörda tredjelandet som gör att det skulle vara rimligt för denne att resa till det landet,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3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t>sökanden har en anknytning till det berörda tredjelandet som gör att det skulle vara rimligt för denne att resa till det landet,</w:t>
            </w:r>
            <w:r>
              <w:rPr>
                <w:rFonts w:ascii="Times New Roman" w:eastAsia="Times New Roman" w:hAnsi="Times New Roman" w:cs="Times New Roman"/>
                <w:b/>
                <w:i/>
                <w:strike w:val="0"/>
                <w:color w:val="000000"/>
                <w:sz w:val="24"/>
                <w:highlight w:val="none"/>
                <w:u w:val="none" w:color="auto"/>
              </w:rPr>
              <w:t>bland annat därför att sökanden har transiterat genom detta tredjeland, som ligger geografiskt nära sökandens ursprungsland,</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t>sökanden har en</w:t>
            </w:r>
            <w:r>
              <w:rPr>
                <w:rFonts w:ascii="Times New Roman" w:eastAsia="Times New Roman" w:hAnsi="Times New Roman" w:cs="Times New Roman"/>
                <w:b/>
                <w:i/>
                <w:strike w:val="0"/>
                <w:color w:val="000000"/>
                <w:sz w:val="24"/>
                <w:highlight w:val="none"/>
                <w:u w:val="none" w:color="auto"/>
              </w:rPr>
              <w:t xml:space="preserve"> meningsfull</w:t>
            </w:r>
            <w:r>
              <w:t xml:space="preserve"> anknytning till det berörda tredjelandet som gör att det skulle vara rimligt för denne att resa till det landet, </w:t>
            </w:r>
            <w:r>
              <w:rPr>
                <w:rFonts w:ascii="Times New Roman" w:eastAsia="Times New Roman" w:hAnsi="Times New Roman" w:cs="Times New Roman"/>
                <w:b/>
                <w:i/>
                <w:strike w:val="0"/>
                <w:color w:val="000000"/>
                <w:sz w:val="24"/>
                <w:highlight w:val="none"/>
                <w:u w:val="none" w:color="auto"/>
              </w:rPr>
              <w:t>och</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Ren transitering bör inte vara tillräcklig för att garantera återvändande till ett s.k. säkert tredjeland.</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3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t>sökanden inte har lagt fram några</w:t>
            </w:r>
            <w:r>
              <w:rPr>
                <w:rFonts w:ascii="Times New Roman" w:eastAsia="Times New Roman" w:hAnsi="Times New Roman" w:cs="Times New Roman"/>
                <w:b/>
                <w:i/>
                <w:strike w:val="0"/>
                <w:color w:val="000000"/>
                <w:sz w:val="24"/>
                <w:highlight w:val="none"/>
                <w:u w:val="none" w:color="auto"/>
              </w:rPr>
              <w:t xml:space="preserve"> allvarliga</w:t>
            </w:r>
            <w:r>
              <w:t xml:space="preserve"> skäl för att landet inte ska anses som ett säkert tredjeland med hänsyn till hans eller hennes särskilda omständigheter.</w:t>
            </w:r>
          </w:p>
        </w:tc>
        <w:tc>
          <w:tcPr/>
          <w:p>
            <w:pPr>
              <w:pStyle w:val="Normal6"/>
            </w:pPr>
            <w:r>
              <w:rPr>
                <w:rFonts w:ascii="Times New Roman" w:eastAsia="Times New Roman" w:hAnsi="Times New Roman" w:cs="Times New Roman"/>
                <w:b/>
                <w:i/>
                <w:strike w:val="0"/>
                <w:color w:val="000000"/>
                <w:sz w:val="24"/>
                <w:highlight w:val="none"/>
                <w:u w:val="none" w:color="auto"/>
              </w:rPr>
              <w:t>b)</w:t>
            </w:r>
            <w:r>
              <w:tab/>
            </w:r>
            <w:r>
              <w:t>sökanden inte har lagt fram några skäl för att landet inte ska anses som ett säkert tredjeland med hänsyn till hans eller hennes särskilda omständigheter.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Sergei Stanishev</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w:t>
            </w:r>
            <w:r>
              <w:tab/>
            </w:r>
            <w:r>
              <w:rPr>
                <w:rFonts w:ascii="Times New Roman" w:eastAsia="Times New Roman" w:hAnsi="Times New Roman" w:cs="Times New Roman"/>
                <w:b/>
                <w:i/>
                <w:strike w:val="0"/>
                <w:color w:val="000000"/>
                <w:sz w:val="24"/>
                <w:highlight w:val="none"/>
                <w:u w:val="none" w:color="auto"/>
              </w:rPr>
              <w:t>Innan hans eller hennes ansökan kan nekas prövning i enlighet med artikel 36.1 b ska en sökande ges möjlighet att överklaga tillämpningen av begreppet säkert tredjeland med hänsyn till hans eller hennes särskilda omständigheter vid inlämnandet av ansökan och vid intervjun avseende huruvida ansökan kan tas upp till prövning.</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I linje med de föregående ändringsförslagen om att ta bort tillåtlighetskontroller som krav innan Dublinförordningen tillämpas.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Innan hans eller hennes ansökan kan nekas prövning i enlighet med artikel 36.1 b ska en sökande ges möjlighet att överklaga tillämpningen av begreppet säkert tredjeland med hänsyn till hans eller hennes särskilda omständigheter</w:t>
            </w:r>
            <w:r>
              <w:rPr>
                <w:rFonts w:ascii="Times New Roman" w:eastAsia="Times New Roman" w:hAnsi="Times New Roman" w:cs="Times New Roman"/>
                <w:b/>
                <w:i/>
                <w:strike w:val="0"/>
                <w:color w:val="000000"/>
                <w:sz w:val="24"/>
                <w:highlight w:val="none"/>
                <w:u w:val="none" w:color="auto"/>
              </w:rPr>
              <w:t xml:space="preserve"> vid inlämnandet av ansökan och vid intervjun avseende huruvida ansökan kan tas upp till prövning</w:t>
            </w:r>
            <w:r>
              <w:t>.</w:t>
            </w:r>
          </w:p>
        </w:tc>
        <w:tc>
          <w:tcPr/>
          <w:p>
            <w:pPr>
              <w:pStyle w:val="Normal6"/>
            </w:pPr>
            <w:r>
              <w:t>4.</w:t>
            </w:r>
            <w:r>
              <w:tab/>
            </w:r>
            <w:r>
              <w:t>Innan hans eller hennes ansökan kan nekas prövning i enlighet med artikel 36.1 b ska en sökande ges möjlighet att överklaga tillämpningen av begreppet säkert tredjeland med hänsyn till hans eller hennes särskilda omständigheter.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Sökanden bör ha rätt att överklaga tillämpningen av begreppet under hela sitt förfarande, fram till ett slutgiltigt beslut.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 xml:space="preserve">Innan hans eller hennes ansökan kan </w:t>
            </w:r>
            <w:r>
              <w:rPr>
                <w:rFonts w:ascii="Times New Roman" w:eastAsia="Times New Roman" w:hAnsi="Times New Roman" w:cs="Times New Roman"/>
                <w:b/>
                <w:i/>
                <w:strike w:val="0"/>
                <w:color w:val="000000"/>
                <w:sz w:val="24"/>
                <w:highlight w:val="none"/>
                <w:u w:val="none" w:color="auto"/>
              </w:rPr>
              <w:t>nekas prövning</w:t>
            </w:r>
            <w:r>
              <w:t xml:space="preserve"> i enlighet med </w:t>
            </w:r>
            <w:r>
              <w:rPr>
                <w:rFonts w:ascii="Times New Roman" w:eastAsia="Times New Roman" w:hAnsi="Times New Roman" w:cs="Times New Roman"/>
                <w:b/>
                <w:i/>
                <w:strike w:val="0"/>
                <w:color w:val="000000"/>
                <w:sz w:val="24"/>
                <w:highlight w:val="none"/>
                <w:u w:val="none" w:color="auto"/>
              </w:rPr>
              <w:t>artikel 36.1 b</w:t>
            </w:r>
            <w:r>
              <w:t xml:space="preserve"> ska en sökande ges möjlighet att överklaga tillämpningen av begreppet säkert tredjeland med hänsyn till hans eller hennes särskilda omständigheter</w:t>
            </w:r>
            <w:r>
              <w:rPr>
                <w:rFonts w:ascii="Times New Roman" w:eastAsia="Times New Roman" w:hAnsi="Times New Roman" w:cs="Times New Roman"/>
                <w:b/>
                <w:i/>
                <w:strike w:val="0"/>
                <w:color w:val="000000"/>
                <w:sz w:val="24"/>
                <w:highlight w:val="none"/>
                <w:u w:val="none" w:color="auto"/>
              </w:rPr>
              <w:t xml:space="preserve"> vid inlämnandet av ansökan och vid intervjun avseende huruvida ansökan kan tas upp till prövning</w:t>
            </w:r>
            <w:r>
              <w:t>.</w:t>
            </w:r>
          </w:p>
        </w:tc>
        <w:tc>
          <w:tcPr/>
          <w:p>
            <w:pPr>
              <w:pStyle w:val="Normal6"/>
            </w:pPr>
            <w:r>
              <w:t>4.</w:t>
            </w:r>
            <w:r>
              <w:tab/>
            </w:r>
            <w:r>
              <w:t xml:space="preserve">Innan hans eller hennes ansökan kan </w:t>
            </w:r>
            <w:r>
              <w:rPr>
                <w:rFonts w:ascii="Times New Roman" w:eastAsia="Times New Roman" w:hAnsi="Times New Roman" w:cs="Times New Roman"/>
                <w:b/>
                <w:i/>
                <w:strike w:val="0"/>
                <w:color w:val="000000"/>
                <w:sz w:val="24"/>
                <w:highlight w:val="none"/>
                <w:u w:val="none" w:color="auto"/>
              </w:rPr>
              <w:t>avslås som ett led i sakprövningen av ansökan</w:t>
            </w:r>
            <w:r>
              <w:t xml:space="preserve"> i enlighet med </w:t>
            </w:r>
            <w:r>
              <w:rPr>
                <w:rFonts w:ascii="Times New Roman" w:eastAsia="Times New Roman" w:hAnsi="Times New Roman" w:cs="Times New Roman"/>
                <w:b/>
                <w:i/>
                <w:strike w:val="0"/>
                <w:color w:val="000000"/>
                <w:sz w:val="24"/>
                <w:highlight w:val="none"/>
                <w:u w:val="none" w:color="auto"/>
              </w:rPr>
              <w:t>avsnitt II i denna förordning</w:t>
            </w:r>
            <w:r>
              <w:t xml:space="preserve"> ska en sökande ges möjlighet att </w:t>
            </w:r>
            <w:r>
              <w:rPr>
                <w:rFonts w:ascii="Times New Roman" w:eastAsia="Times New Roman" w:hAnsi="Times New Roman" w:cs="Times New Roman"/>
                <w:b/>
                <w:i/>
                <w:strike w:val="0"/>
                <w:color w:val="000000"/>
                <w:sz w:val="24"/>
                <w:highlight w:val="none"/>
                <w:u w:val="none" w:color="auto"/>
              </w:rPr>
              <w:t xml:space="preserve">i varje skede av förfarandet </w:t>
            </w:r>
            <w:r>
              <w:t>överklaga tillämpningen av begreppet säkert tredjeland med hänsyn till hans eller hennes särskilda omständigheter.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rPr>
                <w:rFonts w:ascii="Times New Roman" w:eastAsia="Times New Roman" w:hAnsi="Times New Roman" w:cs="Times New Roman"/>
                <w:b/>
                <w:i/>
                <w:strike w:val="0"/>
                <w:color w:val="000000"/>
                <w:sz w:val="24"/>
                <w:highlight w:val="none"/>
                <w:u w:val="none" w:color="auto"/>
              </w:rPr>
              <w:t xml:space="preserve">När det gäller ensamkommande barn får </w:t>
            </w:r>
            <w:r>
              <w:rPr>
                <w:rFonts w:ascii="Times New Roman" w:eastAsia="Times New Roman" w:hAnsi="Times New Roman" w:cs="Times New Roman"/>
                <w:b/>
                <w:i/>
                <w:strike w:val="0"/>
                <w:color w:val="000000"/>
                <w:sz w:val="24"/>
                <w:highlight w:val="none"/>
                <w:u w:val="none" w:color="auto"/>
              </w:rPr>
              <w:t>begreppet</w:t>
            </w:r>
            <w:r>
              <w:t xml:space="preserve"> säkert tredjeland </w:t>
            </w:r>
            <w:r>
              <w:rPr>
                <w:rFonts w:ascii="Times New Roman" w:eastAsia="Times New Roman" w:hAnsi="Times New Roman" w:cs="Times New Roman"/>
                <w:b/>
                <w:i/>
                <w:strike w:val="0"/>
                <w:color w:val="000000"/>
                <w:sz w:val="24"/>
                <w:highlight w:val="none"/>
                <w:u w:val="none" w:color="auto"/>
              </w:rPr>
              <w:t>tillämpas endast om medlemsstaternas myndigheter först från det berörda tredjelandets myndigheter erhållit bekräftelse om att det</w:t>
            </w:r>
            <w:r>
              <w:t xml:space="preserve"> ensamkommande </w:t>
            </w:r>
            <w:r>
              <w:rPr>
                <w:rFonts w:ascii="Times New Roman" w:eastAsia="Times New Roman" w:hAnsi="Times New Roman" w:cs="Times New Roman"/>
                <w:b/>
                <w:i/>
                <w:strike w:val="0"/>
                <w:color w:val="000000"/>
                <w:sz w:val="24"/>
                <w:highlight w:val="none"/>
                <w:u w:val="none" w:color="auto"/>
              </w:rPr>
              <w:t>barnet kommer att tas om hand av dessa myndigheter och att han eller hon omedelbart kommer att ha tillgång till en av de former av skydd som avses i punkt 1 e</w:t>
            </w:r>
            <w:r>
              <w:t>.</w:t>
            </w:r>
          </w:p>
        </w:tc>
        <w:tc>
          <w:tcPr/>
          <w:p>
            <w:pPr>
              <w:pStyle w:val="Normal6"/>
            </w:pPr>
            <w:r>
              <w:t>5.</w:t>
            </w:r>
            <w:r>
              <w:tab/>
            </w:r>
            <w:r>
              <w:rPr>
                <w:rFonts w:ascii="Times New Roman" w:eastAsia="Times New Roman" w:hAnsi="Times New Roman" w:cs="Times New Roman"/>
                <w:b/>
                <w:i/>
                <w:strike w:val="0"/>
                <w:color w:val="000000"/>
                <w:sz w:val="24"/>
                <w:highlight w:val="none"/>
                <w:u w:val="none" w:color="auto"/>
              </w:rPr>
              <w:t>Begreppet</w:t>
            </w:r>
            <w:r>
              <w:t xml:space="preserve"> säkert tredjeland </w:t>
            </w:r>
            <w:r>
              <w:rPr>
                <w:rFonts w:ascii="Times New Roman" w:eastAsia="Times New Roman" w:hAnsi="Times New Roman" w:cs="Times New Roman"/>
                <w:b/>
                <w:i/>
                <w:strike w:val="0"/>
                <w:color w:val="000000"/>
                <w:sz w:val="24"/>
                <w:highlight w:val="none"/>
                <w:u w:val="none" w:color="auto"/>
              </w:rPr>
              <w:t>får inte tillämpas på</w:t>
            </w:r>
            <w:r>
              <w:t xml:space="preserve"> ensamkommande </w:t>
            </w:r>
            <w:r>
              <w:rPr>
                <w:rFonts w:ascii="Times New Roman" w:eastAsia="Times New Roman" w:hAnsi="Times New Roman" w:cs="Times New Roman"/>
                <w:b/>
                <w:i/>
                <w:strike w:val="0"/>
                <w:color w:val="000000"/>
                <w:sz w:val="24"/>
                <w:highlight w:val="none"/>
                <w:u w:val="none" w:color="auto"/>
              </w:rPr>
              <w:t>barn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rPr>
                <w:rFonts w:ascii="Times New Roman" w:eastAsia="Times New Roman" w:hAnsi="Times New Roman" w:cs="Times New Roman"/>
                <w:b/>
                <w:i/>
                <w:strike w:val="0"/>
                <w:color w:val="000000"/>
                <w:sz w:val="24"/>
                <w:highlight w:val="none"/>
                <w:u w:val="none" w:color="auto"/>
              </w:rPr>
              <w:t xml:space="preserve">När det gäller ensamkommande barn får </w:t>
            </w:r>
            <w:r>
              <w:rPr>
                <w:rFonts w:ascii="Times New Roman" w:eastAsia="Times New Roman" w:hAnsi="Times New Roman" w:cs="Times New Roman"/>
                <w:b/>
                <w:i/>
                <w:strike w:val="0"/>
                <w:color w:val="000000"/>
                <w:sz w:val="24"/>
                <w:highlight w:val="none"/>
                <w:u w:val="none" w:color="auto"/>
              </w:rPr>
              <w:t>begreppet</w:t>
            </w:r>
            <w:r>
              <w:t xml:space="preserve"> säkert tredjeland </w:t>
            </w:r>
            <w:r>
              <w:rPr>
                <w:rFonts w:ascii="Times New Roman" w:eastAsia="Times New Roman" w:hAnsi="Times New Roman" w:cs="Times New Roman"/>
                <w:b/>
                <w:i/>
                <w:strike w:val="0"/>
                <w:color w:val="000000"/>
                <w:sz w:val="24"/>
                <w:highlight w:val="none"/>
                <w:u w:val="none" w:color="auto"/>
              </w:rPr>
              <w:t>tillämpas endast om medlemsstaternas myndigheter först från det berörda tredjelandets myndigheter erhållit bekräftelse om att det</w:t>
            </w:r>
            <w:r>
              <w:t xml:space="preserve"> ensamkommande </w:t>
            </w:r>
            <w:r>
              <w:rPr>
                <w:rFonts w:ascii="Times New Roman" w:eastAsia="Times New Roman" w:hAnsi="Times New Roman" w:cs="Times New Roman"/>
                <w:b/>
                <w:i/>
                <w:strike w:val="0"/>
                <w:color w:val="000000"/>
                <w:sz w:val="24"/>
                <w:highlight w:val="none"/>
                <w:u w:val="none" w:color="auto"/>
              </w:rPr>
              <w:t>barnet kommer att tas om hand av dessa myndigheter och att han eller hon omedelbart kommer att ha tillgång till en av de former av skydd som avses i punkt 1 e</w:t>
            </w:r>
            <w:r>
              <w:t>.</w:t>
            </w:r>
          </w:p>
        </w:tc>
        <w:tc>
          <w:tcPr/>
          <w:p>
            <w:pPr>
              <w:pStyle w:val="Normal6"/>
            </w:pPr>
            <w:r>
              <w:t>5.</w:t>
            </w:r>
            <w:r>
              <w:tab/>
            </w:r>
            <w:r>
              <w:rPr>
                <w:rFonts w:ascii="Times New Roman" w:eastAsia="Times New Roman" w:hAnsi="Times New Roman" w:cs="Times New Roman"/>
                <w:b/>
                <w:i/>
                <w:strike w:val="0"/>
                <w:color w:val="000000"/>
                <w:sz w:val="24"/>
                <w:highlight w:val="none"/>
                <w:u w:val="none" w:color="auto"/>
              </w:rPr>
              <w:t>Begreppet</w:t>
            </w:r>
            <w:r>
              <w:t xml:space="preserve"> säkert tredjeland </w:t>
            </w:r>
            <w:r>
              <w:rPr>
                <w:rFonts w:ascii="Times New Roman" w:eastAsia="Times New Roman" w:hAnsi="Times New Roman" w:cs="Times New Roman"/>
                <w:b/>
                <w:i/>
                <w:strike w:val="0"/>
                <w:color w:val="000000"/>
                <w:sz w:val="24"/>
                <w:highlight w:val="none"/>
                <w:u w:val="none" w:color="auto"/>
              </w:rPr>
              <w:t>får inte tillämpas på</w:t>
            </w:r>
            <w:r>
              <w:t xml:space="preserve"> ensamkommande </w:t>
            </w:r>
            <w:r>
              <w:rPr>
                <w:rFonts w:ascii="Times New Roman" w:eastAsia="Times New Roman" w:hAnsi="Times New Roman" w:cs="Times New Roman"/>
                <w:b/>
                <w:i/>
                <w:strike w:val="0"/>
                <w:color w:val="000000"/>
                <w:sz w:val="24"/>
                <w:highlight w:val="none"/>
                <w:u w:val="none" w:color="auto"/>
              </w:rPr>
              <w:t>barn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Underåriga utan medföljande vuxen är särskilt utsatta och bör inte vara föremål för användning av begreppet första asylland.</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rPr>
                <w:rFonts w:ascii="Times New Roman" w:eastAsia="Times New Roman" w:hAnsi="Times New Roman" w:cs="Times New Roman"/>
                <w:b/>
                <w:i/>
                <w:strike w:val="0"/>
                <w:color w:val="000000"/>
                <w:sz w:val="24"/>
                <w:highlight w:val="none"/>
                <w:u w:val="none" w:color="auto"/>
              </w:rPr>
              <w:t>När det gäller</w:t>
            </w:r>
            <w:r>
              <w:t xml:space="preserve"> ensamkommande barn </w:t>
            </w:r>
            <w:r>
              <w:rPr>
                <w:rFonts w:ascii="Times New Roman" w:eastAsia="Times New Roman" w:hAnsi="Times New Roman" w:cs="Times New Roman"/>
                <w:b/>
                <w:i/>
                <w:strike w:val="0"/>
                <w:color w:val="000000"/>
                <w:sz w:val="24"/>
                <w:highlight w:val="none"/>
                <w:u w:val="none" w:color="auto"/>
              </w:rPr>
              <w:t>får begreppet säkert tredjeland tillämpas endast</w:t>
            </w:r>
            <w:r>
              <w:t xml:space="preserve"> om medlemsstaternas myndigheter först från det berörda tredjelandets myndigheter erhållit bekräftelse om att det ensamkommande barnet kommer att tas om hand av dessa myndigheter och att han eller hon omedelbart kommer att ha tillgång till en av de former av skydd som avses i punkt 1 e.</w:t>
            </w:r>
          </w:p>
        </w:tc>
        <w:tc>
          <w:tcPr/>
          <w:p>
            <w:pPr>
              <w:pStyle w:val="Normal6"/>
            </w:pPr>
            <w:r>
              <w:t>5.</w:t>
            </w:r>
            <w:r>
              <w:tab/>
            </w:r>
            <w:r>
              <w:rPr>
                <w:rFonts w:ascii="Times New Roman" w:eastAsia="Times New Roman" w:hAnsi="Times New Roman" w:cs="Times New Roman"/>
                <w:b/>
                <w:i/>
                <w:strike w:val="0"/>
                <w:color w:val="000000"/>
                <w:sz w:val="24"/>
                <w:highlight w:val="none"/>
                <w:u w:val="none" w:color="auto"/>
              </w:rPr>
              <w:t>Begreppet säkert tredjeland får inte tillämpas på</w:t>
            </w:r>
            <w:r>
              <w:t xml:space="preserve"> ensamkommande barn </w:t>
            </w:r>
            <w:r>
              <w:rPr>
                <w:rFonts w:ascii="Times New Roman" w:eastAsia="Times New Roman" w:hAnsi="Times New Roman" w:cs="Times New Roman"/>
                <w:b/>
                <w:i/>
                <w:strike w:val="0"/>
                <w:color w:val="000000"/>
                <w:sz w:val="24"/>
                <w:highlight w:val="none"/>
                <w:u w:val="none" w:color="auto"/>
              </w:rPr>
              <w:t>om det inte fastställs ligga i deras intresse och</w:t>
            </w:r>
            <w:r>
              <w:t xml:space="preserve"> om medlemsstaternas myndigheter först från det berörda tredjelandets myndigheter erhållit bekräftelse om att det ensamkommande barnet kommer att tas om hand av dessa myndigheter och att han eller hon omedelbart kommer att ha tillgång till en av de former av skydd som avses i punkt 1 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 Maria Corazza Bildt</w:t>
      </w:r>
      <w:r>
        <w:t xml:space="preserve">, </w:t>
      </w:r>
      <w:r>
        <w:t>Caterina Chinnici</w:t>
      </w:r>
      <w:r>
        <w:t xml:space="preserve">, </w:t>
      </w:r>
      <w:r>
        <w:t>Hilde Vautmans</w:t>
      </w:r>
      <w:r>
        <w:t xml:space="preserve">, </w:t>
      </w:r>
      <w:r>
        <w:t>Barbara Matera</w:t>
      </w:r>
      <w:r>
        <w:t xml:space="preserve">, </w:t>
      </w:r>
      <w:r>
        <w:t>Damiano Zoffoli</w:t>
      </w:r>
      <w:r>
        <w:t xml:space="preserve">, </w:t>
      </w:r>
      <w:r>
        <w:t>Michaela Šojdrová</w:t>
      </w:r>
      <w:r>
        <w:t xml:space="preserve">, </w:t>
      </w:r>
      <w:r>
        <w:t>Brando Benifei</w:t>
      </w:r>
      <w:r>
        <w:t xml:space="preserve">, </w:t>
      </w:r>
      <w:r>
        <w:t>Lara Comi</w:t>
      </w:r>
      <w:r>
        <w:t xml:space="preserve">, </w:t>
      </w:r>
      <w:r>
        <w:t>Barbara Kudrycka</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När det gäller ensamkommande barn får begreppet säkert tredjeland tillämpas endast om medlemsstaternas myndigheter</w:t>
            </w:r>
            <w:r>
              <w:rPr>
                <w:rFonts w:ascii="Times New Roman" w:eastAsia="Times New Roman" w:hAnsi="Times New Roman" w:cs="Times New Roman"/>
                <w:b/>
                <w:i/>
                <w:strike w:val="0"/>
                <w:color w:val="000000"/>
                <w:sz w:val="24"/>
                <w:highlight w:val="none"/>
                <w:u w:val="none" w:color="auto"/>
              </w:rPr>
              <w:t xml:space="preserve"> först</w:t>
            </w:r>
            <w:r>
              <w:t xml:space="preserve"> från det berörda tredjelandets myndigheter erhållit </w:t>
            </w:r>
            <w:r>
              <w:rPr>
                <w:rFonts w:ascii="Times New Roman" w:eastAsia="Times New Roman" w:hAnsi="Times New Roman" w:cs="Times New Roman"/>
                <w:b/>
                <w:i/>
                <w:strike w:val="0"/>
                <w:color w:val="000000"/>
                <w:sz w:val="24"/>
                <w:highlight w:val="none"/>
                <w:u w:val="none" w:color="auto"/>
              </w:rPr>
              <w:t>bekräftelse</w:t>
            </w:r>
            <w:r>
              <w:t xml:space="preserve"> om att det ensamkommande barnet kommer att </w:t>
            </w:r>
            <w:r>
              <w:rPr>
                <w:rFonts w:ascii="Times New Roman" w:eastAsia="Times New Roman" w:hAnsi="Times New Roman" w:cs="Times New Roman"/>
                <w:b/>
                <w:i/>
                <w:strike w:val="0"/>
                <w:color w:val="000000"/>
                <w:sz w:val="24"/>
                <w:highlight w:val="none"/>
                <w:u w:val="none" w:color="auto"/>
              </w:rPr>
              <w:t>tas om hand av dessa myndigheter</w:t>
            </w:r>
            <w:r>
              <w:t xml:space="preserve"> och att han eller hon omedelbart kommer att ha tillgång till </w:t>
            </w:r>
            <w:r>
              <w:rPr>
                <w:rFonts w:ascii="Times New Roman" w:eastAsia="Times New Roman" w:hAnsi="Times New Roman" w:cs="Times New Roman"/>
                <w:b/>
                <w:i/>
                <w:strike w:val="0"/>
                <w:color w:val="000000"/>
                <w:sz w:val="24"/>
                <w:highlight w:val="none"/>
                <w:u w:val="none" w:color="auto"/>
              </w:rPr>
              <w:t xml:space="preserve">en av </w:t>
            </w:r>
            <w:r>
              <w:t>de former av skydd som avses i punkt 1</w:t>
            </w:r>
            <w:r>
              <w:rPr>
                <w:rFonts w:ascii="Times New Roman" w:eastAsia="Times New Roman" w:hAnsi="Times New Roman" w:cs="Times New Roman"/>
                <w:b/>
                <w:i/>
                <w:strike w:val="0"/>
                <w:color w:val="000000"/>
                <w:sz w:val="24"/>
                <w:highlight w:val="none"/>
                <w:u w:val="none" w:color="auto"/>
              </w:rPr>
              <w:t xml:space="preserve"> e</w:t>
            </w:r>
            <w:r>
              <w:t>.</w:t>
            </w:r>
          </w:p>
        </w:tc>
        <w:tc>
          <w:tcPr/>
          <w:p>
            <w:pPr>
              <w:pStyle w:val="Normal6"/>
            </w:pPr>
            <w:r>
              <w:t>5.</w:t>
            </w:r>
            <w:r>
              <w:tab/>
            </w:r>
            <w:r>
              <w:t xml:space="preserve">När det gäller ensamkommande barn får begreppet säkert tredjeland tillämpas endast </w:t>
            </w:r>
            <w:r>
              <w:rPr>
                <w:rFonts w:ascii="Times New Roman" w:eastAsia="Times New Roman" w:hAnsi="Times New Roman" w:cs="Times New Roman"/>
                <w:b/>
                <w:i/>
                <w:strike w:val="0"/>
                <w:color w:val="000000"/>
                <w:sz w:val="24"/>
                <w:highlight w:val="none"/>
                <w:u w:val="none" w:color="auto"/>
              </w:rPr>
              <w:t xml:space="preserve">med bektande av deras intressen och </w:t>
            </w:r>
            <w:r>
              <w:t xml:space="preserve">om medlemsstaternas myndigheter från det berörda tredjelandets myndigheter erhållit </w:t>
            </w:r>
            <w:r>
              <w:rPr>
                <w:rFonts w:ascii="Times New Roman" w:eastAsia="Times New Roman" w:hAnsi="Times New Roman" w:cs="Times New Roman"/>
                <w:b/>
                <w:i/>
                <w:strike w:val="0"/>
                <w:color w:val="000000"/>
                <w:sz w:val="24"/>
                <w:highlight w:val="none"/>
                <w:u w:val="none" w:color="auto"/>
              </w:rPr>
              <w:t>en försäkran</w:t>
            </w:r>
            <w:r>
              <w:t xml:space="preserve"> om att det ensamkommande barnet </w:t>
            </w:r>
            <w:r>
              <w:rPr>
                <w:rFonts w:ascii="Times New Roman" w:eastAsia="Times New Roman" w:hAnsi="Times New Roman" w:cs="Times New Roman"/>
                <w:b/>
                <w:i/>
                <w:strike w:val="0"/>
                <w:color w:val="000000"/>
                <w:sz w:val="24"/>
                <w:highlight w:val="none"/>
                <w:u w:val="none" w:color="auto"/>
              </w:rPr>
              <w:t xml:space="preserve">inte </w:t>
            </w:r>
            <w:r>
              <w:t xml:space="preserve">kommer att </w:t>
            </w:r>
            <w:r>
              <w:rPr>
                <w:rFonts w:ascii="Times New Roman" w:eastAsia="Times New Roman" w:hAnsi="Times New Roman" w:cs="Times New Roman"/>
                <w:b/>
                <w:i/>
                <w:strike w:val="0"/>
                <w:color w:val="000000"/>
                <w:sz w:val="24"/>
                <w:highlight w:val="none"/>
                <w:u w:val="none" w:color="auto"/>
              </w:rPr>
              <w:t>utsättas för allvarlig skada, diskriminering eller förföljelse</w:t>
            </w:r>
            <w:r>
              <w:t xml:space="preserve"> och att han eller hon omedelbart kommer att ha tillgång till de former av skydd som avses i punkt 1.</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rPr>
                <w:rFonts w:ascii="Times New Roman" w:eastAsia="Times New Roman" w:hAnsi="Times New Roman" w:cs="Times New Roman"/>
                <w:b/>
                <w:i/>
                <w:strike w:val="0"/>
                <w:color w:val="000000"/>
                <w:sz w:val="24"/>
                <w:highlight w:val="none"/>
                <w:u w:val="none" w:color="auto"/>
              </w:rPr>
              <w:t>När det gäller ensamkommande barn får begreppet säkert tredjeland tillämpas</w:t>
            </w:r>
            <w:r>
              <w:t xml:space="preserve"> endast om medlemsstaternas myndigheter först från det berörda tredjelandets myndigheter erhållit bekräftelse om att det ensamkommande barnet kommer att tas om hand av dessa myndigheter och att han eller hon omedelbart kommer att ha tillgång till en av de former av skydd som avses i punkt 1 e.</w:t>
            </w:r>
          </w:p>
        </w:tc>
        <w:tc>
          <w:tcPr/>
          <w:p>
            <w:pPr>
              <w:pStyle w:val="Normal6"/>
            </w:pPr>
            <w:r>
              <w:t>5.</w:t>
            </w:r>
            <w:r>
              <w:tab/>
            </w:r>
            <w:r>
              <w:rPr>
                <w:rFonts w:ascii="Times New Roman" w:eastAsia="Times New Roman" w:hAnsi="Times New Roman" w:cs="Times New Roman"/>
                <w:b/>
                <w:i/>
                <w:strike w:val="0"/>
                <w:color w:val="000000"/>
                <w:sz w:val="24"/>
                <w:highlight w:val="none"/>
                <w:u w:val="none" w:color="auto"/>
              </w:rPr>
              <w:t>Begreppet säkert tredjeland får tillämpas på ensamkommande barn</w:t>
            </w:r>
            <w:r>
              <w:t xml:space="preserve"> endast om medlemsstaternas myndigheter först från det berörda tredjelandets myndigheter erhållit bekräftelse om att det ensamkommande barnet kommer att tas om hand av dessa myndigheter och att han eller hon omedelbart kommer att ha tillgång till en av de former av skydd som avses i punkt 1 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6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t>förse sökanden med en handling på tredjelandets språk som underrättar myndigheterna i det landet om att ansökan inte har prövats i sak</w:t>
            </w:r>
            <w:r>
              <w:rPr>
                <w:rFonts w:ascii="Times New Roman" w:eastAsia="Times New Roman" w:hAnsi="Times New Roman" w:cs="Times New Roman"/>
                <w:b/>
                <w:i/>
                <w:strike w:val="0"/>
                <w:color w:val="000000"/>
                <w:sz w:val="24"/>
                <w:highlight w:val="none"/>
                <w:u w:val="none" w:color="auto"/>
              </w:rPr>
              <w:t xml:space="preserve"> till följd av tillämpningen av begreppet säkert tredjeland</w:t>
            </w:r>
            <w:r>
              <w:t>.</w:t>
            </w:r>
          </w:p>
        </w:tc>
        <w:tc>
          <w:tcPr/>
          <w:p>
            <w:pPr>
              <w:pStyle w:val="Normal6"/>
            </w:pPr>
            <w:r>
              <w:rPr>
                <w:rFonts w:ascii="Times New Roman" w:eastAsia="Times New Roman" w:hAnsi="Times New Roman" w:cs="Times New Roman"/>
                <w:b/>
                <w:i/>
                <w:strike w:val="0"/>
                <w:color w:val="000000"/>
                <w:sz w:val="24"/>
                <w:highlight w:val="none"/>
                <w:u w:val="none" w:color="auto"/>
              </w:rPr>
              <w:t>b)</w:t>
            </w:r>
            <w:r>
              <w:tab/>
            </w:r>
            <w:r>
              <w:t>förse sökanden med en handling på tredjelandets språk som underrättar myndigheterna i det landet om att ansökan inte har prövats i sak.</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45 – punkt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7.</w:t>
            </w:r>
            <w:r>
              <w:tab/>
            </w:r>
            <w:r>
              <w:t xml:space="preserve">Om det berörda tredjelandet inte tillåter att sökanden reser in eller reser in på nytt på dess territorium </w:t>
            </w:r>
            <w:r>
              <w:rPr>
                <w:rFonts w:ascii="Times New Roman" w:eastAsia="Times New Roman" w:hAnsi="Times New Roman" w:cs="Times New Roman"/>
                <w:b/>
                <w:i/>
                <w:strike w:val="0"/>
                <w:color w:val="000000"/>
                <w:sz w:val="24"/>
                <w:highlight w:val="none"/>
                <w:u w:val="none" w:color="auto"/>
              </w:rPr>
              <w:t>ska</w:t>
            </w:r>
            <w:r>
              <w:t xml:space="preserve"> den beslutande myndigheten återkalla beslutet om att neka ansökan prövning och ge tillgång till förfarandet i enlighet med de grundläggande principerna och garantierna i kapitel II och avsnitt I i kapitel III.</w:t>
            </w:r>
          </w:p>
        </w:tc>
        <w:tc>
          <w:tcPr/>
          <w:p>
            <w:pPr>
              <w:pStyle w:val="Normal6"/>
            </w:pPr>
            <w:r>
              <w:t>7.</w:t>
            </w:r>
            <w:r>
              <w:tab/>
            </w:r>
            <w:r>
              <w:t xml:space="preserve">Om det berörda tredjelandet inte tillåter att sökanden reser in eller reser in på nytt på dess territorium </w:t>
            </w:r>
            <w:r>
              <w:rPr>
                <w:rFonts w:ascii="Times New Roman" w:eastAsia="Times New Roman" w:hAnsi="Times New Roman" w:cs="Times New Roman"/>
                <w:b/>
                <w:i/>
                <w:strike w:val="0"/>
                <w:color w:val="000000"/>
                <w:sz w:val="24"/>
                <w:highlight w:val="none"/>
                <w:u w:val="none" w:color="auto"/>
              </w:rPr>
              <w:t>får</w:t>
            </w:r>
            <w:r>
              <w:t xml:space="preserve"> den beslutande myndigheten återkalla beslutet om att neka ansökan prövning och ge tillgång till förfarandet i enlighet med de grundläggande principerna och garantierna i kapitel II och avsnitt I i kapitel III. </w:t>
            </w:r>
            <w:r>
              <w:rPr>
                <w:rFonts w:ascii="Times New Roman" w:eastAsia="Times New Roman" w:hAnsi="Times New Roman" w:cs="Times New Roman"/>
                <w:b/>
                <w:i/>
                <w:strike w:val="0"/>
                <w:color w:val="000000"/>
                <w:sz w:val="24"/>
                <w:highlight w:val="none"/>
                <w:u w:val="none" w:color="auto"/>
              </w:rPr>
              <w:t>Återvändandeförfarandet bör dock fortsätta fram till dess att inresa eller återtagande blir möjligt.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Artikel 46</w:t>
            </w:r>
            <w:r>
              <w:tab/>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Fastställande av säkra tredjeländer på unionsnivå</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1.Tredjeländer ska betecknas som säkra tredjeländer på unionsnivå i enlighet med de villkor som anges i artikel 45.1.</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2.Kommissionen ska regelbundet granska situationen i tredjeländer som betecknas som säkra tredjeländer på unionsnivå, med bistånd av Europeiska unionens asylbyrå och på grundval av de övriga informationskällor som anges i artikel 45.1 andra stycket.</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3.Kommissionen ska ges befogenheter att anta delegerade akter för att tillfälligt upphäva beteckningen av ett tredjeland som ett säkert tredjeland på unionsnivå, på de villkor som anges i artikel 49.</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Artikel 46</w:t>
            </w:r>
            <w:r>
              <w:tab/>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Fastställande av säkra tredjeländer på unionsnivå</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1.Tredjeländer ska betecknas som säkra tredjeländer på unionsnivå i enlighet med de villkor som anges i artikel 45.1.</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2.Kommissionen ska regelbundet granska situationen i tredjeländer som betecknas som säkra tredjeländer på unionsnivå, med bistånd av Europeiska unionens asylbyrå och på grundval av de övriga informationskällor som anges i artikel 45.1 andra stycket.</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3.Kommissionen ska ges befogenheter att anta delegerade akter för att tillfälligt upphäva beteckningen av ett tredjeland som ett säkert tredjeland på unionsnivå, på de villkor som anges i artikel 49.</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Artikel 46</w:t>
            </w:r>
            <w:r>
              <w:tab/>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Fastställande av säkra tredjeländer på unionsnivå</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1.Tredjeländer ska betecknas som säkra tredjeländer på unionsnivå i enlighet med de villkor som anges i artikel 45.1.</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2.Kommissionen ska regelbundet granska situationen i tredjeländer som betecknas som säkra tredjeländer på unionsnivå, med bistånd av Europeiska unionens asylbyrå och på grundval av de övriga informationskällor som anges i artikel 45.1 andra stycket.</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3.Kommissionen ska ges befogenheter att anta delegerade akter för att tillfälligt upphäva beteckningen av ett tredjeland som ett säkert tredjeland på unionsnivå, på de villkor som anges i artikel 49.</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Eftersom begreppet säkert tredjeland bör förbli en valmöjlighet för medlemsstaterna behövs i detta skede ingen förteckning på europeisk nivå.</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46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Kommissionen ska regelbundet granska situationen i tredjeländer som betecknas som säkra tredjeländer på unionsnivå, med bistånd av Europeiska unionens asylbyrå och på grundval av de övriga informationskällor som anges i artikel 45.1 andra stycket.</w:t>
            </w:r>
          </w:p>
        </w:tc>
        <w:tc>
          <w:tcPr/>
          <w:p>
            <w:pPr>
              <w:pStyle w:val="Normal6"/>
            </w:pPr>
            <w:r>
              <w:t>2.</w:t>
            </w:r>
            <w:r>
              <w:tab/>
            </w:r>
            <w:r>
              <w:t xml:space="preserve">Kommissionen ska regelbundet granska situationen i tredjeländer som betecknas </w:t>
            </w:r>
            <w:r>
              <w:rPr>
                <w:rFonts w:ascii="Times New Roman" w:eastAsia="Times New Roman" w:hAnsi="Times New Roman" w:cs="Times New Roman"/>
                <w:b/>
                <w:i/>
                <w:strike w:val="0"/>
                <w:color w:val="000000"/>
                <w:sz w:val="24"/>
                <w:highlight w:val="none"/>
                <w:u w:val="none" w:color="auto"/>
              </w:rPr>
              <w:t xml:space="preserve">eller skulle kunna betecknas </w:t>
            </w:r>
            <w:r>
              <w:t>som säkra tredjeländer på unionsnivå, med bistånd av Europeiska unionens asylbyrå och på grundval av de övriga informationskällor som anges i artikel 45.1 andra stycket.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46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Kommissionen ska ges befogenheter att anta delegerade akter för att tillfälligt upphäva beteckningen av ett tredjeland som ett säkert tredjeland på unionsnivå, på de villkor som anges i artikel 49.</w:t>
            </w:r>
          </w:p>
        </w:tc>
        <w:tc>
          <w:tcPr/>
          <w:p>
            <w:pPr>
              <w:pStyle w:val="Normal6"/>
            </w:pPr>
            <w:r>
              <w:t>3.</w:t>
            </w:r>
            <w:r>
              <w:tab/>
            </w:r>
            <w:r>
              <w:t xml:space="preserve">Kommissionen ska ges befogenheter att anta delegerade akter för att </w:t>
            </w:r>
            <w:r>
              <w:rPr>
                <w:rFonts w:ascii="Times New Roman" w:eastAsia="Times New Roman" w:hAnsi="Times New Roman" w:cs="Times New Roman"/>
                <w:b/>
                <w:i/>
                <w:strike w:val="0"/>
                <w:color w:val="000000"/>
                <w:sz w:val="24"/>
                <w:highlight w:val="none"/>
                <w:u w:val="none" w:color="auto"/>
              </w:rPr>
              <w:t xml:space="preserve">beteckna ett tredjeland eller </w:t>
            </w:r>
            <w:r>
              <w:t>tillfälligt upphäva beteckningen av ett tredjeland som ett säkert tredjeland på unionsnivå, på de villkor som anges i artikel 49.</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Ett tredjeland får betecknas som ett säkert ursprungsland i enlighet med denna förordning om det på grundval av den rättsliga situationen, tillämpningen av lagstiftningen inom ett demokratiskt system och de allmänna politiska förhållandena framgår att det </w:t>
            </w:r>
            <w:r>
              <w:rPr>
                <w:rFonts w:ascii="Times New Roman" w:eastAsia="Times New Roman" w:hAnsi="Times New Roman" w:cs="Times New Roman"/>
                <w:b/>
                <w:i/>
                <w:strike w:val="0"/>
                <w:color w:val="000000"/>
                <w:sz w:val="24"/>
                <w:highlight w:val="none"/>
                <w:u w:val="none" w:color="auto"/>
              </w:rPr>
              <w:t xml:space="preserve">allmänt </w:t>
            </w:r>
            <w:r>
              <w:t>inte förekommer någon förföljelse enligt artikel 9 i förordning (EU) nr XXX/XXX (</w:t>
            </w:r>
            <w:r>
              <w:rPr>
                <w:rFonts w:ascii="Times New Roman" w:eastAsia="Times New Roman" w:hAnsi="Times New Roman" w:cs="Times New Roman"/>
                <w:b/>
                <w:i/>
                <w:strike w:val="0"/>
                <w:color w:val="000000"/>
                <w:sz w:val="24"/>
                <w:highlight w:val="none"/>
                <w:u w:val="none" w:color="auto"/>
              </w:rPr>
              <w:t>Skyddsförordningen</w:t>
            </w:r>
            <w:r>
              <w:t>), samt ingen tortyr eller omänsklig eller förnedrande behandling eller bestraffning och inget hot på grund av urskillningslöst våld i situationer av internationell eller intern väpnad konflikt.</w:t>
            </w:r>
          </w:p>
        </w:tc>
        <w:tc>
          <w:tcPr/>
          <w:p>
            <w:pPr>
              <w:pStyle w:val="Normal6"/>
            </w:pPr>
            <w:r>
              <w:t>1.</w:t>
            </w:r>
            <w:r>
              <w:tab/>
            </w:r>
            <w:r>
              <w:t>Ett tredjeland får betecknas som ett säkert ursprungsland i enlighet med denna förordning om det på grundval av den rättsliga situationen, tillämpningen av lagstiftningen inom ett demokratiskt system och de allmänna politiska förhållandena framgår att det inte förekommer någon</w:t>
            </w:r>
            <w:r>
              <w:rPr>
                <w:rFonts w:ascii="Times New Roman" w:eastAsia="Times New Roman" w:hAnsi="Times New Roman" w:cs="Times New Roman"/>
                <w:b/>
                <w:i/>
                <w:strike w:val="0"/>
                <w:color w:val="000000"/>
                <w:sz w:val="24"/>
                <w:highlight w:val="none"/>
                <w:u w:val="none" w:color="auto"/>
              </w:rPr>
              <w:t xml:space="preserve"> allmän eller konsekvent</w:t>
            </w:r>
            <w:r>
              <w:t xml:space="preserve"> förföljelse enligt artikel 9 i förordning (EU) nr XXX/XXX (</w:t>
            </w:r>
            <w:r>
              <w:rPr>
                <w:rFonts w:ascii="Times New Roman" w:eastAsia="Times New Roman" w:hAnsi="Times New Roman" w:cs="Times New Roman"/>
                <w:b/>
                <w:i/>
                <w:strike w:val="0"/>
                <w:color w:val="000000"/>
                <w:sz w:val="24"/>
                <w:highlight w:val="none"/>
                <w:u w:val="none" w:color="auto"/>
              </w:rPr>
              <w:t>skyddsförordningen</w:t>
            </w:r>
            <w:r>
              <w:t>), samt ingen tortyr eller omänsklig eller förnedrande behandling eller bestraffning och inget hot på grund av urskillningslöst våld i situationer av internationell eller intern väpnad konflikt.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 40 i parlamentets ståndpunkt om förordningen om upprättande av en gemensam EU-förteckning över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Bedömningen av huruvida ett tredjeland kan betecknas som ett säkert ursprungsland i enlighet med denna förordning ska grunda sig på ett urval av informationskällor, särskilt information från andra medlemsstater, Europeiska unionens asylbyrå, Europeiska utrikestjänsten, FN:s flyktingkommissarie, Europarådet</w:t>
            </w:r>
            <w:r>
              <w:rPr>
                <w:rFonts w:ascii="Times New Roman" w:eastAsia="Times New Roman" w:hAnsi="Times New Roman" w:cs="Times New Roman"/>
                <w:b/>
                <w:i/>
                <w:strike w:val="0"/>
                <w:color w:val="000000"/>
                <w:sz w:val="24"/>
                <w:highlight w:val="none"/>
                <w:u w:val="none" w:color="auto"/>
              </w:rPr>
              <w:t xml:space="preserve"> och andra berörda</w:t>
            </w:r>
            <w:r>
              <w:t xml:space="preserve"> internationella organisationer och ska ta hänsyn till den gemensamma analys av information om ursprungsländer som avses i artikel 10 i förordning (EU) nr XXX/XXX (</w:t>
            </w:r>
            <w:r>
              <w:rPr>
                <w:rFonts w:ascii="Times New Roman" w:eastAsia="Times New Roman" w:hAnsi="Times New Roman" w:cs="Times New Roman"/>
                <w:b/>
                <w:i/>
                <w:strike w:val="0"/>
                <w:color w:val="000000"/>
                <w:sz w:val="24"/>
                <w:highlight w:val="none"/>
                <w:u w:val="none" w:color="auto"/>
              </w:rPr>
              <w:t>Förordningen</w:t>
            </w:r>
            <w:r>
              <w:t xml:space="preserve"> om EU:s asylbyrå).</w:t>
            </w:r>
          </w:p>
        </w:tc>
        <w:tc>
          <w:tcPr/>
          <w:p>
            <w:pPr>
              <w:pStyle w:val="Normal6"/>
            </w:pPr>
            <w:r>
              <w:t>2.</w:t>
            </w:r>
            <w:r>
              <w:tab/>
            </w:r>
            <w:r>
              <w:t xml:space="preserve">Bedömningen av huruvida ett tredjeland kan betecknas som ett säkert ursprungsland i enlighet med denna förordning ska grunda sig på ett urval av informationskällor, särskilt information från andra medlemsstater, Europeiska unionens asylbyrå, Europeiska utrikestjänsten, </w:t>
            </w:r>
            <w:r>
              <w:rPr>
                <w:rFonts w:ascii="Times New Roman" w:eastAsia="Times New Roman" w:hAnsi="Times New Roman" w:cs="Times New Roman"/>
                <w:b/>
                <w:i/>
                <w:strike w:val="0"/>
                <w:color w:val="000000"/>
                <w:sz w:val="24"/>
                <w:highlight w:val="none"/>
                <w:u w:val="none" w:color="auto"/>
              </w:rPr>
              <w:t xml:space="preserve">EU:s delegationer i dessa länder, </w:t>
            </w:r>
            <w:r>
              <w:t>FN:s flyktingkommissarie, Europarådet</w:t>
            </w:r>
            <w:r>
              <w:rPr>
                <w:rFonts w:ascii="Times New Roman" w:eastAsia="Times New Roman" w:hAnsi="Times New Roman" w:cs="Times New Roman"/>
                <w:b/>
                <w:i/>
                <w:strike w:val="0"/>
                <w:color w:val="000000"/>
                <w:sz w:val="24"/>
                <w:highlight w:val="none"/>
                <w:u w:val="none" w:color="auto"/>
              </w:rPr>
              <w:t>, relevanta internationella organisationer och nationella eller</w:t>
            </w:r>
            <w:r>
              <w:t xml:space="preserve"> internationella</w:t>
            </w:r>
            <w:r>
              <w:rPr>
                <w:rFonts w:ascii="Times New Roman" w:eastAsia="Times New Roman" w:hAnsi="Times New Roman" w:cs="Times New Roman"/>
                <w:b/>
                <w:i/>
                <w:strike w:val="0"/>
                <w:color w:val="000000"/>
                <w:sz w:val="24"/>
                <w:highlight w:val="none"/>
                <w:u w:val="none" w:color="auto"/>
              </w:rPr>
              <w:t xml:space="preserve"> icke-statliga</w:t>
            </w:r>
            <w:r>
              <w:t xml:space="preserve"> organisationer och ska ta hänsyn till den gemensamma analys av information om ursprungsländer som avses i artikel 10 i förordning (EU) nr XXX/XXX (</w:t>
            </w:r>
            <w:r>
              <w:rPr>
                <w:rFonts w:ascii="Times New Roman" w:eastAsia="Times New Roman" w:hAnsi="Times New Roman" w:cs="Times New Roman"/>
                <w:b/>
                <w:i/>
                <w:strike w:val="0"/>
                <w:color w:val="000000"/>
                <w:sz w:val="24"/>
                <w:highlight w:val="none"/>
                <w:u w:val="none" w:color="auto"/>
              </w:rPr>
              <w:t>förordningen</w:t>
            </w:r>
            <w:r>
              <w:t xml:space="preserve"> om EU:s asylbyrå).</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 27 i parlamentets ståndpunkt om förordningen om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Bedömningen av huruvida ett tredjeland kan betecknas som ett säkert ursprungsland i enlighet med denna förordning ska grunda sig på ett urval av informationskällor, särskilt information från andra medlemsstater, Europeiska unionens asylbyrå</w:t>
            </w:r>
            <w:r>
              <w:rPr>
                <w:rFonts w:ascii="Times New Roman" w:eastAsia="Times New Roman" w:hAnsi="Times New Roman" w:cs="Times New Roman"/>
                <w:b/>
                <w:i/>
                <w:strike w:val="0"/>
                <w:color w:val="000000"/>
                <w:sz w:val="24"/>
                <w:highlight w:val="none"/>
                <w:u w:val="none" w:color="auto"/>
              </w:rPr>
              <w:t>,</w:t>
            </w:r>
            <w:r>
              <w:t xml:space="preserve"> Europeiska utrikestjänsten</w:t>
            </w:r>
            <w:r>
              <w:rPr>
                <w:rFonts w:ascii="Times New Roman" w:eastAsia="Times New Roman" w:hAnsi="Times New Roman" w:cs="Times New Roman"/>
                <w:b/>
                <w:i/>
                <w:strike w:val="0"/>
                <w:color w:val="000000"/>
                <w:sz w:val="24"/>
                <w:highlight w:val="none"/>
                <w:u w:val="none" w:color="auto"/>
              </w:rPr>
              <w:t>, FN:s flyktingkommissarie, Europarådet och andra berörda internationella organisationer</w:t>
            </w:r>
            <w:r>
              <w:t xml:space="preserve"> och ska ta hänsyn till den gemensamma analys av information om ursprungsländer som avses i artikel 10 i förordning (EU) nr XXX/XXX (</w:t>
            </w:r>
            <w:r>
              <w:rPr>
                <w:rFonts w:ascii="Times New Roman" w:eastAsia="Times New Roman" w:hAnsi="Times New Roman" w:cs="Times New Roman"/>
                <w:b/>
                <w:i/>
                <w:strike w:val="0"/>
                <w:color w:val="000000"/>
                <w:sz w:val="24"/>
                <w:highlight w:val="none"/>
                <w:u w:val="none" w:color="auto"/>
              </w:rPr>
              <w:t>Förordningen</w:t>
            </w:r>
            <w:r>
              <w:t xml:space="preserve"> om EU:s asylbyrå).</w:t>
            </w:r>
          </w:p>
        </w:tc>
        <w:tc>
          <w:tcPr/>
          <w:p>
            <w:pPr>
              <w:pStyle w:val="Normal6"/>
            </w:pPr>
            <w:r>
              <w:t>2.</w:t>
            </w:r>
            <w:r>
              <w:tab/>
            </w:r>
            <w:r>
              <w:t>Bedömningen av huruvida ett tredjeland kan betecknas som ett säkert ursprungsland i enlighet med denna förordning ska grunda sig på ett urval av informationskällor, särskilt information från andra medlemsstater, Europeiska unionens asylbyrå</w:t>
            </w:r>
            <w:r>
              <w:rPr>
                <w:rFonts w:ascii="Times New Roman" w:eastAsia="Times New Roman" w:hAnsi="Times New Roman" w:cs="Times New Roman"/>
                <w:b/>
                <w:i/>
                <w:strike w:val="0"/>
                <w:color w:val="000000"/>
                <w:sz w:val="24"/>
                <w:highlight w:val="none"/>
                <w:u w:val="none" w:color="auto"/>
              </w:rPr>
              <w:t>och</w:t>
            </w:r>
            <w:r>
              <w:t>Europeiska utrikestjänsten och ska ta hänsyn till den gemensamma analys av information om ursprungsländer som avses i artikel 10 i förordning (EU) nr XXX/XXX (</w:t>
            </w:r>
            <w:r>
              <w:rPr>
                <w:rFonts w:ascii="Times New Roman" w:eastAsia="Times New Roman" w:hAnsi="Times New Roman" w:cs="Times New Roman"/>
                <w:b/>
                <w:i/>
                <w:strike w:val="0"/>
                <w:color w:val="000000"/>
                <w:sz w:val="24"/>
                <w:highlight w:val="none"/>
                <w:u w:val="none" w:color="auto"/>
              </w:rPr>
              <w:t>förordningen</w:t>
            </w:r>
            <w:r>
              <w:t>om EU:s asylbyrå).</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 Maria Corazza Bildt</w:t>
      </w:r>
      <w:r>
        <w:t xml:space="preserve">, </w:t>
      </w:r>
      <w:r>
        <w:t>Caterina Chinnici</w:t>
      </w:r>
      <w:r>
        <w:t xml:space="preserve">, </w:t>
      </w:r>
      <w:r>
        <w:t>Hilde Vautmans</w:t>
      </w:r>
      <w:r>
        <w:t xml:space="preserve">, </w:t>
      </w:r>
      <w:r>
        <w:t>Barbara Matera</w:t>
      </w:r>
      <w:r>
        <w:t xml:space="preserve">, </w:t>
      </w:r>
      <w:r>
        <w:t>Damiano Zoffoli</w:t>
      </w:r>
      <w:r>
        <w:t xml:space="preserve">, </w:t>
      </w:r>
      <w:r>
        <w:t>Michaela Šojdrová</w:t>
      </w:r>
      <w:r>
        <w:t xml:space="preserve">, </w:t>
      </w:r>
      <w:r>
        <w:t>Brando Benifei</w:t>
      </w:r>
      <w:r>
        <w:t xml:space="preserve">, </w:t>
      </w:r>
      <w:r>
        <w:t>Lara Comi</w:t>
      </w:r>
      <w:r>
        <w:t xml:space="preserve">, </w:t>
      </w:r>
      <w:r>
        <w:t>Barbara Kudrycka</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Bedömningen av huruvida ett tredjeland kan betecknas som ett säkert ursprungsland i enlighet med denna förordning ska grunda sig på ett urval av informationskällor, särskilt information från andra medlemsstater, Europeiska unionens asylbyrå, Europeiska utrikestjänsten, FN:s flyktingkommissarie, Europarådet och andra berörda</w:t>
            </w:r>
            <w:r>
              <w:rPr>
                <w:rFonts w:ascii="Times New Roman" w:eastAsia="Times New Roman" w:hAnsi="Times New Roman" w:cs="Times New Roman"/>
                <w:b/>
                <w:i/>
                <w:strike w:val="0"/>
                <w:color w:val="000000"/>
                <w:sz w:val="24"/>
                <w:highlight w:val="none"/>
                <w:u w:val="none" w:color="auto"/>
              </w:rPr>
              <w:t>internationella</w:t>
            </w:r>
            <w:r>
              <w:t>organisationer och ska ta hänsyn till den gemensamma analys av information om ursprungsländer som avses i artikel 10 i förordning (EU) nr XXX/XXX (</w:t>
            </w:r>
            <w:r>
              <w:rPr>
                <w:rFonts w:ascii="Times New Roman" w:eastAsia="Times New Roman" w:hAnsi="Times New Roman" w:cs="Times New Roman"/>
                <w:b/>
                <w:i/>
                <w:strike w:val="0"/>
                <w:color w:val="000000"/>
                <w:sz w:val="24"/>
                <w:highlight w:val="none"/>
                <w:u w:val="none" w:color="auto"/>
              </w:rPr>
              <w:t>Förordningen</w:t>
            </w:r>
            <w:r>
              <w:t>om EU:s asylbyrå).</w:t>
            </w:r>
          </w:p>
        </w:tc>
        <w:tc>
          <w:tcPr/>
          <w:p>
            <w:pPr>
              <w:pStyle w:val="Normal6"/>
            </w:pPr>
            <w:r>
              <w:t>2.</w:t>
            </w:r>
            <w:r>
              <w:tab/>
            </w:r>
            <w:r>
              <w:t xml:space="preserve">Bedömningen av huruvida ett tredjeland kan betecknas som ett säkert ursprungsland i enlighet med denna förordning ska grunda sig på ett urval av informationskällor, särskilt information från andra medlemsstater, Europeiska unionens asylbyrå, Europeiska utrikestjänsten, FN:s flyktingkommissarie, Europarådet och andra berörda </w:t>
            </w:r>
            <w:r>
              <w:rPr>
                <w:rFonts w:ascii="Times New Roman" w:eastAsia="Times New Roman" w:hAnsi="Times New Roman" w:cs="Times New Roman"/>
                <w:b/>
                <w:i/>
                <w:strike w:val="0"/>
                <w:color w:val="000000"/>
                <w:sz w:val="24"/>
                <w:highlight w:val="none"/>
                <w:u w:val="none" w:color="auto"/>
              </w:rPr>
              <w:t>organisationer, inklusive</w:t>
            </w:r>
            <w:r>
              <w:t xml:space="preserve"> organisationer</w:t>
            </w:r>
            <w:r>
              <w:rPr>
                <w:rFonts w:ascii="Times New Roman" w:eastAsia="Times New Roman" w:hAnsi="Times New Roman" w:cs="Times New Roman"/>
                <w:b/>
                <w:i/>
                <w:strike w:val="0"/>
                <w:color w:val="000000"/>
                <w:sz w:val="24"/>
                <w:highlight w:val="none"/>
                <w:u w:val="none" w:color="auto"/>
              </w:rPr>
              <w:t xml:space="preserve"> med fokus på barn,</w:t>
            </w:r>
            <w:r>
              <w:t xml:space="preserve"> och ska ta hänsyn till den gemensamma analys av information om ursprungsländer som avses i artikel 10 i förordning (EU) nr XXX/XXX (</w:t>
            </w:r>
            <w:r>
              <w:rPr>
                <w:rFonts w:ascii="Times New Roman" w:eastAsia="Times New Roman" w:hAnsi="Times New Roman" w:cs="Times New Roman"/>
                <w:b/>
                <w:i/>
                <w:strike w:val="0"/>
                <w:color w:val="000000"/>
                <w:sz w:val="24"/>
                <w:highlight w:val="none"/>
                <w:u w:val="none" w:color="auto"/>
              </w:rPr>
              <w:t>förordningen</w:t>
            </w:r>
            <w:r>
              <w:t xml:space="preserve"> om EU:s asylbyrå).</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 – punkt 2a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2a.</w:t>
            </w:r>
            <w:r>
              <w:tab/>
            </w:r>
            <w:r>
              <w:rPr>
                <w:rFonts w:ascii="Times New Roman" w:eastAsia="Times New Roman" w:hAnsi="Times New Roman" w:cs="Times New Roman"/>
                <w:b/>
                <w:i/>
                <w:strike w:val="0"/>
                <w:color w:val="000000"/>
                <w:sz w:val="24"/>
                <w:highlight w:val="none"/>
                <w:u w:val="none" w:color="auto"/>
              </w:rPr>
              <w:t>Fastställande av ett tredjeland som säkert ursprungsland ska inte utesluta möjligheten att ange särskilda grupper, på grundval av kön, ras, religion, nationalitet, sexuell läggning, tillhörighet till en särskild samhällsgrupp eller politisk övertygelse, för vilka detta särskilda tredjeland inte ska anses vara säkert.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 – punkt 3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w:t>
            </w:r>
            <w:r>
              <w:tab/>
            </w:r>
            <w:r>
              <w:rPr>
                <w:rFonts w:ascii="Times New Roman" w:eastAsia="Times New Roman" w:hAnsi="Times New Roman" w:cs="Times New Roman"/>
                <w:b/>
                <w:i/>
                <w:strike w:val="0"/>
                <w:color w:val="000000"/>
                <w:sz w:val="24"/>
                <w:highlight w:val="none"/>
                <w:u w:val="none" w:color="auto"/>
              </w:rPr>
              <w:t>frånvaron av utvisningar, avlägsnanden eller utlämningar av egna medborgare till tredjeländer där där det, bland annat, finns en allvarlig risk för att de skulle kunna utsättas för dödsstraff, tortyr, förföljelse eller annan inhuman eller förnedrande behandling eller straff, eller där deras liv eller frihet skulle hotas på grund av deras ras, religion, nationalitet, sexuella läggning, tillhörighet till en särskild samhällsgrupp eller politisk övertygelse eller varifrån det finns en allvarlig risk för utvisning, avlägsnande eller utlämning till ett annat tredjeland</w:t>
            </w:r>
            <w:r>
              <w:t>,</w:t>
            </w:r>
          </w:p>
        </w:tc>
        <w:tc>
          <w:tcPr/>
          <w:p>
            <w:pPr>
              <w:pStyle w:val="Normal6"/>
            </w:pPr>
            <w:r>
              <w:rPr>
                <w:rFonts w:ascii="Times New Roman" w:eastAsia="Times New Roman" w:hAnsi="Times New Roman" w:cs="Times New Roman"/>
                <w:b/>
                <w:i/>
                <w:strike w:val="0"/>
                <w:color w:val="000000"/>
                <w:sz w:val="24"/>
                <w:highlight w:val="none"/>
                <w:u w:val="none" w:color="auto"/>
              </w:rPr>
              <w:t>c)</w:t>
            </w:r>
            <w:r>
              <w:tab/>
            </w:r>
            <w:r>
              <w:rPr>
                <w:rFonts w:ascii="Times New Roman" w:eastAsia="Times New Roman" w:hAnsi="Times New Roman" w:cs="Times New Roman"/>
                <w:b/>
                <w:i/>
                <w:strike w:val="0"/>
                <w:color w:val="000000"/>
                <w:sz w:val="24"/>
                <w:highlight w:val="none"/>
                <w:u w:val="none" w:color="auto"/>
              </w:rPr>
              <w:t>respekt för principen om non-refoulement i enlighet med Genèvekonventionen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 40 i parlamentets ståndpunkt om förordningen om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 – punkt 3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w:t>
            </w:r>
            <w:r>
              <w:tab/>
            </w:r>
            <w:r>
              <w:t>frånvaron av utvisningar, avlägsnanden eller utlämningar av egna medborgare till tredjeländer där där det, bland annat, finns en allvarlig risk för att de skulle kunna utsättas för dödsstraff, tortyr, förföljelse eller annan inhuman eller förnedrande behandling eller straff, eller där deras liv eller frihet skulle hotas på grund av deras ras, religion, nationalitet, sexuella läggning, tillhörighet till en särskild samhällsgrupp eller politisk övertygelse</w:t>
            </w:r>
            <w:r>
              <w:rPr>
                <w:rFonts w:ascii="Times New Roman" w:eastAsia="Times New Roman" w:hAnsi="Times New Roman" w:cs="Times New Roman"/>
                <w:b/>
                <w:i/>
                <w:strike w:val="0"/>
                <w:color w:val="000000"/>
                <w:sz w:val="24"/>
                <w:highlight w:val="none"/>
                <w:u w:val="none" w:color="auto"/>
              </w:rPr>
              <w:t>eller varifrån det finns en allvarlig risk för utvisning, avlägsnande eller utlämning till ett annat tredjeland</w:t>
            </w:r>
            <w:r>
              <w:t>,</w:t>
            </w:r>
          </w:p>
        </w:tc>
        <w:tc>
          <w:tcPr/>
          <w:p>
            <w:pPr>
              <w:pStyle w:val="Normal6"/>
            </w:pPr>
            <w:r>
              <w:rPr>
                <w:rFonts w:ascii="Times New Roman" w:eastAsia="Times New Roman" w:hAnsi="Times New Roman" w:cs="Times New Roman"/>
                <w:b/>
                <w:i/>
                <w:strike w:val="0"/>
                <w:color w:val="000000"/>
                <w:sz w:val="24"/>
                <w:highlight w:val="none"/>
                <w:u w:val="none" w:color="auto"/>
              </w:rPr>
              <w:t>c)</w:t>
            </w:r>
            <w:r>
              <w:tab/>
            </w:r>
            <w:r>
              <w:t>frånvaron av utvisningar, avlägsnanden eller utlämningar av egna medborgare till tredjeländer där där det, bland annat, finns en allvarlig risk för att de skulle kunna utsättas för dödsstraff, tortyr, förföljelse eller annan inhuman eller förnedrande behandling eller straff, eller där deras liv eller frihet skulle hotas på grund av deras ras, religion, nationalitet, sexuella läggning, tillhörighet till en särskild samhällsgrupp eller politisk övertygelse,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Emil Radev</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 – punkt 3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(c)</w:t>
            </w:r>
            <w:r>
              <w:tab/>
            </w:r>
            <w:r>
              <w:t xml:space="preserve">frånvaron av utvisningar, avlägsnanden eller utlämningar av egna medborgare till tredjeländer där där det, bland annat, finns en allvarlig risk för att de skulle kunna utsättas för dödsstraff, tortyr, förföljelse eller annan inhuman eller förnedrande behandling eller straff, eller där deras liv eller frihet skulle hotas på grund av deras ras, religion, nationalitet, </w:t>
            </w:r>
            <w:r>
              <w:rPr>
                <w:rFonts w:ascii="Times New Roman" w:eastAsia="Times New Roman" w:hAnsi="Times New Roman" w:cs="Times New Roman"/>
                <w:b/>
                <w:i/>
                <w:strike w:val="0"/>
                <w:color w:val="000000"/>
                <w:sz w:val="24"/>
                <w:highlight w:val="none"/>
                <w:u w:val="none" w:color="auto"/>
              </w:rPr>
              <w:t xml:space="preserve">sexuella läggning, </w:t>
            </w:r>
            <w:r>
              <w:t>tillhörighet till en särskild samhällsgrupp eller politisk övertygelse eller varifrån det finns en allvarlig risk för utvisning, avlägsnande eller utlämning till ett annat tredjeland,</w:t>
            </w:r>
          </w:p>
        </w:tc>
        <w:tc>
          <w:tcPr/>
          <w:p>
            <w:pPr>
              <w:pStyle w:val="Normal6"/>
            </w:pPr>
            <w:r>
              <w:t>(c)</w:t>
            </w:r>
            <w:r>
              <w:tab/>
            </w:r>
            <w:r>
              <w:t>frånvaron av utvisningar, avlägsnanden eller utlämningar av egna medborgare till tredjeländer där där det, bland annat, finns en allvarlig risk för att de skulle kunna utsättas för dödsstraff, tortyr, förföljelse eller annan inhuman eller förnedrande behandling eller straff, eller där deras liv eller frihet skulle hotas på grund av deras ras, religion, nationalitet, tillhörighet till en särskild samhällsgrupp eller politisk övertygelse eller varifrån det finns en allvarlig risk för utvisning, avlägsnande eller utlämning till ett annat tredjeland,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BG</w:t>
      </w:r>
      <w:r>
        <w:rPr>
          <w:rStyle w:val="HideTWBInt"/>
        </w:rPr>
        <w:t>}</w:t>
      </w:r>
      <w:r>
        <w:t>bg</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 – punkt 4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t>är medborgare i det landet, eller</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t>är medborgare</w:t>
            </w:r>
            <w:r>
              <w:rPr>
                <w:rFonts w:ascii="Times New Roman" w:eastAsia="Times New Roman" w:hAnsi="Times New Roman" w:cs="Times New Roman"/>
                <w:b/>
                <w:i/>
                <w:strike w:val="0"/>
                <w:color w:val="000000"/>
                <w:sz w:val="24"/>
                <w:highlight w:val="none"/>
                <w:u w:val="none" w:color="auto"/>
              </w:rPr>
              <w:t xml:space="preserve"> i det landet eller har permanent uppehållstillstånd</w:t>
            </w:r>
            <w:r>
              <w:t xml:space="preserve"> i det landet, eller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47 – punkt 4a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4a.</w:t>
            </w:r>
            <w:r>
              <w:tab/>
            </w:r>
            <w:r>
              <w:rPr>
                <w:rFonts w:ascii="Times New Roman" w:eastAsia="Times New Roman" w:hAnsi="Times New Roman" w:cs="Times New Roman"/>
                <w:b/>
                <w:i/>
                <w:strike w:val="0"/>
                <w:color w:val="000000"/>
                <w:sz w:val="24"/>
                <w:highlight w:val="none"/>
                <w:u w:val="none" w:color="auto"/>
              </w:rPr>
              <w:t>Medlemsstaterna ska inte tillämpa begreppet säkert ursprungsland på sökande som tillhör en minoritet eller en grupp av personer vars säkerhet fortsätter att vara i fara med beaktande av situationen i det berörda ursprungslandet utgående från de informationskällor som förtecknas i punkt 2.</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 38 i parlamentets ståndpunkt om förordningen om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Artikel 48</w:t>
            </w:r>
            <w:r>
              <w:tab/>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Fastställande av säkra ursprungsländer på unionsnivå</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1.De tredjeländer som förtecknas i bilaga I till denna förordning betecknas som säkra ursprungsländer på unionsnivå, i enlighet med de villkor som anges i artikel 47.</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2.Kommissionen ska regelbundet granska situationen i tredjeländer som är uppförda på EU:s gemensamma förteckning över säkra ursprungsländer, med bistånd av Europeiska unionens asylbyrå och på grundval av de övriga informationskällor som anges i artikel 45.2.</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3.I enlighet med artikel 11.2 i förordning (EU) nr XXX/XXX (Förordningen om EU:s asylbyrå) får kommissionen begära att Europeiska unionens asylbyrå förser den med information om specifika tredjeländer som skulle kunna komma i fråga för att uppföras på EU:s gemensamma förteckning över säkra ursprungsländer.</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4.Kommissionen ska ges befogenheter att anta delegerade akter för att tillfälligt avföra ett tredjeland från EU:s gemensamma förteckning över säkra ursprungsländer på unionsnivå, på de villkor som anges i artikel 49.</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Artikel 48</w:t>
            </w:r>
            <w:r>
              <w:tab/>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Fastställande av säkra ursprungsländer på unionsnivå</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1.De tredjeländer som förtecknas i bilaga I till denna förordning betecknas som säkra ursprungsländer på unionsnivå, i enlighet med de villkor som anges i artikel 47.</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2.Kommissionen ska regelbundet granska situationen i tredjeländer som är uppförda på EU:s gemensamma förteckning över säkra ursprungsländer, med bistånd av Europeiska unionens asylbyrå och på grundval av de övriga informationskällor som anges i artikel 45.2.</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3.I enlighet med artikel 11.2 i förordning (EU) nr XXX/XXX (Förordningen om EU:s asylbyrå) får kommissionen begära att Europeiska unionens asylbyrå förser den med information om specifika tredjeländer som skulle kunna komma i fråga för att uppföras på EU:s gemensamma förteckning över säkra ursprungsländer.</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4.Kommissionen ska ges befogenheter att anta delegerade akter för att tillfälligt avföra ett tredjeland från EU:s gemensamma förteckning över säkra ursprungsländer på unionsnivå, på de villkor som anges i artikel 49.</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Rachida Dati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48 – punkt 1a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1a.</w:t>
            </w:r>
            <w:r>
              <w:tab/>
            </w:r>
            <w:r>
              <w:rPr>
                <w:rFonts w:ascii="Times New Roman" w:eastAsia="Times New Roman" w:hAnsi="Times New Roman" w:cs="Times New Roman"/>
                <w:b/>
                <w:i/>
                <w:strike w:val="0"/>
                <w:color w:val="000000"/>
                <w:sz w:val="24"/>
                <w:highlight w:val="none"/>
                <w:u w:val="none" w:color="auto"/>
              </w:rPr>
              <w:t>Europeiska kommissionen ska regelbundet se över situationen i tredjeländer och möjligheten att föreslå att lägga till dem på EU:s gemensamma förteckning över säkra ursprungsländer.</w:t>
            </w:r>
            <w:r>
              <w:rPr>
                <w:rFonts w:ascii="Times New Roman" w:eastAsia="Times New Roman" w:hAnsi="Times New Roman" w:cs="Times New Roman"/>
                <w:b/>
                <w:i/>
                <w:strike w:val="0"/>
                <w:color w:val="000000"/>
                <w:sz w:val="24"/>
                <w:highlight w:val="none"/>
                <w:u w:val="none" w:color="auto"/>
              </w:rPr>
              <w:t>När så är lämpligt ska kommissionen utarbeta ett förslag om att utöka EU:s gemensamma förteckning över säkra ursprungsländer, efter en väl underbyggd bedömning av huruvida länder som är avsedda att tas upp på förteckningen uppfyller kriterierna enligt artikel 47 i denna förordning.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Rachida Dati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48 – stycke 1b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1b.</w:t>
            </w:r>
            <w:r>
              <w:tab/>
            </w:r>
            <w:r>
              <w:rPr>
                <w:rFonts w:ascii="Times New Roman" w:eastAsia="Times New Roman" w:hAnsi="Times New Roman" w:cs="Times New Roman"/>
                <w:b/>
                <w:i/>
                <w:strike w:val="0"/>
                <w:color w:val="000000"/>
                <w:sz w:val="24"/>
                <w:highlight w:val="none"/>
                <w:u w:val="none" w:color="auto"/>
              </w:rPr>
              <w:t>Medlemsstaterna kan lägga fram förslag till kommissionen om att tredjeländer ska läggas till på bilaga 1 i denna förordning.</w:t>
            </w:r>
            <w:r>
              <w:rPr>
                <w:rFonts w:ascii="Times New Roman" w:eastAsia="Times New Roman" w:hAnsi="Times New Roman" w:cs="Times New Roman"/>
                <w:b/>
                <w:i/>
                <w:strike w:val="0"/>
                <w:color w:val="000000"/>
                <w:sz w:val="24"/>
                <w:highlight w:val="none"/>
                <w:u w:val="none" w:color="auto"/>
              </w:rPr>
              <w:t>Kommissionen ska sedan behandla dessa förslag inom sex månader på grundval av en rad informationskällor som står till kommissionens förfogande, och i förekommande fall ska kommissionen lägga fram ett förslag till ändring av bilaga 1 till denna förordning.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48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Kommissionen ska </w:t>
            </w:r>
            <w:r>
              <w:rPr>
                <w:rFonts w:ascii="Times New Roman" w:eastAsia="Times New Roman" w:hAnsi="Times New Roman" w:cs="Times New Roman"/>
                <w:b/>
                <w:i/>
                <w:strike w:val="0"/>
                <w:color w:val="000000"/>
                <w:sz w:val="24"/>
                <w:highlight w:val="none"/>
                <w:u w:val="none" w:color="auto"/>
              </w:rPr>
              <w:t>regelbundet granska</w:t>
            </w:r>
            <w:r>
              <w:t xml:space="preserve"> situationen i tredjeländer som är uppförda på EU:s gemensamma förteckning över säkra </w:t>
            </w:r>
            <w:r>
              <w:rPr>
                <w:rFonts w:ascii="Times New Roman" w:eastAsia="Times New Roman" w:hAnsi="Times New Roman" w:cs="Times New Roman"/>
                <w:b/>
                <w:i/>
                <w:strike w:val="0"/>
                <w:color w:val="000000"/>
                <w:sz w:val="24"/>
                <w:highlight w:val="none"/>
                <w:u w:val="none" w:color="auto"/>
              </w:rPr>
              <w:t>ursprungsländer</w:t>
            </w:r>
            <w:r>
              <w:t xml:space="preserve">, med bistånd av Europeiska unionens asylbyrå och på grundval av de övriga informationskällor som anges i artikel </w:t>
            </w:r>
            <w:r>
              <w:rPr>
                <w:rFonts w:ascii="Times New Roman" w:eastAsia="Times New Roman" w:hAnsi="Times New Roman" w:cs="Times New Roman"/>
                <w:b/>
                <w:i/>
                <w:strike w:val="0"/>
                <w:color w:val="000000"/>
                <w:sz w:val="24"/>
                <w:highlight w:val="none"/>
                <w:u w:val="none" w:color="auto"/>
              </w:rPr>
              <w:t>45.2</w:t>
            </w:r>
            <w:r>
              <w:t>.</w:t>
            </w:r>
          </w:p>
        </w:tc>
        <w:tc>
          <w:tcPr/>
          <w:p>
            <w:pPr>
              <w:pStyle w:val="Normal6"/>
            </w:pPr>
            <w:r>
              <w:t>2.</w:t>
            </w:r>
            <w:r>
              <w:tab/>
            </w:r>
            <w:r>
              <w:t xml:space="preserve">Kommissionen ska </w:t>
            </w:r>
            <w:r>
              <w:rPr>
                <w:rFonts w:ascii="Times New Roman" w:eastAsia="Times New Roman" w:hAnsi="Times New Roman" w:cs="Times New Roman"/>
                <w:b/>
                <w:i/>
                <w:strike w:val="0"/>
                <w:color w:val="000000"/>
                <w:sz w:val="24"/>
                <w:highlight w:val="none"/>
                <w:u w:val="none" w:color="auto"/>
              </w:rPr>
              <w:t>fortlöpande se över</w:t>
            </w:r>
            <w:r>
              <w:t xml:space="preserve"> situationen i tredjeländer som är uppförda på EU:s gemensamma förteckning över säkra </w:t>
            </w:r>
            <w:r>
              <w:rPr>
                <w:rFonts w:ascii="Times New Roman" w:eastAsia="Times New Roman" w:hAnsi="Times New Roman" w:cs="Times New Roman"/>
                <w:b/>
                <w:i/>
                <w:strike w:val="0"/>
                <w:color w:val="000000"/>
                <w:sz w:val="24"/>
                <w:highlight w:val="none"/>
                <w:u w:val="none" w:color="auto"/>
              </w:rPr>
              <w:t>ursprungsländereller eller som tillfälligt har avförts från den förteckningen i enlighet med artikel 49.</w:t>
            </w:r>
            <w:r>
              <w:t xml:space="preserve"> </w:t>
            </w:r>
            <w:r>
              <w:rPr>
                <w:rFonts w:ascii="Times New Roman" w:eastAsia="Times New Roman" w:hAnsi="Times New Roman" w:cs="Times New Roman"/>
                <w:b/>
                <w:i/>
                <w:strike w:val="0"/>
                <w:color w:val="000000"/>
                <w:sz w:val="24"/>
                <w:highlight w:val="none"/>
                <w:u w:val="none" w:color="auto"/>
              </w:rPr>
              <w:t>Den ska också fortlöpande se över dessa länders efterlevnad av villkoren för fastställande av ett land som säkert ursprungsland enligt artikel 47</w:t>
            </w:r>
            <w:r>
              <w:t xml:space="preserve">, med bistånd av Europeiska unionens asylbyrå och på grundval av de övriga informationskällor som anges i artikel </w:t>
            </w:r>
            <w:r>
              <w:rPr>
                <w:rFonts w:ascii="Times New Roman" w:eastAsia="Times New Roman" w:hAnsi="Times New Roman" w:cs="Times New Roman"/>
                <w:b/>
                <w:i/>
                <w:strike w:val="0"/>
                <w:color w:val="000000"/>
                <w:sz w:val="24"/>
                <w:highlight w:val="none"/>
                <w:u w:val="none" w:color="auto"/>
              </w:rPr>
              <w:t>47.2.</w:t>
            </w:r>
            <w:r>
              <w:t xml:space="preserve"> </w:t>
            </w:r>
            <w:r>
              <w:rPr>
                <w:rFonts w:ascii="Times New Roman" w:eastAsia="Times New Roman" w:hAnsi="Times New Roman" w:cs="Times New Roman"/>
                <w:b/>
                <w:i/>
                <w:strike w:val="0"/>
                <w:color w:val="000000"/>
                <w:sz w:val="24"/>
                <w:highlight w:val="none"/>
                <w:u w:val="none" w:color="auto"/>
              </w:rPr>
              <w:t>Kommissionen ska i god tid informera Europaparlamentet</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 27 i parlamentets ståndpunkt om förordningen om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48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Kommissionen ska regelbundet granska situationen i tredjeländer som är uppförda på EU:s gemensamma förteckning över säkra ursprungsländer, med bistånd av Europeiska unionens asylbyrå och på grundval av de övriga informationskällor som anges i artikel 45.2.</w:t>
            </w:r>
          </w:p>
        </w:tc>
        <w:tc>
          <w:tcPr/>
          <w:p>
            <w:pPr>
              <w:pStyle w:val="Normal6"/>
            </w:pPr>
            <w:r>
              <w:t>2.</w:t>
            </w:r>
            <w:r>
              <w:tab/>
            </w:r>
            <w:r>
              <w:t>Kommissionen ska regelbundet granska situationen i tredjeländer som är uppförda på EU:s gemensamma förteckning över säkra ursprungsländer</w:t>
            </w:r>
            <w:r>
              <w:rPr>
                <w:rFonts w:ascii="Times New Roman" w:eastAsia="Times New Roman" w:hAnsi="Times New Roman" w:cs="Times New Roman"/>
                <w:b/>
                <w:i/>
                <w:strike w:val="0"/>
                <w:color w:val="000000"/>
                <w:sz w:val="24"/>
                <w:highlight w:val="none"/>
                <w:u w:val="none" w:color="auto"/>
              </w:rPr>
              <w:t xml:space="preserve"> och i tänkbara nya sådana länder</w:t>
            </w:r>
            <w:r>
              <w:t>, med bistånd av Europeiska unionens asylbyrå och på grundval av de övriga informationskällor som anges i artikel 45.2.</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48 – punkt 2a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2a.</w:t>
            </w:r>
            <w:r>
              <w:tab/>
            </w:r>
            <w:r>
              <w:rPr>
                <w:rFonts w:ascii="Times New Roman" w:eastAsia="Times New Roman" w:hAnsi="Times New Roman" w:cs="Times New Roman"/>
                <w:b/>
                <w:i/>
                <w:strike w:val="0"/>
                <w:color w:val="000000"/>
                <w:sz w:val="24"/>
                <w:highlight w:val="none"/>
                <w:u w:val="none" w:color="auto"/>
              </w:rPr>
              <w:t>Kommissionen ska samråda med Europeiska unionens asylbyrå när den gör sina regelbundna översyner av situationen i tredjeländer som finns med på EU:s gemensamma förteckning över säkra ursprungsländer, inklusive dem som tillfälligt har avförts från den.</w:t>
            </w:r>
            <w:r>
              <w:rPr>
                <w:rFonts w:ascii="Times New Roman" w:eastAsia="Times New Roman" w:hAnsi="Times New Roman" w:cs="Times New Roman"/>
                <w:b/>
                <w:i/>
                <w:strike w:val="0"/>
                <w:color w:val="000000"/>
                <w:sz w:val="24"/>
                <w:highlight w:val="none"/>
                <w:u w:val="none" w:color="auto"/>
              </w:rPr>
              <w:t>Kommissionen får uppmana asylbyrån att genomföra en översyn av situationen i ett sådant tredjeland i syfte att bedöma huruvida kriterierna i artikel 47 uppfylls.</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När kommissionen ser över EU:s gemensamma förteckning över säkra ursprungsländer ska den samråda med internationella organisationer, särskilt UNHCR, berörda organisationer i det civila samhället samt enskilda personer med beprövad sakkunskap i landsspecifika frågor och människorättsfrågor.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 34.1 och 34.2 i parlamentets ståndpunkt om förordningen om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48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w:t>
            </w:r>
            <w:r>
              <w:tab/>
            </w:r>
            <w:r>
              <w:rPr>
                <w:rFonts w:ascii="Times New Roman" w:eastAsia="Times New Roman" w:hAnsi="Times New Roman" w:cs="Times New Roman"/>
                <w:b/>
                <w:i/>
                <w:strike w:val="0"/>
                <w:color w:val="000000"/>
                <w:sz w:val="24"/>
                <w:highlight w:val="none"/>
                <w:u w:val="none" w:color="auto"/>
              </w:rPr>
              <w:t>Kommissionen ska ges befogenheter att anta delegerade akter för att tillfälligt avföra ett tredjeland från EU:s gemensamma förteckning över säkra ursprungsländer på unionsnivå, på de villkor som anges i artikel 49.</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Den relevanta delen av denna text har flyttats till artikel 49.</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48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Kommissionen ska ges befogenheter att anta delegerade akter för att tillfälligt avföra ett tredjeland från EU:s gemensamma förteckning över säkra ursprungsländer på unionsnivå, på de villkor som anges i artikel 49.</w:t>
            </w:r>
          </w:p>
        </w:tc>
        <w:tc>
          <w:tcPr/>
          <w:p>
            <w:pPr>
              <w:pStyle w:val="Normal6"/>
            </w:pPr>
            <w:r>
              <w:t>4.</w:t>
            </w:r>
            <w:r>
              <w:tab/>
            </w:r>
            <w:r>
              <w:t xml:space="preserve">Kommissionen ska ges befogenheter att anta delegerade akter för att </w:t>
            </w:r>
            <w:r>
              <w:rPr>
                <w:rFonts w:ascii="Times New Roman" w:eastAsia="Times New Roman" w:hAnsi="Times New Roman" w:cs="Times New Roman"/>
                <w:b/>
                <w:i/>
                <w:strike w:val="0"/>
                <w:color w:val="000000"/>
                <w:sz w:val="24"/>
                <w:highlight w:val="none"/>
                <w:u w:val="none" w:color="auto"/>
              </w:rPr>
              <w:t xml:space="preserve">föra in ett tredjeland på och </w:t>
            </w:r>
            <w:r>
              <w:t>tillfälligt avföra ett tredjeland från EU:s gemensamma förteckning över säkra ursprungsländer på unionsnivå, på de villkor som anges i artikel 49.</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Artikel 49</w:t>
            </w:r>
            <w:r>
              <w:tab/>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Tillfälligt avförande och avförande av ett tredjeland från den förteckning över tredjeländer som betecknas som säkra tredjeländer på unionsnivå eller från EU:s gemensamma förteckning över säkra ursprungsländer</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1.Om läget plötsligt skulle förvärras i ett tredjeland som betecknas som ett säkert tredjeland på unionsnivå eller som finns upptaget på EU:s gemensamma förteckning över säkra ursprungsländer, ska kommissionen genomföra en väl grundad bedömning av huruvida landet uppfyller de villkor som fastställs i artikel 45 eller artikel 47, och om kommissionen anser att dessa villkor inte längre är uppfyllda, ska den anta en delegerad akt för att tillfälligt avföra ett tredjeland från förteckningen över tredjeländer som betecknas som säkra tredjeländer på unionsnivå eller från EU:s gemensamma förteckning över säkra ursprungsländer, under en period av sex månader.</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2.Kommissionen ska fortlöpande granska läget i tredjelandet, med beaktande av bland annat information som tillhandahålls av medlemsstaterna, med avseende på efterföljande förändringar i läget i landet.</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3.Om kommissionen har antagit en delegerad akt i enlighet med punkt 1 om att tillfälligt avföra ett tredjeland från den förteckning över tredjeländer som betecknas som säkra tredjeländer på unionsnivå eller tillfälligt avföra tredjelandet från EU:s gemensamma förteckning över säkra ursprungsländer, ska kommissionen inom tre månader efter dagen för antagandet av den delegerade akten lägga fram ett förslag, i enlighet med det ordinarie lagstiftningsförfarandet, om ändring av denna förordning för att avföra tredjelandet från förteckningen över tredjeländer som betecknas som säkra tredjeländer på unionsnivå eller från EU:s gemensamma förteckning över säkra ursprungsländer.</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4.Om kommissionen inte lägger fram ett sådant förslag inom tre månader från antagandet av den delegerade akten såsom anges i punkt 2 ska den delegerade akten genom vilken tredjelandet tillfälligt avförs från förteckningen över tredjeländer som betecknas som säkra tredjeländer på unionsnivå eller från EU:s gemensamma förteckning över säkra ursprungsländer upphöra att gälla. Om kommissionen lägger fram ett sådant förslag inom tre månader ska kommissionen, på grundval av en saklig bedömning, ges befogenhet att förlänga giltigheten för den delegerade akten med sex månader, med möjlighet att förnya förlängningen en gång.</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rubriken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Tillfälligt avförande </w:t>
            </w:r>
            <w:r>
              <w:rPr>
                <w:rFonts w:ascii="Times New Roman" w:eastAsia="Times New Roman" w:hAnsi="Times New Roman" w:cs="Times New Roman"/>
                <w:b/>
                <w:i/>
                <w:strike w:val="0"/>
                <w:color w:val="000000"/>
                <w:sz w:val="24"/>
                <w:highlight w:val="none"/>
                <w:u w:val="none" w:color="auto"/>
              </w:rPr>
              <w:t xml:space="preserve">och avförande </w:t>
            </w:r>
            <w:r>
              <w:t>av ett tredjeland</w:t>
            </w:r>
            <w:r>
              <w:rPr>
                <w:rFonts w:ascii="Times New Roman" w:eastAsia="Times New Roman" w:hAnsi="Times New Roman" w:cs="Times New Roman"/>
                <w:b/>
                <w:i/>
                <w:strike w:val="0"/>
                <w:color w:val="000000"/>
                <w:sz w:val="24"/>
                <w:highlight w:val="none"/>
                <w:u w:val="none" w:color="auto"/>
              </w:rPr>
              <w:t xml:space="preserve"> från den förteckning över tredjeländer som betecknas som säkra tredjeländer på unionsnivå eller</w:t>
            </w:r>
            <w:r>
              <w:t xml:space="preserve"> från EU:s gemensamma förteckning över säkra ursprungsländer</w:t>
            </w:r>
          </w:p>
        </w:tc>
        <w:tc>
          <w:tcPr/>
          <w:p>
            <w:pPr>
              <w:pStyle w:val="Normal6"/>
            </w:pPr>
            <w:r>
              <w:t>Tillfälligt avförande av ett tredjeland från EU:s gemensamma förteckning över säkra ursprungsländer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Ändringar inges för konsekvens med föregående och följande ändringsförslag.</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punkt -1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w:t>
            </w:r>
            <w:r>
              <w:tab/>
            </w:r>
            <w:r>
              <w:rPr>
                <w:rFonts w:ascii="Times New Roman" w:eastAsia="Times New Roman" w:hAnsi="Times New Roman" w:cs="Times New Roman"/>
                <w:b/>
                <w:i/>
                <w:strike w:val="0"/>
                <w:color w:val="000000"/>
                <w:sz w:val="24"/>
                <w:highlight w:val="none"/>
                <w:u w:val="none" w:color="auto"/>
              </w:rPr>
              <w:t>Kommissionen ska ges befogenheter att anta delegerade akter för att tillfälligt avföra ett tredjeland från EU:s gemensamma förteckning över säkra ursprungsländer på unionsnivå, på de villkor som anges i denna artikel.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Denna text har hämtats från artikel 48.4 och lagts till här, eftersom den specifikt hänvisar till att tillfälligt avföra ett tredjeland från EU:s gemensamma förteckning över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Om </w:t>
            </w:r>
            <w:r>
              <w:rPr>
                <w:rFonts w:ascii="Times New Roman" w:eastAsia="Times New Roman" w:hAnsi="Times New Roman" w:cs="Times New Roman"/>
                <w:b/>
                <w:i/>
                <w:strike w:val="0"/>
                <w:color w:val="000000"/>
                <w:sz w:val="24"/>
                <w:highlight w:val="none"/>
                <w:u w:val="none" w:color="auto"/>
              </w:rPr>
              <w:t>läget plötsligt skulle förvärras</w:t>
            </w:r>
            <w:r>
              <w:t xml:space="preserve"> i ett tredjeland som </w:t>
            </w:r>
            <w:r>
              <w:rPr>
                <w:rFonts w:ascii="Times New Roman" w:eastAsia="Times New Roman" w:hAnsi="Times New Roman" w:cs="Times New Roman"/>
                <w:b/>
                <w:i/>
                <w:strike w:val="0"/>
                <w:color w:val="000000"/>
                <w:sz w:val="24"/>
                <w:highlight w:val="none"/>
                <w:u w:val="none" w:color="auto"/>
              </w:rPr>
              <w:t xml:space="preserve">betecknas som ett säkert tredjeland på unionsnivå eller som </w:t>
            </w:r>
            <w:r>
              <w:t xml:space="preserve">finns </w:t>
            </w:r>
            <w:r>
              <w:rPr>
                <w:rFonts w:ascii="Times New Roman" w:eastAsia="Times New Roman" w:hAnsi="Times New Roman" w:cs="Times New Roman"/>
                <w:b/>
                <w:i/>
                <w:strike w:val="0"/>
                <w:color w:val="000000"/>
                <w:sz w:val="24"/>
                <w:highlight w:val="none"/>
                <w:u w:val="none" w:color="auto"/>
              </w:rPr>
              <w:t>upptaget</w:t>
            </w:r>
            <w:r>
              <w:t xml:space="preserve"> på EU:s gemensamma förteckning över säkra ursprungsländer, ska kommissionen </w:t>
            </w:r>
            <w:r>
              <w:rPr>
                <w:rFonts w:ascii="Times New Roman" w:eastAsia="Times New Roman" w:hAnsi="Times New Roman" w:cs="Times New Roman"/>
                <w:b/>
                <w:i/>
                <w:strike w:val="0"/>
                <w:color w:val="000000"/>
                <w:sz w:val="24"/>
                <w:highlight w:val="none"/>
                <w:u w:val="none" w:color="auto"/>
              </w:rPr>
              <w:t>genomföra</w:t>
            </w:r>
            <w:r>
              <w:t xml:space="preserve"> en väl </w:t>
            </w:r>
            <w:r>
              <w:rPr>
                <w:rFonts w:ascii="Times New Roman" w:eastAsia="Times New Roman" w:hAnsi="Times New Roman" w:cs="Times New Roman"/>
                <w:b/>
                <w:i/>
                <w:strike w:val="0"/>
                <w:color w:val="000000"/>
                <w:sz w:val="24"/>
                <w:highlight w:val="none"/>
                <w:u w:val="none" w:color="auto"/>
              </w:rPr>
              <w:t>grundad</w:t>
            </w:r>
            <w:r>
              <w:t xml:space="preserve"> bedömning av </w:t>
            </w:r>
            <w:r>
              <w:rPr>
                <w:rFonts w:ascii="Times New Roman" w:eastAsia="Times New Roman" w:hAnsi="Times New Roman" w:cs="Times New Roman"/>
                <w:b/>
                <w:i/>
                <w:strike w:val="0"/>
                <w:color w:val="000000"/>
                <w:sz w:val="24"/>
                <w:highlight w:val="none"/>
                <w:u w:val="none" w:color="auto"/>
              </w:rPr>
              <w:t>huruvida landet uppfyller de villkor som fastställs</w:t>
            </w:r>
            <w:r>
              <w:t xml:space="preserve"> i artikel </w:t>
            </w:r>
            <w:r>
              <w:rPr>
                <w:rFonts w:ascii="Times New Roman" w:eastAsia="Times New Roman" w:hAnsi="Times New Roman" w:cs="Times New Roman"/>
                <w:b/>
                <w:i/>
                <w:strike w:val="0"/>
                <w:color w:val="000000"/>
                <w:sz w:val="24"/>
                <w:highlight w:val="none"/>
                <w:u w:val="none" w:color="auto"/>
              </w:rPr>
              <w:t xml:space="preserve">45 eller artikel </w:t>
            </w:r>
            <w:r>
              <w:t>47, och om</w:t>
            </w:r>
            <w:r>
              <w:rPr>
                <w:rFonts w:ascii="Times New Roman" w:eastAsia="Times New Roman" w:hAnsi="Times New Roman" w:cs="Times New Roman"/>
                <w:b/>
                <w:i/>
                <w:strike w:val="0"/>
                <w:color w:val="000000"/>
                <w:sz w:val="24"/>
                <w:highlight w:val="none"/>
                <w:u w:val="none" w:color="auto"/>
              </w:rPr>
              <w:t xml:space="preserve"> kommissionen anser att</w:t>
            </w:r>
            <w:r>
              <w:t xml:space="preserve"> dessa </w:t>
            </w:r>
            <w:r>
              <w:rPr>
                <w:rFonts w:ascii="Times New Roman" w:eastAsia="Times New Roman" w:hAnsi="Times New Roman" w:cs="Times New Roman"/>
                <w:b/>
                <w:i/>
                <w:strike w:val="0"/>
                <w:color w:val="000000"/>
                <w:sz w:val="24"/>
                <w:highlight w:val="none"/>
                <w:u w:val="none" w:color="auto"/>
              </w:rPr>
              <w:t xml:space="preserve">villkor </w:t>
            </w:r>
            <w:r>
              <w:t xml:space="preserve">inte längre </w:t>
            </w:r>
            <w:r>
              <w:rPr>
                <w:rFonts w:ascii="Times New Roman" w:eastAsia="Times New Roman" w:hAnsi="Times New Roman" w:cs="Times New Roman"/>
                <w:b/>
                <w:i/>
                <w:strike w:val="0"/>
                <w:color w:val="000000"/>
                <w:sz w:val="24"/>
                <w:highlight w:val="none"/>
                <w:u w:val="none" w:color="auto"/>
              </w:rPr>
              <w:t>är uppfyllda, ska den</w:t>
            </w:r>
            <w:r>
              <w:t xml:space="preserve"> anta en delegerad akt </w:t>
            </w:r>
            <w:r>
              <w:rPr>
                <w:rFonts w:ascii="Times New Roman" w:eastAsia="Times New Roman" w:hAnsi="Times New Roman" w:cs="Times New Roman"/>
                <w:b/>
                <w:i/>
                <w:strike w:val="0"/>
                <w:color w:val="000000"/>
                <w:sz w:val="24"/>
                <w:highlight w:val="none"/>
                <w:u w:val="none" w:color="auto"/>
              </w:rPr>
              <w:t>för att</w:t>
            </w:r>
            <w:r>
              <w:t xml:space="preserve"> tillfälligt </w:t>
            </w:r>
            <w:r>
              <w:rPr>
                <w:rFonts w:ascii="Times New Roman" w:eastAsia="Times New Roman" w:hAnsi="Times New Roman" w:cs="Times New Roman"/>
                <w:b/>
                <w:i/>
                <w:strike w:val="0"/>
                <w:color w:val="000000"/>
                <w:sz w:val="24"/>
                <w:highlight w:val="none"/>
                <w:u w:val="none" w:color="auto"/>
              </w:rPr>
              <w:t xml:space="preserve">avföra ett tredjeland från förteckningen över </w:t>
            </w:r>
            <w:r>
              <w:t>tredjeländer</w:t>
            </w:r>
            <w:r>
              <w:rPr>
                <w:rFonts w:ascii="Times New Roman" w:eastAsia="Times New Roman" w:hAnsi="Times New Roman" w:cs="Times New Roman"/>
                <w:b/>
                <w:i/>
                <w:strike w:val="0"/>
                <w:color w:val="000000"/>
                <w:sz w:val="24"/>
                <w:highlight w:val="none"/>
                <w:u w:val="none" w:color="auto"/>
              </w:rPr>
              <w:t xml:space="preserve"> som betecknas som säkra tredjeländer på unionsnivå eller</w:t>
            </w:r>
            <w:r>
              <w:t xml:space="preserve"> från EU:s gemensamma förteckning</w:t>
            </w:r>
            <w:r>
              <w:rPr>
                <w:rFonts w:ascii="Times New Roman" w:eastAsia="Times New Roman" w:hAnsi="Times New Roman" w:cs="Times New Roman"/>
                <w:b/>
                <w:i/>
                <w:strike w:val="0"/>
                <w:color w:val="000000"/>
                <w:sz w:val="24"/>
                <w:highlight w:val="none"/>
                <w:u w:val="none" w:color="auto"/>
              </w:rPr>
              <w:t xml:space="preserve"> över säkra ursprungsländer, under en period av sex månader</w:t>
            </w:r>
            <w:r>
              <w:t>.</w:t>
            </w:r>
          </w:p>
        </w:tc>
        <w:tc>
          <w:tcPr/>
          <w:p>
            <w:pPr>
              <w:pStyle w:val="Normal6"/>
            </w:pPr>
            <w:r>
              <w:t>1.</w:t>
            </w:r>
            <w:r>
              <w:tab/>
            </w:r>
            <w:r>
              <w:t xml:space="preserve">Om </w:t>
            </w:r>
            <w:r>
              <w:rPr>
                <w:rFonts w:ascii="Times New Roman" w:eastAsia="Times New Roman" w:hAnsi="Times New Roman" w:cs="Times New Roman"/>
                <w:b/>
                <w:i/>
                <w:strike w:val="0"/>
                <w:color w:val="000000"/>
                <w:sz w:val="24"/>
                <w:highlight w:val="none"/>
                <w:u w:val="none" w:color="auto"/>
              </w:rPr>
              <w:t>plötsliga förändringar av situationen</w:t>
            </w:r>
            <w:r>
              <w:t xml:space="preserve"> i ett tredjeland som finns </w:t>
            </w:r>
            <w:r>
              <w:rPr>
                <w:rFonts w:ascii="Times New Roman" w:eastAsia="Times New Roman" w:hAnsi="Times New Roman" w:cs="Times New Roman"/>
                <w:b/>
                <w:i/>
                <w:strike w:val="0"/>
                <w:color w:val="000000"/>
                <w:sz w:val="24"/>
                <w:highlight w:val="none"/>
                <w:u w:val="none" w:color="auto"/>
              </w:rPr>
              <w:t>med</w:t>
            </w:r>
            <w:r>
              <w:t xml:space="preserve"> på EU:s gemensamma förteckning över säkra ursprungsländer</w:t>
            </w:r>
            <w:r>
              <w:rPr>
                <w:rFonts w:ascii="Times New Roman" w:eastAsia="Times New Roman" w:hAnsi="Times New Roman" w:cs="Times New Roman"/>
                <w:b/>
                <w:i/>
                <w:strike w:val="0"/>
                <w:color w:val="000000"/>
                <w:sz w:val="24"/>
                <w:highlight w:val="none"/>
                <w:u w:val="none" w:color="auto"/>
              </w:rPr>
              <w:t xml:space="preserve"> skulle kunna medföra att villkoren för att ett land ska betraktas som ett säkert ursprungsland inte längre uppfylls</w:t>
            </w:r>
            <w:r>
              <w:t xml:space="preserve">, ska kommissionen </w:t>
            </w:r>
            <w:r>
              <w:rPr>
                <w:rFonts w:ascii="Times New Roman" w:eastAsia="Times New Roman" w:hAnsi="Times New Roman" w:cs="Times New Roman"/>
                <w:b/>
                <w:i/>
                <w:strike w:val="0"/>
                <w:color w:val="000000"/>
                <w:sz w:val="24"/>
                <w:highlight w:val="none"/>
                <w:u w:val="none" w:color="auto"/>
              </w:rPr>
              <w:t>omedelbart och snabbt göra</w:t>
            </w:r>
            <w:r>
              <w:t xml:space="preserve"> en väl </w:t>
            </w:r>
            <w:r>
              <w:rPr>
                <w:rFonts w:ascii="Times New Roman" w:eastAsia="Times New Roman" w:hAnsi="Times New Roman" w:cs="Times New Roman"/>
                <w:b/>
                <w:i/>
                <w:strike w:val="0"/>
                <w:color w:val="000000"/>
                <w:sz w:val="24"/>
                <w:highlight w:val="none"/>
                <w:u w:val="none" w:color="auto"/>
              </w:rPr>
              <w:t>underbyggd</w:t>
            </w:r>
            <w:r>
              <w:t xml:space="preserve"> bedömning av </w:t>
            </w:r>
            <w:r>
              <w:rPr>
                <w:rFonts w:ascii="Times New Roman" w:eastAsia="Times New Roman" w:hAnsi="Times New Roman" w:cs="Times New Roman"/>
                <w:b/>
                <w:i/>
                <w:strike w:val="0"/>
                <w:color w:val="000000"/>
                <w:sz w:val="24"/>
                <w:highlight w:val="none"/>
                <w:u w:val="none" w:color="auto"/>
              </w:rPr>
              <w:t>det landets uppfyllande av villkoren</w:t>
            </w:r>
            <w:r>
              <w:t xml:space="preserve"> i artikel 47, och om dessa inte längre </w:t>
            </w:r>
            <w:r>
              <w:rPr>
                <w:rFonts w:ascii="Times New Roman" w:eastAsia="Times New Roman" w:hAnsi="Times New Roman" w:cs="Times New Roman"/>
                <w:b/>
                <w:i/>
                <w:strike w:val="0"/>
                <w:color w:val="000000"/>
                <w:sz w:val="24"/>
                <w:highlight w:val="none"/>
                <w:u w:val="none" w:color="auto"/>
              </w:rPr>
              <w:t>uppfylls ska kommissionen snarast möjligt</w:t>
            </w:r>
            <w:r>
              <w:t xml:space="preserve"> anta en delegerad akt </w:t>
            </w:r>
            <w:r>
              <w:rPr>
                <w:rFonts w:ascii="Times New Roman" w:eastAsia="Times New Roman" w:hAnsi="Times New Roman" w:cs="Times New Roman"/>
                <w:b/>
                <w:i/>
                <w:strike w:val="0"/>
                <w:color w:val="000000"/>
                <w:sz w:val="24"/>
                <w:highlight w:val="none"/>
                <w:u w:val="none" w:color="auto"/>
              </w:rPr>
              <w:t>i enlighet med artikel 290 i EUF-fördraget om att detta tredjeland</w:t>
            </w:r>
            <w:r>
              <w:t xml:space="preserve"> tillfälligt </w:t>
            </w:r>
            <w:r>
              <w:rPr>
                <w:rFonts w:ascii="Times New Roman" w:eastAsia="Times New Roman" w:hAnsi="Times New Roman" w:cs="Times New Roman"/>
                <w:b/>
                <w:i/>
                <w:strike w:val="0"/>
                <w:color w:val="000000"/>
                <w:sz w:val="24"/>
                <w:highlight w:val="none"/>
                <w:u w:val="none" w:color="auto"/>
              </w:rPr>
              <w:t xml:space="preserve">ska avföras från EU:s gemensamma förteckning över säkra </w:t>
            </w:r>
            <w:r>
              <w:t>tredjeländer</w:t>
            </w:r>
            <w:r>
              <w:rPr>
                <w:rFonts w:ascii="Times New Roman" w:eastAsia="Times New Roman" w:hAnsi="Times New Roman" w:cs="Times New Roman"/>
                <w:b/>
                <w:i/>
                <w:strike w:val="0"/>
                <w:color w:val="000000"/>
                <w:sz w:val="24"/>
                <w:highlight w:val="none"/>
                <w:u w:val="none" w:color="auto"/>
              </w:rPr>
              <w:t xml:space="preserve"> under en period på sex månader.</w:t>
            </w:r>
            <w:r>
              <w:br/>
            </w:r>
            <w:r>
              <w:rPr>
                <w:rFonts w:ascii="Times New Roman" w:eastAsia="Times New Roman" w:hAnsi="Times New Roman" w:cs="Times New Roman"/>
                <w:b/>
                <w:i/>
                <w:strike w:val="0"/>
                <w:color w:val="000000"/>
                <w:sz w:val="24"/>
                <w:highlight w:val="none"/>
                <w:u w:val="none" w:color="auto"/>
              </w:rPr>
              <w:t>Så snart som möjligt efter det att kommissionen får kännedom om en förändring av situationen, och i vilket fall som helst innan den antar den delegerade akten om att tillfälligt avföra ett tredjeland</w:t>
            </w:r>
            <w:r>
              <w:t xml:space="preserve"> från EU:s gemensamma förteckning</w:t>
            </w:r>
            <w:r>
              <w:rPr>
                <w:rFonts w:ascii="Times New Roman" w:eastAsia="Times New Roman" w:hAnsi="Times New Roman" w:cs="Times New Roman"/>
                <w:b/>
                <w:i/>
                <w:strike w:val="0"/>
                <w:color w:val="000000"/>
                <w:sz w:val="24"/>
                <w:highlight w:val="none"/>
                <w:u w:val="none" w:color="auto"/>
              </w:rPr>
              <w:t>, ska den underrätta medlemsstaterna och rekommendera dem att inte tillämpa begreppet säkert ursprungsland på det tredjelandet på nationell nivå</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 31 i parlamentets ståndpunkt om förordningen om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Om läget plötsligt skulle förvärras i ett tredjeland som </w:t>
            </w:r>
            <w:r>
              <w:rPr>
                <w:rFonts w:ascii="Times New Roman" w:eastAsia="Times New Roman" w:hAnsi="Times New Roman" w:cs="Times New Roman"/>
                <w:b/>
                <w:i/>
                <w:strike w:val="0"/>
                <w:color w:val="000000"/>
                <w:sz w:val="24"/>
                <w:highlight w:val="none"/>
                <w:u w:val="none" w:color="auto"/>
              </w:rPr>
              <w:t xml:space="preserve">betecknas som ett säkert tredjeland på unionsnivå eller som </w:t>
            </w:r>
            <w:r>
              <w:t>finns upptaget på EU:s gemensamma förteckning över säkra ursprungsländer, ska kommissionen genomföra en väl grundad bedömning av huruvida landet uppfyller de villkor som fastställs i</w:t>
            </w:r>
            <w:r>
              <w:rPr>
                <w:rFonts w:ascii="Times New Roman" w:eastAsia="Times New Roman" w:hAnsi="Times New Roman" w:cs="Times New Roman"/>
                <w:b/>
                <w:i/>
                <w:strike w:val="0"/>
                <w:color w:val="000000"/>
                <w:sz w:val="24"/>
                <w:highlight w:val="none"/>
                <w:u w:val="none" w:color="auto"/>
              </w:rPr>
              <w:t xml:space="preserve"> artikel 45 eller</w:t>
            </w:r>
            <w:r>
              <w:t xml:space="preserve"> artikel 47, och om kommissionen anser att dessa villkor inte längre är uppfyllda, ska den anta en delegerad akt för att tillfälligt avföra ett tredjeland från förteckningen över tredjeländer som betecknas som säkra tredjeländer på unionsnivå eller från EU:s gemensamma förteckning över säkra ursprungsländer, under en period av sex månader.</w:t>
            </w:r>
          </w:p>
        </w:tc>
        <w:tc>
          <w:tcPr/>
          <w:p>
            <w:pPr>
              <w:pStyle w:val="Normal6"/>
            </w:pPr>
            <w:r>
              <w:t>1.</w:t>
            </w:r>
            <w:r>
              <w:tab/>
            </w:r>
            <w:r>
              <w:t>Om läget plötsligt skulle förvärras i ett tredjeland som finns upptaget på EU:s gemensamma förteckning över säkra ursprungsländer, ska kommissionen genomföra en väl grundad bedömning av huruvida landet uppfyller de villkor som fastställs i artikel 47, och om kommissionen anser att dessa villkor inte längre är uppfyllda, ska den anta en delegerad akt för att tillfälligt avföra ett tredjeland från förteckningen över tredjeländer som betecknas som säkra tredjeländer på unionsnivå eller från EU:s gemensamma förteckning över säkra ursprungsländer, under en period av sex månader.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Om läget plötsligt skulle förvärras i ett tredjeland som betecknas som ett säkert tredjeland på unionsnivå eller som finns upptaget på EU:s gemensamma förteckning över säkra ursprungsländer, ska kommissionen genomföra en väl grundad bedömning av huruvida landet uppfyller de villkor som fastställs i artikel 45 eller artikel 47, och om kommissionen anser att dessa villkor inte längre är uppfyllda, ska den anta en delegerad akt för att tillfälligt avföra ett tredjeland från förteckningen över tredjeländer som betecknas som säkra tredjeländer på unionsnivå eller från EU:s gemensamma förteckning över säkra ursprungsländer, under en period av </w:t>
            </w:r>
            <w:r>
              <w:rPr>
                <w:rFonts w:ascii="Times New Roman" w:eastAsia="Times New Roman" w:hAnsi="Times New Roman" w:cs="Times New Roman"/>
                <w:b/>
                <w:i/>
                <w:strike w:val="0"/>
                <w:color w:val="000000"/>
                <w:sz w:val="24"/>
                <w:highlight w:val="none"/>
                <w:u w:val="none" w:color="auto"/>
              </w:rPr>
              <w:t>sex</w:t>
            </w:r>
            <w:r>
              <w:t xml:space="preserve"> månader.</w:t>
            </w:r>
          </w:p>
        </w:tc>
        <w:tc>
          <w:tcPr/>
          <w:p>
            <w:pPr>
              <w:pStyle w:val="Normal6"/>
            </w:pPr>
            <w:r>
              <w:t>1.</w:t>
            </w:r>
            <w:r>
              <w:tab/>
            </w:r>
            <w:r>
              <w:t xml:space="preserve">Om läget plötsligt skulle förvärras i ett tredjeland som betecknas som ett säkert tredjeland på unionsnivå eller som finns upptaget på EU:s gemensamma förteckning över säkra ursprungsländer, ska kommissionen genomföra en väl grundad bedömning av huruvida landet uppfyller de villkor som fastställs i artikel 45 eller artikel 47, och om kommissionen anser att dessa villkor inte längre är uppfyllda, ska den anta en delegerad akt för att tillfälligt avföra ett tredjeland från förteckningen över tredjeländer som betecknas som säkra tredjeländer på unionsnivå eller från EU:s gemensamma förteckning över säkra ursprungsländer, under en period av </w:t>
            </w:r>
            <w:r>
              <w:rPr>
                <w:rFonts w:ascii="Times New Roman" w:eastAsia="Times New Roman" w:hAnsi="Times New Roman" w:cs="Times New Roman"/>
                <w:b/>
                <w:i/>
                <w:strike w:val="0"/>
                <w:color w:val="000000"/>
                <w:sz w:val="24"/>
                <w:highlight w:val="none"/>
                <w:u w:val="none" w:color="auto"/>
              </w:rPr>
              <w:t>tre</w:t>
            </w:r>
            <w:r>
              <w:t xml:space="preserve"> månader.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punkt 2a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2a.</w:t>
            </w:r>
            <w:r>
              <w:tab/>
            </w:r>
            <w:r>
              <w:rPr>
                <w:rFonts w:ascii="Times New Roman" w:eastAsia="Times New Roman" w:hAnsi="Times New Roman" w:cs="Times New Roman"/>
                <w:b/>
                <w:i/>
                <w:strike w:val="0"/>
                <w:color w:val="000000"/>
                <w:sz w:val="24"/>
                <w:highlight w:val="none"/>
                <w:u w:val="none" w:color="auto"/>
              </w:rPr>
              <w:t>Om det under perioden för tillfälligt avförande framgår av tillgänglig information att tredjelandet åter uppfyller de villkor som anges i artikel 47, ska kommissionen, tidigast sex månader efter det att beslutet enligt punkt 1 har antagits, i enlighet med artikel 290 i EUF-fördraget anta ett beslut om att återkalla det tillfälliga avförandet av det landet från EU:s gemensamma förteckning över säkra ursprungsländer.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 32 i parlamentets ståndpunkt om förordningen om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punkt 2b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2b.</w:t>
            </w:r>
            <w:r>
              <w:tab/>
            </w:r>
            <w:r>
              <w:rPr>
                <w:rFonts w:ascii="Times New Roman" w:eastAsia="Times New Roman" w:hAnsi="Times New Roman" w:cs="Times New Roman"/>
                <w:b/>
                <w:i/>
                <w:strike w:val="0"/>
                <w:color w:val="000000"/>
                <w:sz w:val="24"/>
                <w:highlight w:val="none"/>
                <w:u w:val="none" w:color="auto"/>
              </w:rPr>
              <w:t>UNHCR, icke-statliga organisationer och enskilda personer med beprövad och relevant sakkunskap i landsspecifika frågor och människorättsfrågor får begära att kommissionen tillfälligt avför eller avför ett land från EU:s gemensamma förteckning över säkra ursprungsländer.</w:t>
            </w:r>
            <w:r>
              <w:rPr>
                <w:rFonts w:ascii="Times New Roman" w:eastAsia="Times New Roman" w:hAnsi="Times New Roman" w:cs="Times New Roman"/>
                <w:b/>
                <w:i/>
                <w:strike w:val="0"/>
                <w:color w:val="000000"/>
                <w:sz w:val="24"/>
                <w:highlight w:val="none"/>
                <w:u w:val="none" w:color="auto"/>
              </w:rPr>
              <w:t>En sådan begäran ska omfatta en detaljerad och uppdaterad beskrivning av människorättssituationen och de ihållande brott mot de mänskliga rättigheterna som förekommer i det berörda landet.</w:t>
            </w:r>
            <w:r>
              <w:rPr>
                <w:rFonts w:ascii="Times New Roman" w:eastAsia="Times New Roman" w:hAnsi="Times New Roman" w:cs="Times New Roman"/>
                <w:b/>
                <w:i/>
                <w:strike w:val="0"/>
                <w:color w:val="000000"/>
                <w:sz w:val="24"/>
                <w:highlight w:val="none"/>
                <w:u w:val="none" w:color="auto"/>
              </w:rPr>
              <w:t>Begäran ska även specificera den bristande tillämpning av kriterierna i artikel 47 som motiverar att landet tillfälligt avförs eller avförs från EU:s gemensamma förteckning över säkra ursprungsländer.</w:t>
            </w:r>
            <w:r>
              <w:rPr>
                <w:rFonts w:ascii="Times New Roman" w:eastAsia="Times New Roman" w:hAnsi="Times New Roman" w:cs="Times New Roman"/>
                <w:b/>
                <w:i/>
                <w:strike w:val="0"/>
                <w:color w:val="000000"/>
                <w:sz w:val="24"/>
                <w:highlight w:val="none"/>
                <w:u w:val="none" w:color="auto"/>
              </w:rPr>
              <w:t>Kommissionen ska bedöma den information som läggs fram i sådana begäranden, utom om den betraktar dem som otillåtliga, omotiverade eller återkommande.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 34.3 i parlamentets ståndpunkt om förordningen om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Om kommissionen har antagit en delegerad akt i enlighet med punkt 1 om att tillfälligt avföra ett tredjeland från den förteckning över tredjeländer som betecknas som säkra tredjeländer på unionsnivå eller tillfälligt avföra tredjelandet från EU:s gemensamma förteckning över säkra ursprungsländer, ska kommissionen inom tre månader efter dagen för antagandet av den delegerade akten lägga fram ett förslag, i enlighet med det ordinarie lagstiftningsförfarandet, om ändring av denna förordning för att avföra tredjelandet från förteckningen över tredjeländer som betecknas som säkra tredjeländer på unionsnivå eller från EU:s gemensamma förteckning över säkra ursprungsländer.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Den relevanta delen av denna text har flyttats till artikel 49a.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 xml:space="preserve">Om kommissionen har antagit en delegerad akt i enlighet med punkt 1 om att tillfälligt avföra ett tredjeland från den förteckning över tredjeländer som betecknas som säkra tredjeländer på unionsnivå eller tillfälligt avföra tredjelandet från EU:s gemensamma förteckning över säkra ursprungsländer, ska kommissionen inom tre månader efter dagen för antagandet av den delegerade akten lägga fram ett förslag, i enlighet med det ordinarie lagstiftningsförfarandet, om ändring av </w:t>
            </w:r>
            <w:r>
              <w:rPr>
                <w:rFonts w:ascii="Times New Roman" w:eastAsia="Times New Roman" w:hAnsi="Times New Roman" w:cs="Times New Roman"/>
                <w:b/>
                <w:i/>
                <w:strike w:val="0"/>
                <w:color w:val="000000"/>
                <w:sz w:val="24"/>
                <w:highlight w:val="none"/>
                <w:u w:val="none" w:color="auto"/>
              </w:rPr>
              <w:t>denna förordning</w:t>
            </w:r>
            <w:r>
              <w:t xml:space="preserve"> för att avföra tredjelandet från förteckningen över tredjeländer som betecknas som säkra tredjeländer på unionsnivå eller från EU:s gemensamma förteckning över säkra ursprungsländer.</w:t>
            </w:r>
          </w:p>
        </w:tc>
        <w:tc>
          <w:tcPr/>
          <w:p>
            <w:pPr>
              <w:pStyle w:val="Normal6"/>
            </w:pPr>
            <w:r>
              <w:t>3.</w:t>
            </w:r>
            <w:r>
              <w:tab/>
            </w:r>
            <w:r>
              <w:t xml:space="preserve">Om kommissionen har antagit en delegerad akt i enlighet med punkt 1 om att tillfälligt avföra ett tredjeland från den förteckning över tredjeländer som betecknas som säkra tredjeländer på unionsnivå eller tillfälligt avföra tredjelandet från EU:s gemensamma förteckning över säkra ursprungsländer, ska kommissionen inom tre månader efter dagen för antagandet av den delegerade akten lägga fram ett förslag, i enlighet med det ordinarie lagstiftningsförfarandet, om ändring av </w:t>
            </w:r>
            <w:r>
              <w:rPr>
                <w:rFonts w:ascii="Times New Roman" w:eastAsia="Times New Roman" w:hAnsi="Times New Roman" w:cs="Times New Roman"/>
                <w:b/>
                <w:i/>
                <w:strike w:val="0"/>
                <w:color w:val="000000"/>
                <w:sz w:val="24"/>
                <w:highlight w:val="none"/>
                <w:u w:val="none" w:color="auto"/>
              </w:rPr>
              <w:t>detta direktiv</w:t>
            </w:r>
            <w:r>
              <w:t xml:space="preserve"> för att avföra tredjelandet från förteckningen över tredjeländer som betecknas som säkra tredjeländer på unionsnivå eller från EU:s gemensamma förteckning över säkra ursprungsländer.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w:t>
            </w:r>
            <w:r>
              <w:tab/>
            </w:r>
            <w:r>
              <w:rPr>
                <w:rFonts w:ascii="Times New Roman" w:eastAsia="Times New Roman" w:hAnsi="Times New Roman" w:cs="Times New Roman"/>
                <w:b/>
                <w:i/>
                <w:strike w:val="0"/>
                <w:color w:val="000000"/>
                <w:sz w:val="24"/>
                <w:highlight w:val="none"/>
                <w:u w:val="none" w:color="auto"/>
              </w:rPr>
              <w:t>Om kommissionen inte lägger fram ett sådant förslag inom tre månader från antagandet av den delegerade akten såsom anges i punkt 2 ska den delegerade akten genom vilken tredjelandet tillfälligt avförs från förteckningen över tredjeländer som betecknas som säkra tredjeländer på unionsnivå eller från EU:s gemensamma förteckning över säkra ursprungsländer upphöra att gälla. Om kommissionen lägger fram ett sådant förslag inom tre månader ska kommissionen, på grundval av en saklig bedömning, ges befogenhet att förlänga giltigheten för den delegerade akten med sex månader, med möjlighet att förnya förlängningen en gång.</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Den relevanta delen av denna text har flyttats till artikel 49a.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w:t>
            </w:r>
            <w:r>
              <w:tab/>
            </w:r>
            <w:r>
              <w:rPr>
                <w:rFonts w:ascii="Times New Roman" w:eastAsia="Times New Roman" w:hAnsi="Times New Roman" w:cs="Times New Roman"/>
                <w:b/>
                <w:i/>
                <w:strike w:val="0"/>
                <w:color w:val="000000"/>
                <w:sz w:val="24"/>
                <w:highlight w:val="none"/>
                <w:u w:val="none" w:color="auto"/>
              </w:rPr>
              <w:t>Om kommissionen inte lägger fram ett sådant förslag inom tre månader från antagandet av den delegerade akten såsom anges i punkt 2 ska den delegerade akten genom vilken tredjelandet tillfälligt avförs från förteckningen över tredjeländer som betecknas som säkra tredjeländer på unionsnivå eller från EU:s gemensamma förteckning över säkra ursprungsländer upphöra att gälla. Om kommissionen lägger fram ett sådant förslag inom tre månader ska kommissionen, på grundval av en saklig bedömning, ges befogenhet att förlänga giltigheten för den delegerade akten med sex månader, med möjlighet att förnya förlängningen en gång.</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4.</w:t>
            </w:r>
            <w:r>
              <w:tab/>
            </w:r>
            <w:r>
              <w:t xml:space="preserve">Om kommissionen </w:t>
            </w:r>
            <w:r>
              <w:rPr>
                <w:rFonts w:ascii="Times New Roman" w:eastAsia="Times New Roman" w:hAnsi="Times New Roman" w:cs="Times New Roman"/>
                <w:b/>
                <w:i/>
                <w:strike w:val="0"/>
                <w:color w:val="000000"/>
                <w:sz w:val="24"/>
                <w:highlight w:val="none"/>
                <w:u w:val="none" w:color="auto"/>
              </w:rPr>
              <w:t xml:space="preserve">inte lägger fram ett sådant förslag inom tre månader från antagandet av den delegerade akten såsom anges i punkt 2 ska den delegerade akten genom vilken tredjelandet tillfälligt avförs från förteckningen över tredjeländer som betecknas som säkra tredjeländer på unionsnivå eller från EU:s gemensamma förteckning över säkra ursprungsländer upphöra att gälla. Om kommissionen </w:t>
            </w:r>
            <w:r>
              <w:t>lägger fram ett sådant förslag inom tre månader ska kommissionen, på grundval av en saklig bedömning, ges befogenhet att förlänga giltigheten för den delegerade akten med sex månader, med möjlighet att förnya förlängningen en gång.</w:t>
            </w:r>
          </w:p>
        </w:tc>
        <w:tc>
          <w:tcPr/>
          <w:p>
            <w:pPr>
              <w:pStyle w:val="Normal6"/>
            </w:pPr>
            <w:r>
              <w:t>4.</w:t>
            </w:r>
            <w:r>
              <w:tab/>
            </w:r>
            <w:r>
              <w:t>Om kommissionen lägger fram ett sådant förslag inom tre månader ska kommissionen, på grundval av en saklig bedömning, ges befogenhet att förlänga giltigheten för den delegerade akten med sex månader, med möjlighet att förnya förlängningen en gång.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49a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Artikel 49a</w:t>
            </w:r>
            <w:r>
              <w:tab/>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Center"/>
            </w:pPr>
            <w:r>
              <w:rPr>
                <w:rFonts w:ascii="Times New Roman" w:eastAsia="Times New Roman" w:hAnsi="Times New Roman" w:cs="Times New Roman"/>
                <w:b/>
                <w:i/>
                <w:strike w:val="0"/>
                <w:color w:val="000000"/>
                <w:sz w:val="24"/>
                <w:highlight w:val="none"/>
                <w:u w:val="none" w:color="auto"/>
              </w:rPr>
              <w:t>Avförande av ett tredjeland från EU:s gemensamma förteckning över säkra ursprungsländer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w:t>
            </w:r>
            <w:r>
              <w:rPr>
                <w:rFonts w:ascii="Times New Roman" w:eastAsia="Times New Roman" w:hAnsi="Times New Roman" w:cs="Times New Roman"/>
                <w:b/>
                <w:i/>
                <w:strike w:val="0"/>
                <w:color w:val="000000"/>
                <w:sz w:val="24"/>
                <w:highlight w:val="none"/>
                <w:u w:val="none" w:color="auto"/>
              </w:rPr>
              <w:t>Om kommissionen har antagit en delegerad akt i enlighet med artikel 49.1 om att tillfälligt upphöra att beteckna ett tredjeland som ett säkert ursprungsland, ska den inom sex månader efter dagen för antagandet av den delegerade akten lägga fram ett förslag, i enlighet med det ordinarie lagstiftningsförfarandet, om ändring av denna förordning för att avföra det tredjelandet från EU:s gemensamma förteckning över säkra ursprungsländer.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2.</w:t>
            </w:r>
            <w:r>
              <w:rPr>
                <w:rFonts w:ascii="Times New Roman" w:eastAsia="Times New Roman" w:hAnsi="Times New Roman" w:cs="Times New Roman"/>
                <w:b/>
                <w:i/>
                <w:strike w:val="0"/>
                <w:color w:val="000000"/>
                <w:sz w:val="24"/>
                <w:highlight w:val="none"/>
                <w:u w:val="none" w:color="auto"/>
              </w:rPr>
              <w:t>Om kommissionen lägger fram ett sådant lagstiftningsförslag inom sex månader ska den, på grundval av en bedömning av sakfrågan, ges befogenhet att förlänga giltigheten för den delegerade akten med sex månader, med möjlighet att förnya förlängningen en gång.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3.</w:t>
            </w:r>
            <w:r>
              <w:rPr>
                <w:rFonts w:ascii="Times New Roman" w:eastAsia="Times New Roman" w:hAnsi="Times New Roman" w:cs="Times New Roman"/>
                <w:b/>
                <w:i/>
                <w:strike w:val="0"/>
                <w:color w:val="000000"/>
                <w:sz w:val="24"/>
                <w:highlight w:val="none"/>
                <w:u w:val="none" w:color="auto"/>
              </w:rPr>
              <w:t>Eventuella ändringar av EU:s gemensamma förteckning över säkra ursprungsländer ska antas i enlighet med det ordinarie lagstiftningsförfarandet.</w:t>
            </w:r>
            <w:r>
              <w:rPr>
                <w:rFonts w:ascii="Times New Roman" w:eastAsia="Times New Roman" w:hAnsi="Times New Roman" w:cs="Times New Roman"/>
                <w:b/>
                <w:i/>
                <w:strike w:val="0"/>
                <w:color w:val="000000"/>
                <w:sz w:val="24"/>
                <w:highlight w:val="none"/>
                <w:u w:val="none" w:color="auto"/>
              </w:rPr>
              <w:t>För det ändamålet ska följande gälla: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Kommissionen ska regelbundet se över situationen i tredjeländer och möjligheten att föreslå att lägga till dem på EU:s gemensamma förteckning över säkra ursprungsländer.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När så är lämpligt ska kommissionen utarbeta ett förslag om att utöka den gemensamma förteckningen över säkra ursprungsländer efter en underbyggd bedömning av huruvida länder som ska tas upp på förteckningen uppfyller kriterierna enligt artikel 47.</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Bedömningar av huruvida ett land är ett säkert ursprungsland i enlighet med denna artikel ska grunda sig på ett urval av informationskällor, i synnerhet regelbundna rapporter från utrikestjänsten och information från medlemsstaterna, EU:s asylbyrå, UNHCR, Europarådet och andra berörda internationella organisationer samt nationella eller internationella icke-statliga organisationer.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 blir lättare att förstå dessa artiklar om en åtskillnad görs mellan att tillfälligt avföra och avföra ett land från förteckningen, eftersom de två förfarandena är olika.</w:t>
      </w:r>
      <w:r>
        <w:t>Ändringsförslaget bygger på ändringsförslagen 28 och 32 i parlamentets ståndpunkt om förordningen om säkra ursprungsländer, för att säkra konsekvens med tidigare ändringsförslag om säkra tredjeländer och en sammanhållen text som helhet.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Artikel 50</w:t>
            </w:r>
            <w:r>
              <w:tab/>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Fastställande av tredjeländer som säkra ursprungsländer på nationell nivå</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1.I fem år från och med ikraftträdandet av denna förordning får medlemsstaterna bibehålla eller införa lagstiftning som tillåter andra nationella fastställanden av säkra tredjeländer eller säkra ursprungsländer än vad som fastställts på unionsnivå eller i EU:s gemensamma förteckning i bilaga I, för att pröva ansökningar om internationellt skydd.</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2.Om ett tredjeland, i enlighet med artikel 49.1, tillfälligt avförs från den förteckning över tredjeländer som betecknas som säkra tredjeländer på unionsnivå eller från EU:s gemensamma förteckning i bilaga I till denna förordning, ska medlemsstaterna inte beteckna landet som ett säkert tredjeland eller ett säkert ursprungsland på nationell nivå, och inte heller tillämpa begreppet säkert tredjeland i en bedömning från fall till fall som berör en enskild sökande.</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Om ett tredjeland inte längre betecknas som ett säkert tredjeland på unionsnivå eller ett tredjeland har avförts från EU:s gemensamma förteckning i bilaga 1 till denna förordning i enlighet med det ordinarie lagstiftningsförfarandet, får en medlemsstat till kommissionen anmäla att den, till följd av förändringar i omständigheterna i landet, anser att landet på nytt uppfyller de villkor som anges i artikel 45.1 och artikel 47.</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Anmälan ska innehålla en väl grundad bedömning av landets uppfyllande av de villkor som anges i artikel 45.1 och artikel 47, inbegripet en redogörelse för de specifika förändringarna i omständigheterna i tredjelandet, vilket innebär att landet på nytt uppfyller dessa villkor.</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 anmälande medlemsstaten får fastställa att tredjelandet betecknas som ett säkert tredjeland eller säkert ursprungsland på nationell nivå endast om kommissionen inte invänder mot detta fastställande.</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4.Medlemsstaterna ska till kommissionen och Europeiska unionens asylbyrå meddela de tredjeländer som betecknas som säkra tredjeländer eller säkra ursprungsländer på nationell nivå omedelbart efter detta fastställande. Medlemsstaterna ska en gång om året till kommissionen och Europeiska unionens asylbyrå meddela vilka övriga säkra tredjeländer som begreppet tillämpas på från fall till fall med avseende på enskilda sökande.</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Artikel 50</w:t>
            </w:r>
            <w:r>
              <w:tab/>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Fastställande av tredjeländer som säkra ursprungsländer på nationell nivå</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1.I fem år från och med ikraftträdandet av denna förordning får medlemsstaterna bibehålla eller införa lagstiftning som tillåter andra nationella fastställanden av säkra tredjeländer eller säkra ursprungsländer än vad som fastställts på unionsnivå eller i EU:s gemensamma förteckning i bilaga I, för att pröva ansökningar om internationellt skydd.</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2.Om ett tredjeland, i enlighet med artikel 49.1, tillfälligt avförs från den förteckning över tredjeländer som betecknas som säkra tredjeländer på unionsnivå eller från EU:s gemensamma förteckning i bilaga I till denna förordning, ska medlemsstaterna inte beteckna landet som ett säkert tredjeland eller ett säkert ursprungsland på nationell nivå, och inte heller tillämpa begreppet säkert tredjeland i en bedömning från fall till fall som berör en enskild sökande.</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Om ett tredjeland inte längre betecknas som ett säkert tredjeland på unionsnivå eller ett tredjeland har avförts från EU:s gemensamma förteckning i bilaga 1 till denna förordning i enlighet med det ordinarie lagstiftningsförfarandet, får en medlemsstat till kommissionen anmäla att den, till följd av förändringar i omständigheterna i landet, anser att landet på nytt uppfyller de villkor som anges i artikel 45.1 och artikel 47.</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Anmälan ska innehålla en väl grundad bedömning av landets uppfyllande av de villkor som anges i artikel 45.1 och artikel 47, inbegripet en redogörelse för de specifika förändringarna i omständigheterna i tredjelandet, vilket innebär att landet på nytt uppfyller dessa villkor.</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 anmälande medlemsstaten får fastställa att tredjelandet betecknas som ett säkert tredjeland eller säkert ursprungsland på nationell nivå endast om kommissionen inte invänder mot detta fastställande.</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4.Medlemsstaterna ska till kommissionen och Europeiska unionens asylbyrå meddela de tredjeländer som betecknas som säkra tredjeländer eller säkra ursprungsländer på nationell nivå omedelbart efter detta fastställande. Medlemsstaterna ska en gång om året till kommissionen och Europeiska unionens asylbyrå meddela vilka övriga säkra tredjeländer som begreppet tillämpas på från fall till fall med avseende på enskilda sökande.</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I </w:t>
            </w:r>
            <w:r>
              <w:rPr>
                <w:rFonts w:ascii="Times New Roman" w:eastAsia="Times New Roman" w:hAnsi="Times New Roman" w:cs="Times New Roman"/>
                <w:b/>
                <w:i/>
                <w:strike w:val="0"/>
                <w:color w:val="000000"/>
                <w:sz w:val="24"/>
                <w:highlight w:val="none"/>
                <w:u w:val="none" w:color="auto"/>
              </w:rPr>
              <w:t>fem</w:t>
            </w:r>
            <w:r>
              <w:t xml:space="preserve"> år från och med ikraftträdandet av denna förordning får medlemsstaterna </w:t>
            </w:r>
            <w:r>
              <w:rPr>
                <w:rFonts w:ascii="Times New Roman" w:eastAsia="Times New Roman" w:hAnsi="Times New Roman" w:cs="Times New Roman"/>
                <w:b/>
                <w:i/>
                <w:strike w:val="0"/>
                <w:color w:val="000000"/>
                <w:sz w:val="24"/>
                <w:highlight w:val="none"/>
                <w:u w:val="none" w:color="auto"/>
              </w:rPr>
              <w:t>bibehålla</w:t>
            </w:r>
            <w:r>
              <w:t xml:space="preserve"> eller införa lagstiftning som tillåter andra nationella fastställanden av säkra tredjeländer eller säkra ursprungsländer än vad som fastställts på unionsnivå eller i EU:s gemensamma förteckning i bilaga I, för att pröva ansökningar om internationellt skydd.</w:t>
            </w:r>
          </w:p>
        </w:tc>
        <w:tc>
          <w:tcPr/>
          <w:p>
            <w:pPr>
              <w:pStyle w:val="Normal6"/>
            </w:pPr>
            <w:r>
              <w:t>1.</w:t>
            </w:r>
            <w:r>
              <w:tab/>
            </w:r>
            <w:r>
              <w:t xml:space="preserve">I </w:t>
            </w:r>
            <w:r>
              <w:rPr>
                <w:rFonts w:ascii="Times New Roman" w:eastAsia="Times New Roman" w:hAnsi="Times New Roman" w:cs="Times New Roman"/>
                <w:b/>
                <w:i/>
                <w:strike w:val="0"/>
                <w:color w:val="000000"/>
                <w:sz w:val="24"/>
                <w:highlight w:val="none"/>
                <w:u w:val="none" w:color="auto"/>
              </w:rPr>
              <w:t>tre</w:t>
            </w:r>
            <w:r>
              <w:t xml:space="preserve"> år från och med ikraftträdandet av denna förordning får medlemsstaterna </w:t>
            </w:r>
            <w:r>
              <w:rPr>
                <w:rFonts w:ascii="Times New Roman" w:eastAsia="Times New Roman" w:hAnsi="Times New Roman" w:cs="Times New Roman"/>
                <w:b/>
                <w:i/>
                <w:strike w:val="0"/>
                <w:color w:val="000000"/>
                <w:sz w:val="24"/>
                <w:highlight w:val="none"/>
                <w:u w:val="none" w:color="auto"/>
              </w:rPr>
              <w:t>behålla</w:t>
            </w:r>
            <w:r>
              <w:t xml:space="preserve"> eller införa lagstiftning som tillåter andra nationella fastställanden av säkra tredjeländer eller säkra ursprungsländer än vad som fastställts på unionsnivå eller i EU:s gemensamma förteckning i bilaga I, för att pröva ansökningar om internationellt skydd.</w:t>
            </w:r>
            <w:r>
              <w:br/>
            </w:r>
            <w:r>
              <w:rPr>
                <w:rFonts w:ascii="Times New Roman" w:eastAsia="Times New Roman" w:hAnsi="Times New Roman" w:cs="Times New Roman"/>
                <w:b/>
                <w:i/>
                <w:strike w:val="0"/>
                <w:color w:val="000000"/>
                <w:sz w:val="24"/>
                <w:highlight w:val="none"/>
                <w:u w:val="none" w:color="auto"/>
              </w:rPr>
              <w:t>Under den perioden är de skyldiga att se till att de nationella förteckningarna över säkra ursprungsländer och EU:s gemensamma förteckning över säkra ursprungsländer överensstämmer.</w:t>
            </w:r>
            <w:r>
              <w:t xml:space="preserve"> </w:t>
            </w:r>
            <w:r>
              <w:rPr>
                <w:rFonts w:ascii="Times New Roman" w:eastAsia="Times New Roman" w:hAnsi="Times New Roman" w:cs="Times New Roman"/>
                <w:b/>
                <w:i/>
                <w:strike w:val="0"/>
                <w:color w:val="000000"/>
                <w:sz w:val="24"/>
                <w:highlight w:val="none"/>
                <w:u w:val="none" w:color="auto"/>
              </w:rPr>
              <w:t>Detta innebär följande: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ändringsförslagen 28 b och 41 i parlamentets ståndpunkt om förordningen om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rPr>
                <w:rFonts w:ascii="Times New Roman" w:eastAsia="Times New Roman" w:hAnsi="Times New Roman" w:cs="Times New Roman"/>
                <w:b/>
                <w:i/>
                <w:strike w:val="0"/>
                <w:color w:val="000000"/>
                <w:sz w:val="24"/>
                <w:highlight w:val="none"/>
                <w:u w:val="none" w:color="auto"/>
              </w:rPr>
              <w:t>I fem år från och med ikraftträdandet av denna förordning får medlemsstaterna bibehålla</w:t>
            </w:r>
            <w:r>
              <w:t xml:space="preserve"> eller införa lagstiftning som tillåter andra nationella fastställanden av säkra tredjeländer eller säkra ursprungsländer än vad som fastställts på unionsnivå eller i EU:s gemensamma förteckning i bilaga I, för att pröva ansökningar om internationellt skydd.</w:t>
            </w:r>
          </w:p>
        </w:tc>
        <w:tc>
          <w:tcPr/>
          <w:p>
            <w:pPr>
              <w:pStyle w:val="Normal6"/>
            </w:pPr>
            <w:r>
              <w:t>1.</w:t>
            </w:r>
            <w:r>
              <w:tab/>
            </w:r>
            <w:r>
              <w:rPr>
                <w:rFonts w:ascii="Times New Roman" w:eastAsia="Times New Roman" w:hAnsi="Times New Roman" w:cs="Times New Roman"/>
                <w:b/>
                <w:i/>
                <w:strike w:val="0"/>
                <w:color w:val="000000"/>
                <w:sz w:val="24"/>
                <w:highlight w:val="none"/>
                <w:u w:val="none" w:color="auto"/>
              </w:rPr>
              <w:t>Medlemsstaterna får behålla</w:t>
            </w:r>
            <w:r>
              <w:t xml:space="preserve"> eller införa lagstiftning som tillåter andra nationella fastställanden av säkra tredjeländer eller säkra ursprungsländer än vad som fastställts på unionsnivå eller i EU:s gemensamma förteckning i bilaga I, för att pröva ansökningar om internationellt skydd. </w:t>
            </w:r>
            <w:r>
              <w:rPr>
                <w:rFonts w:ascii="Times New Roman" w:eastAsia="Times New Roman" w:hAnsi="Times New Roman" w:cs="Times New Roman"/>
                <w:b/>
                <w:i/>
                <w:strike w:val="0"/>
                <w:color w:val="000000"/>
                <w:sz w:val="24"/>
                <w:highlight w:val="none"/>
                <w:u w:val="none" w:color="auto"/>
              </w:rPr>
              <w:t>Detta nationella fastställande av säkra tredjeländer eller säkra ursprungsländer ska, för den fastställande medlemsstaten, betraktas som ett komplement till de fastställda säkra tredjeländerna eller säkra ursprungsländerna på unionsnivå.</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rPr>
                <w:rFonts w:ascii="Times New Roman" w:eastAsia="Times New Roman" w:hAnsi="Times New Roman" w:cs="Times New Roman"/>
                <w:b/>
                <w:i/>
                <w:strike w:val="0"/>
                <w:color w:val="000000"/>
                <w:sz w:val="24"/>
                <w:highlight w:val="none"/>
                <w:u w:val="none" w:color="auto"/>
              </w:rPr>
              <w:t>I fem år från och med ikraftträdandet av denna förordning får medlemsstaterna bibehålla</w:t>
            </w:r>
            <w:r>
              <w:t xml:space="preserve"> eller införa lagstiftning som tillåter andra nationella fastställanden av säkra tredjeländer eller säkra ursprungsländer än vad som fastställts på unionsnivå eller i EU:s gemensamma förteckning i bilaga I, för att pröva ansökningar om internationellt skydd.</w:t>
            </w:r>
          </w:p>
        </w:tc>
        <w:tc>
          <w:tcPr/>
          <w:p>
            <w:pPr>
              <w:pStyle w:val="Normal6"/>
            </w:pPr>
            <w:r>
              <w:t>1.</w:t>
            </w:r>
            <w:r>
              <w:tab/>
            </w:r>
            <w:r>
              <w:rPr>
                <w:rFonts w:ascii="Times New Roman" w:eastAsia="Times New Roman" w:hAnsi="Times New Roman" w:cs="Times New Roman"/>
                <w:b/>
                <w:i/>
                <w:strike w:val="0"/>
                <w:color w:val="000000"/>
                <w:sz w:val="24"/>
                <w:highlight w:val="none"/>
                <w:u w:val="none" w:color="auto"/>
              </w:rPr>
              <w:t>Medlemsstaterna får behålla</w:t>
            </w:r>
            <w:r>
              <w:t>eller införa lagstiftning som tillåter andra nationella fastställanden av säkra tredjeländer eller säkra ursprungsländer än vad som fastställts på unionsnivå eller i EU:s gemensamma förteckning i bilaga I, för att pröva ansökningar om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1 – led 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Medlemsstaterna ska meddela kommissionen om alla ändringar i sin nationella förteckning.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1 – led b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Medlemsstaterna får lägga fram förslag om att lägga till tredjeländer på EU:s gemensamma förteckning över säkra ursprungsländer.</w:t>
            </w:r>
            <w:r>
              <w:rPr>
                <w:rFonts w:ascii="Times New Roman" w:eastAsia="Times New Roman" w:hAnsi="Times New Roman" w:cs="Times New Roman"/>
                <w:b/>
                <w:i/>
                <w:strike w:val="0"/>
                <w:color w:val="000000"/>
                <w:sz w:val="24"/>
                <w:highlight w:val="none"/>
                <w:u w:val="none" w:color="auto"/>
              </w:rPr>
              <w:t>Kommissionen ska då granska dessa förslag inom sex månader efter det att de lagts fram, på grundval av ett antal olika informationskällor som den förfogar över, i synnerhet rapporter från utrikestjänsten och upplysningar från medlemsstater, EU:s asylbyrå, UNHCR, Europarådet och andra relevanta internationella organisationer samt nationella eller internationella icke-statliga organisationer.</w:t>
            </w:r>
            <w:r>
              <w:rPr>
                <w:rFonts w:ascii="Times New Roman" w:eastAsia="Times New Roman" w:hAnsi="Times New Roman" w:cs="Times New Roman"/>
                <w:b/>
                <w:i/>
                <w:strike w:val="0"/>
                <w:color w:val="000000"/>
                <w:sz w:val="24"/>
                <w:highlight w:val="none"/>
                <w:u w:val="none" w:color="auto"/>
              </w:rPr>
              <w:t>Om kommissionen beslutar att ett tredjeland får läggas till på förteckningen, ska den utarbeta ett förslag om att utöka EU:s gemensamma förteckning över säkra ursprungsländer.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1 – led c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c)</w:t>
            </w:r>
            <w:r>
              <w:tab/>
            </w:r>
            <w:r>
              <w:rPr>
                <w:rFonts w:ascii="Times New Roman" w:eastAsia="Times New Roman" w:hAnsi="Times New Roman" w:cs="Times New Roman"/>
                <w:b/>
                <w:i/>
                <w:strike w:val="0"/>
                <w:color w:val="000000"/>
                <w:sz w:val="24"/>
                <w:highlight w:val="none"/>
                <w:u w:val="none" w:color="auto"/>
              </w:rPr>
              <w:t>Om ett tredjeland i enlighet med artikel 49.1 i denna förordning tillfälligt har avförts från EU:s gemensamma förteckning över säkra ursprungsländer, ska medlemsstaterna inte beteckna det landet som ett säkert ursprungsland på nationell nivå.</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1 – led d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d)</w:t>
            </w:r>
            <w:r>
              <w:tab/>
            </w:r>
            <w:r>
              <w:rPr>
                <w:rFonts w:ascii="Times New Roman" w:eastAsia="Times New Roman" w:hAnsi="Times New Roman" w:cs="Times New Roman"/>
                <w:b/>
                <w:i/>
                <w:strike w:val="0"/>
                <w:color w:val="000000"/>
                <w:sz w:val="24"/>
                <w:highlight w:val="none"/>
                <w:u w:val="none" w:color="auto"/>
              </w:rPr>
              <w:t>Om ett tredjeland har avförts från EU:s gemensamma förteckning över säkra ursprungsländer i enlighet med artikel 49a, får en medlemsstat meddela kommissionen om den anser att förändringar av situationen i det tredjelandet medfört att det återigen uppfyller kriterierna enligt bilaga I till detta direktiv för att uppföras på EU:s gemensamma förteckning över säkra ursprungsländer.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Kommissionen ska undersöka varje sådant meddelande från en medlemsstat och där så är lämpligt lägga fram ett förslag för Europaparlamentet och rådet om ändring av EU:s gemensamma förteckning över säkra ursprungsländer i enlighet med detta.</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Om kommissionen beslutar att inte lägga fram ett sådant förslag ska medlemsstaterna inte beteckna det landet som ett säkert ursprungsland på nationell nivå.</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1a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1a.</w:t>
            </w:r>
            <w:r>
              <w:tab/>
            </w:r>
            <w:r>
              <w:rPr>
                <w:rFonts w:ascii="Times New Roman" w:eastAsia="Times New Roman" w:hAnsi="Times New Roman" w:cs="Times New Roman"/>
                <w:b/>
                <w:i/>
                <w:strike w:val="0"/>
                <w:color w:val="000000"/>
                <w:sz w:val="24"/>
                <w:highlight w:val="none"/>
                <w:u w:val="none" w:color="auto"/>
              </w:rPr>
              <w:t>Medlemsstaterna ska till kommissionen och Europeiska unionens asylbyrå meddela de tredjeländer som betecknas som säkra tredjeländer eller säkra ursprungsländer på nationell nivå omedelbart efter detta fastställande.</w:t>
            </w:r>
            <w:r>
              <w:rPr>
                <w:rFonts w:ascii="Times New Roman" w:eastAsia="Times New Roman" w:hAnsi="Times New Roman" w:cs="Times New Roman"/>
                <w:b/>
                <w:i/>
                <w:strike w:val="0"/>
                <w:color w:val="000000"/>
                <w:sz w:val="24"/>
                <w:highlight w:val="none"/>
                <w:u w:val="none" w:color="auto"/>
              </w:rPr>
              <w:t>Medlemsstaterna ska en gång om året till kommissionen och Europeiska unionens asylbyrå meddela vilka övriga säkra tredjeländer som begreppet tillämpas på från fall till fall med avseende på enskilda sökande.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Denna text har flyttats upp från artikel 50.4.</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Kinga Gál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Om ett tredjeland, i enlighet med artikel 49.1, tillfälligt avförs från den förteckning över tredjeländer som betecknas som säkra tredjeländer på unionsnivå eller från EU:s gemensamma förteckning i bilaga I till denna förordning, ska medlemsstaterna inte beteckna landet som ett säkert tredjeland eller ett säkert ursprungsland på nationell nivå, och inte heller tillämpa begreppet säkert tredjeland i en bedömning från fall till fall som berör en enskild sökande.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HU</w:t>
      </w:r>
      <w:r>
        <w:rPr>
          <w:rStyle w:val="HideTWBInt"/>
        </w:rPr>
        <w:t>}</w:t>
      </w:r>
      <w:r>
        <w:t>hu</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Om ett tredjeland, i enlighet med artikel 49.1, tillfälligt avförs från den förteckning över tredjeländer som betecknas som säkra tredjeländer på unionsnivå eller från EU:s gemensamma förteckning i bilaga I till denna förordning, ska medlemsstaterna inte beteckna landet som ett säkert tredjeland eller ett säkert ursprungsland på nationell nivå, och inte heller tillämpa begreppet säkert tredjeland i en bedömning från fall till fall som berör en enskild sökande.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Den relevanta delen av denna text har flyttats till punkt 1.</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Om ett tredjeland</w:t>
            </w:r>
            <w:r>
              <w:rPr>
                <w:rFonts w:ascii="Times New Roman" w:eastAsia="Times New Roman" w:hAnsi="Times New Roman" w:cs="Times New Roman"/>
                <w:b/>
                <w:i/>
                <w:strike w:val="0"/>
                <w:color w:val="000000"/>
                <w:sz w:val="24"/>
                <w:highlight w:val="none"/>
                <w:u w:val="none" w:color="auto"/>
              </w:rPr>
              <w:t>,</w:t>
            </w:r>
            <w:r>
              <w:t>i enlighet med artikel 49.1</w:t>
            </w:r>
            <w:r>
              <w:rPr>
                <w:rFonts w:ascii="Times New Roman" w:eastAsia="Times New Roman" w:hAnsi="Times New Roman" w:cs="Times New Roman"/>
                <w:b/>
                <w:i/>
                <w:strike w:val="0"/>
                <w:color w:val="000000"/>
                <w:sz w:val="24"/>
                <w:highlight w:val="none"/>
                <w:u w:val="none" w:color="auto"/>
              </w:rPr>
              <w:t>,</w:t>
            </w:r>
            <w:r>
              <w:t>tillfälligt avförs från den förteckning över tredjeländer som betecknas som säkra tredjeländer på unionsnivå eller från EU:s gemensamma förteckning i bilaga I till denna förordning, ska medlemsstaterna inte beteckna landet som ett säkert tredjeland eller ett säkert ursprungsland på nationell nivå, och inte heller tillämpa begreppet säkert tredjeland i en bedömning från fall till fall som berör en enskild sökande.</w:t>
            </w:r>
          </w:p>
        </w:tc>
        <w:tc>
          <w:tcPr/>
          <w:p>
            <w:pPr>
              <w:pStyle w:val="Normal6"/>
            </w:pPr>
            <w:r>
              <w:t>2.</w:t>
            </w:r>
            <w:r>
              <w:tab/>
            </w:r>
            <w:r>
              <w:t xml:space="preserve">Om ett tredjeland i enlighet med artikel 49.1 tillfälligt avförs från den förteckning över tredjeländer som betecknas som säkra tredjeländer på unionsnivå eller från EU:s gemensamma förteckning i bilaga I till denna förordning, ska medlemsstaterna inte </w:t>
            </w:r>
            <w:r>
              <w:rPr>
                <w:rFonts w:ascii="Times New Roman" w:eastAsia="Times New Roman" w:hAnsi="Times New Roman" w:cs="Times New Roman"/>
                <w:b/>
                <w:i/>
                <w:strike w:val="0"/>
                <w:color w:val="000000"/>
                <w:sz w:val="24"/>
                <w:highlight w:val="none"/>
                <w:u w:val="none" w:color="auto"/>
              </w:rPr>
              <w:t xml:space="preserve">utan skäliga grunder </w:t>
            </w:r>
            <w:r>
              <w:t>beteckna</w:t>
            </w:r>
            <w:r>
              <w:rPr>
                <w:rFonts w:ascii="Times New Roman" w:eastAsia="Times New Roman" w:hAnsi="Times New Roman" w:cs="Times New Roman"/>
                <w:b/>
                <w:i/>
                <w:strike w:val="0"/>
                <w:color w:val="000000"/>
                <w:sz w:val="24"/>
                <w:highlight w:val="none"/>
                <w:u w:val="none" w:color="auto"/>
              </w:rPr>
              <w:t xml:space="preserve"> det</w:t>
            </w:r>
            <w:r>
              <w:t xml:space="preserve"> landet som ett säkert tredjeland eller ett säkert ursprungsland på nationell nivå, och inte heller tillämpa begreppet säkert tredjeland i en bedömning från fall till fall som berör en enskild sökande.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Kinga Gál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3 – stycke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Om ett tredjeland inte längre betecknas som ett säkert tredjeland på unionsnivå eller ett tredjeland har avförts från EU:s gemensamma förteckning i bilaga 1 till denna förordning i enlighet med det ordinarie lagstiftningsförfarandet, får en medlemsstat till kommissionen anmäla att den, till följd av förändringar i omständigheterna i landet, anser att landet på nytt uppfyller de villkor som anges i artikel 45.1 och artikel 47.</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HU</w:t>
      </w:r>
      <w:r>
        <w:rPr>
          <w:rStyle w:val="HideTWBInt"/>
        </w:rPr>
        <w:t>}</w:t>
      </w:r>
      <w:r>
        <w:t>hu</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3 – stycke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Om ett tredjeland inte längre betecknas som ett säkert tredjeland på unionsnivå eller ett tredjeland har avförts från EU:s gemensamma förteckning i bilaga 1 till denna förordning i enlighet med det ordinarie lagstiftningsförfarandet, får en medlemsstat till kommissionen anmäla att den, till följd av förändringar i omständigheterna i landet, anser att landet på nytt uppfyller de villkor som anges i artikel 45.1 och artikel 47.</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Ändringen läggs fram för att säkra konsekvens med ändringsförslaget till punkt 1.</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3 – stycke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Om ett tredjeland inte längre betecknas som ett säkert tredjeland på unionsnivå eller ett tredjeland har avförts från EU:s gemensamma förteckning i bilaga 1 till denna förordning i enlighet med det ordinarie lagstiftningsförfarandet, </w:t>
            </w:r>
            <w:r>
              <w:rPr>
                <w:rFonts w:ascii="Times New Roman" w:eastAsia="Times New Roman" w:hAnsi="Times New Roman" w:cs="Times New Roman"/>
                <w:b/>
                <w:i/>
                <w:strike w:val="0"/>
                <w:color w:val="000000"/>
                <w:sz w:val="24"/>
                <w:highlight w:val="none"/>
                <w:u w:val="none" w:color="auto"/>
              </w:rPr>
              <w:t>får</w:t>
            </w:r>
            <w:r>
              <w:t xml:space="preserve"> en medlemsstat till kommissionen anmäla </w:t>
            </w:r>
            <w:r>
              <w:rPr>
                <w:rFonts w:ascii="Times New Roman" w:eastAsia="Times New Roman" w:hAnsi="Times New Roman" w:cs="Times New Roman"/>
                <w:b/>
                <w:i/>
                <w:strike w:val="0"/>
                <w:color w:val="000000"/>
                <w:sz w:val="24"/>
                <w:highlight w:val="none"/>
                <w:u w:val="none" w:color="auto"/>
              </w:rPr>
              <w:t>att</w:t>
            </w:r>
            <w:r>
              <w:t xml:space="preserve"> den, till följd av förändringar i omständigheterna i landet, anser att landet på nytt uppfyller </w:t>
            </w:r>
            <w:r>
              <w:rPr>
                <w:rFonts w:ascii="Times New Roman" w:eastAsia="Times New Roman" w:hAnsi="Times New Roman" w:cs="Times New Roman"/>
                <w:b/>
                <w:i/>
                <w:strike w:val="0"/>
                <w:color w:val="000000"/>
                <w:sz w:val="24"/>
                <w:highlight w:val="none"/>
                <w:u w:val="none" w:color="auto"/>
              </w:rPr>
              <w:t>de</w:t>
            </w:r>
            <w:r>
              <w:t xml:space="preserve"> villkor </w:t>
            </w:r>
            <w:r>
              <w:rPr>
                <w:rFonts w:ascii="Times New Roman" w:eastAsia="Times New Roman" w:hAnsi="Times New Roman" w:cs="Times New Roman"/>
                <w:b/>
                <w:i/>
                <w:strike w:val="0"/>
                <w:color w:val="000000"/>
                <w:sz w:val="24"/>
                <w:highlight w:val="none"/>
                <w:u w:val="none" w:color="auto"/>
              </w:rPr>
              <w:t>som anges i artikel 45.1 och artikel 47</w:t>
            </w:r>
            <w:r>
              <w:t>.</w:t>
            </w:r>
          </w:p>
        </w:tc>
        <w:tc>
          <w:tcPr/>
          <w:p>
            <w:pPr>
              <w:pStyle w:val="Normal6"/>
            </w:pPr>
            <w:r>
              <w:t xml:space="preserve">Om ett tredjeland inte längre betecknas som ett säkert tredjeland på unionsnivå eller ett tredjeland har avförts från EU:s gemensamma förteckning i bilaga 1 till denna förordning i enlighet med det ordinarie lagstiftningsförfarandet, </w:t>
            </w:r>
            <w:r>
              <w:rPr>
                <w:rFonts w:ascii="Times New Roman" w:eastAsia="Times New Roman" w:hAnsi="Times New Roman" w:cs="Times New Roman"/>
                <w:b/>
                <w:i/>
                <w:strike w:val="0"/>
                <w:color w:val="000000"/>
                <w:sz w:val="24"/>
                <w:highlight w:val="none"/>
                <w:u w:val="none" w:color="auto"/>
              </w:rPr>
              <w:t>ska</w:t>
            </w:r>
            <w:r>
              <w:t xml:space="preserve"> en medlemsstat till kommissionen anmäla </w:t>
            </w:r>
            <w:r>
              <w:rPr>
                <w:rFonts w:ascii="Times New Roman" w:eastAsia="Times New Roman" w:hAnsi="Times New Roman" w:cs="Times New Roman"/>
                <w:b/>
                <w:i/>
                <w:strike w:val="0"/>
                <w:color w:val="000000"/>
                <w:sz w:val="24"/>
                <w:highlight w:val="none"/>
                <w:u w:val="none" w:color="auto"/>
              </w:rPr>
              <w:t>om</w:t>
            </w:r>
            <w:r>
              <w:t xml:space="preserve"> den, till följd av förändringar i omständigheterna i landet, anser att landet på nytt uppfyller </w:t>
            </w:r>
            <w:r>
              <w:rPr>
                <w:rFonts w:ascii="Times New Roman" w:eastAsia="Times New Roman" w:hAnsi="Times New Roman" w:cs="Times New Roman"/>
                <w:b/>
                <w:i/>
                <w:strike w:val="0"/>
                <w:color w:val="000000"/>
                <w:sz w:val="24"/>
                <w:highlight w:val="none"/>
                <w:u w:val="none" w:color="auto"/>
              </w:rPr>
              <w:t>medlemsstatens</w:t>
            </w:r>
            <w:r>
              <w:t xml:space="preserve"> villkor </w:t>
            </w:r>
            <w:r>
              <w:rPr>
                <w:rFonts w:ascii="Times New Roman" w:eastAsia="Times New Roman" w:hAnsi="Times New Roman" w:cs="Times New Roman"/>
                <w:b/>
                <w:i/>
                <w:strike w:val="0"/>
                <w:color w:val="000000"/>
                <w:sz w:val="24"/>
                <w:highlight w:val="none"/>
                <w:u w:val="none" w:color="auto"/>
              </w:rPr>
              <w:t>för att betraktas som ett säkert tredjeland eller ett säkert ursprungsland genom en nationell beteckning</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Kinga Gál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3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Anmälan ska innehålla en väl grundad bedömning av landets uppfyllande av de villkor som anges i artikel 45.1 och artikel 47, inbegripet en redogörelse för de specifika förändringarna i omständigheterna i tredjelandet, vilket innebär att landet på nytt uppfyller dessa villkor.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HU</w:t>
      </w:r>
      <w:r>
        <w:rPr>
          <w:rStyle w:val="HideTWBInt"/>
        </w:rPr>
        <w:t>}</w:t>
      </w:r>
      <w:r>
        <w:t>hu</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3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Anmälan ska innehålla en väl grundad bedömning av landets uppfyllande av de villkor som anges i artikel 45.1 och artikel 47, inbegripet en redogörelse för de specifika förändringarna i omständigheterna i tredjelandet, vilket innebär att landet på nytt uppfyller dessa villkor.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Ändringen läggs fram för att säkra konsekvens med ändringsförslaget till punkt 1.</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3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Anmälan ska innehålla en väl grundad bedömning av landets uppfyllande av de villkor som anges i artikel 45.1 och artikel 47, inbegripet en redogörelse för de specifika förändringarna i omständigheterna i tredjelandet, vilket innebär att landet på nytt uppfyller dessa villkor.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Kinga Gál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3 – stycke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 anmälande medlemsstaten får fastställa att tredjelandet betecknas som ett säkert tredjeland eller säkert ursprungsland på nationell nivå endast om kommissionen inte invänder mot detta fastställande.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HU</w:t>
      </w:r>
      <w:r>
        <w:rPr>
          <w:rStyle w:val="HideTWBInt"/>
        </w:rPr>
        <w:t>}</w:t>
      </w:r>
      <w:r>
        <w:t>hu</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3 – stycke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 anmälande medlemsstaten får fastställa att tredjelandet betecknas som ett säkert tredjeland eller säkert ursprungsland på nationell nivå endast om kommissionen inte invänder mot detta fastställande.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3 – stycke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 anmälande medlemsstaten får fastställa att tredjelandet betecknas som ett säkert tredjeland eller säkert ursprungsland på nationell nivå endast om kommissionen inte invänder mot detta fastställande.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Ändringen läggs fram för att säkra konsekvens med ändringsförslaget till punkt 1.</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3 – stycke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 anmälande medlemsstaten får fastställa att tredjelandet betecknas som ett säkert tredjeland eller säkert ursprungsland på nationell nivå endast om kommissionen inte invänder mot detta fastställande.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1499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Kinga Gál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w:t>
            </w:r>
            <w:r>
              <w:tab/>
            </w:r>
            <w:r>
              <w:rPr>
                <w:rFonts w:ascii="Times New Roman" w:eastAsia="Times New Roman" w:hAnsi="Times New Roman" w:cs="Times New Roman"/>
                <w:b/>
                <w:i/>
                <w:strike w:val="0"/>
                <w:color w:val="000000"/>
                <w:sz w:val="24"/>
                <w:highlight w:val="none"/>
                <w:u w:val="none" w:color="auto"/>
              </w:rPr>
              <w:t>Medlemsstaterna ska till kommissionen och Europeiska unionens asylbyrå meddela de tredjeländer som betecknas som säkra tredjeländer eller säkra ursprungsländer på nationell nivå omedelbart efter detta fastställande. Medlemsstaterna ska en gång om året till kommissionen och Europeiska unionens asylbyrå meddela vilka övriga säkra tredjeländer som begreppet tillämpas på från fall till fall med avseende på enskilda sökande.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HU</w:t>
      </w:r>
      <w:r>
        <w:rPr>
          <w:rStyle w:val="HideTWBInt"/>
        </w:rPr>
        <w:t>}</w:t>
      </w:r>
      <w:r>
        <w:t>hu</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w:t>
            </w:r>
            <w:r>
              <w:tab/>
            </w:r>
            <w:r>
              <w:rPr>
                <w:rFonts w:ascii="Times New Roman" w:eastAsia="Times New Roman" w:hAnsi="Times New Roman" w:cs="Times New Roman"/>
                <w:b/>
                <w:i/>
                <w:strike w:val="0"/>
                <w:color w:val="000000"/>
                <w:sz w:val="24"/>
                <w:highlight w:val="none"/>
                <w:u w:val="none" w:color="auto"/>
              </w:rPr>
              <w:t>Medlemsstaterna ska till kommissionen och Europeiska unionens asylbyrå meddela de tredjeländer som betecknas som säkra tredjeländer eller säkra ursprungsländer på nationell nivå omedelbart efter detta fastställande. Medlemsstaterna ska en gång om året till kommissionen och Europeiska unionens asylbyrå meddela vilka övriga säkra tredjeländer som begreppet tillämpas på från fall till fall med avseende på enskilda sökande.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Denna text har flyttats upp till artikel 50.1a.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50 – punkt 4a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4a.</w:t>
            </w:r>
            <w:r>
              <w:tab/>
            </w:r>
            <w:r>
              <w:rPr>
                <w:rFonts w:ascii="Times New Roman" w:eastAsia="Times New Roman" w:hAnsi="Times New Roman" w:cs="Times New Roman"/>
                <w:b/>
                <w:i/>
                <w:strike w:val="0"/>
                <w:color w:val="000000"/>
                <w:sz w:val="24"/>
                <w:highlight w:val="none"/>
                <w:u w:val="none" w:color="auto"/>
              </w:rPr>
              <w:t>Från och med tre år efter denna förordnings ikraftträdande ska endast ett tredjeland som finns med på EU:s gemensamma förteckning över säkra ursprungsländer vilken upprättas genom denna förordning anses vara ett säkert ursprungsland.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anpassas till ändringsförslag 39 i parlamentets ståndpunkt om förordningen om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Artikel 51</w:t>
            </w:r>
            <w:r>
              <w:tab/>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Återkallande av internationellt skydd</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 beslutande myndigheten ska inleda en utredning om återkallande av en enskild persons internationella skydd om nya fakta och uppgifter framkommer som tyder på att det finns skäl att ompröva giltigheten av hans eller hennes internationella skydd, särskilt i de fall som anges i artiklarna 15 och 21 i förordning (EU) nr XXX/XXX (Skyddsdirektivet).</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t xml:space="preserve">, </w:t>
      </w:r>
      <w:r>
        <w:t>Jean Lambert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Artikel 51</w:t>
            </w:r>
            <w:r>
              <w:tab/>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Center"/>
            </w:pPr>
            <w:r>
              <w:rPr>
                <w:rFonts w:ascii="Times New Roman" w:eastAsia="Times New Roman" w:hAnsi="Times New Roman" w:cs="Times New Roman"/>
                <w:b/>
                <w:i/>
                <w:strike w:val="0"/>
                <w:color w:val="000000"/>
                <w:sz w:val="24"/>
                <w:highlight w:val="none"/>
                <w:u w:val="none" w:color="auto"/>
              </w:rPr>
              <w:t>Återkallande av internationellt skydd</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 beslutande myndigheten ska inleda en utredning om återkallande av en enskild persons internationella skydd om nya fakta och uppgifter framkommer som tyder på att det finns skäl att ompröva giltigheten av hans eller hennes internationella skydd, särskilt i de fall som anges i artiklarna 15 och 21 i förordning (EU) nr XXX/XXX (Skyddsdirektivet).</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51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Den beslutande myndigheten </w:t>
            </w:r>
            <w:r>
              <w:rPr>
                <w:rFonts w:ascii="Times New Roman" w:eastAsia="Times New Roman" w:hAnsi="Times New Roman" w:cs="Times New Roman"/>
                <w:b/>
                <w:i/>
                <w:strike w:val="0"/>
                <w:color w:val="000000"/>
                <w:sz w:val="24"/>
                <w:highlight w:val="none"/>
                <w:u w:val="none" w:color="auto"/>
              </w:rPr>
              <w:t>ska</w:t>
            </w:r>
            <w:r>
              <w:t xml:space="preserve"> inleda en utredning om återkallande av en enskild persons internationella skydd </w:t>
            </w:r>
            <w:r>
              <w:rPr>
                <w:rFonts w:ascii="Times New Roman" w:eastAsia="Times New Roman" w:hAnsi="Times New Roman" w:cs="Times New Roman"/>
                <w:b/>
                <w:i/>
                <w:strike w:val="0"/>
                <w:color w:val="000000"/>
                <w:sz w:val="24"/>
                <w:highlight w:val="none"/>
                <w:u w:val="none" w:color="auto"/>
              </w:rPr>
              <w:t xml:space="preserve">om nya fakta och uppgifter framkommer som tyder på att det finns skäl att ompröva giltigheten av hans eller hennes internationella skydd, särskilt </w:t>
            </w:r>
            <w:r>
              <w:t xml:space="preserve">i de fall som </w:t>
            </w:r>
            <w:r>
              <w:rPr>
                <w:rFonts w:ascii="Times New Roman" w:eastAsia="Times New Roman" w:hAnsi="Times New Roman" w:cs="Times New Roman"/>
                <w:b/>
                <w:i/>
                <w:strike w:val="0"/>
                <w:color w:val="000000"/>
                <w:sz w:val="24"/>
                <w:highlight w:val="none"/>
                <w:u w:val="none" w:color="auto"/>
              </w:rPr>
              <w:t>anges</w:t>
            </w:r>
            <w:r>
              <w:t xml:space="preserve"> i artiklarna 15 och 21 i förordning (EU) nr XXX/XXX (</w:t>
            </w:r>
            <w:r>
              <w:rPr>
                <w:rFonts w:ascii="Times New Roman" w:eastAsia="Times New Roman" w:hAnsi="Times New Roman" w:cs="Times New Roman"/>
                <w:b/>
                <w:i/>
                <w:strike w:val="0"/>
                <w:color w:val="000000"/>
                <w:sz w:val="24"/>
                <w:highlight w:val="none"/>
                <w:u w:val="none" w:color="auto"/>
              </w:rPr>
              <w:t>Skyddsdirektivet</w:t>
            </w:r>
            <w:r>
              <w:t>).</w:t>
            </w:r>
          </w:p>
        </w:tc>
        <w:tc>
          <w:tcPr/>
          <w:p>
            <w:pPr>
              <w:pStyle w:val="Normal6"/>
            </w:pPr>
            <w:r>
              <w:t xml:space="preserve">Den beslutande myndigheten </w:t>
            </w:r>
            <w:r>
              <w:rPr>
                <w:rFonts w:ascii="Times New Roman" w:eastAsia="Times New Roman" w:hAnsi="Times New Roman" w:cs="Times New Roman"/>
                <w:b/>
                <w:i/>
                <w:strike w:val="0"/>
                <w:color w:val="000000"/>
                <w:sz w:val="24"/>
                <w:highlight w:val="none"/>
                <w:u w:val="none" w:color="auto"/>
              </w:rPr>
              <w:t>kan</w:t>
            </w:r>
            <w:r>
              <w:t xml:space="preserve"> inleda en utredning om återkallande av en enskild persons internationella skydd i de fall som </w:t>
            </w:r>
            <w:r>
              <w:rPr>
                <w:rFonts w:ascii="Times New Roman" w:eastAsia="Times New Roman" w:hAnsi="Times New Roman" w:cs="Times New Roman"/>
                <w:b/>
                <w:i/>
                <w:strike w:val="0"/>
                <w:color w:val="000000"/>
                <w:sz w:val="24"/>
                <w:highlight w:val="none"/>
                <w:u w:val="none" w:color="auto"/>
              </w:rPr>
              <w:t>avses</w:t>
            </w:r>
            <w:r>
              <w:t xml:space="preserve"> i artiklarna 15 och 21 i förordning (EU) nr XXX/XXX (</w:t>
            </w:r>
            <w:r>
              <w:rPr>
                <w:rFonts w:ascii="Times New Roman" w:eastAsia="Times New Roman" w:hAnsi="Times New Roman" w:cs="Times New Roman"/>
                <w:b/>
                <w:i/>
                <w:strike w:val="0"/>
                <w:color w:val="000000"/>
                <w:sz w:val="24"/>
                <w:highlight w:val="none"/>
                <w:u w:val="none" w:color="auto"/>
              </w:rPr>
              <w:t>skyddsförordningen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Grunderna för ett eventuellt återkallande av status behandlas i skyddsförordningen och bör fortsätta att göra det.</w:t>
      </w:r>
      <w:r>
        <w:t>Lydelsen har här anpassats till den text som parlamentet antagit om skyddsförordningen.</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51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Den beslutande myndigheten ska inleda en utredning om återkallande av en enskild persons internationella skydd om nya fakta och uppgifter framkommer som tyder på att det finns skäl att ompröva giltigheten av hans eller hennes internationella skydd, särskilt i de fall som</w:t>
            </w:r>
            <w:r>
              <w:rPr>
                <w:rFonts w:ascii="Times New Roman" w:eastAsia="Times New Roman" w:hAnsi="Times New Roman" w:cs="Times New Roman"/>
                <w:b/>
                <w:i/>
                <w:strike w:val="0"/>
                <w:color w:val="000000"/>
                <w:sz w:val="24"/>
                <w:highlight w:val="none"/>
                <w:u w:val="none" w:color="auto"/>
              </w:rPr>
              <w:t>anges</w:t>
            </w:r>
            <w:r>
              <w:t>i artiklarna 15 och 21 i förordning (EU) nr XXX/XXX (</w:t>
            </w:r>
            <w:r>
              <w:rPr>
                <w:rFonts w:ascii="Times New Roman" w:eastAsia="Times New Roman" w:hAnsi="Times New Roman" w:cs="Times New Roman"/>
                <w:b/>
                <w:i/>
                <w:strike w:val="0"/>
                <w:color w:val="000000"/>
                <w:sz w:val="24"/>
                <w:highlight w:val="none"/>
                <w:u w:val="none" w:color="auto"/>
              </w:rPr>
              <w:t>Skyddsdirektivet</w:t>
            </w:r>
            <w:r>
              <w:t>).</w:t>
            </w:r>
          </w:p>
        </w:tc>
        <w:tc>
          <w:tcPr/>
          <w:p>
            <w:pPr>
              <w:pStyle w:val="Normal6"/>
            </w:pPr>
            <w:r>
              <w:t xml:space="preserve">Den beslutande myndigheten ska </w:t>
            </w:r>
            <w:r>
              <w:rPr>
                <w:rFonts w:ascii="Times New Roman" w:eastAsia="Times New Roman" w:hAnsi="Times New Roman" w:cs="Times New Roman"/>
                <w:b/>
                <w:i/>
                <w:strike w:val="0"/>
                <w:color w:val="000000"/>
                <w:sz w:val="24"/>
                <w:highlight w:val="none"/>
                <w:u w:val="none" w:color="auto"/>
              </w:rPr>
              <w:t xml:space="preserve">utan otillbörligt dröjsmål </w:t>
            </w:r>
            <w:r>
              <w:t xml:space="preserve">inleda en utredning om återkallande av en enskild persons internationella skydd om nya fakta och uppgifter framkommer som tyder på att det finns skäl att ompröva giltigheten av hans eller hennes internationella skydd, särskilt i de fall som </w:t>
            </w:r>
            <w:r>
              <w:rPr>
                <w:rFonts w:ascii="Times New Roman" w:eastAsia="Times New Roman" w:hAnsi="Times New Roman" w:cs="Times New Roman"/>
                <w:b/>
                <w:i/>
                <w:strike w:val="0"/>
                <w:color w:val="000000"/>
                <w:sz w:val="24"/>
                <w:highlight w:val="none"/>
                <w:u w:val="none" w:color="auto"/>
              </w:rPr>
              <w:t>avses</w:t>
            </w:r>
            <w:r>
              <w:t xml:space="preserve"> i artiklarna 15 och 21 i förordning (EU) nr XXX/XXX (</w:t>
            </w:r>
            <w:r>
              <w:rPr>
                <w:rFonts w:ascii="Times New Roman" w:eastAsia="Times New Roman" w:hAnsi="Times New Roman" w:cs="Times New Roman"/>
                <w:b/>
                <w:i/>
                <w:strike w:val="0"/>
                <w:color w:val="000000"/>
                <w:sz w:val="24"/>
                <w:highlight w:val="none"/>
                <w:u w:val="none" w:color="auto"/>
              </w:rPr>
              <w:t>skyddsförordningen</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52 – punkt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Om den behöriga myndigheten överväger att återkalla det internationella skyddet för en tredjelandsmedborgare eller statslös person</w:t>
            </w:r>
            <w:r>
              <w:rPr>
                <w:rFonts w:ascii="Times New Roman" w:eastAsia="Times New Roman" w:hAnsi="Times New Roman" w:cs="Times New Roman"/>
                <w:b/>
                <w:i/>
                <w:strike w:val="0"/>
                <w:color w:val="000000"/>
                <w:sz w:val="24"/>
                <w:highlight w:val="none"/>
                <w:u w:val="none" w:color="auto"/>
              </w:rPr>
              <w:t>, inbegripet inom ramen för en regelbunden omprövning av status såsom avses i artiklarna 15 och 21 i förordning (EU) nr XXX/XXX (Skyddsdirektivet),</w:t>
            </w:r>
            <w:r>
              <w:t xml:space="preserve"> ska den berörda personen </w:t>
            </w:r>
            <w:r>
              <w:rPr>
                <w:rFonts w:ascii="Times New Roman" w:eastAsia="Times New Roman" w:hAnsi="Times New Roman" w:cs="Times New Roman"/>
                <w:b/>
                <w:i/>
                <w:strike w:val="0"/>
                <w:color w:val="000000"/>
                <w:sz w:val="24"/>
                <w:highlight w:val="none"/>
                <w:u w:val="none" w:color="auto"/>
              </w:rPr>
              <w:t>särskilt åtnjuta</w:t>
            </w:r>
            <w:r>
              <w:t xml:space="preserve"> följande garantier:</w:t>
            </w:r>
          </w:p>
        </w:tc>
        <w:tc>
          <w:tcPr/>
          <w:p>
            <w:pPr>
              <w:pStyle w:val="Normal6"/>
            </w:pPr>
            <w:r>
              <w:t>1.</w:t>
            </w:r>
            <w:r>
              <w:tab/>
            </w:r>
            <w:r>
              <w:t>Om den behöriga myndigheten överväger att återkalla det internationella skyddet för en tredjelandsmedborgare eller statslös person ska den berörda personen</w:t>
            </w:r>
            <w:r>
              <w:rPr>
                <w:rFonts w:ascii="Times New Roman" w:eastAsia="Times New Roman" w:hAnsi="Times New Roman" w:cs="Times New Roman"/>
                <w:b/>
                <w:i/>
                <w:strike w:val="0"/>
                <w:color w:val="000000"/>
                <w:sz w:val="24"/>
                <w:highlight w:val="none"/>
                <w:u w:val="none" w:color="auto"/>
              </w:rPr>
              <w:t>åtnjuta särskilt</w:t>
            </w:r>
            <w:r>
              <w:t>följande garantier: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52 – punkt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Om den behöriga myndigheten överväger att återkalla det internationella skyddet för en tredjelandsmedborgare eller statslös person</w:t>
            </w:r>
            <w:r>
              <w:rPr>
                <w:rFonts w:ascii="Times New Roman" w:eastAsia="Times New Roman" w:hAnsi="Times New Roman" w:cs="Times New Roman"/>
                <w:b/>
                <w:i/>
                <w:strike w:val="0"/>
                <w:color w:val="000000"/>
                <w:sz w:val="24"/>
                <w:highlight w:val="none"/>
                <w:u w:val="none" w:color="auto"/>
              </w:rPr>
              <w:t>, inbegripet inom ramen för en regelbunden omprövning av status såsom avses i artiklarna 15 och 21 i förordning (EU) nr XXX/XXX (Skyddsdirektivet),</w:t>
            </w:r>
            <w:r>
              <w:t xml:space="preserve"> ska den berörda personen </w:t>
            </w:r>
            <w:r>
              <w:rPr>
                <w:rFonts w:ascii="Times New Roman" w:eastAsia="Times New Roman" w:hAnsi="Times New Roman" w:cs="Times New Roman"/>
                <w:b/>
                <w:i/>
                <w:strike w:val="0"/>
                <w:color w:val="000000"/>
                <w:sz w:val="24"/>
                <w:highlight w:val="none"/>
                <w:u w:val="none" w:color="auto"/>
              </w:rPr>
              <w:t>särskilt åtnjuta</w:t>
            </w:r>
            <w:r>
              <w:t xml:space="preserve"> följande garantier:</w:t>
            </w:r>
          </w:p>
        </w:tc>
        <w:tc>
          <w:tcPr/>
          <w:p>
            <w:pPr>
              <w:pStyle w:val="Normal6"/>
            </w:pPr>
            <w:r>
              <w:t>1.</w:t>
            </w:r>
            <w:r>
              <w:tab/>
            </w:r>
            <w:r>
              <w:t>Om den behöriga myndigheten överväger att återkalla det internationella skyddet för en tredjelandsmedborgare eller statslös person ska den berörda personen</w:t>
            </w:r>
            <w:r>
              <w:rPr>
                <w:rFonts w:ascii="Times New Roman" w:eastAsia="Times New Roman" w:hAnsi="Times New Roman" w:cs="Times New Roman"/>
                <w:b/>
                <w:i/>
                <w:strike w:val="0"/>
                <w:color w:val="000000"/>
                <w:sz w:val="24"/>
                <w:highlight w:val="none"/>
                <w:u w:val="none" w:color="auto"/>
              </w:rPr>
              <w:t>åtnjuta särskilt</w:t>
            </w:r>
            <w:r>
              <w:t>följande garantier: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Lydelsen har anpassats till den ståndpunkt som parlamentet antagit om skyddsförordningen.</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52 – stycke 2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t xml:space="preserve">den behöriga myndigheten kan erhålla korrekta och uppdaterade uppgifter från </w:t>
            </w:r>
            <w:r>
              <w:rPr>
                <w:rFonts w:ascii="Times New Roman" w:eastAsia="Times New Roman" w:hAnsi="Times New Roman" w:cs="Times New Roman"/>
                <w:b/>
                <w:i/>
                <w:strike w:val="0"/>
                <w:color w:val="000000"/>
                <w:sz w:val="24"/>
                <w:highlight w:val="none"/>
                <w:u w:val="none" w:color="auto"/>
              </w:rPr>
              <w:t xml:space="preserve">olika källor, vid behov t.ex. från </w:t>
            </w:r>
            <w:r>
              <w:t xml:space="preserve">Europeiska unionens asylbyrå och </w:t>
            </w:r>
            <w:r>
              <w:rPr>
                <w:rFonts w:ascii="Times New Roman" w:eastAsia="Times New Roman" w:hAnsi="Times New Roman" w:cs="Times New Roman"/>
                <w:b/>
                <w:i/>
                <w:strike w:val="0"/>
                <w:color w:val="000000"/>
                <w:sz w:val="24"/>
                <w:highlight w:val="none"/>
                <w:u w:val="none" w:color="auto"/>
              </w:rPr>
              <w:t>FN:s flyktingkommissarie</w:t>
            </w:r>
            <w:r>
              <w:t xml:space="preserve"> om den allmänna situationen i de berörda personernas ursprungsländer, och</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t xml:space="preserve">den behöriga myndigheten kan erhålla korrekta och uppdaterade uppgifter från Europeiska unionens asylbyrå och </w:t>
            </w:r>
            <w:r>
              <w:rPr>
                <w:rFonts w:ascii="Times New Roman" w:eastAsia="Times New Roman" w:hAnsi="Times New Roman" w:cs="Times New Roman"/>
                <w:b/>
                <w:i/>
                <w:strike w:val="0"/>
                <w:color w:val="000000"/>
                <w:sz w:val="24"/>
                <w:highlight w:val="none"/>
                <w:u w:val="none" w:color="auto"/>
              </w:rPr>
              <w:t>Europeiska utrikestjänsten</w:t>
            </w:r>
            <w:r>
              <w:t xml:space="preserve"> om den allmänna situationen i de berörda personernas ursprungsländer, och</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52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Den behöriga myndighetens beslut att återkalla det internationella skyddet lämnas skriftligen. De faktiska och rättsliga skälen ska anges i beslutet</w:t>
            </w:r>
            <w:r>
              <w:rPr>
                <w:rFonts w:ascii="Times New Roman" w:eastAsia="Times New Roman" w:hAnsi="Times New Roman" w:cs="Times New Roman"/>
                <w:b/>
                <w:i/>
                <w:strike w:val="0"/>
                <w:color w:val="000000"/>
                <w:sz w:val="24"/>
                <w:highlight w:val="none"/>
                <w:u w:val="none" w:color="auto"/>
              </w:rPr>
              <w:t xml:space="preserve"> och</w:t>
            </w:r>
            <w:r>
              <w:t xml:space="preserve"> </w:t>
            </w:r>
            <w:r>
              <w:rPr>
                <w:rFonts w:ascii="Times New Roman" w:eastAsia="Times New Roman" w:hAnsi="Times New Roman" w:cs="Times New Roman"/>
                <w:b/>
                <w:i/>
                <w:strike w:val="0"/>
                <w:color w:val="000000"/>
                <w:sz w:val="24"/>
                <w:highlight w:val="none"/>
                <w:u w:val="none" w:color="auto"/>
              </w:rPr>
              <w:t>information</w:t>
            </w:r>
            <w:r>
              <w:t xml:space="preserve"> om </w:t>
            </w:r>
            <w:r>
              <w:rPr>
                <w:rFonts w:ascii="Times New Roman" w:eastAsia="Times New Roman" w:hAnsi="Times New Roman" w:cs="Times New Roman"/>
                <w:b/>
                <w:i/>
                <w:strike w:val="0"/>
                <w:color w:val="000000"/>
                <w:sz w:val="24"/>
                <w:highlight w:val="none"/>
                <w:u w:val="none" w:color="auto"/>
              </w:rPr>
              <w:t>på vilket sätt</w:t>
            </w:r>
            <w:r>
              <w:t xml:space="preserve"> beslutet kan överklagas ska lämnas skriftligen.</w:t>
            </w:r>
          </w:p>
        </w:tc>
        <w:tc>
          <w:tcPr/>
          <w:p>
            <w:pPr>
              <w:pStyle w:val="Normal6"/>
            </w:pPr>
            <w:r>
              <w:t>3.</w:t>
            </w:r>
            <w:r>
              <w:tab/>
            </w:r>
            <w:r>
              <w:t xml:space="preserve">Den behöriga myndighetens beslut att återkalla det internationella skyddet </w:t>
            </w:r>
            <w:r>
              <w:rPr>
                <w:rFonts w:ascii="Times New Roman" w:eastAsia="Times New Roman" w:hAnsi="Times New Roman" w:cs="Times New Roman"/>
                <w:b/>
                <w:i/>
                <w:strike w:val="0"/>
                <w:color w:val="000000"/>
                <w:sz w:val="24"/>
                <w:highlight w:val="none"/>
                <w:u w:val="none" w:color="auto"/>
              </w:rPr>
              <w:t xml:space="preserve">ska </w:t>
            </w:r>
            <w:r>
              <w:t>lämnas skriftligen</w:t>
            </w:r>
            <w:r>
              <w:rPr>
                <w:rFonts w:ascii="Times New Roman" w:eastAsia="Times New Roman" w:hAnsi="Times New Roman" w:cs="Times New Roman"/>
                <w:b/>
                <w:i/>
                <w:strike w:val="0"/>
                <w:color w:val="000000"/>
                <w:sz w:val="24"/>
                <w:highlight w:val="none"/>
                <w:u w:val="none" w:color="auto"/>
              </w:rPr>
              <w:t xml:space="preserve"> utan otillbörligt dröjsmål, dock senast sju dagar efter det att beslutet har fattats</w:t>
            </w:r>
            <w:r>
              <w:t>. De faktiska och rättsliga skälen ska anges i beslutet</w:t>
            </w:r>
            <w:r>
              <w:rPr>
                <w:rFonts w:ascii="Times New Roman" w:eastAsia="Times New Roman" w:hAnsi="Times New Roman" w:cs="Times New Roman"/>
                <w:b/>
                <w:i/>
                <w:strike w:val="0"/>
                <w:color w:val="000000"/>
                <w:sz w:val="24"/>
                <w:highlight w:val="none"/>
                <w:u w:val="none" w:color="auto"/>
              </w:rPr>
              <w:t>.</w:t>
            </w:r>
            <w:r>
              <w:t xml:space="preserve"> </w:t>
            </w:r>
            <w:r>
              <w:rPr>
                <w:rFonts w:ascii="Times New Roman" w:eastAsia="Times New Roman" w:hAnsi="Times New Roman" w:cs="Times New Roman"/>
                <w:b/>
                <w:i/>
                <w:strike w:val="0"/>
                <w:color w:val="000000"/>
                <w:sz w:val="24"/>
                <w:highlight w:val="none"/>
                <w:u w:val="none" w:color="auto"/>
              </w:rPr>
              <w:t>Information</w:t>
            </w:r>
            <w:r>
              <w:t xml:space="preserve"> om </w:t>
            </w:r>
            <w:r>
              <w:rPr>
                <w:rFonts w:ascii="Times New Roman" w:eastAsia="Times New Roman" w:hAnsi="Times New Roman" w:cs="Times New Roman"/>
                <w:b/>
                <w:i/>
                <w:strike w:val="0"/>
                <w:color w:val="000000"/>
                <w:sz w:val="24"/>
                <w:highlight w:val="none"/>
                <w:u w:val="none" w:color="auto"/>
              </w:rPr>
              <w:t>hur</w:t>
            </w:r>
            <w:r>
              <w:t xml:space="preserve"> beslutet kan överklagas</w:t>
            </w:r>
            <w:r>
              <w:rPr>
                <w:rFonts w:ascii="Times New Roman" w:eastAsia="Times New Roman" w:hAnsi="Times New Roman" w:cs="Times New Roman"/>
                <w:b/>
                <w:i/>
                <w:strike w:val="0"/>
                <w:color w:val="000000"/>
                <w:sz w:val="24"/>
                <w:highlight w:val="none"/>
                <w:u w:val="none" w:color="auto"/>
              </w:rPr>
              <w:t xml:space="preserve"> – inbegripet de gällande tidsfristerna –</w:t>
            </w:r>
            <w:r>
              <w:t xml:space="preserve"> ska lämnas skriftligen.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Lydelsen har anpassats till lydelsen i artikel 35.2 om att informera sökande om beslutet om deras ansökan.</w:t>
      </w:r>
      <w:r>
        <w:t>Samma lydelse bör användas om beslut att återkalla internationellt skydd.</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52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3.</w:t>
            </w:r>
            <w:r>
              <w:tab/>
            </w:r>
            <w:r>
              <w:t>Den behöriga myndighetens beslut att återkalla det internationella skyddet lämnas skriftligen. De faktiska och rättsliga skälen ska anges i beslutet och information om på vilket sätt beslutet kan överklagas ska lämnas skriftligen.</w:t>
            </w:r>
          </w:p>
        </w:tc>
        <w:tc>
          <w:tcPr/>
          <w:p>
            <w:pPr>
              <w:pStyle w:val="Normal6"/>
            </w:pPr>
            <w:r>
              <w:t>3.</w:t>
            </w:r>
            <w:r>
              <w:tab/>
            </w:r>
            <w:r>
              <w:t xml:space="preserve">Den behöriga myndighetens beslut att återkalla det internationella skyddet </w:t>
            </w:r>
            <w:r>
              <w:rPr>
                <w:rFonts w:ascii="Times New Roman" w:eastAsia="Times New Roman" w:hAnsi="Times New Roman" w:cs="Times New Roman"/>
                <w:b/>
                <w:i/>
                <w:strike w:val="0"/>
                <w:color w:val="000000"/>
                <w:sz w:val="24"/>
                <w:highlight w:val="none"/>
                <w:u w:val="none" w:color="auto"/>
              </w:rPr>
              <w:t xml:space="preserve">ska fattas inom två månader efter inledandet av förfarandet och ska </w:t>
            </w:r>
            <w:r>
              <w:t>lämnas skriftligen. De faktiska och rättsliga skälen ska anges i beslutet och information om på vilket sätt beslutet kan överklagas ska lämnas skriftligen.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Sergei Stanishev</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1 – led a – led i</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i)</w:t>
            </w:r>
            <w:r>
              <w:tab/>
            </w:r>
            <w:r>
              <w:rPr>
                <w:rFonts w:ascii="Times New Roman" w:eastAsia="Times New Roman" w:hAnsi="Times New Roman" w:cs="Times New Roman"/>
                <w:b/>
                <w:i/>
                <w:strike w:val="0"/>
                <w:color w:val="000000"/>
                <w:sz w:val="24"/>
                <w:highlight w:val="none"/>
                <w:u w:val="none" w:color="auto"/>
              </w:rPr>
              <w:t>om att neka en ansökan prövning enligt artikel 36.1,</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I linje med föregående ändringsförslag, för att ta bort tillåtlighetskontroller som krav innan Dublinförordningen tillämpas.</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1 – led a – led iii</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iii)</w:t>
            </w:r>
            <w:r>
              <w:tab/>
            </w:r>
            <w:r>
              <w:t xml:space="preserve">om att avslå en ansökan som uttryckligen återkallad eller </w:t>
            </w:r>
            <w:r>
              <w:rPr>
                <w:rFonts w:ascii="Times New Roman" w:eastAsia="Times New Roman" w:hAnsi="Times New Roman" w:cs="Times New Roman"/>
                <w:b/>
                <w:i/>
                <w:strike w:val="0"/>
                <w:color w:val="000000"/>
                <w:sz w:val="24"/>
                <w:highlight w:val="none"/>
                <w:u w:val="none" w:color="auto"/>
              </w:rPr>
              <w:t>avstådd</w:t>
            </w:r>
            <w:r>
              <w:t xml:space="preserve"> enligt artiklarna 38 och 39,</w:t>
            </w:r>
          </w:p>
        </w:tc>
        <w:tc>
          <w:tcPr/>
          <w:p>
            <w:pPr>
              <w:pStyle w:val="Normal6"/>
            </w:pPr>
            <w:r>
              <w:t>iii)</w:t>
            </w:r>
            <w:r>
              <w:tab/>
            </w:r>
            <w:r>
              <w:t xml:space="preserve">om att avslå en ansökan som uttryckligen återkallad eller </w:t>
            </w:r>
            <w:r>
              <w:rPr>
                <w:rFonts w:ascii="Times New Roman" w:eastAsia="Times New Roman" w:hAnsi="Times New Roman" w:cs="Times New Roman"/>
                <w:b/>
                <w:i/>
                <w:strike w:val="0"/>
                <w:color w:val="000000"/>
                <w:sz w:val="24"/>
                <w:highlight w:val="none"/>
                <w:u w:val="none" w:color="auto"/>
              </w:rPr>
              <w:t>underförstått återkallad</w:t>
            </w:r>
            <w:r>
              <w:t xml:space="preserve"> enligt</w:t>
            </w:r>
            <w:r>
              <w:rPr>
                <w:rFonts w:ascii="Times New Roman" w:eastAsia="Times New Roman" w:hAnsi="Times New Roman" w:cs="Times New Roman"/>
                <w:b/>
                <w:i/>
                <w:strike w:val="0"/>
                <w:color w:val="000000"/>
                <w:sz w:val="24"/>
                <w:highlight w:val="none"/>
                <w:u w:val="none" w:color="auto"/>
              </w:rPr>
              <w:t xml:space="preserve"> vad som avses i</w:t>
            </w:r>
            <w:r>
              <w:t xml:space="preserve"> artiklarna 38 och 39,</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För konsekvens med föregående ändringsförslag.</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Anna Maria Corazza Bildt</w:t>
      </w:r>
      <w:r>
        <w:t xml:space="preserve">, </w:t>
      </w:r>
      <w:r>
        <w:t>Caterina Chinnici</w:t>
      </w:r>
      <w:r>
        <w:t xml:space="preserve">, </w:t>
      </w:r>
      <w:r>
        <w:t>Carlos Coelho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1 – led ba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ba)</w:t>
            </w:r>
            <w:r>
              <w:tab/>
            </w:r>
            <w:r>
              <w:rPr>
                <w:rFonts w:ascii="Times New Roman" w:eastAsia="Times New Roman" w:hAnsi="Times New Roman" w:cs="Times New Roman"/>
                <w:b/>
                <w:i/>
                <w:strike w:val="0"/>
                <w:color w:val="000000"/>
                <w:sz w:val="24"/>
                <w:highlight w:val="none"/>
                <w:u w:val="none" w:color="auto"/>
              </w:rPr>
              <w:t>ett beslut som fastslår att de är över 18 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Personer som uppfyller kraven för att betecknas som subsidiärt skyddsbehövande tillförsäkras rätt till ett effektivt rättsmedel mot beslut som innebär att ansökan betraktas som ogrundad med avseende på flyktingstatus.</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Caterina Chinnici</w:t>
      </w:r>
      <w:r>
        <w:t xml:space="preserve">, </w:t>
      </w:r>
      <w:r>
        <w:t>Ana Gomes</w:t>
      </w:r>
      <w:r>
        <w:t xml:space="preserve">, </w:t>
      </w:r>
      <w:r>
        <w:t>Josef Weidenholzer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2a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2a.</w:t>
            </w:r>
            <w:r>
              <w:tab/>
            </w:r>
            <w:r>
              <w:rPr>
                <w:rFonts w:ascii="Times New Roman" w:eastAsia="Times New Roman" w:hAnsi="Times New Roman" w:cs="Times New Roman"/>
                <w:b/>
                <w:i/>
                <w:strike w:val="0"/>
                <w:color w:val="000000"/>
                <w:sz w:val="24"/>
                <w:highlight w:val="none"/>
                <w:u w:val="none" w:color="auto"/>
              </w:rPr>
              <w:t>När det gäller sökande som hävdar att de är ensamkommande barn, ett beslut som fattats i vilket deras ålder bestäms enligt vad som avses i artikel 24.</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Ensamkommande barn kunna bestrida ett beslut om åldersbestämning.</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Ett effektivt rättsmedel såsom avses i punkt 1 medför full omprövning och prövning av det aktuella behovet av såväl de faktiska som de rättsliga omständigheterna, däribland, i förekommande fall, en prövning av behovet av internationellt skydd i enlighet med förordning (EU) nr XXX/XXX (Skyddsförordningen).</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Sökanden får lägga fram endast nya uppgifter som är relevanta för prövningen av hans eller hennes ansökan, och som han eller hon inte kunde ha känt till i ett tidigare skede, eller som hänför sig till förändringar av hans eller hennes situation.</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Caterina Chinnici</w:t>
      </w:r>
      <w:r>
        <w:t xml:space="preserve">, </w:t>
      </w:r>
      <w:r>
        <w:t>Ana Gomes</w:t>
      </w:r>
      <w:r>
        <w:t xml:space="preserve">, </w:t>
      </w:r>
      <w:r>
        <w:t>Josef Weidenholzer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3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Sökanden får lägga fram endast nya uppgifter som är relevanta för prövningen av hans eller hennes ansökan, och som han eller hon inte kunde ha känt till i ett tidigare skede, eller som hänför sig till förändringar av hans eller hennes situation.</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Vid ett överklagande bör alla uppgifter som sökanden lämnat beaktas, oavsett om de har tagits upp i ett tidigare skede eller inte.</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t xml:space="preserve">, </w:t>
      </w:r>
      <w:r>
        <w:t>Bodil Valero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3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Sökanden får lägga fram </w:t>
            </w:r>
            <w:r>
              <w:rPr>
                <w:rFonts w:ascii="Times New Roman" w:eastAsia="Times New Roman" w:hAnsi="Times New Roman" w:cs="Times New Roman"/>
                <w:b/>
                <w:i/>
                <w:strike w:val="0"/>
                <w:color w:val="000000"/>
                <w:sz w:val="24"/>
                <w:highlight w:val="none"/>
                <w:u w:val="none" w:color="auto"/>
              </w:rPr>
              <w:t>endast</w:t>
            </w:r>
            <w:r>
              <w:t xml:space="preserve"> nya uppgifter som är relevanta för prövningen av hans eller hennes ansökan</w:t>
            </w:r>
            <w:r>
              <w:rPr>
                <w:rFonts w:ascii="Times New Roman" w:eastAsia="Times New Roman" w:hAnsi="Times New Roman" w:cs="Times New Roman"/>
                <w:b/>
                <w:i/>
                <w:strike w:val="0"/>
                <w:color w:val="000000"/>
                <w:sz w:val="24"/>
                <w:highlight w:val="none"/>
                <w:u w:val="none" w:color="auto"/>
              </w:rPr>
              <w:t>, och som han eller hon inte kunde ha känt till i ett tidigare skede, eller som hänför sig till förändringar av hans eller hennes situation</w:t>
            </w:r>
            <w:r>
              <w:t>.</w:t>
            </w:r>
          </w:p>
        </w:tc>
        <w:tc>
          <w:tcPr/>
          <w:p>
            <w:pPr>
              <w:pStyle w:val="Normal6"/>
            </w:pPr>
            <w:r>
              <w:t xml:space="preserve">Sökanden får lägga fram </w:t>
            </w:r>
            <w:r>
              <w:rPr>
                <w:rFonts w:ascii="Times New Roman" w:eastAsia="Times New Roman" w:hAnsi="Times New Roman" w:cs="Times New Roman"/>
                <w:b/>
                <w:i/>
                <w:strike w:val="0"/>
                <w:color w:val="000000"/>
                <w:sz w:val="24"/>
                <w:highlight w:val="none"/>
                <w:u w:val="none" w:color="auto"/>
              </w:rPr>
              <w:t>vilka</w:t>
            </w:r>
            <w:r>
              <w:t xml:space="preserve"> nya uppgifter som </w:t>
            </w:r>
            <w:r>
              <w:rPr>
                <w:rFonts w:ascii="Times New Roman" w:eastAsia="Times New Roman" w:hAnsi="Times New Roman" w:cs="Times New Roman"/>
                <w:b/>
                <w:i/>
                <w:strike w:val="0"/>
                <w:color w:val="000000"/>
                <w:sz w:val="24"/>
                <w:highlight w:val="none"/>
                <w:u w:val="none" w:color="auto"/>
              </w:rPr>
              <w:t xml:space="preserve">helst som </w:t>
            </w:r>
            <w:r>
              <w:t>är relevanta för prövningen av hans eller hennes ansökan.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3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Sökanden får lägga fram endast nya uppgifter som är relevanta för prövningen av hans eller hennes ansökan</w:t>
            </w:r>
            <w:r>
              <w:rPr>
                <w:rFonts w:ascii="Times New Roman" w:eastAsia="Times New Roman" w:hAnsi="Times New Roman" w:cs="Times New Roman"/>
                <w:b/>
                <w:i/>
                <w:strike w:val="0"/>
                <w:color w:val="000000"/>
                <w:sz w:val="24"/>
                <w:highlight w:val="none"/>
                <w:u w:val="none" w:color="auto"/>
              </w:rPr>
              <w:t>, och som han eller hon inte kunde ha känt till i ett tidigare skede, eller som hänför sig till förändringar av hans eller hennes situation</w:t>
            </w:r>
            <w:r>
              <w:t>.</w:t>
            </w:r>
          </w:p>
        </w:tc>
        <w:tc>
          <w:tcPr/>
          <w:p>
            <w:pPr>
              <w:pStyle w:val="Normal6"/>
            </w:pPr>
            <w:r>
              <w:t>Sökanden får lägga fram endast nya uppgifter som är relevanta för prövningen av hans eller hennes ansökan.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Sökanden har inget skäl att undanhålla information som skulle öka hans eller hennes möjligheter att få skydd. Detta ytterligare krav ökar bara risken för utdragna rättstvister om tekniska frågor om när uppgifterna var kända, i stället för att man fokuserar på sakfrågorna.</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Bodil Valero</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3a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3a.</w:t>
            </w:r>
            <w:r>
              <w:tab/>
            </w:r>
            <w:r>
              <w:rPr>
                <w:rFonts w:ascii="Times New Roman" w:eastAsia="Times New Roman" w:hAnsi="Times New Roman" w:cs="Times New Roman"/>
                <w:b/>
                <w:i/>
                <w:strike w:val="0"/>
                <w:color w:val="000000"/>
                <w:sz w:val="24"/>
                <w:highlight w:val="none"/>
                <w:u w:val="none" w:color="auto"/>
              </w:rPr>
              <w:t>Sökanden ska ha rätt till ett muntligt hörande före ett första överklagande till domstol.</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t xml:space="preserve">, </w:t>
      </w:r>
      <w:r>
        <w:t>Bodil Valero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Sökanden ska lämna in överklaganden mot varje beslut som</w:t>
            </w:r>
            <w:r>
              <w:rPr>
                <w:rFonts w:ascii="Times New Roman" w:eastAsia="Times New Roman" w:hAnsi="Times New Roman" w:cs="Times New Roman"/>
                <w:b/>
                <w:i/>
                <w:strike w:val="0"/>
                <w:color w:val="000000"/>
                <w:sz w:val="24"/>
                <w:highlight w:val="none"/>
                <w:u w:val="none" w:color="auto"/>
              </w:rPr>
              <w:t>anges</w:t>
            </w:r>
            <w:r>
              <w:t>i punkt 1</w:t>
            </w:r>
          </w:p>
        </w:tc>
        <w:tc>
          <w:tcPr/>
          <w:p>
            <w:pPr>
              <w:pStyle w:val="Normal6"/>
            </w:pPr>
            <w:r>
              <w:t xml:space="preserve">Sökanden ska lämna in överklaganden mot varje beslut som </w:t>
            </w:r>
            <w:r>
              <w:rPr>
                <w:rFonts w:ascii="Times New Roman" w:eastAsia="Times New Roman" w:hAnsi="Times New Roman" w:cs="Times New Roman"/>
                <w:b/>
                <w:i/>
                <w:strike w:val="0"/>
                <w:color w:val="000000"/>
                <w:sz w:val="24"/>
                <w:highlight w:val="none"/>
                <w:u w:val="none" w:color="auto"/>
              </w:rPr>
              <w:t>avses</w:t>
            </w:r>
            <w:r>
              <w:t xml:space="preserve"> i punkt 1</w:t>
            </w:r>
            <w:r>
              <w:rPr>
                <w:rFonts w:ascii="Times New Roman" w:eastAsia="Times New Roman" w:hAnsi="Times New Roman" w:cs="Times New Roman"/>
                <w:b/>
                <w:i/>
                <w:strike w:val="0"/>
                <w:color w:val="000000"/>
                <w:sz w:val="24"/>
                <w:highlight w:val="none"/>
                <w:u w:val="none" w:color="auto"/>
              </w:rPr>
              <w:t xml:space="preserve"> inom en månad efter mottagandet av underrättelsen om detta beslut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Sökanden </w:t>
            </w:r>
            <w:r>
              <w:rPr>
                <w:rFonts w:ascii="Times New Roman" w:eastAsia="Times New Roman" w:hAnsi="Times New Roman" w:cs="Times New Roman"/>
                <w:b/>
                <w:i/>
                <w:strike w:val="0"/>
                <w:color w:val="000000"/>
                <w:sz w:val="24"/>
                <w:highlight w:val="none"/>
                <w:u w:val="none" w:color="auto"/>
              </w:rPr>
              <w:t>ska</w:t>
            </w:r>
            <w:r>
              <w:t xml:space="preserve"> lämna in överklaganden mot varje beslut som </w:t>
            </w:r>
            <w:r>
              <w:rPr>
                <w:rFonts w:ascii="Times New Roman" w:eastAsia="Times New Roman" w:hAnsi="Times New Roman" w:cs="Times New Roman"/>
                <w:b/>
                <w:i/>
                <w:strike w:val="0"/>
                <w:color w:val="000000"/>
                <w:sz w:val="24"/>
                <w:highlight w:val="none"/>
                <w:u w:val="none" w:color="auto"/>
              </w:rPr>
              <w:t>anges</w:t>
            </w:r>
            <w:r>
              <w:t xml:space="preserve"> i punkt 1</w:t>
            </w:r>
          </w:p>
        </w:tc>
        <w:tc>
          <w:tcPr/>
          <w:p>
            <w:pPr>
              <w:pStyle w:val="Normal6"/>
            </w:pPr>
            <w:r>
              <w:t xml:space="preserve">Sökanden </w:t>
            </w:r>
            <w:r>
              <w:rPr>
                <w:rFonts w:ascii="Times New Roman" w:eastAsia="Times New Roman" w:hAnsi="Times New Roman" w:cs="Times New Roman"/>
                <w:b/>
                <w:i/>
                <w:strike w:val="0"/>
                <w:color w:val="000000"/>
                <w:sz w:val="24"/>
                <w:highlight w:val="none"/>
                <w:u w:val="none" w:color="auto"/>
              </w:rPr>
              <w:t>får</w:t>
            </w:r>
            <w:r>
              <w:t xml:space="preserve"> lämna in överklaganden mot varje beslut som </w:t>
            </w:r>
            <w:r>
              <w:rPr>
                <w:rFonts w:ascii="Times New Roman" w:eastAsia="Times New Roman" w:hAnsi="Times New Roman" w:cs="Times New Roman"/>
                <w:b/>
                <w:i/>
                <w:strike w:val="0"/>
                <w:color w:val="000000"/>
                <w:sz w:val="24"/>
                <w:highlight w:val="none"/>
                <w:u w:val="none" w:color="auto"/>
              </w:rPr>
              <w:t>avses</w:t>
            </w:r>
            <w:r>
              <w:t xml:space="preserve"> i punkt 1</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t xml:space="preserve">, </w:t>
      </w:r>
      <w:r>
        <w:t>Bodil Valero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inom en vecka, mot ett beslut om att neka en efterföljande ansökan prövning eller mot ett beslut om att avslå ansökan som ogrundad,</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t xml:space="preserve">inom en </w:t>
            </w:r>
            <w:r>
              <w:rPr>
                <w:rFonts w:ascii="Times New Roman" w:eastAsia="Times New Roman" w:hAnsi="Times New Roman" w:cs="Times New Roman"/>
                <w:b/>
                <w:i/>
                <w:strike w:val="0"/>
                <w:color w:val="000000"/>
                <w:sz w:val="24"/>
                <w:highlight w:val="none"/>
                <w:u w:val="none" w:color="auto"/>
              </w:rPr>
              <w:t>vecka,</w:t>
            </w:r>
            <w:r>
              <w:t xml:space="preserve"> mot ett beslut om att neka en </w:t>
            </w:r>
            <w:r>
              <w:rPr>
                <w:rFonts w:ascii="Times New Roman" w:eastAsia="Times New Roman" w:hAnsi="Times New Roman" w:cs="Times New Roman"/>
                <w:b/>
                <w:i/>
                <w:strike w:val="0"/>
                <w:color w:val="000000"/>
                <w:sz w:val="24"/>
                <w:highlight w:val="none"/>
                <w:u w:val="none" w:color="auto"/>
              </w:rPr>
              <w:t>efterföljande</w:t>
            </w:r>
            <w:r>
              <w:t xml:space="preserve"> ansökan </w:t>
            </w:r>
            <w:r>
              <w:rPr>
                <w:rFonts w:ascii="Times New Roman" w:eastAsia="Times New Roman" w:hAnsi="Times New Roman" w:cs="Times New Roman"/>
                <w:b/>
                <w:i/>
                <w:strike w:val="0"/>
                <w:color w:val="000000"/>
                <w:sz w:val="24"/>
                <w:highlight w:val="none"/>
                <w:u w:val="none" w:color="auto"/>
              </w:rPr>
              <w:t>prövning</w:t>
            </w:r>
            <w:r>
              <w:t xml:space="preserve"> eller mot ett beslut om att avslå ansökan </w:t>
            </w:r>
            <w:r>
              <w:rPr>
                <w:rFonts w:ascii="Times New Roman" w:eastAsia="Times New Roman" w:hAnsi="Times New Roman" w:cs="Times New Roman"/>
                <w:b/>
                <w:i/>
                <w:strike w:val="0"/>
                <w:color w:val="000000"/>
                <w:sz w:val="24"/>
                <w:highlight w:val="none"/>
                <w:u w:val="none" w:color="auto"/>
              </w:rPr>
              <w:t>som ogrundad,</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t xml:space="preserve">inom en </w:t>
            </w:r>
            <w:r>
              <w:rPr>
                <w:rFonts w:ascii="Times New Roman" w:eastAsia="Times New Roman" w:hAnsi="Times New Roman" w:cs="Times New Roman"/>
                <w:b/>
                <w:i/>
                <w:strike w:val="0"/>
                <w:color w:val="000000"/>
                <w:sz w:val="24"/>
                <w:highlight w:val="none"/>
                <w:u w:val="none" w:color="auto"/>
              </w:rPr>
              <w:t>månad</w:t>
            </w:r>
            <w:r>
              <w:t xml:space="preserve"> mot ett beslut om att neka en </w:t>
            </w:r>
            <w:r>
              <w:rPr>
                <w:rFonts w:ascii="Times New Roman" w:eastAsia="Times New Roman" w:hAnsi="Times New Roman" w:cs="Times New Roman"/>
                <w:b/>
                <w:i/>
                <w:strike w:val="0"/>
                <w:color w:val="000000"/>
                <w:sz w:val="24"/>
                <w:highlight w:val="none"/>
                <w:u w:val="none" w:color="auto"/>
              </w:rPr>
              <w:t>ansökan prövning, mot ett beslut om att avslå en</w:t>
            </w:r>
            <w:r>
              <w:t xml:space="preserve"> ansökan </w:t>
            </w:r>
            <w:r>
              <w:rPr>
                <w:rFonts w:ascii="Times New Roman" w:eastAsia="Times New Roman" w:hAnsi="Times New Roman" w:cs="Times New Roman"/>
                <w:b/>
                <w:i/>
                <w:strike w:val="0"/>
                <w:color w:val="000000"/>
                <w:sz w:val="24"/>
                <w:highlight w:val="none"/>
                <w:u w:val="none" w:color="auto"/>
              </w:rPr>
              <w:t>som återkallad</w:t>
            </w:r>
            <w:r>
              <w:t xml:space="preserve"> eller mot ett beslut om att avslå</w:t>
            </w:r>
            <w:r>
              <w:rPr>
                <w:rFonts w:ascii="Times New Roman" w:eastAsia="Times New Roman" w:hAnsi="Times New Roman" w:cs="Times New Roman"/>
                <w:b/>
                <w:i/>
                <w:strike w:val="0"/>
                <w:color w:val="000000"/>
                <w:sz w:val="24"/>
                <w:highlight w:val="none"/>
                <w:u w:val="none" w:color="auto"/>
              </w:rPr>
              <w:t xml:space="preserve"> en</w:t>
            </w:r>
            <w:r>
              <w:t xml:space="preserve"> ansökan </w:t>
            </w:r>
            <w:r>
              <w:rPr>
                <w:rFonts w:ascii="Times New Roman" w:eastAsia="Times New Roman" w:hAnsi="Times New Roman" w:cs="Times New Roman"/>
                <w:b/>
                <w:i/>
                <w:strike w:val="0"/>
                <w:color w:val="000000"/>
                <w:sz w:val="24"/>
                <w:highlight w:val="none"/>
                <w:u w:val="none" w:color="auto"/>
              </w:rPr>
              <w:t>med avseende på flyktingstatus eller status som subsidiärt skyddsbehövande.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inom en vecka,</w:t>
            </w:r>
            <w:r>
              <w:t xml:space="preserve"> mot ett beslut om att neka en efterföljande ansökan prövning eller mot ett beslut om att avslå ansökan som ogrundad,</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inom två veckor</w:t>
            </w:r>
            <w:r>
              <w:t xml:space="preserve"> mot ett beslut om att neka en efterföljande ansökan prövning eller mot ett beslut om att avslå ansökan som ogrundad,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En vecka är en orealistiskt kort tidsfrist.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inom en vecka,</w:t>
            </w:r>
            <w:r>
              <w:t xml:space="preserve"> mot ett beslut om att </w:t>
            </w:r>
            <w:r>
              <w:rPr>
                <w:rFonts w:ascii="Times New Roman" w:eastAsia="Times New Roman" w:hAnsi="Times New Roman" w:cs="Times New Roman"/>
                <w:b/>
                <w:i/>
                <w:strike w:val="0"/>
                <w:color w:val="000000"/>
                <w:sz w:val="24"/>
                <w:highlight w:val="none"/>
                <w:u w:val="none" w:color="auto"/>
              </w:rPr>
              <w:t>neka</w:t>
            </w:r>
            <w:r>
              <w:t xml:space="preserve"> en efterföljande ansökan</w:t>
            </w:r>
            <w:r>
              <w:rPr>
                <w:rFonts w:ascii="Times New Roman" w:eastAsia="Times New Roman" w:hAnsi="Times New Roman" w:cs="Times New Roman"/>
                <w:b/>
                <w:i/>
                <w:strike w:val="0"/>
                <w:color w:val="000000"/>
                <w:sz w:val="24"/>
                <w:highlight w:val="none"/>
                <w:u w:val="none" w:color="auto"/>
              </w:rPr>
              <w:t xml:space="preserve"> prövning eller mot ett beslut om att avslå ansökan som ogrundad</w:t>
            </w:r>
            <w:r>
              <w:t>,</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inom 15 arbetsdagar</w:t>
            </w:r>
            <w:r>
              <w:t xml:space="preserve"> mot ett beslut om att </w:t>
            </w:r>
            <w:r>
              <w:rPr>
                <w:rFonts w:ascii="Times New Roman" w:eastAsia="Times New Roman" w:hAnsi="Times New Roman" w:cs="Times New Roman"/>
                <w:b/>
                <w:i/>
                <w:strike w:val="0"/>
                <w:color w:val="000000"/>
                <w:sz w:val="24"/>
                <w:highlight w:val="none"/>
                <w:u w:val="none" w:color="auto"/>
              </w:rPr>
              <w:t>avslå</w:t>
            </w:r>
            <w:r>
              <w:t xml:space="preserve"> en efterföljande ansökan,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 tidsfrister som kommissionen föreslår är mycket krävande för sökanden, särskilt om denne hålls i förvar.</w:t>
      </w:r>
      <w:r>
        <w:t>Sökanden måste få tillräckligt med tid på sig för att kunna utöva sin rätt till ett effektivt rättsmedel.</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inom två veckor, mot ett beslut om att neka en ansökan prövning, eller mot ett beslut om att avslå en ansökan som uttryckligen återkallad eller som avstådd, eller mot ett beslut som avslår en ansökan som ogrundad eller uppenbart ogrundad med avseende på flyktingstatus eller status som subsidiärt skyddsbehövande, till följd av ett påskyndat prövningsförfarande eller ett gränsförfarande eller medan sökanden hålls i förvar,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inom två veckor, mot ett beslut om att neka en ansökan prövning, eller mot ett beslut om att avslå en ansökan som uttryckligen återkallad eller som avstådd, eller mot ett beslut som avslår en ansökan som ogrundad eller uppenbart ogrundad med avseende på flyktingstatus eller status som subsidiärt skyddsbehövande, till följd av ett påskyndat prövningsförfarande eller ett gränsförfarande eller medan sökanden hålls i förvar,</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inom två</w:t>
            </w:r>
            <w:r>
              <w:t xml:space="preserve"> veckor, mot ett beslut om att neka en ansökan prövning, eller mot ett beslut om att avslå en ansökan som uttryckligen återkallad eller </w:t>
            </w:r>
            <w:r>
              <w:rPr>
                <w:rFonts w:ascii="Times New Roman" w:eastAsia="Times New Roman" w:hAnsi="Times New Roman" w:cs="Times New Roman"/>
                <w:b/>
                <w:i/>
                <w:strike w:val="0"/>
                <w:color w:val="000000"/>
                <w:sz w:val="24"/>
                <w:highlight w:val="none"/>
                <w:u w:val="none" w:color="auto"/>
              </w:rPr>
              <w:t>som avstådd</w:t>
            </w:r>
            <w:r>
              <w:t>, eller mot ett beslut som avslår en ansökan som ogrundad eller uppenbart ogrundad med avseende på flyktingstatus eller status som subsidiärt skyddsbehövande, till följd av ett påskyndat prövningsförfarande eller ett gränsförfarande eller medan sökanden hålls i förvar,</w:t>
            </w:r>
          </w:p>
        </w:tc>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inom fyra</w:t>
            </w:r>
            <w:r>
              <w:t xml:space="preserve"> veckor, mot ett beslut om att neka en ansökan prövning, eller mot ett beslut om att avslå en ansökan som uttryckligen återkallad eller </w:t>
            </w:r>
            <w:r>
              <w:rPr>
                <w:rFonts w:ascii="Times New Roman" w:eastAsia="Times New Roman" w:hAnsi="Times New Roman" w:cs="Times New Roman"/>
                <w:b/>
                <w:i/>
                <w:strike w:val="0"/>
                <w:color w:val="000000"/>
                <w:sz w:val="24"/>
                <w:highlight w:val="none"/>
                <w:u w:val="none" w:color="auto"/>
              </w:rPr>
              <w:t>underförstått återkallad</w:t>
            </w:r>
            <w:r>
              <w:t>, eller mot ett beslut som avslår en ansökan som ogrundad eller uppenbart ogrundad med avseende på flyktingstatus eller status som subsidiärt skyddsbehövande, till följd av ett påskyndat prövningsförfarande eller ett gränsförfarande eller medan sökanden hålls i förvar,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Emil Radev</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t xml:space="preserve">inom </w:t>
            </w:r>
            <w:r>
              <w:rPr>
                <w:rFonts w:ascii="Times New Roman" w:eastAsia="Times New Roman" w:hAnsi="Times New Roman" w:cs="Times New Roman"/>
                <w:b/>
                <w:i/>
                <w:strike w:val="0"/>
                <w:color w:val="000000"/>
                <w:sz w:val="24"/>
                <w:highlight w:val="none"/>
                <w:u w:val="none" w:color="auto"/>
              </w:rPr>
              <w:t>två veckor</w:t>
            </w:r>
            <w:r>
              <w:t>, mot ett beslut om att neka en ansökan prövning, eller mot ett beslut om att avslå en ansökan som uttryckligen återkallad eller som avstådd, eller mot ett beslut som avslår en ansökan som ogrundad eller uppenbart ogrundad med avseende på flyktingstatus eller status som subsidiärt skyddsbehövande, till följd av ett påskyndat prövningsförfarande eller ett gränsförfarande eller medan sökanden hålls i förvar,</w:t>
            </w:r>
          </w:p>
        </w:tc>
        <w:tc>
          <w:tcPr/>
          <w:p>
            <w:pPr>
              <w:pStyle w:val="Normal6"/>
            </w:pPr>
            <w:r>
              <w:t>(b)</w:t>
            </w:r>
            <w:r>
              <w:tab/>
            </w:r>
            <w:r>
              <w:t>inom </w:t>
            </w:r>
            <w:r>
              <w:rPr>
                <w:rFonts w:ascii="Times New Roman" w:eastAsia="Times New Roman" w:hAnsi="Times New Roman" w:cs="Times New Roman"/>
                <w:b/>
                <w:i/>
                <w:strike w:val="0"/>
                <w:color w:val="000000"/>
                <w:sz w:val="24"/>
                <w:highlight w:val="none"/>
                <w:u w:val="none" w:color="auto"/>
              </w:rPr>
              <w:t>en vecka</w:t>
            </w:r>
            <w:r>
              <w:t>, mot ett beslut om att neka en ansökan prövning, eller mot ett beslut om att avslå en ansökan som uttryckligen återkallad eller som avstådd, eller mot ett beslut som avslår en ansökan som ogrundad eller uppenbart ogrundad med avseende på flyktingstatus eller status som subsidiärt skyddsbehövande, till följd av ett påskyndat prövningsförfarande eller ett gränsförfarande eller medan sökanden hålls i förvar,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BG</w:t>
      </w:r>
      <w:r>
        <w:rPr>
          <w:rStyle w:val="HideTWBInt"/>
        </w:rPr>
        <w:t>}</w:t>
      </w:r>
      <w:r>
        <w:t>bg</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inom två veckor</w:t>
            </w:r>
            <w:r>
              <w:t>, mot ett beslut om att neka en ansökan prövning, eller mot ett beslut om att avslå en ansökan som uttryckligen återkallad eller som avstådd, eller mot ett beslut som avslår en ansökan som ogrundad eller uppenbart ogrundad med avseende på flyktingstatus eller status som subsidiärt skyddsbehövande, till följd av ett påskyndat prövningsförfarande eller ett gränsförfarande eller medan sökanden hålls i förvar,</w:t>
            </w:r>
          </w:p>
        </w:tc>
        <w:tc>
          <w:tcPr/>
          <w:p>
            <w:pPr>
              <w:pStyle w:val="Normal6"/>
            </w:pPr>
            <w:r>
              <w:rPr>
                <w:rFonts w:ascii="Times New Roman" w:eastAsia="Times New Roman" w:hAnsi="Times New Roman" w:cs="Times New Roman"/>
                <w:b/>
                <w:i/>
                <w:strike w:val="0"/>
                <w:color w:val="000000"/>
                <w:sz w:val="24"/>
                <w:highlight w:val="none"/>
                <w:u w:val="none" w:color="auto"/>
              </w:rPr>
              <w:t>b)</w:t>
            </w:r>
            <w:r>
              <w:tab/>
            </w:r>
            <w:r>
              <w:rPr>
                <w:rFonts w:ascii="Times New Roman" w:eastAsia="Times New Roman" w:hAnsi="Times New Roman" w:cs="Times New Roman"/>
                <w:b/>
                <w:i/>
                <w:strike w:val="0"/>
                <w:color w:val="000000"/>
                <w:sz w:val="24"/>
                <w:highlight w:val="none"/>
                <w:u w:val="none" w:color="auto"/>
              </w:rPr>
              <w:t>inom en vecka</w:t>
            </w:r>
            <w:r>
              <w:t>, mot ett beslut om att neka en ansökan prövning, eller mot ett beslut om att avslå en ansökan som uttryckligen återkallad eller som avstådd, eller mot ett beslut som avslår en ansökan som ogrundad eller uppenbart ogrundad med avseende på flyktingstatus eller status som subsidiärt skyddsbehövande, till följd av ett påskyndat prövningsförfarande eller ett gränsförfarande eller medan sökanden hålls i förvar,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t>inom två veckor, mot ett beslut om att neka en ansökan prövning, eller mot ett beslut om att avslå en ansökan som uttryckligen återkallad eller som avstådd, eller mot ett beslut som avslår en ansökan som ogrundad eller uppenbart ogrundad med avseende på flyktingstatus</w:t>
            </w:r>
            <w:r>
              <w:rPr>
                <w:rFonts w:ascii="Times New Roman" w:eastAsia="Times New Roman" w:hAnsi="Times New Roman" w:cs="Times New Roman"/>
                <w:b/>
                <w:i/>
                <w:strike w:val="0"/>
                <w:color w:val="000000"/>
                <w:sz w:val="24"/>
                <w:highlight w:val="none"/>
                <w:u w:val="none" w:color="auto"/>
              </w:rPr>
              <w:t xml:space="preserve"> eller status som subsidiärt skyddsbehövande</w:t>
            </w:r>
            <w:r>
              <w:t>, till följd av ett påskyndat prövningsförfarande eller ett gränsförfarande eller medan sökanden hålls i förvar,</w:t>
            </w:r>
          </w:p>
        </w:tc>
        <w:tc>
          <w:tcPr/>
          <w:p>
            <w:pPr>
              <w:pStyle w:val="Normal6"/>
            </w:pPr>
            <w:r>
              <w:rPr>
                <w:rFonts w:ascii="Times New Roman" w:eastAsia="Times New Roman" w:hAnsi="Times New Roman" w:cs="Times New Roman"/>
                <w:b/>
                <w:i/>
                <w:strike w:val="0"/>
                <w:color w:val="000000"/>
                <w:sz w:val="24"/>
                <w:highlight w:val="none"/>
                <w:u w:val="none" w:color="auto"/>
              </w:rPr>
              <w:t>b)</w:t>
            </w:r>
            <w:r>
              <w:tab/>
            </w:r>
            <w:r>
              <w:t>inom två veckor, mot ett beslut om att neka en ansökan prövning, eller mot ett beslut om att avslå en ansökan som uttryckligen återkallad eller som avstådd, eller mot ett beslut som avslår en ansökan som ogrundad eller uppenbart ogrundad med avseende på flyktingstatus, till följd av ett påskyndat prövningsförfarande eller ett gränsförfarande eller medan sökanden hålls i förvar,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t xml:space="preserve">, </w:t>
      </w:r>
      <w:r>
        <w:t>Bodil Valero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w:t>
            </w:r>
            <w:r>
              <w:tab/>
            </w:r>
            <w:r>
              <w:rPr>
                <w:rFonts w:ascii="Times New Roman" w:eastAsia="Times New Roman" w:hAnsi="Times New Roman" w:cs="Times New Roman"/>
                <w:b/>
                <w:i/>
                <w:strike w:val="0"/>
                <w:color w:val="000000"/>
                <w:sz w:val="24"/>
                <w:highlight w:val="none"/>
                <w:u w:val="none" w:color="auto"/>
              </w:rPr>
              <w:t>inom en månad, mot ett beslut om att avslå en ansökan som ogrundad med avseende på flyktingstatus eller status som subsidiärt skyddsbehövande, om prövningen inte påskyndats, eller mot ett beslut om att återkalla internationellt skydd.</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w:t>
            </w:r>
            <w:r>
              <w:tab/>
            </w:r>
            <w:r>
              <w:rPr>
                <w:rFonts w:ascii="Times New Roman" w:eastAsia="Times New Roman" w:hAnsi="Times New Roman" w:cs="Times New Roman"/>
                <w:b/>
                <w:i/>
                <w:strike w:val="0"/>
                <w:color w:val="000000"/>
                <w:sz w:val="24"/>
                <w:highlight w:val="none"/>
                <w:u w:val="none" w:color="auto"/>
              </w:rPr>
              <w:t>inom en månad, mot ett beslut om att avslå en ansökan som ogrundad med avseende på flyktingstatus eller status som subsidiärt skyddsbehövande, om prövningen inte påskyndats, eller mot ett beslut om att återkalla internationellt skydd.</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Emil Radev</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(c)</w:t>
            </w:r>
            <w:r>
              <w:tab/>
            </w:r>
            <w:r>
              <w:t xml:space="preserve">inom en </w:t>
            </w:r>
            <w:r>
              <w:rPr>
                <w:rFonts w:ascii="Times New Roman" w:eastAsia="Times New Roman" w:hAnsi="Times New Roman" w:cs="Times New Roman"/>
                <w:b/>
                <w:i/>
                <w:strike w:val="0"/>
                <w:color w:val="000000"/>
                <w:sz w:val="24"/>
                <w:highlight w:val="none"/>
                <w:u w:val="none" w:color="auto"/>
              </w:rPr>
              <w:t>månad</w:t>
            </w:r>
            <w:r>
              <w:t>, mot ett beslut om att avslå en ansökan som ogrundad med avseende på flyktingstatus eller status som subsidiärt skyddsbehövande, om prövningen inte påskyndats, eller mot ett beslut om att återkalla internationellt skydd.</w:t>
            </w:r>
          </w:p>
        </w:tc>
        <w:tc>
          <w:tcPr/>
          <w:p>
            <w:pPr>
              <w:pStyle w:val="Normal6"/>
            </w:pPr>
            <w:r>
              <w:t>(c)</w:t>
            </w:r>
            <w:r>
              <w:tab/>
            </w:r>
            <w:r>
              <w:t xml:space="preserve">inom en </w:t>
            </w:r>
            <w:r>
              <w:rPr>
                <w:rFonts w:ascii="Times New Roman" w:eastAsia="Times New Roman" w:hAnsi="Times New Roman" w:cs="Times New Roman"/>
                <w:b/>
                <w:i/>
                <w:strike w:val="0"/>
                <w:color w:val="000000"/>
                <w:sz w:val="24"/>
                <w:highlight w:val="none"/>
                <w:u w:val="none" w:color="auto"/>
              </w:rPr>
              <w:t>vecka</w:t>
            </w:r>
            <w:r>
              <w:t>, mot ett beslut om att avslå en ansökan som ogrundad med avseende på flyktingstatus eller status som subsidiärt skyddsbehövande, om prövningen inte påskyndats, eller mot ett beslut om att återkalla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BG</w:t>
      </w:r>
      <w:r>
        <w:rPr>
          <w:rStyle w:val="HideTWBInt"/>
        </w:rPr>
        <w:t>}</w:t>
      </w:r>
      <w:r>
        <w:t>bg</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w:t>
            </w:r>
            <w:r>
              <w:tab/>
            </w:r>
            <w:r>
              <w:rPr>
                <w:rFonts w:ascii="Times New Roman" w:eastAsia="Times New Roman" w:hAnsi="Times New Roman" w:cs="Times New Roman"/>
                <w:b/>
                <w:i/>
                <w:strike w:val="0"/>
                <w:color w:val="000000"/>
                <w:sz w:val="24"/>
                <w:highlight w:val="none"/>
                <w:u w:val="none" w:color="auto"/>
              </w:rPr>
              <w:t>inom en månad</w:t>
            </w:r>
            <w:r>
              <w:t>, mot ett beslut om att avslå en ansökan som ogrundad med avseende på flyktingstatus eller status som subsidiärt skyddsbehövande, om prövningen inte påskyndats, eller mot ett beslut om att återkalla internationellt skydd.</w:t>
            </w:r>
          </w:p>
        </w:tc>
        <w:tc>
          <w:tcPr/>
          <w:p>
            <w:pPr>
              <w:pStyle w:val="Normal6"/>
            </w:pPr>
            <w:r>
              <w:rPr>
                <w:rFonts w:ascii="Times New Roman" w:eastAsia="Times New Roman" w:hAnsi="Times New Roman" w:cs="Times New Roman"/>
                <w:b/>
                <w:i/>
                <w:strike w:val="0"/>
                <w:color w:val="000000"/>
                <w:sz w:val="24"/>
                <w:highlight w:val="none"/>
                <w:u w:val="none" w:color="auto"/>
              </w:rPr>
              <w:t>c)</w:t>
            </w:r>
            <w:r>
              <w:tab/>
            </w:r>
            <w:r>
              <w:rPr>
                <w:rFonts w:ascii="Times New Roman" w:eastAsia="Times New Roman" w:hAnsi="Times New Roman" w:cs="Times New Roman"/>
                <w:b/>
                <w:i/>
                <w:strike w:val="0"/>
                <w:color w:val="000000"/>
                <w:sz w:val="24"/>
                <w:highlight w:val="none"/>
                <w:u w:val="none" w:color="auto"/>
              </w:rPr>
              <w:t>inom tre veckor</w:t>
            </w:r>
            <w:r>
              <w:t>, mot ett beslut om att avslå en ansökan som ogrundad med avseende på flyktingstatus eller status som subsidiärt skyddsbehövande, om prövningen inte påskyndats, eller mot ett beslut om att återkalla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Monika Hohlmeier</w:t>
      </w:r>
      <w:r>
        <w:t xml:space="preserve">, </w:t>
      </w:r>
      <w:r>
        <w:t>Heinz K. Becker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w:t>
            </w:r>
            <w:r>
              <w:tab/>
            </w:r>
            <w:r>
              <w:rPr>
                <w:rFonts w:ascii="Times New Roman" w:eastAsia="Times New Roman" w:hAnsi="Times New Roman" w:cs="Times New Roman"/>
                <w:b/>
                <w:i/>
                <w:strike w:val="0"/>
                <w:color w:val="000000"/>
                <w:sz w:val="24"/>
                <w:highlight w:val="none"/>
                <w:u w:val="none" w:color="auto"/>
              </w:rPr>
              <w:t>inom en månad,</w:t>
            </w:r>
            <w:r>
              <w:t xml:space="preserve"> mot ett beslut om att avslå en ansökan som ogrundad med avseende på flyktingstatus eller status som subsidiärt skyddsbehövande, om prövningen inte påskyndats, eller mot ett beslut om att återkalla internationellt skydd.</w:t>
            </w:r>
          </w:p>
        </w:tc>
        <w:tc>
          <w:tcPr/>
          <w:p>
            <w:pPr>
              <w:pStyle w:val="Normal6"/>
            </w:pPr>
            <w:r>
              <w:rPr>
                <w:rFonts w:ascii="Times New Roman" w:eastAsia="Times New Roman" w:hAnsi="Times New Roman" w:cs="Times New Roman"/>
                <w:b/>
                <w:i/>
                <w:strike w:val="0"/>
                <w:color w:val="000000"/>
                <w:sz w:val="24"/>
                <w:highlight w:val="none"/>
                <w:u w:val="none" w:color="auto"/>
              </w:rPr>
              <w:t>c)</w:t>
            </w:r>
            <w:r>
              <w:tab/>
            </w:r>
            <w:r>
              <w:rPr>
                <w:rFonts w:ascii="Times New Roman" w:eastAsia="Times New Roman" w:hAnsi="Times New Roman" w:cs="Times New Roman"/>
                <w:b/>
                <w:i/>
                <w:strike w:val="0"/>
                <w:color w:val="000000"/>
                <w:sz w:val="24"/>
                <w:highlight w:val="none"/>
                <w:u w:val="none" w:color="auto"/>
              </w:rPr>
              <w:t>inom två veckor</w:t>
            </w:r>
            <w:r>
              <w:t xml:space="preserve"> mot ett beslut om att avslå en ansökan som ogrundad med avseende på flyktingstatus eller status som subsidiärt skyddsbehövande, om prövningen inte påskyndats, eller mot ett beslut om att återkalla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1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w:t>
            </w:r>
            <w:r>
              <w:tab/>
            </w:r>
            <w:r>
              <w:t>inom en månad</w:t>
            </w:r>
            <w:r>
              <w:rPr>
                <w:rFonts w:ascii="Times New Roman" w:eastAsia="Times New Roman" w:hAnsi="Times New Roman" w:cs="Times New Roman"/>
                <w:b/>
                <w:i/>
                <w:strike w:val="0"/>
                <w:color w:val="000000"/>
                <w:sz w:val="24"/>
                <w:highlight w:val="none"/>
                <w:u w:val="none" w:color="auto"/>
              </w:rPr>
              <w:t>,</w:t>
            </w:r>
            <w:r>
              <w:t xml:space="preserve"> mot ett beslut om att avslå en ansökan som ogrundad med avseende på flyktingstatus</w:t>
            </w:r>
            <w:r>
              <w:rPr>
                <w:rFonts w:ascii="Times New Roman" w:eastAsia="Times New Roman" w:hAnsi="Times New Roman" w:cs="Times New Roman"/>
                <w:b/>
                <w:i/>
                <w:strike w:val="0"/>
                <w:color w:val="000000"/>
                <w:sz w:val="24"/>
                <w:highlight w:val="none"/>
                <w:u w:val="none" w:color="auto"/>
              </w:rPr>
              <w:t xml:space="preserve"> eller status som subsidiärt skyddsbehövande</w:t>
            </w:r>
            <w:r>
              <w:t>, om prövningen inte påskyndats, eller mot ett beslut om att återkalla internationellt skydd.</w:t>
            </w:r>
          </w:p>
        </w:tc>
        <w:tc>
          <w:tcPr/>
          <w:p>
            <w:pPr>
              <w:pStyle w:val="Normal6"/>
            </w:pPr>
            <w:r>
              <w:rPr>
                <w:rFonts w:ascii="Times New Roman" w:eastAsia="Times New Roman" w:hAnsi="Times New Roman" w:cs="Times New Roman"/>
                <w:b/>
                <w:i/>
                <w:strike w:val="0"/>
                <w:color w:val="000000"/>
                <w:sz w:val="24"/>
                <w:highlight w:val="none"/>
                <w:u w:val="none" w:color="auto"/>
              </w:rPr>
              <w:t>c)</w:t>
            </w:r>
            <w:r>
              <w:tab/>
            </w:r>
            <w:r>
              <w:t>inom en månad mot ett beslut om att avslå en ansökan som ogrundad med avseende på flyktingstatus, om prövningen inte påskyndats, eller mot ett beslut om att återkalla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Jean Lambert</w:t>
      </w:r>
      <w:r>
        <w:t xml:space="preserve">, </w:t>
      </w:r>
      <w:r>
        <w:t>Judith Sargentini</w:t>
      </w:r>
      <w:r>
        <w:t xml:space="preserve">, </w:t>
      </w:r>
      <w:r>
        <w:t>Bodil Valero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 xml:space="preserve">När det gäller led b får </w:t>
            </w:r>
            <w:r>
              <w:rPr>
                <w:rFonts w:ascii="Times New Roman" w:eastAsia="Times New Roman" w:hAnsi="Times New Roman" w:cs="Times New Roman"/>
                <w:b/>
                <w:i/>
                <w:strike w:val="0"/>
                <w:color w:val="000000"/>
                <w:sz w:val="24"/>
                <w:highlight w:val="none"/>
                <w:u w:val="none" w:color="auto"/>
              </w:rPr>
              <w:t>medlemsstaterna</w:t>
            </w:r>
            <w:r>
              <w:t xml:space="preserve"> föreskriva att beslut som fattats i enlighet med ett gränsförfarande ska bli föremål för granskning ex officio.</w:t>
            </w:r>
          </w:p>
        </w:tc>
        <w:tc>
          <w:tcPr/>
          <w:p>
            <w:pPr>
              <w:pStyle w:val="Normal6"/>
            </w:pPr>
            <w:r>
              <w:rPr>
                <w:rFonts w:ascii="Times New Roman" w:eastAsia="Times New Roman" w:hAnsi="Times New Roman" w:cs="Times New Roman"/>
                <w:b/>
                <w:i/>
                <w:strike w:val="0"/>
                <w:color w:val="000000"/>
                <w:sz w:val="24"/>
                <w:highlight w:val="none"/>
                <w:u w:val="none" w:color="auto"/>
              </w:rPr>
              <w:t>Medlemsstaterna</w:t>
            </w:r>
            <w:r>
              <w:t xml:space="preserve"> </w:t>
            </w:r>
            <w:r>
              <w:rPr>
                <w:rFonts w:ascii="Times New Roman" w:eastAsia="Times New Roman" w:hAnsi="Times New Roman" w:cs="Times New Roman"/>
                <w:b/>
                <w:i/>
                <w:strike w:val="0"/>
                <w:color w:val="000000"/>
                <w:sz w:val="24"/>
                <w:highlight w:val="none"/>
                <w:u w:val="none" w:color="auto"/>
              </w:rPr>
              <w:t xml:space="preserve">ska </w:t>
            </w:r>
            <w:r>
              <w:t>föreskriva att beslut som fattats i enlighet med ett gränsförfarande</w:t>
            </w:r>
            <w:r>
              <w:rPr>
                <w:rFonts w:ascii="Times New Roman" w:eastAsia="Times New Roman" w:hAnsi="Times New Roman" w:cs="Times New Roman"/>
                <w:b/>
                <w:i/>
                <w:strike w:val="0"/>
                <w:color w:val="000000"/>
                <w:sz w:val="24"/>
                <w:highlight w:val="none"/>
                <w:u w:val="none" w:color="auto"/>
              </w:rPr>
              <w:t xml:space="preserve"> eller beslut som utfärdas medan sökanden hålls i förvar</w:t>
            </w:r>
            <w:r>
              <w:t xml:space="preserve"> ska bli föremål för granskning ex officio.</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När det gäller led </w:t>
            </w:r>
            <w:r>
              <w:rPr>
                <w:rFonts w:ascii="Times New Roman" w:eastAsia="Times New Roman" w:hAnsi="Times New Roman" w:cs="Times New Roman"/>
                <w:b/>
                <w:i/>
                <w:strike w:val="0"/>
                <w:color w:val="000000"/>
                <w:sz w:val="24"/>
                <w:highlight w:val="none"/>
                <w:u w:val="none" w:color="auto"/>
              </w:rPr>
              <w:t>b</w:t>
            </w:r>
            <w:r>
              <w:t xml:space="preserve"> får medlemsstaterna föreskriva att beslut som </w:t>
            </w:r>
            <w:r>
              <w:rPr>
                <w:rFonts w:ascii="Times New Roman" w:eastAsia="Times New Roman" w:hAnsi="Times New Roman" w:cs="Times New Roman"/>
                <w:b/>
                <w:i/>
                <w:strike w:val="0"/>
                <w:color w:val="000000"/>
                <w:sz w:val="24"/>
                <w:highlight w:val="none"/>
                <w:u w:val="none" w:color="auto"/>
              </w:rPr>
              <w:t>fattats</w:t>
            </w:r>
            <w:r>
              <w:t xml:space="preserve"> i enlighet med ett gränsförfarande ska bli föremål för granskning ex officio.</w:t>
            </w:r>
          </w:p>
        </w:tc>
        <w:tc>
          <w:tcPr/>
          <w:p>
            <w:pPr>
              <w:pStyle w:val="Normal6"/>
            </w:pPr>
            <w:r>
              <w:t>När det gäller led </w:t>
            </w:r>
            <w:r>
              <w:rPr>
                <w:rFonts w:ascii="Times New Roman" w:eastAsia="Times New Roman" w:hAnsi="Times New Roman" w:cs="Times New Roman"/>
                <w:b/>
                <w:i/>
                <w:strike w:val="0"/>
                <w:color w:val="000000"/>
                <w:sz w:val="24"/>
                <w:highlight w:val="none"/>
                <w:u w:val="none" w:color="auto"/>
              </w:rPr>
              <w:t>a</w:t>
            </w:r>
            <w:r>
              <w:t xml:space="preserve"> får medlemsstaterna föreskriva att beslut som </w:t>
            </w:r>
            <w:r>
              <w:rPr>
                <w:rFonts w:ascii="Times New Roman" w:eastAsia="Times New Roman" w:hAnsi="Times New Roman" w:cs="Times New Roman"/>
                <w:b/>
                <w:i/>
                <w:strike w:val="0"/>
                <w:color w:val="000000"/>
                <w:sz w:val="24"/>
                <w:highlight w:val="none"/>
                <w:u w:val="none" w:color="auto"/>
              </w:rPr>
              <w:t>fattas</w:t>
            </w:r>
            <w:r>
              <w:t xml:space="preserve"> i enlighet med ett gränsförfarande ska bli föremål för granskning ex officio.</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 tidsfrister</w:t>
            </w:r>
            <w:r>
              <w:t xml:space="preserve"> som fastställs i detta stycke ska löpa från den dag då den beslutande myndighetens beslut delges sökanden, eller från den tidpunkt då den juridiske rådgivaren eller annan rådgivare utnämns, om sökanden har lämnat in en begäran om kostnadsfritt rättsligt bistånd och biträde.</w:t>
            </w:r>
          </w:p>
        </w:tc>
        <w:tc>
          <w:tcPr/>
          <w:p>
            <w:pPr>
              <w:pStyle w:val="Normal6"/>
            </w:pPr>
            <w:r>
              <w:rPr>
                <w:rFonts w:ascii="Times New Roman" w:eastAsia="Times New Roman" w:hAnsi="Times New Roman" w:cs="Times New Roman"/>
                <w:b/>
                <w:i/>
                <w:strike w:val="0"/>
                <w:color w:val="000000"/>
                <w:sz w:val="24"/>
                <w:highlight w:val="none"/>
                <w:u w:val="none" w:color="auto"/>
              </w:rPr>
              <w:t>Den tidsfrist</w:t>
            </w:r>
            <w:r>
              <w:t xml:space="preserve"> som fastställs i detta stycke ska löpa från den dag då den beslutande myndighetens beslut delges sökanden, eller från den tidpunkt då den juridiske rådgivaren eller annan rådgivare utnämns, om sökanden har lämnat in en begäran om kostnadsfritt rättsligt bistånd och biträde. </w:t>
            </w:r>
            <w:r>
              <w:rPr>
                <w:rFonts w:ascii="Times New Roman" w:eastAsia="Times New Roman" w:hAnsi="Times New Roman" w:cs="Times New Roman"/>
                <w:b/>
                <w:i/>
                <w:strike w:val="0"/>
                <w:color w:val="000000"/>
                <w:sz w:val="24"/>
                <w:highlight w:val="none"/>
                <w:u w:val="none" w:color="auto"/>
              </w:rPr>
              <w:t>Om sökanden har lämnat in en begäran om kostnadsfritt rättsligt bistånd och biträde i enlighet med artikel 15, ska tidsfristerna börja löpa från den dag då den juridiske rådgivaren eller annan rådgivare utnämns.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Caterina Chinnici</w:t>
      </w:r>
      <w:r>
        <w:t xml:space="preserve">, </w:t>
      </w:r>
      <w:r>
        <w:t>Ana Gomes</w:t>
      </w:r>
      <w:r>
        <w:t xml:space="preserve">, </w:t>
      </w:r>
      <w:r>
        <w:t>Josef Weidenholzer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De tidsfrister som fastställs i detta stycke ska löpa från den dag då den beslutande myndighetens beslut delges sökanden</w:t>
            </w:r>
            <w:r>
              <w:rPr>
                <w:rFonts w:ascii="Times New Roman" w:eastAsia="Times New Roman" w:hAnsi="Times New Roman" w:cs="Times New Roman"/>
                <w:b/>
                <w:i/>
                <w:strike w:val="0"/>
                <w:color w:val="000000"/>
                <w:sz w:val="24"/>
                <w:highlight w:val="none"/>
                <w:u w:val="none" w:color="auto"/>
              </w:rPr>
              <w:t>,</w:t>
            </w:r>
            <w:r>
              <w:t xml:space="preserve"> eller </w:t>
            </w:r>
            <w:r>
              <w:rPr>
                <w:rFonts w:ascii="Times New Roman" w:eastAsia="Times New Roman" w:hAnsi="Times New Roman" w:cs="Times New Roman"/>
                <w:b/>
                <w:i/>
                <w:strike w:val="0"/>
                <w:color w:val="000000"/>
                <w:sz w:val="24"/>
                <w:highlight w:val="none"/>
                <w:u w:val="none" w:color="auto"/>
              </w:rPr>
              <w:t>från den tidpunkt då den juridiske rådgivaren</w:t>
            </w:r>
            <w:r>
              <w:t xml:space="preserve"> eller </w:t>
            </w:r>
            <w:r>
              <w:rPr>
                <w:rFonts w:ascii="Times New Roman" w:eastAsia="Times New Roman" w:hAnsi="Times New Roman" w:cs="Times New Roman"/>
                <w:b/>
                <w:i/>
                <w:strike w:val="0"/>
                <w:color w:val="000000"/>
                <w:sz w:val="24"/>
                <w:highlight w:val="none"/>
                <w:u w:val="none" w:color="auto"/>
              </w:rPr>
              <w:t>annan rådgivare utnämns,</w:t>
            </w:r>
            <w:r>
              <w:t xml:space="preserve"> om sökanden har lämnat in en begäran om</w:t>
            </w:r>
            <w:r>
              <w:rPr>
                <w:rFonts w:ascii="Times New Roman" w:eastAsia="Times New Roman" w:hAnsi="Times New Roman" w:cs="Times New Roman"/>
                <w:b/>
                <w:i/>
                <w:strike w:val="0"/>
                <w:color w:val="000000"/>
                <w:sz w:val="24"/>
                <w:highlight w:val="none"/>
                <w:u w:val="none" w:color="auto"/>
              </w:rPr>
              <w:t xml:space="preserve"> kostnadsfritt</w:t>
            </w:r>
            <w:r>
              <w:t xml:space="preserve"> rättsligt bistånd och biträde.</w:t>
            </w:r>
          </w:p>
        </w:tc>
        <w:tc>
          <w:tcPr/>
          <w:p>
            <w:pPr>
              <w:pStyle w:val="Normal6"/>
            </w:pPr>
            <w:r>
              <w:t xml:space="preserve">De tidsfrister som fastställs i detta stycke ska löpa från den dag då den beslutande myndighetens beslut delges sökanden eller </w:t>
            </w:r>
            <w:r>
              <w:rPr>
                <w:rFonts w:ascii="Times New Roman" w:eastAsia="Times New Roman" w:hAnsi="Times New Roman" w:cs="Times New Roman"/>
                <w:b/>
                <w:i/>
                <w:strike w:val="0"/>
                <w:color w:val="000000"/>
                <w:sz w:val="24"/>
                <w:highlight w:val="none"/>
                <w:u w:val="none" w:color="auto"/>
              </w:rPr>
              <w:t>förmånstagaren.</w:t>
            </w:r>
            <w:r>
              <w:t xml:space="preserve"> </w:t>
            </w:r>
            <w:r>
              <w:rPr>
                <w:rFonts w:ascii="Times New Roman" w:eastAsia="Times New Roman" w:hAnsi="Times New Roman" w:cs="Times New Roman"/>
                <w:b/>
                <w:i/>
                <w:strike w:val="0"/>
                <w:color w:val="000000"/>
                <w:sz w:val="24"/>
                <w:highlight w:val="none"/>
                <w:u w:val="none" w:color="auto"/>
              </w:rPr>
              <w:t>Efter delgivningen till sökanden</w:t>
            </w:r>
            <w:r>
              <w:t xml:space="preserve"> eller </w:t>
            </w:r>
            <w:r>
              <w:rPr>
                <w:rFonts w:ascii="Times New Roman" w:eastAsia="Times New Roman" w:hAnsi="Times New Roman" w:cs="Times New Roman"/>
                <w:b/>
                <w:i/>
                <w:strike w:val="0"/>
                <w:color w:val="000000"/>
                <w:sz w:val="24"/>
                <w:highlight w:val="none"/>
                <w:u w:val="none" w:color="auto"/>
              </w:rPr>
              <w:t>förmånstagaren, och</w:t>
            </w:r>
            <w:r>
              <w:t xml:space="preserve"> om sökanden </w:t>
            </w:r>
            <w:r>
              <w:rPr>
                <w:rFonts w:ascii="Times New Roman" w:eastAsia="Times New Roman" w:hAnsi="Times New Roman" w:cs="Times New Roman"/>
                <w:b/>
                <w:i/>
                <w:strike w:val="0"/>
                <w:color w:val="000000"/>
                <w:sz w:val="24"/>
                <w:highlight w:val="none"/>
                <w:u w:val="none" w:color="auto"/>
              </w:rPr>
              <w:t xml:space="preserve">eller förmånstagaren </w:t>
            </w:r>
            <w:r>
              <w:t>har lämnat in en begäran om rättsligt bistånd och biträde</w:t>
            </w:r>
            <w:r>
              <w:rPr>
                <w:rFonts w:ascii="Times New Roman" w:eastAsia="Times New Roman" w:hAnsi="Times New Roman" w:cs="Times New Roman"/>
                <w:b/>
                <w:i/>
                <w:strike w:val="0"/>
                <w:color w:val="000000"/>
                <w:sz w:val="24"/>
                <w:highlight w:val="none"/>
                <w:u w:val="none" w:color="auto"/>
              </w:rPr>
              <w:t xml:space="preserve"> i enlighet med artikel 14.1 och/eller artikel 15.1, ska tidsfristerna börja löpa från den dag då den juridiske rådgivaren eller annan rådgivare utnämns</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Tidsfristerna för inlämnande av överklaganden bör vara tydliga.</w:t>
      </w:r>
      <w:r>
        <w:t>I synnerhet om en sökande eller förmånstagare vill ha rättsligt bistånd och biträde bör tidsfristerna löpa först från den tidpunkt då advokaten utnämns, det oaktat att sökanden eller förmånstagaren först borde ha underrättats om beslutet.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t xml:space="preserve">, </w:t>
      </w:r>
      <w:r>
        <w:t>Jean Lambert</w:t>
      </w:r>
      <w:r>
        <w:t xml:space="preserve">, </w:t>
      </w:r>
      <w:r>
        <w:t>Bodil Valero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 tidsfrister</w:t>
            </w:r>
            <w:r>
              <w:t xml:space="preserve"> som fastställs i detta stycke ska löpa från den dag då den beslutande myndighetens beslut delges sökanden</w:t>
            </w:r>
            <w:r>
              <w:rPr>
                <w:rFonts w:ascii="Times New Roman" w:eastAsia="Times New Roman" w:hAnsi="Times New Roman" w:cs="Times New Roman"/>
                <w:b/>
                <w:i/>
                <w:strike w:val="0"/>
                <w:color w:val="000000"/>
                <w:sz w:val="24"/>
                <w:highlight w:val="none"/>
                <w:u w:val="none" w:color="auto"/>
              </w:rPr>
              <w:t>, eller från den tidpunkt då den juridiske rådgivaren eller annan rådgivare utnämns,</w:t>
            </w:r>
            <w:r>
              <w:t xml:space="preserve"> </w:t>
            </w:r>
            <w:r>
              <w:rPr>
                <w:rFonts w:ascii="Times New Roman" w:eastAsia="Times New Roman" w:hAnsi="Times New Roman" w:cs="Times New Roman"/>
                <w:b/>
                <w:i/>
                <w:strike w:val="0"/>
                <w:color w:val="000000"/>
                <w:sz w:val="24"/>
                <w:highlight w:val="none"/>
                <w:u w:val="none" w:color="auto"/>
              </w:rPr>
              <w:t>om</w:t>
            </w:r>
            <w:r>
              <w:t xml:space="preserve"> sökanden har lämnat in en begäran om kostnadsfritt rättsligt bistånd och biträde.</w:t>
            </w:r>
          </w:p>
        </w:tc>
        <w:tc>
          <w:tcPr/>
          <w:p>
            <w:pPr>
              <w:pStyle w:val="Normal6"/>
            </w:pPr>
            <w:r>
              <w:rPr>
                <w:rFonts w:ascii="Times New Roman" w:eastAsia="Times New Roman" w:hAnsi="Times New Roman" w:cs="Times New Roman"/>
                <w:b/>
                <w:i/>
                <w:strike w:val="0"/>
                <w:color w:val="000000"/>
                <w:sz w:val="24"/>
                <w:highlight w:val="none"/>
                <w:u w:val="none" w:color="auto"/>
              </w:rPr>
              <w:t>Den tidsfrist</w:t>
            </w:r>
            <w:r>
              <w:t xml:space="preserve"> som fastställs i detta stycke ska löpa från den dag då den beslutande myndighetens beslut delges sökanden</w:t>
            </w:r>
            <w:r>
              <w:rPr>
                <w:rFonts w:ascii="Times New Roman" w:eastAsia="Times New Roman" w:hAnsi="Times New Roman" w:cs="Times New Roman"/>
                <w:b/>
                <w:i/>
                <w:strike w:val="0"/>
                <w:color w:val="000000"/>
                <w:sz w:val="24"/>
                <w:highlight w:val="none"/>
                <w:u w:val="none" w:color="auto"/>
              </w:rPr>
              <w:t>.</w:t>
            </w:r>
            <w:r>
              <w:t xml:space="preserve"> </w:t>
            </w:r>
            <w:r>
              <w:rPr>
                <w:rFonts w:ascii="Times New Roman" w:eastAsia="Times New Roman" w:hAnsi="Times New Roman" w:cs="Times New Roman"/>
                <w:b/>
                <w:i/>
                <w:strike w:val="0"/>
                <w:color w:val="000000"/>
                <w:sz w:val="24"/>
                <w:highlight w:val="none"/>
                <w:u w:val="none" w:color="auto"/>
              </w:rPr>
              <w:t>Om</w:t>
            </w:r>
            <w:r>
              <w:t xml:space="preserve"> sökanden har lämnat in en begäran om kostnadsfritt rättsligt bistånd och biträde</w:t>
            </w:r>
            <w:r>
              <w:rPr>
                <w:rFonts w:ascii="Times New Roman" w:eastAsia="Times New Roman" w:hAnsi="Times New Roman" w:cs="Times New Roman"/>
                <w:b/>
                <w:i/>
                <w:strike w:val="0"/>
                <w:color w:val="000000"/>
                <w:sz w:val="24"/>
                <w:highlight w:val="none"/>
                <w:u w:val="none" w:color="auto"/>
              </w:rPr>
              <w:t xml:space="preserve"> i enlighet med artikel 15.1, ska dessa tidsfrister börja löpa från den dag då den juridiske rådgivaren eller annan rådgivare utnämns</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53 – punkt 6 – stycke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De tidsfrister som fastställs i detta stycke ska löpa från den dag då den beslutande myndighetens beslut delges sökanden</w:t>
            </w:r>
            <w:r>
              <w:rPr>
                <w:rFonts w:ascii="Times New Roman" w:eastAsia="Times New Roman" w:hAnsi="Times New Roman" w:cs="Times New Roman"/>
                <w:b/>
                <w:i/>
                <w:strike w:val="0"/>
                <w:color w:val="000000"/>
                <w:sz w:val="24"/>
                <w:highlight w:val="none"/>
                <w:u w:val="none" w:color="auto"/>
              </w:rPr>
              <w:t>,</w:t>
            </w:r>
            <w:r>
              <w:t xml:space="preserve"> eller från den tidpunkt då den juridiske rådgivaren eller annan rådgivare utnämns</w:t>
            </w:r>
            <w:r>
              <w:rPr>
                <w:rFonts w:ascii="Times New Roman" w:eastAsia="Times New Roman" w:hAnsi="Times New Roman" w:cs="Times New Roman"/>
                <w:b/>
                <w:i/>
                <w:strike w:val="0"/>
                <w:color w:val="000000"/>
                <w:sz w:val="24"/>
                <w:highlight w:val="none"/>
                <w:u w:val="none" w:color="auto"/>
              </w:rPr>
              <w:t>, om sökanden har lämnat in en begäran om kostnadsfritt rättsligt bistånd och biträde</w:t>
            </w:r>
            <w:r>
              <w:t>.</w:t>
            </w:r>
          </w:p>
        </w:tc>
        <w:tc>
          <w:tcPr/>
          <w:p>
            <w:pPr>
              <w:pStyle w:val="Normal6"/>
            </w:pPr>
            <w:r>
              <w:t>De tidsfrister som fastställs i detta stycke ska löpa från den dag då den beslutande myndighetens beslut delges sökanden eller från den tidpunkt då den juridiske rådgivaren eller annan rådgivare utnämns.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En domstol eller tribunal ska ha rätt att avgöra om den sökande får stanna kvar på den ansvariga medlemsstatens territorium, antingen på begäran av sökanden eller ex officio, om beslutet leder till att sökandens rätt att stanna kvar i medlemsstaten upphör till följd av någon av följande kategorier av beslut: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(a)Ett beslut enligt vilket en ansökan anses uppenbart ogrundad eller avslår en ansökan som ogrundad med avseende på flyktingstatus eller status som subsidiärt skyddsbehövande i fall som omfattas av ett påskyndat prövningsförfarande eller gränsförfarande.</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(b)Ett beslut som nekar en ansökan prövning i enlighet med artikel 36.1 a och c.</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(c)Ett beslut som avslår en ansökan som uttryckligen återkallad eller avstådd i enlighet med artikel 38 respektive artikel 39.</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En domstol eller tribunal ska ha rätt att avgöra om den sökande får stanna kvar på den ansvariga medlemsstatens territorium, antingen på begäran av sökanden eller ex officio, om beslutet leder till att sökandens rätt att stanna kvar i medlemsstaten upphör till följd av någon av följande kategorier av beslut: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(a)Ett beslut enligt vilket en ansökan anses uppenbart ogrundad eller avslår en ansökan som ogrundad med avseende på flyktingstatus eller status som subsidiärt skyddsbehövande i fall som omfattas av ett påskyndat prövningsförfarande eller gränsförfarande.</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(b)Ett beslut som nekar en ansökan prövning i enlighet med artikel 36.1 a och c.</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(c)Ett beslut som avslår en ansökan som uttryckligen återkallad eller avstådd i enlighet med artikel 38 respektive artikel 39.</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2.</w:t>
            </w:r>
            <w:r>
              <w:tab/>
            </w:r>
            <w:r>
              <w:rPr>
                <w:rFonts w:ascii="Times New Roman" w:eastAsia="Times New Roman" w:hAnsi="Times New Roman" w:cs="Times New Roman"/>
                <w:b/>
                <w:i/>
                <w:strike w:val="0"/>
                <w:color w:val="000000"/>
                <w:sz w:val="24"/>
                <w:highlight w:val="none"/>
                <w:u w:val="none" w:color="auto"/>
              </w:rPr>
              <w:t>En domstol eller tribunal ska ha rätt att avgöra om den sökande får stanna kvar på den ansvariga medlemsstatens territorium, antingen på begäran av sökanden eller ex officio, om beslutet leder till att sökandens rätt att stanna kvar i medlemsstaten upphör till följd av någon av följande kategorier av beslut: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(a)Ett beslut enligt vilket en ansökan anses uppenbart ogrundad eller avslår en ansökan som ogrundad med avseende på flyktingstatus eller status som subsidiärt skyddsbehövande i fall som omfattas av ett påskyndat prövningsförfarande eller gränsförfarande.</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(b)Ett beslut som nekar en ansökan prövning i enlighet med artikel 36.1 a och c.</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(c)Ett beslut som avslår en ansökan som uttryckligen återkallad eller avstådd i enlighet med artikel 38 respektive artikel 39.</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2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rPr>
                <w:rFonts w:ascii="Times New Roman" w:eastAsia="Times New Roman" w:hAnsi="Times New Roman" w:cs="Times New Roman"/>
                <w:b/>
                <w:i/>
                <w:strike w:val="0"/>
                <w:color w:val="000000"/>
                <w:sz w:val="24"/>
                <w:highlight w:val="none"/>
                <w:u w:val="none" w:color="auto"/>
              </w:rPr>
              <w:t>En domstol eller tribunal ska ha rätt att avgöra om den sökande får stanna kvar på den ansvariga medlemsstatens territorium, antingen på begäran av sökanden eller ex officio, om beslutet leder till att</w:t>
            </w:r>
            <w:r>
              <w:t xml:space="preserve"> sökandens rätt att stanna kvar i medlemsstaten </w:t>
            </w:r>
            <w:r>
              <w:rPr>
                <w:rFonts w:ascii="Times New Roman" w:eastAsia="Times New Roman" w:hAnsi="Times New Roman" w:cs="Times New Roman"/>
                <w:b/>
                <w:i/>
                <w:strike w:val="0"/>
                <w:color w:val="000000"/>
                <w:sz w:val="24"/>
                <w:highlight w:val="none"/>
                <w:u w:val="none" w:color="auto"/>
              </w:rPr>
              <w:t>upphör</w:t>
            </w:r>
            <w:r>
              <w:t xml:space="preserve"> till följd av någon av följande kategorier av beslut:</w:t>
            </w:r>
          </w:p>
        </w:tc>
        <w:tc>
          <w:tcPr/>
          <w:p>
            <w:pPr>
              <w:pStyle w:val="Normal6"/>
            </w:pPr>
            <w:r>
              <w:t>2.</w:t>
            </w:r>
            <w:r>
              <w:tab/>
            </w:r>
            <w:r>
              <w:rPr>
                <w:rFonts w:ascii="Times New Roman" w:eastAsia="Times New Roman" w:hAnsi="Times New Roman" w:cs="Times New Roman"/>
                <w:b/>
                <w:i/>
                <w:strike w:val="0"/>
                <w:color w:val="000000"/>
                <w:sz w:val="24"/>
                <w:highlight w:val="none"/>
                <w:u w:val="none" w:color="auto"/>
              </w:rPr>
              <w:t>Utan att det påverkar tillämpningen av punkt 1 ska</w:t>
            </w:r>
            <w:r>
              <w:t xml:space="preserve"> sökandens rätt att stanna kvar i medlemsstaten </w:t>
            </w:r>
            <w:r>
              <w:rPr>
                <w:rFonts w:ascii="Times New Roman" w:eastAsia="Times New Roman" w:hAnsi="Times New Roman" w:cs="Times New Roman"/>
                <w:b/>
                <w:i/>
                <w:strike w:val="0"/>
                <w:color w:val="000000"/>
                <w:sz w:val="24"/>
                <w:highlight w:val="none"/>
                <w:u w:val="none" w:color="auto"/>
              </w:rPr>
              <w:t>upphöra</w:t>
            </w:r>
            <w:r>
              <w:t xml:space="preserve"> till följd av någon av följande kategorier av beslut: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stycke 2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Ett beslut enligt vilket en ansökan anses uppenbart ogrundad eller avslår en ansökan som ogrundad med avseende på flyktingstatus eller status som subsidiärt skyddsbehövande i fall som omfattas av ett påskyndat prövningsförfarande eller gränsförfarande.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Rätten till vistelse är av central betydelse för en ansökan om internationellt skydd, och möjligheten att överklaga ett beslut om att avslå en ansökan är lika central.</w:t>
      </w:r>
      <w:r>
        <w:t>Det kan finnas omständigheter efter en efterföljande ansökan, eller där den ursprungliga ansökan uttryckligen återkallats, där det är rimligt att låta en domstol avgöra om sökanden kan få stanna på territoriet. I annat fall bör ett överklagande alltid ha suspensiv verkan.</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2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t>Ett beslut som nekar en ansökan prövning i enlighet med artikel 36.1 a och c.</w:t>
            </w:r>
          </w:p>
        </w:tc>
        <w:tc>
          <w:tcPr/>
          <w:p>
            <w:pPr>
              <w:pStyle w:val="Normal6"/>
            </w:pPr>
            <w:r>
              <w:rPr>
                <w:rFonts w:ascii="Times New Roman" w:eastAsia="Times New Roman" w:hAnsi="Times New Roman" w:cs="Times New Roman"/>
                <w:b/>
                <w:i/>
                <w:strike w:val="0"/>
                <w:color w:val="000000"/>
                <w:sz w:val="24"/>
                <w:highlight w:val="none"/>
                <w:u w:val="none" w:color="auto"/>
              </w:rPr>
              <w:t>b)</w:t>
            </w:r>
            <w:r>
              <w:tab/>
            </w:r>
            <w:r>
              <w:t>Ett beslut som nekar en ansökan prövning i enlighet med artikel 36.1 a</w:t>
            </w:r>
            <w:r>
              <w:rPr>
                <w:rFonts w:ascii="Times New Roman" w:eastAsia="Times New Roman" w:hAnsi="Times New Roman" w:cs="Times New Roman"/>
                <w:b/>
                <w:i/>
                <w:strike w:val="0"/>
                <w:color w:val="000000"/>
                <w:sz w:val="24"/>
                <w:highlight w:val="none"/>
                <w:u w:val="none" w:color="auto"/>
              </w:rPr>
              <w:t>, b</w:t>
            </w:r>
            <w:r>
              <w:t xml:space="preserve"> och c.</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2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t>Ett beslut som nekar en ansökan prövning i enlighet med artikel 36.1</w:t>
            </w:r>
            <w:r>
              <w:rPr>
                <w:rFonts w:ascii="Times New Roman" w:eastAsia="Times New Roman" w:hAnsi="Times New Roman" w:cs="Times New Roman"/>
                <w:b/>
                <w:i/>
                <w:strike w:val="0"/>
                <w:color w:val="000000"/>
                <w:sz w:val="24"/>
                <w:highlight w:val="none"/>
                <w:u w:val="none" w:color="auto"/>
              </w:rPr>
              <w:t xml:space="preserve"> a och</w:t>
            </w:r>
            <w:r>
              <w:t xml:space="preserve"> c.</w:t>
            </w:r>
          </w:p>
        </w:tc>
        <w:tc>
          <w:tcPr/>
          <w:p>
            <w:pPr>
              <w:pStyle w:val="Normal6"/>
            </w:pPr>
            <w:r>
              <w:rPr>
                <w:rFonts w:ascii="Times New Roman" w:eastAsia="Times New Roman" w:hAnsi="Times New Roman" w:cs="Times New Roman"/>
                <w:b/>
                <w:i/>
                <w:strike w:val="0"/>
                <w:color w:val="000000"/>
                <w:sz w:val="24"/>
                <w:highlight w:val="none"/>
                <w:u w:val="none" w:color="auto"/>
              </w:rPr>
              <w:t>b)</w:t>
            </w:r>
            <w:r>
              <w:tab/>
            </w:r>
            <w:r>
              <w:t>Ett beslut som nekar en ansökan prövning i enlighet med artikel 36.1 c.</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2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(c)</w:t>
            </w:r>
            <w:r>
              <w:tab/>
            </w:r>
            <w:r>
              <w:t>Ett beslut som avslår en ansökan som uttryckligen återkallad</w:t>
            </w:r>
            <w:r>
              <w:rPr>
                <w:rFonts w:ascii="Times New Roman" w:eastAsia="Times New Roman" w:hAnsi="Times New Roman" w:cs="Times New Roman"/>
                <w:b/>
                <w:i/>
                <w:strike w:val="0"/>
                <w:color w:val="000000"/>
                <w:sz w:val="24"/>
                <w:highlight w:val="none"/>
                <w:u w:val="none" w:color="auto"/>
              </w:rPr>
              <w:t xml:space="preserve"> eller avstådd</w:t>
            </w:r>
            <w:r>
              <w:t xml:space="preserve"> i enlighet med artikel 38</w:t>
            </w:r>
            <w:r>
              <w:rPr>
                <w:rFonts w:ascii="Times New Roman" w:eastAsia="Times New Roman" w:hAnsi="Times New Roman" w:cs="Times New Roman"/>
                <w:b/>
                <w:i/>
                <w:strike w:val="0"/>
                <w:color w:val="000000"/>
                <w:sz w:val="24"/>
                <w:highlight w:val="none"/>
                <w:u w:val="none" w:color="auto"/>
              </w:rPr>
              <w:t xml:space="preserve"> respektive artikel 39</w:t>
            </w:r>
            <w:r>
              <w:t>.</w:t>
            </w:r>
          </w:p>
        </w:tc>
        <w:tc>
          <w:tcPr/>
          <w:p>
            <w:pPr>
              <w:pStyle w:val="Normal6"/>
            </w:pPr>
            <w:r>
              <w:rPr>
                <w:rFonts w:ascii="Times New Roman" w:eastAsia="Times New Roman" w:hAnsi="Times New Roman" w:cs="Times New Roman"/>
                <w:b/>
                <w:i/>
                <w:strike w:val="0"/>
                <w:color w:val="000000"/>
                <w:sz w:val="24"/>
                <w:highlight w:val="none"/>
                <w:u w:val="none" w:color="auto"/>
              </w:rPr>
              <w:t>c)</w:t>
            </w:r>
            <w:r>
              <w:tab/>
            </w:r>
            <w:r>
              <w:t>Ett beslut som avslår en ansökan som uttryckligen återkallad i enlighet med artikel 38.</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2 – led ca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t>ca)</w:t>
            </w:r>
            <w:r>
              <w:tab/>
            </w:r>
            <w:r>
              <w:rPr>
                <w:rFonts w:ascii="Times New Roman" w:eastAsia="Times New Roman" w:hAnsi="Times New Roman" w:cs="Times New Roman"/>
                <w:b/>
                <w:i/>
                <w:strike w:val="0"/>
                <w:color w:val="000000"/>
                <w:sz w:val="24"/>
                <w:highlight w:val="none"/>
                <w:u w:val="none" w:color="auto"/>
              </w:rPr>
              <w:t>Ett administrativt eller rättsligt beslut som visar att överklagarens vistelse på medlemsstatens territorium utgör en fara för den inre säkerheten eller den allmänna ordningen.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En domstol eller tribunal ska ha rätt att avgöra om den sökande får stanna kvar på den ansvariga medlemsstatens territorium förutsatt att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(a)sökanden har tillgång till nödvändig tolkning och nödvändigt rättsligt bistånd och biträde samt har tillräckligt med tid på sig att förbereda sin begäran och att för domstolen lägga fram de argument som talar för att låta honom eller henne stanna kvar på territoriet i avvaktan på resultatet av förfarandet, och</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(b)domstolen eller tribunalen, inom ramen för en prövning av en begäran om att få stanna kvar på den ansvariga medlemsstatens territorium, prövar beslutet om att inte bevilja internationellt skydd med avseende på faktiska och rättsliga omständigheter.</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En domstol eller tribunal ska ha rätt att avgöra om den sökande får stanna kvar på den ansvariga medlemsstatens territorium förutsatt att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(a)sökanden har tillgång till nödvändig tolkning och nödvändigt rättsligt bistånd och biträde samt har tillräckligt med tid på sig att förbereda sin begäran och att för domstolen lägga fram de argument som talar för att låta honom eller henne stanna kvar på territoriet i avvaktan på resultatet av förfarandet, och</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(b)domstolen eller tribunalen, inom ramen för en prövning av en begäran om att få stanna kvar på den ansvariga medlemsstatens territorium, prövar beslutet om att inte bevilja internationellt skydd med avseende på faktiska och rättsliga omständigheter.</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En domstol eller tribunal ska ha rätt att avgöra om den sökande får stanna kvar på den ansvariga medlemsstatens territorium förutsatt att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(a)sökanden har tillgång till nödvändig tolkning och nödvändigt rättsligt bistånd och biträde samt har tillräckligt med tid på sig att förbereda sin begäran och att för domstolen lägga fram de argument som talar för att låta honom eller henne stanna kvar på territoriet i avvaktan på resultatet av förfarandet, och</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(b)domstolen eller tribunalen, inom ramen för en prövning av en begäran om att få stanna kvar på den ansvariga medlemsstatens territorium, prövar beslutet om att inte bevilja internationellt skydd med avseende på faktiska och rättsliga omständigheter.</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3.</w:t>
            </w:r>
            <w:r>
              <w:tab/>
            </w:r>
            <w:r>
              <w:rPr>
                <w:rFonts w:ascii="Times New Roman" w:eastAsia="Times New Roman" w:hAnsi="Times New Roman" w:cs="Times New Roman"/>
                <w:b/>
                <w:i/>
                <w:strike w:val="0"/>
                <w:color w:val="000000"/>
                <w:sz w:val="24"/>
                <w:highlight w:val="none"/>
                <w:u w:val="none" w:color="auto"/>
              </w:rPr>
              <w:t>En domstol eller tribunal ska ha rätt att avgöra om den sökande får stanna kvar på den ansvariga medlemsstatens territorium förutsatt att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(a)sökanden har tillgång till nödvändig tolkning och nödvändigt rättsligt bistånd och biträde samt har tillräckligt med tid på sig att förbereda sin begäran och att för domstolen lägga fram de argument som talar för att låta honom eller henne stanna kvar på territoriet i avvaktan på resultatet av förfarandet, och</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(b)domstolen eller tribunalen, inom ramen för en prövning av en begäran om att få stanna kvar på den ansvariga medlemsstatens territorium, prövar beslutet om att inte bevilja internationellt skydd med avseende på faktiska och rättsliga omständigheter.</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w:t>
            </w:r>
            <w:r>
              <w:tab/>
            </w:r>
            <w:r>
              <w:rPr>
                <w:rFonts w:ascii="Times New Roman" w:eastAsia="Times New Roman" w:hAnsi="Times New Roman" w:cs="Times New Roman"/>
                <w:b/>
                <w:i/>
                <w:strike w:val="0"/>
                <w:color w:val="000000"/>
                <w:sz w:val="24"/>
                <w:highlight w:val="none"/>
                <w:u w:val="none" w:color="auto"/>
              </w:rPr>
              <w:t>Medlemsstaterna ska tillåta sökanden att stanna kvar på deras territorium i avvaktan på resultatet av förfarandet för att avgöra om sökanden får stanna kvar på territoriet. Beslutet ska fattas inom en månad från inlämnandet av överklagandet.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w:t>
            </w:r>
            <w:r>
              <w:tab/>
            </w:r>
            <w:r>
              <w:rPr>
                <w:rFonts w:ascii="Times New Roman" w:eastAsia="Times New Roman" w:hAnsi="Times New Roman" w:cs="Times New Roman"/>
                <w:b/>
                <w:i/>
                <w:strike w:val="0"/>
                <w:color w:val="000000"/>
                <w:sz w:val="24"/>
                <w:highlight w:val="none"/>
                <w:u w:val="none" w:color="auto"/>
              </w:rPr>
              <w:t>Medlemsstaterna ska tillåta sökanden att stanna kvar på deras territorium i avvaktan på resultatet av förfarandet för att avgöra om sökanden får stanna kvar på territoriet. Beslutet ska fattas inom en månad från inlämnandet av överklagandet.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4.</w:t>
            </w:r>
            <w:r>
              <w:tab/>
            </w:r>
            <w:r>
              <w:rPr>
                <w:rFonts w:ascii="Times New Roman" w:eastAsia="Times New Roman" w:hAnsi="Times New Roman" w:cs="Times New Roman"/>
                <w:b/>
                <w:i/>
                <w:strike w:val="0"/>
                <w:color w:val="000000"/>
                <w:sz w:val="24"/>
                <w:highlight w:val="none"/>
                <w:u w:val="none" w:color="auto"/>
              </w:rPr>
              <w:t>Medlemsstaterna ska tillåta sökanden att stanna kvar på deras territorium i avvaktan på resultatet av förfarandet för att avgöra om sökanden får stanna kvar på territoriet. Beslutet ska fattas inom en månad från inlämnandet av överklagandet.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w:t>
            </w:r>
            <w:r>
              <w:tab/>
            </w:r>
            <w:r>
              <w:rPr>
                <w:rFonts w:ascii="Times New Roman" w:eastAsia="Times New Roman" w:hAnsi="Times New Roman" w:cs="Times New Roman"/>
                <w:b/>
                <w:i/>
                <w:strike w:val="0"/>
                <w:color w:val="000000"/>
                <w:sz w:val="24"/>
                <w:highlight w:val="none"/>
                <w:u w:val="none" w:color="auto"/>
              </w:rPr>
              <w:t>En sökande som lämnar in ett ytterligare överklagande mot ett första eller efterföljande överklagandebeslut ska inte ha rätt att stanna kvar på medlemsstatens territorium om inte en domstol eller tribunal fattar något annat beslut på begäran av sökanden eller ex officio. Beslutet ska fattas inom en månad från inlämnandet av det ytterligare överklagandet.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w:t>
            </w:r>
            <w:r>
              <w:tab/>
            </w:r>
            <w:r>
              <w:rPr>
                <w:rFonts w:ascii="Times New Roman" w:eastAsia="Times New Roman" w:hAnsi="Times New Roman" w:cs="Times New Roman"/>
                <w:b/>
                <w:i/>
                <w:strike w:val="0"/>
                <w:color w:val="000000"/>
                <w:sz w:val="24"/>
                <w:highlight w:val="none"/>
                <w:u w:val="none" w:color="auto"/>
              </w:rPr>
              <w:t>En sökande som lämnar in ett ytterligare överklagande mot ett första eller efterföljande överklagandebeslut ska inte ha rätt att stanna kvar på medlemsstatens territorium om inte en domstol eller tribunal fattar något annat beslut på begäran av sökanden eller ex officio. Beslutet ska fattas inom en månad från inlämnandet av det ytterligare överklagandet.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5.</w:t>
            </w:r>
            <w:r>
              <w:tab/>
            </w:r>
            <w:r>
              <w:rPr>
                <w:rFonts w:ascii="Times New Roman" w:eastAsia="Times New Roman" w:hAnsi="Times New Roman" w:cs="Times New Roman"/>
                <w:b/>
                <w:i/>
                <w:strike w:val="0"/>
                <w:color w:val="000000"/>
                <w:sz w:val="24"/>
                <w:highlight w:val="none"/>
                <w:u w:val="none" w:color="auto"/>
              </w:rPr>
              <w:t>En sökande som lämnar in ett ytterligare överklagande mot ett första eller efterföljande överklagandebeslut ska inte ha rätt att stanna kvar på medlemsstatens territorium om inte en domstol eller tribunal fattar något annat beslut på begäran av sökanden eller ex officio. Beslutet ska fattas inom en månad från inlämnandet av det ytterligare överklagandet.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54 – 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En sökande som lämnar in ett ytterligare överklagande mot ett första eller efterföljande överklagandebeslut ska inte ha rätt att stanna kvar på medlemsstatens territorium</w:t>
            </w:r>
            <w:r>
              <w:rPr>
                <w:rFonts w:ascii="Times New Roman" w:eastAsia="Times New Roman" w:hAnsi="Times New Roman" w:cs="Times New Roman"/>
                <w:b/>
                <w:i/>
                <w:strike w:val="0"/>
                <w:color w:val="000000"/>
                <w:sz w:val="24"/>
                <w:highlight w:val="none"/>
                <w:u w:val="none" w:color="auto"/>
              </w:rPr>
              <w:t xml:space="preserve"> om inte en domstol eller tribunal fattar något annat beslut på begäran av sökanden eller ex officio. Beslutet ska fattas inom en månad från inlämnandet av det ytterligare överklagandet</w:t>
            </w:r>
            <w:r>
              <w:t>.</w:t>
            </w:r>
          </w:p>
        </w:tc>
        <w:tc>
          <w:tcPr/>
          <w:p>
            <w:pPr>
              <w:pStyle w:val="Normal6"/>
            </w:pPr>
            <w:r>
              <w:t>5.</w:t>
            </w:r>
            <w:r>
              <w:tab/>
            </w:r>
            <w:r>
              <w:t>En sökande som lämnar in ett ytterligare överklagande mot ett första eller efterföljande överklagandebeslut ska inte ha rätt att stanna kvar på medlemsstatens territorium.</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Maria Grapini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55 – punkt 1 – inledningen</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1.</w:t>
            </w:r>
            <w:r>
              <w:tab/>
            </w:r>
            <w:r>
              <w:t xml:space="preserve">Utan åsidosättande av kraven på en adekvat och fullständig prövning av ett överklagande ska domstolarna eller tribunalerna i det första överklagandet fatta beslut inom </w:t>
            </w:r>
            <w:r>
              <w:rPr>
                <w:rFonts w:ascii="Times New Roman" w:eastAsia="Times New Roman" w:hAnsi="Times New Roman" w:cs="Times New Roman"/>
                <w:b/>
                <w:i/>
                <w:strike w:val="0"/>
                <w:color w:val="000000"/>
                <w:sz w:val="24"/>
                <w:highlight w:val="none"/>
                <w:u w:val="none" w:color="auto"/>
              </w:rPr>
              <w:t>följande tidsfrister</w:t>
            </w:r>
            <w:r>
              <w:t xml:space="preserve"> från inlämnandet av överklagandet:</w:t>
            </w:r>
          </w:p>
        </w:tc>
        <w:tc>
          <w:tcPr/>
          <w:p>
            <w:pPr>
              <w:pStyle w:val="Normal6"/>
            </w:pPr>
            <w:r>
              <w:t>1.</w:t>
            </w:r>
            <w:r>
              <w:tab/>
            </w:r>
            <w:r>
              <w:t>Utan åsidosättande av kraven på en adekvat och fullständig prövning av ett överklagande ska domstolarna eller tribunalerna i det första överklagandet fatta beslut inom </w:t>
            </w:r>
            <w:r>
              <w:rPr>
                <w:rFonts w:ascii="Times New Roman" w:eastAsia="Times New Roman" w:hAnsi="Times New Roman" w:cs="Times New Roman"/>
                <w:b/>
                <w:i/>
                <w:strike w:val="0"/>
                <w:color w:val="000000"/>
                <w:sz w:val="24"/>
                <w:highlight w:val="none"/>
                <w:u w:val="none" w:color="auto"/>
              </w:rPr>
              <w:t>en rimlig tidsfrist</w:t>
            </w:r>
            <w:r>
              <w:t xml:space="preserve"> från inlämnandet av överklagandet: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RO</w:t>
      </w:r>
      <w:r>
        <w:rPr>
          <w:rStyle w:val="HideTWBInt"/>
        </w:rPr>
        <w:t>}</w:t>
      </w:r>
      <w:r>
        <w:t>ro</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 tidsfrister som föreslås i förordningen skulle kunna få Ceas att kärva om ett oproportionerligt antal ansökningar inkommer samtidigt.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55 – stycke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Inom sex</w:t>
            </w:r>
            <w:r>
              <w:t xml:space="preserve"> månader</w:t>
            </w:r>
            <w:r>
              <w:rPr>
                <w:rFonts w:ascii="Times New Roman" w:eastAsia="Times New Roman" w:hAnsi="Times New Roman" w:cs="Times New Roman"/>
                <w:b/>
                <w:i/>
                <w:strike w:val="0"/>
                <w:color w:val="000000"/>
                <w:sz w:val="24"/>
                <w:highlight w:val="none"/>
                <w:u w:val="none" w:color="auto"/>
              </w:rPr>
              <w:t>,</w:t>
            </w:r>
            <w:r>
              <w:t xml:space="preserve"> när det rör sig om ett beslut om att avslå ansökan som ogrundad med avseende på flyktingstatus eller status som subsidiärt skyddsbehövande, om prövningen inte påskyndats, eller mot ett beslut om att återkalla internationellt skydd.</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rPr>
                <w:rFonts w:ascii="Times New Roman" w:eastAsia="Times New Roman" w:hAnsi="Times New Roman" w:cs="Times New Roman"/>
                <w:b/>
                <w:i/>
                <w:strike w:val="0"/>
                <w:color w:val="000000"/>
                <w:sz w:val="24"/>
                <w:highlight w:val="none"/>
                <w:u w:val="none" w:color="auto"/>
              </w:rPr>
              <w:t>Inom fem</w:t>
            </w:r>
            <w:r>
              <w:t xml:space="preserve"> månader när det rör sig om ett beslut om att avslå ansökan som ogrundad med avseende på flyktingstatus eller status som subsidiärt skyddsbehövande, om prövningen inte påskyndats, eller mot ett beslut om att återkalla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55 – stycke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w:t>
            </w:r>
            <w:r>
              <w:tab/>
            </w:r>
            <w:r>
              <w:t>Inom sex månader</w:t>
            </w:r>
            <w:r>
              <w:rPr>
                <w:rFonts w:ascii="Times New Roman" w:eastAsia="Times New Roman" w:hAnsi="Times New Roman" w:cs="Times New Roman"/>
                <w:b/>
                <w:i/>
                <w:strike w:val="0"/>
                <w:color w:val="000000"/>
                <w:sz w:val="24"/>
                <w:highlight w:val="none"/>
                <w:u w:val="none" w:color="auto"/>
              </w:rPr>
              <w:t>,</w:t>
            </w:r>
            <w:r>
              <w:t xml:space="preserve"> när det rör sig om ett beslut om att avslå ansökan som ogrundad med avseende på flyktingstatus</w:t>
            </w:r>
            <w:r>
              <w:rPr>
                <w:rFonts w:ascii="Times New Roman" w:eastAsia="Times New Roman" w:hAnsi="Times New Roman" w:cs="Times New Roman"/>
                <w:b/>
                <w:i/>
                <w:strike w:val="0"/>
                <w:color w:val="000000"/>
                <w:sz w:val="24"/>
                <w:highlight w:val="none"/>
                <w:u w:val="none" w:color="auto"/>
              </w:rPr>
              <w:t xml:space="preserve"> eller status som subsidiärt skyddsbehövande</w:t>
            </w:r>
            <w:r>
              <w:t>, om prövningen inte påskyndats, eller mot ett beslut om att återkalla internationellt skydd.</w:t>
            </w:r>
          </w:p>
        </w:tc>
        <w:tc>
          <w:tcPr/>
          <w:p>
            <w:pPr>
              <w:pStyle w:val="Normal6"/>
            </w:pPr>
            <w:r>
              <w:rPr>
                <w:rFonts w:ascii="Times New Roman" w:eastAsia="Times New Roman" w:hAnsi="Times New Roman" w:cs="Times New Roman"/>
                <w:b/>
                <w:i/>
                <w:strike w:val="0"/>
                <w:color w:val="000000"/>
                <w:sz w:val="24"/>
                <w:highlight w:val="none"/>
                <w:u w:val="none" w:color="auto"/>
              </w:rPr>
              <w:t>a)</w:t>
            </w:r>
            <w:r>
              <w:tab/>
            </w:r>
            <w:r>
              <w:t>Inom sex månader när det rör sig om ett beslut om att avslå ansökan som ogrundad med avseende på flyktingstatus, om prövningen inte påskyndats, eller mot ett beslut om att återkalla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Maria Grapini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55 – punkt 1 – led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(a)</w:t>
            </w:r>
            <w:r>
              <w:tab/>
            </w:r>
            <w:r>
              <w:rPr>
                <w:rFonts w:ascii="Times New Roman" w:eastAsia="Times New Roman" w:hAnsi="Times New Roman" w:cs="Times New Roman"/>
                <w:b/>
                <w:i/>
                <w:strike w:val="0"/>
                <w:color w:val="000000"/>
                <w:sz w:val="24"/>
                <w:highlight w:val="none"/>
                <w:u w:val="none" w:color="auto"/>
              </w:rPr>
              <w:t xml:space="preserve">Inom sex månader, </w:t>
            </w:r>
            <w:r>
              <w:rPr>
                <w:rFonts w:ascii="Times New Roman" w:eastAsia="Times New Roman" w:hAnsi="Times New Roman" w:cs="Times New Roman"/>
                <w:b/>
                <w:i/>
                <w:strike w:val="0"/>
                <w:color w:val="000000"/>
                <w:sz w:val="24"/>
                <w:highlight w:val="none"/>
                <w:u w:val="none" w:color="auto"/>
              </w:rPr>
              <w:t>när</w:t>
            </w:r>
            <w:r>
              <w:t xml:space="preserve"> det rör sig om ett beslut om att avslå ansökan som ogrundad med avseende på flyktingstatus eller status som subsidiärt skyddsbehövande, om prövningen inte påskyndats, eller mot ett beslut om att återkalla internationellt skydd.</w:t>
            </w:r>
          </w:p>
        </w:tc>
        <w:tc>
          <w:tcPr/>
          <w:p>
            <w:pPr>
              <w:pStyle w:val="Normal6"/>
            </w:pPr>
            <w:r>
              <w:t>(a)</w:t>
            </w:r>
            <w:r>
              <w:tab/>
            </w:r>
            <w:r>
              <w:rPr>
                <w:rFonts w:ascii="Times New Roman" w:eastAsia="Times New Roman" w:hAnsi="Times New Roman" w:cs="Times New Roman"/>
                <w:b/>
                <w:i/>
                <w:strike w:val="0"/>
                <w:color w:val="000000"/>
                <w:sz w:val="24"/>
                <w:highlight w:val="none"/>
                <w:u w:val="none" w:color="auto"/>
              </w:rPr>
              <w:t>När</w:t>
            </w:r>
            <w:r>
              <w:t xml:space="preserve"> det rör sig om ett beslut om att avslå ansökan som ogrundad med avseende på flyktingstatus eller status som subsidiärt skyddsbehövande, om prövningen inte påskyndats, eller mot ett beslut om att återkalla internationellt skydd.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RO</w:t>
      </w:r>
      <w:r>
        <w:rPr>
          <w:rStyle w:val="HideTWBInt"/>
        </w:rPr>
        <w:t>}</w:t>
      </w:r>
      <w:r>
        <w:t>ro</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Beatrix von Storch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55 – punkt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w:t>
            </w:r>
            <w:r>
              <w:tab/>
            </w:r>
            <w:r>
              <w:t>Inom två månader</w:t>
            </w:r>
            <w:r>
              <w:rPr>
                <w:rFonts w:ascii="Times New Roman" w:eastAsia="Times New Roman" w:hAnsi="Times New Roman" w:cs="Times New Roman"/>
                <w:b/>
                <w:i/>
                <w:strike w:val="0"/>
                <w:color w:val="000000"/>
                <w:sz w:val="24"/>
                <w:highlight w:val="none"/>
                <w:u w:val="none" w:color="auto"/>
              </w:rPr>
              <w:t>,</w:t>
            </w:r>
            <w:r>
              <w:t xml:space="preserve"> när det rör sig om ett beslut om att neka en ansökan prövning, eller ett beslut om att avslå en ansökan som uttryckligen återkallad eller som avstådd, eller som ogrundad eller uppenbart ogrundad med avseende på flyktingstatus</w:t>
            </w:r>
            <w:r>
              <w:rPr>
                <w:rFonts w:ascii="Times New Roman" w:eastAsia="Times New Roman" w:hAnsi="Times New Roman" w:cs="Times New Roman"/>
                <w:b/>
                <w:i/>
                <w:strike w:val="0"/>
                <w:color w:val="000000"/>
                <w:sz w:val="24"/>
                <w:highlight w:val="none"/>
                <w:u w:val="none" w:color="auto"/>
              </w:rPr>
              <w:t xml:space="preserve"> eller status som subsidiärt skyddsbehövande</w:t>
            </w:r>
            <w:r>
              <w:t>, till följd av ett påskyndat prövningsförfarande eller ett gränsförfarande eller medan sökanden hålls i förvar.</w:t>
            </w:r>
          </w:p>
        </w:tc>
        <w:tc>
          <w:tcPr/>
          <w:p>
            <w:pPr>
              <w:pStyle w:val="Normal6"/>
            </w:pPr>
            <w:r>
              <w:rPr>
                <w:rFonts w:ascii="Times New Roman" w:eastAsia="Times New Roman" w:hAnsi="Times New Roman" w:cs="Times New Roman"/>
                <w:b/>
                <w:i/>
                <w:strike w:val="0"/>
                <w:color w:val="000000"/>
                <w:sz w:val="24"/>
                <w:highlight w:val="none"/>
                <w:u w:val="none" w:color="auto"/>
              </w:rPr>
              <w:t>b)</w:t>
            </w:r>
            <w:r>
              <w:tab/>
            </w:r>
            <w:r>
              <w:t>Inom två månader när det rör sig om ett beslut om att neka en ansökan prövning, eller</w:t>
            </w:r>
            <w:r>
              <w:rPr>
                <w:rFonts w:ascii="Times New Roman" w:eastAsia="Times New Roman" w:hAnsi="Times New Roman" w:cs="Times New Roman"/>
                <w:b/>
                <w:i/>
                <w:strike w:val="0"/>
                <w:color w:val="000000"/>
                <w:sz w:val="24"/>
                <w:highlight w:val="none"/>
                <w:u w:val="none" w:color="auto"/>
              </w:rPr>
              <w:t>mot</w:t>
            </w:r>
            <w:r>
              <w:t>ett beslut om att avslå en ansökan som uttryckligen återkallad eller som avstådd, eller som ogrundad eller uppenbart ogrundad med avseende på flyktingstatus, till följd av ett påskyndat prövningsförfarande eller ett gränsförfarande eller medan sökanden hålls i förvar.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Maria Grapini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55 – punkt 1 – led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(b)</w:t>
            </w:r>
            <w:r>
              <w:tab/>
            </w:r>
            <w:r>
              <w:rPr>
                <w:rFonts w:ascii="Times New Roman" w:eastAsia="Times New Roman" w:hAnsi="Times New Roman" w:cs="Times New Roman"/>
                <w:b/>
                <w:i/>
                <w:strike w:val="0"/>
                <w:color w:val="000000"/>
                <w:sz w:val="24"/>
                <w:highlight w:val="none"/>
                <w:u w:val="none" w:color="auto"/>
              </w:rPr>
              <w:t xml:space="preserve">Inom två månader, </w:t>
            </w:r>
            <w:r>
              <w:rPr>
                <w:rFonts w:ascii="Times New Roman" w:eastAsia="Times New Roman" w:hAnsi="Times New Roman" w:cs="Times New Roman"/>
                <w:b/>
                <w:i/>
                <w:strike w:val="0"/>
                <w:color w:val="000000"/>
                <w:sz w:val="24"/>
                <w:highlight w:val="none"/>
                <w:u w:val="none" w:color="auto"/>
              </w:rPr>
              <w:t>när</w:t>
            </w:r>
            <w:r>
              <w:t xml:space="preserve"> det rör sig om ett beslut om att neka en ansökan prövning, eller ett beslut om att avslå en ansökan som uttryckligen återkallad eller som avstådd, eller som ogrundad eller uppenbart ogrundad med avseende på flyktingstatus eller status som subsidiärt skyddsbehövande, till följd av ett påskyndat prövningsförfarande eller ett gränsförfarande eller medan sökanden hålls i förvar.</w:t>
            </w:r>
          </w:p>
        </w:tc>
        <w:tc>
          <w:tcPr/>
          <w:p>
            <w:pPr>
              <w:pStyle w:val="Normal6"/>
            </w:pPr>
            <w:r>
              <w:t>(b)</w:t>
            </w:r>
            <w:r>
              <w:tab/>
            </w:r>
            <w:r>
              <w:rPr>
                <w:rFonts w:ascii="Times New Roman" w:eastAsia="Times New Roman" w:hAnsi="Times New Roman" w:cs="Times New Roman"/>
                <w:b/>
                <w:i/>
                <w:strike w:val="0"/>
                <w:color w:val="000000"/>
                <w:sz w:val="24"/>
                <w:highlight w:val="none"/>
                <w:u w:val="none" w:color="auto"/>
              </w:rPr>
              <w:t>När</w:t>
            </w:r>
            <w:r>
              <w:t xml:space="preserve"> det rör sig om ett beslut om att neka en ansökan prövning, eller ett beslut om att avslå en ansökan som uttryckligen återkallad eller som avstådd, eller som ogrundad eller uppenbart ogrundad med avseende på flyktingstatus eller status som subsidiärt skyddsbehövande, till följd av ett påskyndat prövningsförfarande eller ett gränsförfarande eller medan sökanden hålls i förvar.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RO</w:t>
      </w:r>
      <w:r>
        <w:rPr>
          <w:rStyle w:val="HideTWBInt"/>
        </w:rPr>
        <w:t>}</w:t>
      </w:r>
      <w:r>
        <w:t>ro</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Maria Grapini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55 – punkt 1 – led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(c)</w:t>
            </w:r>
            <w:r>
              <w:tab/>
            </w:r>
            <w:r>
              <w:rPr>
                <w:rFonts w:ascii="Times New Roman" w:eastAsia="Times New Roman" w:hAnsi="Times New Roman" w:cs="Times New Roman"/>
                <w:b/>
                <w:i/>
                <w:strike w:val="0"/>
                <w:color w:val="000000"/>
                <w:sz w:val="24"/>
                <w:highlight w:val="none"/>
                <w:u w:val="none" w:color="auto"/>
              </w:rPr>
              <w:t xml:space="preserve">Inom en månad, </w:t>
            </w:r>
            <w:r>
              <w:rPr>
                <w:rFonts w:ascii="Times New Roman" w:eastAsia="Times New Roman" w:hAnsi="Times New Roman" w:cs="Times New Roman"/>
                <w:b/>
                <w:i/>
                <w:strike w:val="0"/>
                <w:color w:val="000000"/>
                <w:sz w:val="24"/>
                <w:highlight w:val="none"/>
                <w:u w:val="none" w:color="auto"/>
              </w:rPr>
              <w:t>när</w:t>
            </w:r>
            <w:r>
              <w:t xml:space="preserve"> det rör sig om ett beslut om att neka en efterföljande ansökan prövning eller mot ett beslut om att avslå ansökan som ogrundad.</w:t>
            </w:r>
          </w:p>
        </w:tc>
        <w:tc>
          <w:tcPr/>
          <w:p>
            <w:pPr>
              <w:pStyle w:val="Normal6"/>
            </w:pPr>
            <w:r>
              <w:t>(c)</w:t>
            </w:r>
            <w:r>
              <w:tab/>
            </w:r>
            <w:r>
              <w:rPr>
                <w:rFonts w:ascii="Times New Roman" w:eastAsia="Times New Roman" w:hAnsi="Times New Roman" w:cs="Times New Roman"/>
                <w:b/>
                <w:i/>
                <w:strike w:val="0"/>
                <w:color w:val="000000"/>
                <w:sz w:val="24"/>
                <w:highlight w:val="none"/>
                <w:u w:val="none" w:color="auto"/>
              </w:rPr>
              <w:t>När</w:t>
            </w:r>
            <w:r>
              <w:t xml:space="preserve"> det rör sig om ett beslut om att neka en efterföljande ansökan prövning eller mot ett beslut om att avslå ansökan som ogrundad.</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RO</w:t>
      </w:r>
      <w:r>
        <w:rPr>
          <w:rStyle w:val="HideTWBInt"/>
        </w:rPr>
        <w:t>}</w:t>
      </w:r>
      <w:r>
        <w:t>ro</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Jussi Halla-aho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55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I fall som involverar faktiska eller rättsliga omständigheter som är komplexa</w:t>
            </w:r>
            <w:r>
              <w:rPr>
                <w:rFonts w:ascii="Times New Roman" w:eastAsia="Times New Roman" w:hAnsi="Times New Roman" w:cs="Times New Roman"/>
                <w:b/>
                <w:i/>
                <w:strike w:val="0"/>
                <w:color w:val="000000"/>
                <w:sz w:val="24"/>
                <w:highlight w:val="none"/>
                <w:u w:val="none" w:color="auto"/>
              </w:rPr>
              <w:t>,</w:t>
            </w:r>
            <w:r>
              <w:t xml:space="preserve"> får de tidsfrister som anges i punkt 1 förlängas med ytterligare </w:t>
            </w:r>
            <w:r>
              <w:rPr>
                <w:rFonts w:ascii="Times New Roman" w:eastAsia="Times New Roman" w:hAnsi="Times New Roman" w:cs="Times New Roman"/>
                <w:b/>
                <w:i/>
                <w:strike w:val="0"/>
                <w:color w:val="000000"/>
                <w:sz w:val="24"/>
                <w:highlight w:val="none"/>
                <w:u w:val="none" w:color="auto"/>
              </w:rPr>
              <w:t>tre</w:t>
            </w:r>
            <w:r>
              <w:t xml:space="preserve"> månader.</w:t>
            </w:r>
          </w:p>
        </w:tc>
        <w:tc>
          <w:tcPr/>
          <w:p>
            <w:pPr>
              <w:pStyle w:val="Normal6"/>
            </w:pPr>
            <w:r>
              <w:t>2.</w:t>
            </w:r>
            <w:r>
              <w:tab/>
            </w:r>
            <w:r>
              <w:t xml:space="preserve">I fall som involverar faktiska eller rättsliga omständigheter som är komplexa får de tidsfrister som anges i punkt 1 förlängas med ytterligare </w:t>
            </w:r>
            <w:r>
              <w:rPr>
                <w:rFonts w:ascii="Times New Roman" w:eastAsia="Times New Roman" w:hAnsi="Times New Roman" w:cs="Times New Roman"/>
                <w:b/>
                <w:i/>
                <w:strike w:val="0"/>
                <w:color w:val="000000"/>
                <w:sz w:val="24"/>
                <w:highlight w:val="none"/>
                <w:u w:val="none" w:color="auto"/>
              </w:rPr>
              <w:t>två</w:t>
            </w:r>
            <w:r>
              <w:t xml:space="preserve"> månader.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Emil Radev</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55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I fall som involverar faktiska eller rättsliga omständigheter som är komplexa, får de tidsfrister som anges i punkt 1 förlängas</w:t>
            </w:r>
            <w:r>
              <w:rPr>
                <w:rFonts w:ascii="Times New Roman" w:eastAsia="Times New Roman" w:hAnsi="Times New Roman" w:cs="Times New Roman"/>
                <w:b/>
                <w:i/>
                <w:strike w:val="0"/>
                <w:color w:val="000000"/>
                <w:sz w:val="24"/>
                <w:highlight w:val="none"/>
                <w:u w:val="none" w:color="auto"/>
              </w:rPr>
              <w:t xml:space="preserve"> med ytterligare tre månader</w:t>
            </w:r>
            <w:r>
              <w:t>.</w:t>
            </w:r>
          </w:p>
        </w:tc>
        <w:tc>
          <w:tcPr/>
          <w:p>
            <w:pPr>
              <w:pStyle w:val="Normal6"/>
            </w:pPr>
            <w:r>
              <w:t>2.</w:t>
            </w:r>
            <w:r>
              <w:tab/>
            </w:r>
            <w:r>
              <w:t>I fall som involverar faktiska eller rättsliga omständigheter som är komplexa, får de tidsfrister som anges i punkt 1 förlängas.</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BG</w:t>
      </w:r>
      <w:r>
        <w:rPr>
          <w:rStyle w:val="HideTWBInt"/>
        </w:rPr>
        <w:t>}</w:t>
      </w:r>
      <w:r>
        <w:t>bg</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Brice Hortefeux</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56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Denna förordning påverkar</w:t>
            </w:r>
            <w:r>
              <w:t xml:space="preserve"> inte offentliga myndigheters möjlighet att överklaga administrativa </w:t>
            </w:r>
            <w:r>
              <w:rPr>
                <w:rFonts w:ascii="Times New Roman" w:eastAsia="Times New Roman" w:hAnsi="Times New Roman" w:cs="Times New Roman"/>
                <w:b/>
                <w:i/>
                <w:strike w:val="0"/>
                <w:color w:val="000000"/>
                <w:sz w:val="24"/>
                <w:highlight w:val="none"/>
                <w:u w:val="none" w:color="auto"/>
              </w:rPr>
              <w:t>eller</w:t>
            </w:r>
            <w:r>
              <w:t xml:space="preserve"> rättsliga beslut enligt nationell lagstiftning.</w:t>
            </w:r>
          </w:p>
        </w:tc>
        <w:tc>
          <w:tcPr/>
          <w:p>
            <w:pPr>
              <w:pStyle w:val="Normal6"/>
            </w:pPr>
            <w:r>
              <w:rPr>
                <w:rFonts w:ascii="Times New Roman" w:eastAsia="Times New Roman" w:hAnsi="Times New Roman" w:cs="Times New Roman"/>
                <w:b/>
                <w:i/>
                <w:strike w:val="0"/>
                <w:color w:val="000000"/>
                <w:sz w:val="24"/>
                <w:highlight w:val="none"/>
                <w:u w:val="none" w:color="auto"/>
              </w:rPr>
              <w:t>Genom detta direktiv påverkas</w:t>
            </w:r>
            <w:r>
              <w:t xml:space="preserve"> inte offentliga myndigheters möjlighet att överklaga administrativa </w:t>
            </w:r>
            <w:r>
              <w:rPr>
                <w:rFonts w:ascii="Times New Roman" w:eastAsia="Times New Roman" w:hAnsi="Times New Roman" w:cs="Times New Roman"/>
                <w:b/>
                <w:i/>
                <w:strike w:val="0"/>
                <w:color w:val="000000"/>
                <w:sz w:val="24"/>
                <w:highlight w:val="none"/>
                <w:u w:val="none" w:color="auto"/>
              </w:rPr>
              <w:t>och/eller</w:t>
            </w:r>
            <w:r>
              <w:t xml:space="preserve"> rättsliga beslut enligt nationell lagstiftning.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56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Denna förordning</w:t>
            </w:r>
            <w:r>
              <w:t xml:space="preserve"> påverkar inte offentliga myndigheters möjlighet att överklaga administrativa eller rättsliga beslut enligt nationell lagstiftning.</w:t>
            </w:r>
          </w:p>
        </w:tc>
        <w:tc>
          <w:tcPr/>
          <w:p>
            <w:pPr>
              <w:pStyle w:val="Normal6"/>
            </w:pPr>
            <w:r>
              <w:rPr>
                <w:rFonts w:ascii="Times New Roman" w:eastAsia="Times New Roman" w:hAnsi="Times New Roman" w:cs="Times New Roman"/>
                <w:b/>
                <w:i/>
                <w:strike w:val="0"/>
                <w:color w:val="000000"/>
                <w:sz w:val="24"/>
                <w:highlight w:val="none"/>
                <w:u w:val="none" w:color="auto"/>
              </w:rPr>
              <w:t>Detta direktiv</w:t>
            </w:r>
            <w:r>
              <w:t xml:space="preserve"> påverkar inte offentliga myndigheters möjlighet att överklaga administrativa eller rättsliga beslut enligt nationell lagstiftning.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Cecilia Wikström</w:t>
      </w:r>
      <w:r>
        <w:t xml:space="preserve">, </w:t>
      </w:r>
      <w:r>
        <w:t>Sophia in 't Veld</w:t>
      </w:r>
      <w:r>
        <w:t xml:space="preserve">, </w:t>
      </w:r>
      <w:r>
        <w:t>Angelika Mlinar</w:t>
      </w:r>
      <w:r>
        <w:t xml:space="preserve">, </w:t>
      </w:r>
      <w:r>
        <w:t>Filiz Hyusmenova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57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Medlemsstaterna ska i samarbete med kommissionen vidta alla lämpliga åtgärder för att upprätta ett direkt samarbete och ett informationsutbyte mellan ansvariga myndigheter.</w:t>
            </w:r>
          </w:p>
        </w:tc>
        <w:tc>
          <w:tcPr/>
          <w:p>
            <w:pPr>
              <w:pStyle w:val="Normal6"/>
            </w:pPr>
            <w:r>
              <w:t>2.</w:t>
            </w:r>
            <w:r>
              <w:tab/>
            </w:r>
            <w:r>
              <w:t>Medlemsstaterna ska i samarbete med kommissionen vidta alla lämpliga åtgärder för att upprätta ett direkt samarbete och ett informationsutbyte mellan ansvariga myndigheter</w:t>
            </w:r>
            <w:r>
              <w:rPr>
                <w:rFonts w:ascii="Times New Roman" w:eastAsia="Times New Roman" w:hAnsi="Times New Roman" w:cs="Times New Roman"/>
                <w:b/>
                <w:i/>
                <w:strike w:val="0"/>
                <w:color w:val="000000"/>
                <w:sz w:val="24"/>
                <w:highlight w:val="none"/>
                <w:u w:val="none" w:color="auto"/>
              </w:rPr>
              <w:t xml:space="preserve"> samt mellan de ansvariga myndigheterna och Europeiska unionens asylbyrå</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Samarbetet behöver stärkas även med asylbyrån.</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59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2.</w:t>
            </w:r>
            <w:r>
              <w:tab/>
            </w:r>
            <w:r>
              <w:t xml:space="preserve">Den befogenhet att anta delegerade akter som avses i punkt 1 ska ges till kommissionen för en period av fem år från och med dagen för </w:t>
            </w:r>
            <w:r>
              <w:rPr>
                <w:rFonts w:ascii="Times New Roman" w:eastAsia="Times New Roman" w:hAnsi="Times New Roman" w:cs="Times New Roman"/>
                <w:b/>
                <w:i/>
                <w:strike w:val="0"/>
                <w:color w:val="000000"/>
                <w:sz w:val="24"/>
                <w:highlight w:val="none"/>
                <w:u w:val="none" w:color="auto"/>
              </w:rPr>
              <w:t>denna förordnings</w:t>
            </w:r>
            <w:r>
              <w:t xml:space="preserve"> ikraftträdande. Kommissionen ska utarbeta en rapport om delegeringen av befogenhet senast nio månader före utgången av perioden av fem år. Delegeringen av befogenhet ska genom tyst medgivande förlängas med perioder av samma längd, såvida inte Europaparlamentet eller rådet motsätter sig en sådan förlängning senast tre månader före utgången av perioden i fråga.</w:t>
            </w:r>
          </w:p>
        </w:tc>
        <w:tc>
          <w:tcPr/>
          <w:p>
            <w:pPr>
              <w:pStyle w:val="Normal6"/>
            </w:pPr>
            <w:r>
              <w:t>2.</w:t>
            </w:r>
            <w:r>
              <w:tab/>
            </w:r>
            <w:r>
              <w:t xml:space="preserve">Den befogenhet att anta delegerade akter som avses i punkt 1 ska ges till kommissionen för en period av fem år från och med dagen för </w:t>
            </w:r>
            <w:r>
              <w:rPr>
                <w:rFonts w:ascii="Times New Roman" w:eastAsia="Times New Roman" w:hAnsi="Times New Roman" w:cs="Times New Roman"/>
                <w:b/>
                <w:i/>
                <w:strike w:val="0"/>
                <w:color w:val="000000"/>
                <w:sz w:val="24"/>
                <w:highlight w:val="none"/>
                <w:u w:val="none" w:color="auto"/>
              </w:rPr>
              <w:t>detta direktivs</w:t>
            </w:r>
            <w:r>
              <w:t xml:space="preserve"> ikraftträdande. Kommissionen ska utarbeta en rapport om delegeringen av befogenhet senast nio månader före utgången av perioden av fem år. Delegeringen av befogenhet ska genom tyst medgivande förlängas med perioder av samma längd, såvida inte Europaparlamentet eller rådet motsätter sig en sådan förlängning senast tre månader före utgången av perioden i fråga.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59 – punkt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5.</w:t>
            </w:r>
            <w:r>
              <w:tab/>
            </w:r>
            <w:r>
              <w:t xml:space="preserve">En sådan delegerad akt ska träda i kraft endast om varken Europaparlamentet eller rådet har gjort invändningar mot den delegerade akten inom en period av </w:t>
            </w:r>
            <w:r>
              <w:rPr>
                <w:rFonts w:ascii="Times New Roman" w:eastAsia="Times New Roman" w:hAnsi="Times New Roman" w:cs="Times New Roman"/>
                <w:b/>
                <w:i/>
                <w:strike w:val="0"/>
                <w:color w:val="000000"/>
                <w:sz w:val="24"/>
                <w:highlight w:val="none"/>
                <w:u w:val="none" w:color="auto"/>
              </w:rPr>
              <w:t>en månad</w:t>
            </w:r>
            <w:r>
              <w:t xml:space="preserve"> från den dag då akten delgavs Europaparlamentet och rådet, eller om både Europaparlamentet och rådet, före utgången av den perioden, har underrättat kommissionen om att de inte kommer att invända.</w:t>
            </w:r>
          </w:p>
        </w:tc>
        <w:tc>
          <w:tcPr/>
          <w:p>
            <w:pPr>
              <w:pStyle w:val="Normal6"/>
            </w:pPr>
            <w:r>
              <w:t>5.</w:t>
            </w:r>
            <w:r>
              <w:tab/>
            </w:r>
            <w:r>
              <w:t xml:space="preserve">En sådan delegerad akt ska träda i kraft endast om varken Europaparlamentet eller rådet har gjort invändningar mot den delegerade akten inom en period av </w:t>
            </w:r>
            <w:r>
              <w:rPr>
                <w:rFonts w:ascii="Times New Roman" w:eastAsia="Times New Roman" w:hAnsi="Times New Roman" w:cs="Times New Roman"/>
                <w:b/>
                <w:i/>
                <w:strike w:val="0"/>
                <w:color w:val="000000"/>
                <w:sz w:val="24"/>
                <w:highlight w:val="none"/>
                <w:u w:val="none" w:color="auto"/>
              </w:rPr>
              <w:t>två månader</w:t>
            </w:r>
            <w:r>
              <w:t xml:space="preserve"> från den dag då akten delgavs Europaparlamentet och rådet, eller om både Europaparlamentet och rådet, före utgången av den perioden, har underrättat kommissionen om att de inte kommer att invända.</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Det är absolut nödvändigt att parlamentet och rådet har tillräckligt med tid på sig att ta ställning till innehållet i en delegerad akt innan den träder i kraft.</w:t>
      </w:r>
      <w:r>
        <w:t>En period på en månad räcker inte för att parlamentet ska hinna gå igenom alla sina interna processer för att invända mot en delegerad akt och är således inte lämplig.</w:t>
      </w:r>
      <w:r>
        <w:t>Medlagstiftarna bör få minst två månader på sig.</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Brice Hortefeux</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60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Senast [två år från </w:t>
            </w:r>
            <w:r>
              <w:rPr>
                <w:rFonts w:ascii="Times New Roman" w:eastAsia="Times New Roman" w:hAnsi="Times New Roman" w:cs="Times New Roman"/>
                <w:b/>
                <w:i/>
                <w:strike w:val="0"/>
                <w:color w:val="000000"/>
                <w:sz w:val="24"/>
                <w:highlight w:val="none"/>
                <w:u w:val="none" w:color="auto"/>
              </w:rPr>
              <w:t>denna förordnings</w:t>
            </w:r>
            <w:r>
              <w:t xml:space="preserve"> ikraftträdande] och vart femte år därefter ska kommissionen rapportera till Europaparlamentet och rådet om tillämpningen av </w:t>
            </w:r>
            <w:r>
              <w:rPr>
                <w:rFonts w:ascii="Times New Roman" w:eastAsia="Times New Roman" w:hAnsi="Times New Roman" w:cs="Times New Roman"/>
                <w:b/>
                <w:i/>
                <w:strike w:val="0"/>
                <w:color w:val="000000"/>
                <w:sz w:val="24"/>
                <w:highlight w:val="none"/>
                <w:u w:val="none" w:color="auto"/>
              </w:rPr>
              <w:t>denna förordning</w:t>
            </w:r>
            <w:r>
              <w:t xml:space="preserve"> och ska vid behov föreslå nödvändiga ändringar.</w:t>
            </w:r>
          </w:p>
        </w:tc>
        <w:tc>
          <w:tcPr/>
          <w:p>
            <w:pPr>
              <w:pStyle w:val="Normal6"/>
            </w:pPr>
            <w:r>
              <w:t xml:space="preserve">Senast [två år från </w:t>
            </w:r>
            <w:r>
              <w:rPr>
                <w:rFonts w:ascii="Times New Roman" w:eastAsia="Times New Roman" w:hAnsi="Times New Roman" w:cs="Times New Roman"/>
                <w:b/>
                <w:i/>
                <w:strike w:val="0"/>
                <w:color w:val="000000"/>
                <w:sz w:val="24"/>
                <w:highlight w:val="none"/>
                <w:u w:val="none" w:color="auto"/>
              </w:rPr>
              <w:t>detta direktivs</w:t>
            </w:r>
            <w:r>
              <w:t xml:space="preserve"> ikraftträdande] och vart femte år därefter ska kommissionen rapportera till Europaparlamentet och rådet om tillämpningen av </w:t>
            </w:r>
            <w:r>
              <w:rPr>
                <w:rFonts w:ascii="Times New Roman" w:eastAsia="Times New Roman" w:hAnsi="Times New Roman" w:cs="Times New Roman"/>
                <w:b/>
                <w:i/>
                <w:strike w:val="0"/>
                <w:color w:val="000000"/>
                <w:sz w:val="24"/>
                <w:highlight w:val="none"/>
                <w:u w:val="none" w:color="auto"/>
              </w:rPr>
              <w:t>detta direktiv</w:t>
            </w:r>
            <w:r>
              <w:t xml:space="preserve"> och ska vid behov föreslå nödvändiga ändringar.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60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Senast [</w:t>
            </w:r>
            <w:r>
              <w:rPr>
                <w:rFonts w:ascii="Times New Roman" w:eastAsia="Times New Roman" w:hAnsi="Times New Roman" w:cs="Times New Roman"/>
                <w:b/>
                <w:i/>
                <w:strike w:val="0"/>
                <w:color w:val="000000"/>
                <w:sz w:val="24"/>
                <w:highlight w:val="none"/>
                <w:u w:val="none" w:color="auto"/>
              </w:rPr>
              <w:t>två</w:t>
            </w:r>
            <w:r>
              <w:t xml:space="preserve"> år från </w:t>
            </w:r>
            <w:r>
              <w:rPr>
                <w:rFonts w:ascii="Times New Roman" w:eastAsia="Times New Roman" w:hAnsi="Times New Roman" w:cs="Times New Roman"/>
                <w:b/>
                <w:i/>
                <w:strike w:val="0"/>
                <w:color w:val="000000"/>
                <w:sz w:val="24"/>
                <w:highlight w:val="none"/>
                <w:u w:val="none" w:color="auto"/>
              </w:rPr>
              <w:t>denna förordnings</w:t>
            </w:r>
            <w:r>
              <w:t xml:space="preserve"> ikraftträdande] och </w:t>
            </w:r>
            <w:r>
              <w:rPr>
                <w:rFonts w:ascii="Times New Roman" w:eastAsia="Times New Roman" w:hAnsi="Times New Roman" w:cs="Times New Roman"/>
                <w:b/>
                <w:i/>
                <w:strike w:val="0"/>
                <w:color w:val="000000"/>
                <w:sz w:val="24"/>
                <w:highlight w:val="none"/>
                <w:u w:val="none" w:color="auto"/>
              </w:rPr>
              <w:t>vart femte</w:t>
            </w:r>
            <w:r>
              <w:t xml:space="preserve"> år därefter ska kommissionen rapportera till Europaparlamentet och rådet om tillämpningen av </w:t>
            </w:r>
            <w:r>
              <w:rPr>
                <w:rFonts w:ascii="Times New Roman" w:eastAsia="Times New Roman" w:hAnsi="Times New Roman" w:cs="Times New Roman"/>
                <w:b/>
                <w:i/>
                <w:strike w:val="0"/>
                <w:color w:val="000000"/>
                <w:sz w:val="24"/>
                <w:highlight w:val="none"/>
                <w:u w:val="none" w:color="auto"/>
              </w:rPr>
              <w:t>denna förordning</w:t>
            </w:r>
            <w:r>
              <w:t xml:space="preserve"> och ska vid behov föreslå nödvändiga ändringar.</w:t>
            </w:r>
          </w:p>
        </w:tc>
        <w:tc>
          <w:tcPr/>
          <w:p>
            <w:pPr>
              <w:pStyle w:val="Normal6"/>
            </w:pPr>
            <w:r>
              <w:t>Senast [</w:t>
            </w:r>
            <w:r>
              <w:rPr>
                <w:rFonts w:ascii="Times New Roman" w:eastAsia="Times New Roman" w:hAnsi="Times New Roman" w:cs="Times New Roman"/>
                <w:b/>
                <w:i/>
                <w:strike w:val="0"/>
                <w:color w:val="000000"/>
                <w:sz w:val="24"/>
                <w:highlight w:val="none"/>
                <w:u w:val="none" w:color="auto"/>
              </w:rPr>
              <w:t>ett</w:t>
            </w:r>
            <w:r>
              <w:t xml:space="preserve"> år från </w:t>
            </w:r>
            <w:r>
              <w:rPr>
                <w:rFonts w:ascii="Times New Roman" w:eastAsia="Times New Roman" w:hAnsi="Times New Roman" w:cs="Times New Roman"/>
                <w:b/>
                <w:i/>
                <w:strike w:val="0"/>
                <w:color w:val="000000"/>
                <w:sz w:val="24"/>
                <w:highlight w:val="none"/>
                <w:u w:val="none" w:color="auto"/>
              </w:rPr>
              <w:t>detta direktivs</w:t>
            </w:r>
            <w:r>
              <w:t xml:space="preserve"> ikraftträdande] och </w:t>
            </w:r>
            <w:r>
              <w:rPr>
                <w:rFonts w:ascii="Times New Roman" w:eastAsia="Times New Roman" w:hAnsi="Times New Roman" w:cs="Times New Roman"/>
                <w:b/>
                <w:i/>
                <w:strike w:val="0"/>
                <w:color w:val="000000"/>
                <w:sz w:val="24"/>
                <w:highlight w:val="none"/>
                <w:u w:val="none" w:color="auto"/>
              </w:rPr>
              <w:t>vartannat</w:t>
            </w:r>
            <w:r>
              <w:t xml:space="preserve"> år därefter ska kommissionen rapportera till Europaparlamentet och rådet om tillämpningen av </w:t>
            </w:r>
            <w:r>
              <w:rPr>
                <w:rFonts w:ascii="Times New Roman" w:eastAsia="Times New Roman" w:hAnsi="Times New Roman" w:cs="Times New Roman"/>
                <w:b/>
                <w:i/>
                <w:strike w:val="0"/>
                <w:color w:val="000000"/>
                <w:sz w:val="24"/>
                <w:highlight w:val="none"/>
                <w:u w:val="none" w:color="auto"/>
              </w:rPr>
              <w:t>detta direktiv</w:t>
            </w:r>
            <w:r>
              <w:t xml:space="preserve"> och ska vid behov föreslå nödvändiga ändringar.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60 – punkt 1a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Europaparlamentet, byrån för grundläggande rättigheter och Europeiska ombudsmannen ska inom samma tidsram skriva rapporter om utvärdering av systemet och situationen för de grundläggande rättigheterna inom ramen för det.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60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Medlemsstaterna ska senast nio månader innan den tidsfristen löper ut lämna kommissionen alla upplysningar som behövs för att utarbeta rapporten.</w:t>
            </w:r>
          </w:p>
        </w:tc>
        <w:tc>
          <w:tcPr/>
          <w:p>
            <w:pPr>
              <w:pStyle w:val="Normal6"/>
            </w:pPr>
            <w:r>
              <w:t>Medlemsstaterna ska senast nio månader innan den tidsfristen löper ut lämna kommissionen alla upplysningar som behövs för att utarbeta rapporten.</w:t>
            </w:r>
            <w:r>
              <w:br/>
            </w:r>
            <w:r>
              <w:rPr>
                <w:rFonts w:ascii="Times New Roman" w:eastAsia="Times New Roman" w:hAnsi="Times New Roman" w:cs="Times New Roman"/>
                <w:b/>
                <w:i/>
                <w:strike w:val="0"/>
                <w:color w:val="000000"/>
                <w:sz w:val="24"/>
                <w:highlight w:val="none"/>
                <w:u w:val="none" w:color="auto"/>
              </w:rPr>
              <w:t>Som en del av sin rapport ska kommissionen rapportera om den metod den tillämpat för att bedöma situationen i tredjeländer som finns på EU:s gemensamma förteckning över säkra tredjeländer eller huruvida sådana länder ska uppföras på eller tillfälligt avföras från förteckningen.</w:t>
            </w:r>
            <w:r>
              <w:rPr>
                <w:rFonts w:ascii="Times New Roman" w:eastAsia="Times New Roman" w:hAnsi="Times New Roman" w:cs="Times New Roman"/>
                <w:b/>
                <w:i/>
                <w:strike w:val="0"/>
                <w:color w:val="000000"/>
                <w:sz w:val="24"/>
                <w:highlight w:val="none"/>
                <w:u w:val="none" w:color="auto"/>
              </w:rPr>
              <w:t>Kommissionen ska även rapportera om tillämpningen av förfarandegarantier för dem som söker internationellt skydd och ursprungligen kommer från ett land på EU:s gemensamma förteckning över säkra ursprungsländer.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Ordalydelsen bygger på ändringsförslag 43 i parlamentets ståndpunkt om förordningen om säkra ursprungsländer.</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Ska Keller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Verts/ALE</w:t>
      </w:r>
      <w:r>
        <w:rPr>
          <w:rStyle w:val="HideTWBInt"/>
        </w:rPr>
        <w:t>}</w:t>
      </w:r>
      <w:r>
        <w:t>för Verts/ALE-gruppen</w:t>
      </w:r>
      <w:r>
        <w:rPr>
          <w:rStyle w:val="HideTWBExt"/>
        </w:rPr>
        <w:t>&lt;/</w:t>
      </w:r>
      <w:r>
        <w:rPr>
          <w:rStyle w:val="HideTWBExt"/>
        </w:rPr>
        <w:t>AuNomDe</w:t>
      </w:r>
      <w:r>
        <w:rPr>
          <w:rStyle w:val="HideTWBExt"/>
        </w:rPr>
        <w:t>&gt;</w:t>
      </w:r>
    </w:p>
    <w:p>
      <w:pPr>
        <w:pStyle w:val="NormalBold"/>
      </w:pPr>
      <w:r>
        <w:rPr>
          <w:rStyle w:val="HideTWBExt"/>
        </w:rPr>
        <w:t>&lt;</w:t>
      </w:r>
      <w:r>
        <w:rPr>
          <w:rStyle w:val="HideTWBExt"/>
        </w:rPr>
        <w:t>Members</w:t>
      </w:r>
      <w:r>
        <w:rPr>
          <w:rStyle w:val="HideTWBExt"/>
        </w:rPr>
        <w:t>&gt;</w:t>
      </w:r>
      <w:r>
        <w:t>Judith Sargentini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60 – punkt 2 – stycke 1 (nytt)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Medlemsstaterna ska regelbundet rapportera till kommissionen om genomförandet och tillämpningen av avsnitt III i denna förordning.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Syftet med detta ändringsförslag är att säkerställa ett fullständigt genomförande i praktiken av bestämmelserna i denna förordning om tillhandahållande av kostnadsfritt rättsligt bistånd till asylsökande i alla skeden av förfarandet.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Brice Hortefeux</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60a (ny)</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Center"/>
            </w:pPr>
            <w:r>
              <w:rPr>
                <w:rFonts w:ascii="Times New Roman" w:eastAsia="Times New Roman" w:hAnsi="Times New Roman" w:cs="Times New Roman"/>
                <w:b/>
                <w:i/>
                <w:strike w:val="0"/>
                <w:color w:val="000000"/>
                <w:sz w:val="24"/>
                <w:highlight w:val="none"/>
                <w:u w:val="none" w:color="auto"/>
              </w:rPr>
              <w:t>Artikel 60a</w:t>
            </w:r>
            <w:r>
              <w:tab/>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Center"/>
            </w:pPr>
            <w:r>
              <w:rPr>
                <w:rFonts w:ascii="Times New Roman" w:eastAsia="Times New Roman" w:hAnsi="Times New Roman" w:cs="Times New Roman"/>
                <w:b/>
                <w:i/>
                <w:strike w:val="0"/>
                <w:color w:val="000000"/>
                <w:sz w:val="24"/>
                <w:highlight w:val="none"/>
                <w:u w:val="none" w:color="auto"/>
              </w:rPr>
              <w:t>Införlivande</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1.</w:t>
            </w:r>
            <w:r>
              <w:rPr>
                <w:rFonts w:ascii="Times New Roman" w:eastAsia="Times New Roman" w:hAnsi="Times New Roman" w:cs="Times New Roman"/>
                <w:b/>
                <w:i/>
                <w:strike w:val="0"/>
                <w:color w:val="000000"/>
                <w:sz w:val="24"/>
                <w:highlight w:val="none"/>
                <w:u w:val="none" w:color="auto"/>
              </w:rPr>
              <w:t>Medlemsstaterna ska sätta i kraft de lagar och andra författningar som är nödvändiga för att uppfylla artiklarna i detta direktiv.</w:t>
            </w:r>
            <w:r>
              <w:rPr>
                <w:rFonts w:ascii="Times New Roman" w:eastAsia="Times New Roman" w:hAnsi="Times New Roman" w:cs="Times New Roman"/>
                <w:b/>
                <w:i/>
                <w:strike w:val="0"/>
                <w:color w:val="000000"/>
                <w:sz w:val="24"/>
                <w:highlight w:val="none"/>
                <w:u w:val="none" w:color="auto"/>
              </w:rPr>
              <w:t>De ska till kommissionen genast överlämna texten till dessa åtgärder.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p>
        </w:tc>
        <w:tc>
          <w:tcPr/>
          <w:p>
            <w:pPr>
              <w:pStyle w:val="Normal6"/>
            </w:pPr>
            <w:r>
              <w:rPr>
                <w:rFonts w:ascii="Times New Roman" w:eastAsia="Times New Roman" w:hAnsi="Times New Roman" w:cs="Times New Roman"/>
                <w:b/>
                <w:i/>
                <w:strike w:val="0"/>
                <w:color w:val="000000"/>
                <w:sz w:val="24"/>
                <w:highlight w:val="none"/>
                <w:u w:val="none" w:color="auto"/>
              </w:rPr>
              <w:t>2.</w:t>
            </w:r>
            <w:r>
              <w:rPr>
                <w:rFonts w:ascii="Times New Roman" w:eastAsia="Times New Roman" w:hAnsi="Times New Roman" w:cs="Times New Roman"/>
                <w:b/>
                <w:i/>
                <w:strike w:val="0"/>
                <w:color w:val="000000"/>
                <w:sz w:val="24"/>
                <w:highlight w:val="none"/>
                <w:u w:val="none" w:color="auto"/>
              </w:rPr>
              <w:t>Medlemsstaterna ska till kommissionen överlämna texten till de centrala bestämmelser i nationell lagstiftning som de antar inom det område som omfattas av detta direktiv.</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Brice Hortefeux</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61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Direktiv 2013/32/EU ska</w:t>
            </w:r>
            <w:r>
              <w:t>upphöra att gälla.</w:t>
            </w:r>
          </w:p>
        </w:tc>
        <w:tc>
          <w:tcPr/>
          <w:p>
            <w:pPr>
              <w:pStyle w:val="Normal6"/>
            </w:pPr>
            <w:r>
              <w:rPr>
                <w:rFonts w:ascii="Times New Roman" w:eastAsia="Times New Roman" w:hAnsi="Times New Roman" w:cs="Times New Roman"/>
                <w:b/>
                <w:i/>
                <w:strike w:val="0"/>
                <w:color w:val="000000"/>
                <w:sz w:val="24"/>
                <w:highlight w:val="none"/>
                <w:u w:val="none" w:color="auto"/>
              </w:rPr>
              <w:t>För de medlemsstater som är bundna av det här direktivet ska direktiv 2013/32/EU</w:t>
            </w:r>
            <w:r>
              <w:t xml:space="preserve"> upphöra att gälla</w:t>
            </w:r>
            <w:r>
              <w:rPr>
                <w:rFonts w:ascii="Times New Roman" w:eastAsia="Times New Roman" w:hAnsi="Times New Roman" w:cs="Times New Roman"/>
                <w:b/>
                <w:i/>
                <w:strike w:val="0"/>
                <w:color w:val="000000"/>
                <w:sz w:val="24"/>
                <w:highlight w:val="none"/>
                <w:u w:val="none" w:color="auto"/>
              </w:rPr>
              <w:t>, dock utan att det påverkar medlemsstaternas skyldigheter när det gäller tidsfristen för införlivande med nationell lagstiftning av direktivet</w:t>
            </w:r>
            <w:r>
              <w:t>.</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61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 xml:space="preserve">Hänvisningar till det upphävda direktivet ska anses som hänvisningar till </w:t>
            </w:r>
            <w:r>
              <w:rPr>
                <w:rFonts w:ascii="Times New Roman" w:eastAsia="Times New Roman" w:hAnsi="Times New Roman" w:cs="Times New Roman"/>
                <w:b/>
                <w:i/>
                <w:strike w:val="0"/>
                <w:color w:val="000000"/>
                <w:sz w:val="24"/>
                <w:highlight w:val="none"/>
                <w:u w:val="none" w:color="auto"/>
              </w:rPr>
              <w:t>denna förordning</w:t>
            </w:r>
            <w:r>
              <w:t xml:space="preserve"> och ska läsas i enlighet med jämförelsetabellen i bilaga 2.</w:t>
            </w:r>
          </w:p>
        </w:tc>
        <w:tc>
          <w:tcPr/>
          <w:p>
            <w:pPr>
              <w:pStyle w:val="Normal6"/>
            </w:pPr>
            <w:r>
              <w:t xml:space="preserve">Hänvisningar till det upphävda direktivet ska anses som hänvisningar till </w:t>
            </w:r>
            <w:r>
              <w:rPr>
                <w:rFonts w:ascii="Times New Roman" w:eastAsia="Times New Roman" w:hAnsi="Times New Roman" w:cs="Times New Roman"/>
                <w:b/>
                <w:i/>
                <w:strike w:val="0"/>
                <w:color w:val="000000"/>
                <w:sz w:val="24"/>
                <w:highlight w:val="none"/>
                <w:u w:val="none" w:color="auto"/>
              </w:rPr>
              <w:t>detta direktiv</w:t>
            </w:r>
            <w:r>
              <w:t xml:space="preserve"> och ska läsas i enlighet med jämförelsetabellen i bilaga 2.</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Brice Hortefeux</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62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Denna förordning</w:t>
            </w:r>
            <w:r>
              <w:t xml:space="preserve"> träder i kraft den tjugonde dagen efter </w:t>
            </w:r>
            <w:r>
              <w:rPr>
                <w:rFonts w:ascii="Times New Roman" w:eastAsia="Times New Roman" w:hAnsi="Times New Roman" w:cs="Times New Roman"/>
                <w:b/>
                <w:i/>
                <w:strike w:val="0"/>
                <w:color w:val="000000"/>
                <w:sz w:val="24"/>
                <w:highlight w:val="none"/>
                <w:u w:val="none" w:color="auto"/>
              </w:rPr>
              <w:t>det att den</w:t>
            </w:r>
            <w:r>
              <w:t xml:space="preserve"> har offentliggjorts i Europeiska unionens officiella tidning.</w:t>
            </w:r>
          </w:p>
        </w:tc>
        <w:tc>
          <w:tcPr/>
          <w:p>
            <w:pPr>
              <w:pStyle w:val="Normal6"/>
            </w:pPr>
            <w:r>
              <w:rPr>
                <w:rFonts w:ascii="Times New Roman" w:eastAsia="Times New Roman" w:hAnsi="Times New Roman" w:cs="Times New Roman"/>
                <w:b/>
                <w:i/>
                <w:strike w:val="0"/>
                <w:color w:val="000000"/>
                <w:sz w:val="24"/>
                <w:highlight w:val="none"/>
                <w:u w:val="none" w:color="auto"/>
              </w:rPr>
              <w:t>Detta direktiv</w:t>
            </w:r>
            <w:r>
              <w:t xml:space="preserve"> träder i kraft den tjugonde dagen efter </w:t>
            </w:r>
            <w:r>
              <w:rPr>
                <w:rFonts w:ascii="Times New Roman" w:eastAsia="Times New Roman" w:hAnsi="Times New Roman" w:cs="Times New Roman"/>
                <w:b/>
                <w:i/>
                <w:strike w:val="0"/>
                <w:color w:val="000000"/>
                <w:sz w:val="24"/>
                <w:highlight w:val="none"/>
                <w:u w:val="none" w:color="auto"/>
              </w:rPr>
              <w:t>att det</w:t>
            </w:r>
            <w:r>
              <w:t xml:space="preserve"> har offentliggjorts i Europeiska unionens officiella tidning.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62 – punkt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Denna förordning</w:t>
            </w:r>
            <w:r>
              <w:t xml:space="preserve"> träder i kraft den tjugonde dagen efter det att </w:t>
            </w:r>
            <w:r>
              <w:rPr>
                <w:rFonts w:ascii="Times New Roman" w:eastAsia="Times New Roman" w:hAnsi="Times New Roman" w:cs="Times New Roman"/>
                <w:b/>
                <w:i/>
                <w:strike w:val="0"/>
                <w:color w:val="000000"/>
                <w:sz w:val="24"/>
                <w:highlight w:val="none"/>
                <w:u w:val="none" w:color="auto"/>
              </w:rPr>
              <w:t>den</w:t>
            </w:r>
            <w:r>
              <w:t xml:space="preserve"> har offentliggjorts i Europeiska unionens officiella tidning.</w:t>
            </w:r>
          </w:p>
        </w:tc>
        <w:tc>
          <w:tcPr/>
          <w:p>
            <w:pPr>
              <w:pStyle w:val="Normal6"/>
            </w:pPr>
            <w:r>
              <w:rPr>
                <w:rFonts w:ascii="Times New Roman" w:eastAsia="Times New Roman" w:hAnsi="Times New Roman" w:cs="Times New Roman"/>
                <w:b/>
                <w:i/>
                <w:strike w:val="0"/>
                <w:color w:val="000000"/>
                <w:sz w:val="24"/>
                <w:highlight w:val="none"/>
                <w:u w:val="none" w:color="auto"/>
              </w:rPr>
              <w:t>Detta direktiv</w:t>
            </w:r>
            <w:r>
              <w:t xml:space="preserve"> träder i kraft den tjugonde dagen efter det att </w:t>
            </w:r>
            <w:r>
              <w:rPr>
                <w:rFonts w:ascii="Times New Roman" w:eastAsia="Times New Roman" w:hAnsi="Times New Roman" w:cs="Times New Roman"/>
                <w:b/>
                <w:i/>
                <w:strike w:val="0"/>
                <w:color w:val="000000"/>
                <w:sz w:val="24"/>
                <w:highlight w:val="none"/>
                <w:u w:val="none" w:color="auto"/>
              </w:rPr>
              <w:t>det</w:t>
            </w:r>
            <w:r>
              <w:t xml:space="preserve"> har offentliggjorts i Europeiska unionens officiella tidning.</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Brice Hortefeux</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62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Denna förordning ska tillämpas från och med den [sex månader efter dess ikraftträdande].</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62 – punkt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Denna förordning</w:t>
            </w:r>
            <w:r>
              <w:t xml:space="preserve"> ska tillämpas från och med den [sex månader efter dess ikraftträdande].</w:t>
            </w:r>
          </w:p>
        </w:tc>
        <w:tc>
          <w:tcPr/>
          <w:p>
            <w:pPr>
              <w:pStyle w:val="Normal6"/>
            </w:pPr>
            <w:r>
              <w:rPr>
                <w:rFonts w:ascii="Times New Roman" w:eastAsia="Times New Roman" w:hAnsi="Times New Roman" w:cs="Times New Roman"/>
                <w:b/>
                <w:i/>
                <w:strike w:val="0"/>
                <w:color w:val="000000"/>
                <w:sz w:val="24"/>
                <w:highlight w:val="none"/>
                <w:u w:val="none" w:color="auto"/>
              </w:rPr>
              <w:t>Detta direktiv</w:t>
            </w:r>
            <w:r>
              <w:t xml:space="preserve"> ska tillämpas från och med den [sex månader efter dess ikraftträdande].</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Brice Hortefeux</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62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Denna förordning är till alla delar bindande och direkt tillämplig i medlemsstaterna i enlighet med fördragen.</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Artikel 62 – punkt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Denna förordning</w:t>
            </w:r>
            <w:r>
              <w:t xml:space="preserve"> är till alla delar bindande och direkt </w:t>
            </w:r>
            <w:r>
              <w:rPr>
                <w:rFonts w:ascii="Times New Roman" w:eastAsia="Times New Roman" w:hAnsi="Times New Roman" w:cs="Times New Roman"/>
                <w:b/>
                <w:i/>
                <w:strike w:val="0"/>
                <w:color w:val="000000"/>
                <w:sz w:val="24"/>
                <w:highlight w:val="none"/>
                <w:u w:val="none" w:color="auto"/>
              </w:rPr>
              <w:t>tillämplig</w:t>
            </w:r>
            <w:r>
              <w:t xml:space="preserve"> i medlemsstaterna i enlighet med fördragen.</w:t>
            </w:r>
          </w:p>
        </w:tc>
        <w:tc>
          <w:tcPr/>
          <w:p>
            <w:pPr>
              <w:pStyle w:val="Normal6"/>
            </w:pPr>
            <w:r>
              <w:rPr>
                <w:rFonts w:ascii="Times New Roman" w:eastAsia="Times New Roman" w:hAnsi="Times New Roman" w:cs="Times New Roman"/>
                <w:b/>
                <w:i/>
                <w:strike w:val="0"/>
                <w:color w:val="000000"/>
                <w:sz w:val="24"/>
                <w:highlight w:val="none"/>
                <w:u w:val="none" w:color="auto"/>
              </w:rPr>
              <w:t>Detta direktiv</w:t>
            </w:r>
            <w:r>
              <w:t xml:space="preserve"> är till alla delar bindande och direkt </w:t>
            </w:r>
            <w:r>
              <w:rPr>
                <w:rFonts w:ascii="Times New Roman" w:eastAsia="Times New Roman" w:hAnsi="Times New Roman" w:cs="Times New Roman"/>
                <w:b/>
                <w:i/>
                <w:strike w:val="0"/>
                <w:color w:val="000000"/>
                <w:sz w:val="24"/>
                <w:highlight w:val="none"/>
                <w:u w:val="none" w:color="auto"/>
              </w:rPr>
              <w:t>tillämpligt</w:t>
            </w:r>
            <w:r>
              <w:t xml:space="preserve"> i medlemsstaterna i enlighet med fördragen.</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Marina Albiol Guzmán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Bilaga I</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EU:s gemensamma förteckning över säkra ursprungsländer som avses i artikel 48</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Albanien,</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Bosnien och Hercegovina,</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F.d. jugoslaviska republiken Makedonien,</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Kosovo*</w:t>
            </w:r>
            <w:r>
              <w:rPr>
                <w:rStyle w:val="SupBoldItalic"/>
              </w:rPr>
              <w:t>39</w:t>
            </w:r>
            <w:r>
              <w:rPr>
                <w:rFonts w:ascii="Times New Roman" w:eastAsia="Times New Roman" w:hAnsi="Times New Roman" w:cs="Times New Roman"/>
                <w:b/>
                <w:i/>
                <w:strike w:val="0"/>
                <w:color w:val="000000"/>
                <w:sz w:val="24"/>
                <w:highlight w:val="none"/>
                <w:u w:val="none" w:color="auto"/>
              </w:rPr>
              <w:t>,</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Montenegro,</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Serbien,</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Turkiet.</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t>_________________</w:t>
            </w:r>
          </w:p>
        </w:tc>
        <w:tc>
          <w:tcPr/>
          <w:p>
            <w:pPr>
              <w:pStyle w:val="Normal6"/>
            </w:pP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Style w:val="SupBoldItalic"/>
              </w:rPr>
              <w:t>39</w:t>
            </w:r>
            <w:r>
              <w:t xml:space="preserve"> </w:t>
            </w:r>
            <w:r>
              <w:rPr>
                <w:rFonts w:ascii="Times New Roman" w:eastAsia="Times New Roman" w:hAnsi="Times New Roman" w:cs="Times New Roman"/>
                <w:b/>
                <w:i/>
                <w:strike w:val="0"/>
                <w:color w:val="000000"/>
                <w:sz w:val="24"/>
                <w:highlight w:val="none"/>
                <w:u w:val="none" w:color="auto"/>
              </w:rPr>
              <w:t>* Denna beteckning påverkar inte ståndpunkter om Kosovos status och är i överensstämmelse med FN:s säkerhetsråds resolution 1244/99 och med Internationella domstolens utlåtande om Kosovos självständighetsförklaring.</w:t>
            </w:r>
          </w:p>
        </w:tc>
        <w:tc>
          <w:tcPr/>
          <w:p>
            <w:pPr>
              <w:pStyle w:val="Normal6"/>
            </w:pP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Bilaga I – punkt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Turkiet.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Ändringsförslag</w:t>
      </w:r>
      <w:r>
        <w:tab/>
      </w:r>
      <w:r>
        <w:tab/>
      </w:r>
      <w:r>
        <w:rPr>
          <w:rStyle w:val="HideTWBExt"/>
        </w:rPr>
        <w:t>&lt;</w:t>
      </w:r>
      <w:r>
        <w:rPr>
          <w:rStyle w:val="HideTWBExt"/>
        </w:rPr>
        <w:t>NumAm</w:t>
      </w:r>
      <w:r>
        <w:rPr>
          <w:rStyle w:val="HideTWBExt"/>
        </w:rPr>
        <w:t>&gt;</w:t>
      </w:r>
      <w:r>
        <w:t>1596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Péter Niedermüller</w:t>
      </w:r>
      <w:r>
        <w:t xml:space="preserve">, </w:t>
      </w:r>
      <w:r>
        <w:t>Sylvie Guillaume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Förslag till förordning</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Bilaga I – stycke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trHeight w:hRule="exact" w:val="240"/>
          <w:jc w:val="center"/>
        </w:trPr>
        <w:tc>
          <w:tcPr>
            <w:gridSpan w:val="2"/>
          </w:tcPr>
          <w:p/>
        </w:tc>
      </w:tr>
      <w:tr>
        <w:tblPrEx>
          <w:jc w:val="center"/>
          <w:tblLayout w:type="fixed"/>
          <w:tblCellMar>
            <w:top w:w="0" w:type="dxa"/>
            <w:left w:w="340" w:type="dxa"/>
            <w:bottom w:w="0" w:type="dxa"/>
            <w:right w:w="340" w:type="dxa"/>
          </w:tblCellMar>
        </w:tblPrEx>
        <w:trPr>
          <w:trHeight w:val="240"/>
          <w:jc w:val="center"/>
        </w:trPr>
        <w:tc>
          <w:tcPr/>
          <w:p>
            <w:pPr>
              <w:pStyle w:val="ColumnHeading"/>
            </w:pPr>
            <w:r>
              <w:t>Kommissionens förslag</w:t>
            </w:r>
          </w:p>
        </w:tc>
        <w:tc>
          <w:tcPr/>
          <w:p>
            <w:pPr>
              <w:pStyle w:val="ColumnHeading"/>
            </w:pPr>
            <w:r>
              <w:t>Ändringsförslag</w:t>
            </w:r>
          </w:p>
        </w:tc>
      </w:tr>
      <w:tr>
        <w:tblPrEx>
          <w:jc w:val="center"/>
          <w:tblLayout w:type="fixed"/>
          <w:tblCellMar>
            <w:top w:w="0" w:type="dxa"/>
            <w:left w:w="340" w:type="dxa"/>
            <w:bottom w:w="0" w:type="dxa"/>
            <w:right w:w="340" w:type="dxa"/>
          </w:tblCellMar>
        </w:tblPrEx>
        <w:trPr>
          <w:trHeight w:hRule="auto" w:val="0"/>
          <w:jc w:val="center"/>
        </w:trPr>
        <w:tc>
          <w:tcPr/>
          <w:p>
            <w:pPr>
              <w:pStyle w:val="Normal6"/>
            </w:pPr>
            <w:r>
              <w:rPr>
                <w:rFonts w:ascii="Times New Roman" w:eastAsia="Times New Roman" w:hAnsi="Times New Roman" w:cs="Times New Roman"/>
                <w:b/>
                <w:i/>
                <w:strike w:val="0"/>
                <w:color w:val="000000"/>
                <w:sz w:val="24"/>
                <w:highlight w:val="none"/>
                <w:u w:val="none" w:color="auto"/>
              </w:rPr>
              <w:t>Turkiet.</w:t>
            </w:r>
          </w:p>
        </w:tc>
        <w:tc>
          <w:tcPr/>
          <w:p>
            <w:pPr>
              <w:pStyle w:val="Normal6"/>
            </w:pPr>
            <w:r>
              <w:rPr>
                <w:rFonts w:ascii="Times New Roman" w:eastAsia="Times New Roman" w:hAnsi="Times New Roman" w:cs="Times New Roman"/>
                <w:b/>
                <w:i/>
                <w:strike w:val="0"/>
                <w:color w:val="000000"/>
                <w:sz w:val="24"/>
                <w:highlight w:val="none"/>
                <w:u w:val="none" w:color="auto"/>
              </w:rPr>
              <w:t>utgår</w:t>
            </w:r>
          </w:p>
        </w:tc>
      </w:tr>
    </w:tbl>
    <w:p>
      <w:pPr>
        <w:pStyle w:val="O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JustificationTitle"/>
      </w:pPr>
      <w:r>
        <w:rPr>
          <w:rStyle w:val="HideTWBExt"/>
        </w:rPr>
        <w:t>&lt;</w:t>
      </w:r>
      <w:r>
        <w:rPr>
          <w:rStyle w:val="HideTWBExt"/>
        </w:rPr>
        <w:t>TitreJust</w:t>
      </w:r>
      <w:r>
        <w:rPr>
          <w:rStyle w:val="HideTWBExt"/>
        </w:rPr>
        <w:t>&gt;</w:t>
      </w:r>
      <w:r>
        <w:t>Motivering</w:t>
      </w:r>
      <w:r>
        <w:rPr>
          <w:rStyle w:val="HideTWBExt"/>
        </w:rPr>
        <w:t>&lt;/</w:t>
      </w:r>
      <w:r>
        <w:rPr>
          <w:rStyle w:val="HideTWBExt"/>
        </w:rPr>
        <w:t>TitreJust</w:t>
      </w:r>
      <w:r>
        <w:rPr>
          <w:rStyle w:val="HideTWBExt"/>
        </w:rPr>
        <w:t>&gt;</w:t>
      </w:r>
    </w:p>
    <w:p>
      <w:pPr>
        <w:pStyle w:val="Normal12Italic"/>
      </w:pPr>
      <w:r>
        <w:t>På grundval av kommissionens rapport om Turkiet från 2016 (COM(2016)0715) och Easos rapport om information om ursprungsländer "Turkey Country Focus" (november 2016) uppfyller Turkiet inte kriterierna för ett säkert ursprungsland i enlighet med artikel 47.</w:t>
      </w:r>
    </w:p>
    <w:p>
      <w:r>
        <w:rPr>
          <w:rStyle w:val="HideTWBExt"/>
        </w:rPr>
        <w:t>&lt;/</w:t>
      </w:r>
      <w:r>
        <w:rPr>
          <w:rStyle w:val="HideTWBExt"/>
        </w:rPr>
        <w:t>Amend</w:t>
      </w:r>
      <w:r>
        <w:rPr>
          <w:rStyle w:val="HideTWBExt"/>
        </w:rPr>
        <w:t>&gt;</w:t>
      </w:r>
      <w:r>
        <w:rPr>
          <w:rStyle w:val="HideTWBExt"/>
        </w:rPr>
        <w:t>&lt;/</w:t>
      </w:r>
      <w:r>
        <w:rPr>
          <w:rStyle w:val="HideTWBExt"/>
        </w:rPr>
        <w:t>RepeatBlock-Amend</w:t>
      </w:r>
      <w:r>
        <w:rPr>
          <w:rStyle w:val="HideTWBExt"/>
        </w:rPr>
        <w:t>&gt;</w:t>
      </w:r>
    </w:p>
    <w:sectPr>
      <w:footerReference w:type="even" r:id="rId5"/>
      <w:footerReference w:type="default" r:id="rId6"/>
      <w:footerReference w:type="first" r:id="rId7"/>
      <w:type w:val="nextPage"/>
      <w:pgSz w:w="11909" w:h="16834"/>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PE</w:t>
    </w:r>
    <w:r>
      <w:rPr>
        <w:rStyle w:val="HideTWBExt"/>
      </w:rPr>
      <w:t>&lt;</w:t>
    </w:r>
    <w:r>
      <w:rPr>
        <w:rStyle w:val="HideTWBExt"/>
      </w:rPr>
      <w:t>NoPE</w:t>
    </w:r>
    <w:r>
      <w:rPr>
        <w:rStyle w:val="HideTWBExt"/>
      </w:rPr>
      <w:t>&gt;</w:t>
    </w:r>
    <w:r>
      <w:t>607.804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fldChar w:fldCharType="end"/>
    </w:r>
    <w:r>
      <w:t>/</w:t>
    </w:r>
    <w:r>
      <w:fldChar w:fldCharType="begin"/>
    </w:r>
    <w:r>
      <w:instrText>NUMPAGES</w:instrText>
    </w:r>
    <w:r>
      <w:fldChar w:fldCharType="separate"/>
    </w:r>
    <w:r>
      <w:fldChar w:fldCharType="end"/>
    </w:r>
    <w:r>
      <w:tab/>
    </w:r>
    <w:r>
      <w:rPr>
        <w:rStyle w:val="HideTWBExt"/>
      </w:rPr>
      <w:t>&lt;</w:t>
    </w:r>
    <w:r>
      <w:rPr>
        <w:rStyle w:val="HideTWBExt"/>
      </w:rPr>
      <w:t>PathFdR</w:t>
    </w:r>
    <w:r>
      <w:rPr>
        <w:rStyle w:val="HideTWBExt"/>
      </w:rPr>
      <w:t>&gt;</w:t>
    </w:r>
    <w:r>
      <w:t>AM\1129323SV.docx</w:t>
    </w:r>
    <w:r>
      <w:rPr>
        <w:rStyle w:val="HideTWBExt"/>
      </w:rPr>
      <w:t>&lt;/</w:t>
    </w:r>
    <w:r>
      <w:rPr>
        <w:rStyle w:val="HideTWBExt"/>
      </w:rPr>
      <w:t>PathFdR</w:t>
    </w:r>
    <w:r>
      <w:rPr>
        <w:rStyle w:val="HideTWBExt"/>
      </w:rPr>
      <w:t>&gt;</w:t>
    </w:r>
  </w:p>
  <w:p>
    <w:pPr>
      <w:pStyle w:val="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rPr>
        <w:rStyle w:val="HideTWBExt"/>
      </w:rPr>
      <w:t>&lt;</w:t>
    </w:r>
    <w:r>
      <w:rPr>
        <w:rStyle w:val="HideTWBExt"/>
      </w:rPr>
      <w:t>PathFdR</w:t>
    </w:r>
    <w:r>
      <w:rPr>
        <w:rStyle w:val="HideTWBExt"/>
      </w:rPr>
      <w:t>&gt;</w:t>
    </w:r>
    <w:r>
      <w:t>AM\1129323SV.docx</w:t>
    </w:r>
    <w:r>
      <w:rPr>
        <w:rStyle w:val="HideTWBExt"/>
      </w:rPr>
      <w:t>&lt;/</w:t>
    </w:r>
    <w:r>
      <w:rPr>
        <w:rStyle w:val="HideTWBExt"/>
      </w:rPr>
      <w:t>PathFdR</w:t>
    </w:r>
    <w:r>
      <w:rPr>
        <w:rStyle w:val="HideTWBExt"/>
      </w:rPr>
      <w:t>&gt;</w:t>
    </w:r>
    <w:r>
      <w:tab/>
    </w:r>
    <w:r>
      <w:fldChar w:fldCharType="begin"/>
    </w:r>
    <w:r>
      <w:instrText>PAGE</w:instrText>
    </w:r>
    <w:r>
      <w:fldChar w:fldCharType="separate"/>
    </w:r>
    <w:r>
      <w:fldChar w:fldCharType="end"/>
    </w:r>
    <w:r>
      <w:t>/</w:t>
    </w:r>
    <w:r>
      <w:fldChar w:fldCharType="begin"/>
    </w:r>
    <w:r>
      <w:instrText>NUMPAGES</w:instrText>
    </w:r>
    <w:r>
      <w:fldChar w:fldCharType="separate"/>
    </w:r>
    <w:r>
      <w:fldChar w:fldCharType="end"/>
    </w:r>
    <w:r>
      <w:tab/>
    </w:r>
    <w:r>
      <w:t>PE</w:t>
    </w:r>
    <w:r>
      <w:rPr>
        <w:rStyle w:val="HideTWBExt"/>
      </w:rPr>
      <w:t>&lt;</w:t>
    </w:r>
    <w:r>
      <w:rPr>
        <w:rStyle w:val="HideTWBExt"/>
      </w:rPr>
      <w:t>NoPE</w:t>
    </w:r>
    <w:r>
      <w:rPr>
        <w:rStyle w:val="HideTWBExt"/>
      </w:rPr>
      <w:t>&gt;</w:t>
    </w:r>
    <w:r>
      <w:t>607.804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rPr>
        <w:rStyle w:val="HideTWBExt"/>
      </w:rPr>
      <w:t>&lt;</w:t>
    </w:r>
    <w:r>
      <w:rPr>
        <w:rStyle w:val="HideTWBExt"/>
      </w:rPr>
      <w:t>PathFdR</w:t>
    </w:r>
    <w:r>
      <w:rPr>
        <w:rStyle w:val="HideTWBExt"/>
      </w:rPr>
      <w:t>&gt;</w:t>
    </w:r>
    <w:r>
      <w:t>AM\1129323SV.docx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607.804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Footer2"/>
    </w:pPr>
    <w:r>
      <w:t>SV</w:t>
    </w:r>
    <w:r>
      <w:tab/>
    </w:r>
    <w:r>
      <w:rPr>
        <w:rStyle w:val="Footer2Middle"/>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3127606 HideTWBExt;}}{\*\rsidtbl \rsid24658\rsid735077\rsid2892074\rsid4666813\rsid6641733\rsid7286045\rsid9636012\rsid11215221\rsid12154954\rsid13127606\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6}{\nofchars33}{\*\company European Parliament}{\nofcharsws38}{\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312760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7286045 \chftnsep &#13;&#10;\par }}{\*\ftnsepc \ltrpar \pard\plain \ltrpar\ql \li0\ri0\widctlpar\wrapdefault\aspalpha\aspnum\faauto\adjustright\rin0\lin0\itap0 \rtlch\fcs1 \af0\afs20\alang1025 \ltrch\fcs0 \fs24\lang2057\langfe2057\cgrid\langnp2057\langfenp2057 {\rtlch\fcs1 \af0 &#13;&#10;\ltrch\fcs0 \insrsid7286045 \chftnsepc &#13;&#10;\par }}{\*\aftnsep \ltrpar \pard\plain \ltrpar\ql \li0\ri0\widctlpar\wrapdefault\aspalpha\aspnum\faauto\adjustright\rin0\lin0\itap0 \rtlch\fcs1 \af0\afs20\alang1025 \ltrch\fcs0 \fs24\lang2057\langfe2057\cgrid\langnp2057\langfenp2057 {\rtlch\fcs1 \af0 &#13;&#10;\ltrch\fcs0 \insrsid7286045 \chftnsep &#13;&#10;\par }}{\*\aftnsepc \ltrpar \pard\plain \ltrpar\ql \li0\ri0\widctlpar\wrapdefault\aspalpha\aspnum\faauto\adjustright\rin0\lin0\itap0 \rtlch\fcs1 \af0\afs20\alang1025 \ltrch\fcs0 \fs24\lang2057\langfe2057\cgrid\langnp2057\langfenp2057 {\rtlch\fcs1 \af0 &#13;&#10;\ltrch\fcs0 \insrsid7286045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90444 \rtlch\fcs1 \af0\afs20\alang1025 \ltrch\fcs0 \fs24\lang2057\langfe2057\cgrid\langnp2057\langfenp2057 {\rtlch\fcs1 \af0 \ltrch\fcs0 &#13;&#10;\cs15\v\f1\fs20\cf9\insrsid13127606\charrsid946740 {\*\bkmkstart EndA}&lt;&lt;&lt;}{\rtlch\fcs1 \af0 \ltrch\fcs0 \insrsid13127606\charrsid946740 #@&gt;ZOTHAMA&lt;@#}{\rtlch\fcs1 \af0 \ltrch\fcs0 \cs15\v\f1\fs20\cf9\insrsid13127606\charrsid946740 &lt;/RepeatBlock-AmendA&gt;}{&#13;&#10;\rtlch\fcs1 \af0 \ltrch\fcs0 \insrsid13127606\charrsid946740 &#13;&#10;\par }\pard \ltrpar\ql \li0\ri0\widctlpar\wrapdefault\aspalpha\aspnum\faauto\adjustright\rin0\lin0\itap0\pararsid16324206 {\rtlch\fcs1 \af0 \ltrch\fcs0 \insrsid24658\charrsid16324206 {\*\bkmkend EndA}&#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407c&#13;&#10;a320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0948606 HideTWBExt;}}{\*\rsidtbl \rsid24658\rsid735077\rsid2892074\rsid4666813\rsid6641733\rsid9636012\rsid10711257\rsid10948606\rsid11215221\rsid12154954\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5}{\nofchars33}{\*\company European Parliament}{\nofcharsws37}{\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094860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10711257 \chftnsep &#13;&#10;\par }}{\*\ftnsepc \ltrpar \pard\plain \ltrpar\ql \li0\ri0\widctlpar\wrapdefault\aspalpha\aspnum\faauto\adjustright\rin0\lin0\itap0 \rtlch\fcs1 \af0\afs20\alang1025 \ltrch\fcs0 \fs24\lang2057\langfe2057\cgrid\langnp2057\langfenp2057 {\rtlch\fcs1 \af0 &#13;&#10;\ltrch\fcs0 \insrsid10711257 \chftnsepc &#13;&#10;\par }}{\*\aftnsep \ltrpar \pard\plain \ltrpar\ql \li0\ri0\widctlpar\wrapdefault\aspalpha\aspnum\faauto\adjustright\rin0\lin0\itap0 \rtlch\fcs1 \af0\afs20\alang1025 \ltrch\fcs0 \fs24\lang2057\langfe2057\cgrid\langnp2057\langfenp2057 {\rtlch\fcs1 \af0 &#13;&#10;\ltrch\fcs0 \insrsid10711257 \chftnsep &#13;&#10;\par }}{\*\aftnsepc \ltrpar \pard\plain \ltrpar\ql \li0\ri0\widctlpar\wrapdefault\aspalpha\aspnum\faauto\adjustright\rin0\lin0\itap0 \rtlch\fcs1 \af0\afs20\alang1025 \ltrch\fcs0 \fs24\lang2057\langfe2057\cgrid\langnp2057\langfenp2057 {\rtlch\fcs1 \af0 &#13;&#10;\ltrch\fcs0 \insrsid10711257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24206 \rtlch\fcs1 \af0\afs20\alang1025 \ltrch\fcs0 \fs24\lang2057\langfe2057\cgrid\langnp2057\langfenp2057 {\rtlch\fcs1 \af0 \ltrch\fcs0 &#13;&#10;\cs15\v\f1\fs20\cf9\insrsid10948606\charrsid946740 {\*\bkmkstart EndB}&lt;&lt;&lt;}{\rtlch\fcs1 \af0 \ltrch\fcs0 \insrsid10948606\charrsid946740 #@&gt;ZOTHAMB&lt;@#}{\rtlch\fcs1 \af0 \ltrch\fcs0 \cs15\v\f1\fs20\cf9\insrsid10948606\charrsid946740 &lt;/RepeatBlock-AmendB&gt;}{&#13;&#10;\rtlch\fcs1 \af0 \ltrch\fcs0 \insrsid24658\charrsid16324206 {\*\bkmkend EndB}&#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0027&#13;&#10;2921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1163973 HideTWBExt;}}{\*\rsidtbl \rsid24658\rsid735077\rsid2892074\rsid4666813\rsid6057549\rsid6641733\rsid9636012\rsid11163973\rsid11215221\rsid12154954\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3}{\nofchars18}{\*\company European Parliament}{\nofcharsws20}{\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1163973\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6057549 \chftnsep &#13;&#10;\par }}{\*\ftnsepc \ltrpar \pard\plain \ltrpar\ql \li0\ri0\widctlpar\wrapdefault\aspalpha\aspnum\faauto\adjustright\rin0\lin0\itap0 \rtlch\fcs1 \af0\afs20\alang1025 \ltrch\fcs0 \fs24\lang2057\langfe2057\cgrid\langnp2057\langfenp2057 {\rtlch\fcs1 \af0 &#13;&#10;\ltrch\fcs0 \insrsid6057549 \chftnsepc &#13;&#10;\par }}{\*\aftnsep \ltrpar \pard\plain \ltrpar\ql \li0\ri0\widctlpar\wrapdefault\aspalpha\aspnum\faauto\adjustright\rin0\lin0\itap0 \rtlch\fcs1 \af0\afs20\alang1025 \ltrch\fcs0 \fs24\lang2057\langfe2057\cgrid\langnp2057\langfenp2057 {\rtlch\fcs1 \af0 &#13;&#10;\ltrch\fcs0 \insrsid6057549 \chftnsep &#13;&#10;\par }}{\*\aftnsepc \ltrpar \pard\plain \ltrpar\ql \li0\ri0\widctlpar\wrapdefault\aspalpha\aspnum\faauto\adjustright\rin0\lin0\itap0 \rtlch\fcs1 \af0\afs20\alang1025 \ltrch\fcs0 \fs24\lang2057\langfe2057\cgrid\langnp2057\langfenp2057 {\rtlch\fcs1 \af0 &#13;&#10;\ltrch\fcs0 \insrsid6057549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24206 \rtlch\fcs1 \af0\afs20\alang1025 \ltrch\fcs0 \fs24\lang2057\langfe2057\cgrid\langnp2057\langfenp2057 {\rtlch\fcs1 \af0 \ltrch\fcs0 &#13;&#10;\cs15\b\v\f1\fs20\cf9\insrsid11163973\charrsid946740 {\*\bkmkstart IntroA}&lt;RepeatBlock-AmendA&gt;}{\rtlch\fcs1 \af0 \ltrch\fcs0 \insrsid24658\charrsid16324206 {\*\bkmkend IntroA}&#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0095&#13;&#10;761f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2335126 HideTWBExt;}}{\*\rsidtbl \rsid24658\rsid735077\rsid2892074\rsid4666813\rsid6641733\rsid9636012\rsid11215221\rsid11358468\rsid12154954\rsid12335126\rsid14424199\rsid15204470&#13;&#10;\rsid15285974\rsid15950462\rsid16324206\rsid16662270}{\mmathPr\mmathFont34\mbrkBin0\mbrkBinSub0\msmallFrac0\mdispDef1\mlMargin0\mrMargin0\mdefJc1\mwrapIndent1440\mintLim0\mnaryLim1}{\info{\author FELIX Karina}{\operator FELIX Karina}&#13;&#10;{\creatim\yr2015\mo5\dy8\hr15\min23}{\revtim\yr2015\mo5\dy8\hr15\min23}{\version1}{\edmins0}{\nofpages1}{\nofwords3}{\nofchars18}{\*\company European Parliament}{\nofcharsws20}{\vern49165}}{\*\xmlnstbl {\xmlns1 http://schemas.microsoft.com/office/word/200&#13;&#1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233512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11358468 \chftnsep &#13;&#10;\par }}{\*\ftnsepc \ltrpar \pard\plain \ltrpar\ql \li0\ri0\widctlpar\wrapdefault\aspalpha\aspnum\faauto\adjustright\rin0\lin0\itap0 \rtlch\fcs1 \af0\afs20\alang1025 \ltrch\fcs0 \fs24\lang2057\langfe2057\cgrid\langnp2057\langfenp2057 {\rtlch\fcs1 \af0 &#13;&#10;\ltrch\fcs0 \insrsid11358468 \chftnsepc &#13;&#10;\par }}{\*\aftnsep \ltrpar \pard\plain \ltrpar\ql \li0\ri0\widctlpar\wrapdefault\aspalpha\aspnum\faauto\adjustright\rin0\lin0\itap0 \rtlch\fcs1 \af0\afs20\alang1025 \ltrch\fcs0 \fs24\lang2057\langfe2057\cgrid\langnp2057\langfenp2057 {\rtlch\fcs1 \af0 &#13;&#10;\ltrch\fcs0 \insrsid11358468 \chftnsep &#13;&#10;\par }}{\*\aftnsepc \ltrpar \pard\plain \ltrpar\ql \li0\ri0\widctlpar\wrapdefault\aspalpha\aspnum\faauto\adjustright\rin0\lin0\itap0 \rtlch\fcs1 \af0\afs20\alang1025 \ltrch\fcs0 \fs24\lang2057\langfe2057\cgrid\langnp2057\langfenp2057 {\rtlch\fcs1 \af0 &#13;&#10;\ltrch\fcs0 \insrsid11358468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ql \li0\ri0\widctlpar\wrapdefault\aspalpha\aspnum\faauto\adjustright\rin0\lin0\itap0\pararsid16324206 \rtlch\fcs1 \af0\afs20\alang1025 \ltrch\fcs0 \fs24\lang2057\langfe2057\cgrid\langnp2057\langfenp2057 {\rtlch\fcs1 \af0 \ltrch\fcs0 &#13;&#10;\cs15\b\v\f1\fs20\cf9\insrsid12335126\charrsid946740 {\*\bkmkstart IntroB}&lt;RepeatBlock-AmendB&gt;}{\rtlch\fcs1 \af0 \ltrch\fcs0 \insrsid24658\charrsid16324206 {\*\bkmkend IntroB}&#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c0fc&#13;&#10;1b20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15625260 HideTWBExt;}{\s16\ql \li0\ri0\sa120\nowidctlpar\wrapdefault\aspalpha\aspnum\faauto\adjustright\rin0\lin0\itap0 \rtlch\fcs1 \af0\afs20\alang1025 \ltrch\fcs0 &#13;&#10;\fs24\lang2057\langfe2057\cgrid\langnp2057\langfenp2057 \sbasedon0 \snext16 \slink17 \spriority0 \styrsid15625260 Normal6;}{\*\cs17 \additive \fs24\lang2057\langfe2057\langnp2057\langfenp2057 \slink16 \slocked \spriority0 \styrsid15625260 Normal6 Char;}{&#13;&#10;\s18\ql \li0\ri0\nowidctlpar\wrapdefault\aspalpha\aspnum\faauto\adjustright\rin0\lin0\itap0 \rtlch\fcs1 \af0\afs20\alang1025 \ltrch\fcs0 \b\fs24\lang2057\langfe2057\cgrid\langnp2057\langfenp2057 \sbasedon0 \snext18 \slink19 \spriority0 \styrsid15625260 &#13;&#10;NormalBold;}{\*\cs19 \additive \b\fs24\lang2057\langfe2057\langnp2057\langfenp2057 \slink18 \slocked \spriority0 \styrsid15625260 NormalBold Char;}{\s20\ql \li0\ri0\sa240\nowidctlpar\wrapdefault\aspalpha\aspnum\faauto\adjustright\rin0\lin0\itap0 &#13;&#10;\rtlch\fcs1 \af0\afs20\alang1025 \ltrch\fcs0 \i\fs24\lang1024\langfe1024\cgrid\noproof\langnp2057\langfenp2057 \sbasedon0 \snext20 \spriority0 \styrsid15625260 Normal12Italic;}{&#13;&#10;\s21\qc \li0\ri0\sb240\sa240\keepn\nowidctlpar\wrapdefault\aspalpha\aspnum\faauto\adjustright\rin0\lin0\itap0 \rtlch\fcs1 \af0\afs20\alang1025 \ltrch\fcs0 \i\fs24\lang1024\langfe1024\cgrid\noproof\langnp2057\langfenp2057 &#13;&#10;\sbasedon0 \snext0 \spriority0 \styrsid15625260 JustificationTitle;}{\s22\qr \li0\ri0\sb240\sa240\nowidctlpar\wrapdefault\aspalpha\aspnum\faauto\adjustright\rin0\lin0\itap0 \rtlch\fcs1 \af0\afs20\alang1025 \ltrch\fcs0 &#13;&#10;\fs24\lang1024\langfe1024\cgrid\noproof\langnp2057\langfenp2057 \sbasedon0 \snext22 \spriority0 \styrsid15625260 Olang;}{\s23\qc \li0\ri0\sa240\nowidctlpar\wrapdefault\aspalpha\aspnum\faauto\adjustright\rin0\lin0\itap0 \rtlch\fcs1 \af0\afs20\alang1025 &#13;&#10;\ltrch\fcs0 \i\fs24\lang2057\langfe2057\cgrid\langnp2057\langfenp2057 \sbasedon0 \snext23 \spriority0 \styrsid15625260 ColumnHeading;}{\s24\ql \li0\ri0\sb240\nowidctlpar&#13;&#10;\tx879\tx936\tx1021\tx1077\tx1134\tx1191\tx1247\tx1304\tx1361\tx1418\tx1474\tx1531\tx1588\tx1644\tx1701\tx1758\tx1814\tx1871\tx2070\tx2126\tx3374\tx3430\wrapdefault\aspalpha\aspnum\faauto\adjustright\rin0\lin0\itap0 \rtlch\fcs1 \af0\afs20\alang1025 &#13;&#10;\ltrch\fcs0 \b\fs24\lang2057\langfe2057\cgrid\langnp2057\langfenp2057 \sbasedon0 \snext24 \spriority0 \styrsid15625260 AMNumberTabs;}}{\*\rsidtbl \rsid24658\rsid735077\rsid2892074\rsid4666813\rsid6641733\rsid9636012\rsid11215221\rsid12154954\rsid14424199&#13;&#10;\rsid15204470\rsid15285974\rsid15625260\rsid15950462\rsid16324206\rsid16662270\rsid16743564}{\mmathPr\mmathFont34\mbrkBin0\mbrkBinSub0\msmallFrac0\mdispDef1\mlMargin0\mrMargin0\mdefJc1\mwrapIndent1440\mintLim0\mnaryLim1}{\info{\author FELIX Karina}&#13;&#10;{\operator FELIX Karina}{\creatim\yr2015\mo5\dy8\hr15\min23}{\revtim\yr2015\mo5\dy8\hr15\min23}{\version1}{\edmins0}{\nofpages1}{\nofwords62}{\nofchars342}{\*\company European Parliament}{\nofcharsws403}{\vern49165}}{\*\xmlnstbl {\xmlns1 http://schemas.mi&#13;&#10;crosoft.com/office/word/20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15625260\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16743564 \chftnsep &#13;&#10;\par }}{\*\ftnsepc \ltrpar \pard\plain \ltrpar\ql \li0\ri0\widctlpar\wrapdefault\aspalpha\aspnum\faauto\adjustright\rin0\lin0\itap0 \rtlch\fcs1 \af0\afs20\alang1025 \ltrch\fcs0 \fs24\lang2057\langfe2057\cgrid\langnp2057\langfenp2057 {\rtlch\fcs1 \af0 &#13;&#10;\ltrch\fcs0 \insrsid16743564 \chftnsepc &#13;&#10;\par }}{\*\aftnsep \ltrpar \pard\plain \ltrpar\ql \li0\ri0\widctlpar\wrapdefault\aspalpha\aspnum\faauto\adjustright\rin0\lin0\itap0 \rtlch\fcs1 \af0\afs20\alang1025 \ltrch\fcs0 \fs24\lang2057\langfe2057\cgrid\langnp2057\langfenp2057 {\rtlch\fcs1 \af0 &#13;&#10;\ltrch\fcs0 \insrsid16743564 \chftnsep &#13;&#10;\par }}{\*\aftnsepc \ltrpar \pard\plain \ltrpar\ql \li0\ri0\widctlpar\wrapdefault\aspalpha\aspnum\faauto\adjustright\rin0\lin0\itap0 \rtlch\fcs1 \af0\afs20\alang1025 \ltrch\fcs0 \fs24\lang2057\langfe2057\cgrid\langnp2057\langfenp2057 {\rtlch\fcs1 \af0 &#13;&#10;\ltrch\fcs0 \insrsid16743564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s24\ql \li0\ri0\sb240\keepn\nowidctlpar\tx879\tx936\tx1021\tx1077\tx1134\tx1191\tx1247\tx1304\tx1361\tx1418\tx1474\tx1531\tx1588\tx1644\tx1701\tx1758\tx1814\tx1871\tx2070\tx2126\tx3374\tx3430\wrapdefault\aspalpha\aspnum\faauto\adjustright\rin0&#13;&#10;\lin0\itap0\pararsid6905025 \rtlch\fcs1 \af0\afs20\alang1025 \ltrch\fcs0 \b\fs24\lang2057\langfe2057\cgrid\langnp2057\langfenp2057 {\rtlch\fcs1 \af0 \ltrch\fcs0 \cs15\b0\v\f1\fs20\cf9\insrsid15625260\charrsid946740 {\*\bkmkstart restartA}&lt;AmendA&gt;}{&#13;&#10;\rtlch\fcs1 \af0 \ltrch\fcs0 \insrsid15625260\charrsid946740 [ZAMENDMENT]\tab \tab }{\rtlch\fcs1 \af0 \ltrch\fcs0 \cs15\b0\v\f1\fs20\cf9\insrsid15625260\charrsid946740 &lt;NumAmA&gt;}{\rtlch\fcs1 \af0 \ltrch\fcs0 \insrsid15625260\charrsid946740 [ZNRAM]}{&#13;&#10;\rtlch\fcs1 \af0 \ltrch\fcs0 \cs15\b0\v\f1\fs20\cf9\insrsid15625260\charrsid946740 &lt;/NumAmA&gt;}{\rtlch\fcs1 \af0 \ltrch\fcs0 \insrsid15625260\charrsid946740 &#13;&#10;\par }\pard\plain \ltrpar\s18\ql \li0\ri0\nowidctlpar\wrapdefault\aspalpha\aspnum\faauto\adjustright\rin0\lin0\itap0\pararsid5976803 \rtlch\fcs1 \af0\afs20\alang1025 \ltrch\fcs0 \b\fs24\lang2057\langfe2057\cgrid\langnp2057\langfenp2057 {\rtlch\fcs1 \af0 &#13;&#10;\ltrch\fcs0 \cs15\b0\v\f1\fs20\cf9\lang1024\langfe1024\noproof\insrsid15625260\charrsid14699840 &lt;RepeatBlock-By&gt;}{\rtlch\fcs1 \af0 \ltrch\fcs0 \lang1024\langfe1024\noproof\insrsid15625260\charrsid14699840 [RepeatMembers]}{\rtlch\fcs1 \af0 \ltrch\fcs0 &#13;&#10;\cs15\b0\v\f1\fs20\cf9\lang1024\langfe1024\noproof\insrsid15625260\charrsid14699840 &lt;Members&gt;}{\rtlch\fcs1 \af0 \ltrch\fcs0 \insrsid15625260\charrsid14699840 [ZMEMBERS]}{\rtlch\fcs1 \af0 \ltrch\fcs0 &#13;&#10;\cs15\b0\v\f1\fs20\cf9\lang1024\langfe1024\noproof\insrsid15625260\charrsid14699840 &lt;/Members&gt;}{\rtlch\fcs1 \af0 \ltrch\fcs0 \insrsid15625260\charrsid14699840 &#13;&#10;\par }\pard\plain \ltrpar\ql \li0\ri0\widctlpar\wrapdefault\aspalpha\aspnum\faauto\adjustright\rin0\lin0\itap0\pararsid5976803 \rtlch\fcs1 \af0\afs20\alang1025 \ltrch\fcs0 \fs24\lang2057\langfe2057\cgrid\langnp2057\langfenp2057 {\rtlch\fcs1 \af0 \ltrch\fcs0 &#13;&#10;\cs15\v\f1\fs20\cf9\lang1024\langfe1024\noproof\insrsid15625260\charrsid14699840 &lt;AuNomDe&gt;&lt;OptDel&gt;}{\rtlch\fcs1 \af0 \ltrch\fcs0 \lang1024\langfe1024\noproof\insrsid15625260\charrsid14699840 [ZONBEHALF]}{\rtlch\fcs1 \af0 \ltrch\fcs0 &#13;&#10;\cs15\v\f1\fs20\cf9\lang1024\langfe1024\noproof\insrsid15625260\charrsid14699840 &lt;/OptDel&gt;&lt;/AuNomDe&gt;}{\rtlch\fcs1 \af0 \ltrch\fcs0 \insrsid15625260\charrsid14699840 &#13;&#10;\par &lt;&lt;&lt;}{\rtlch\fcs1 \af0 \ltrch\fcs0 \cs15\v\f1\fs20\cf9\lang1024\langfe1024\noproof\insrsid15625260\charrsid14699840 &lt;/RepeatBlock-By&gt;}{\rtlch\fcs1 \af0 \ltrch\fcs0 \insrsid15625260\charrsid14699840 &#13;&#10;\par }\pard\plain \ltrpar\s18\ql \li0\ri0\nowidctlpar\wrapdefault\aspalpha\aspnum\faauto\adjustright\rin0\lin0\itap0\pararsid5976803 \rtlch\fcs1 \af0\afs20\alang1025 \ltrch\fcs0 \b\fs24\lang2057\langfe2057\cgrid\langnp2057\langfenp2057 {\rtlch\fcs1 \af0 &#13;&#10;\ltrch\fcs0 \cs15\b0\v\f1\fs20\cf9\insrsid15625260\charrsid946740 &lt;DocAmend&gt;}{\rtlch\fcs1 \af0 \ltrch\fcs0 \insrsid15625260\charrsid946740 [ZRESOLUTION]}{\rtlch\fcs1 \af0 \ltrch\fcs0 \cs15\b0\v\f1\fs20\cf9\insrsid15625260\charrsid946740 &lt;/DocAmend&gt;}{&#13;&#10;\rtlch\fcs1 \af0 \ltrch\fcs0 \insrsid15625260\charrsid946740 &#13;&#10;\par }\pard \ltrpar\s18\ql \li0\ri0\nowidctlpar\wrapdefault\aspalpha\aspnum\faauto\adjustright\rin0\lin0\itap0\pararsid16013815 {\rtlch\fcs1 \af0 \ltrch\fcs0 \cs15\b0\v\f1\fs20\cf9\lang1024\langfe1024\noproof\insrsid15625260\charrsid16013815 &lt;Article&gt;}{&#13;&#10;\rtlch\fcs1 \af0 \ltrch\fcs0 \insrsid15625260\charrsid16013815 [ZRESPART]}{\rtlch\fcs1 \af0 \ltrch\fcs0 \cs15\b0\v\f1\fs20\cf9\lang1024\langfe1024\noproof\insrsid15625260\charrsid16013815 &lt;/Article&gt;}{\rtlch\fcs1 \af0 \ltrch\fcs0 &#13;&#10;\insrsid15625260\charrsid16013815 &#13;&#10;\par \ltrrow}\trowd \ltrrow\ts11\trqc\trgaph340\trleft-340\trftsWidth1\trftsWidthB3\trftsWidthA3\trpaddl340\trpaddr340\trpaddfl3\trpaddfr3\tblind0\tblindtype3 \clvertalt\clbrdrt\brdrtbl \clbrdrl\brdrtbl \clbrdrb\brdrtbl \clbrdrr\brdrtbl &#13;&#10;\cltxlrtb\clftsWidth3\clwWidth9752\clshdrawnil \cellx9412\pard\plain \ltrpar\ql \li0\ri0\keepn\widctlpar\intbl\wrapdefault\aspalpha\aspnum\faauto\adjustright\rin0\lin0\pararsid10630121 \rtlch\fcs1 \af0\afs20\alang1025 \ltrch\fcs0 &#13;&#10;\fs24\lang2057\langfe2057\cgrid\langnp2057\langfenp2057 {\rtlch\fcs1 \af0 \ltrch\fcs0 \insrsid15625260\charrsid946740 \cell }\pard \ltrpar\ql \li0\ri0\widctlpar\intbl\wrapdefault\aspalpha\aspnum\faauto\adjustright\rin0\lin0 {\rtlch\fcs1 \af0 \ltrch\fcs0 &#13;&#10;\insrsid15625260\charrsid946740 \trowd \ltrrow\ts11\trqc\trgaph340\trleft-340\trftsWidth1\trftsWidthB3\trftsWidthA3\trpaddl340\trpaddr340\trpaddfl3\trpaddfr3\tblind0\tblindtype3 \clvertalt\clbrdrt\brdrtbl \clbrdrl\brdrtbl \clbrdrb\brdrtbl \clbrdrr&#13;&#10;\brdrtbl \cltxlrtb\clftsWidth3\clwWidth9752\clshdrawnil \cellx9412\row \ltrrow}\trowd \ltrrow\ts11\trqc\trgaph340\trleft-340\trftsWidth1\trftsWidthB3\trftsWidthA3\trpaddl340\trpaddr340\trpaddfl3\trpaddfr3\tblind0\tblindtype3 \clvertalt\clbrdrt\brdrtbl &#13;&#10;\clbrdrl\brdrtbl \clbrdrb\brdrtbl \clbrdrr\brdrtbl \cltxlrtb\clftsWidth3\clwWidth4876\clshdrawnil \cellx4536\clvertalt\clbrdrt\brdrtbl \clbrdrl\brdrtbl \clbrdrb\brdrtbl \clbrdrr\brdrtbl \cltxlrtb\clftsWidth3\clwWidth4876\clshdrawnil \cellx9412&#13;&#10;\pard\plain \ltrpar\s23\qc \li0\ri0\sa240\keepn\nowidctlpar\intbl\wrapdefault\aspalpha\aspnum\faauto\adjustright\rin0\lin0\pararsid10630121 \rtlch\fcs1 \af0\afs20\alang1025 \ltrch\fcs0 \i\fs24\lang2057\langfe2057\cgrid\langnp2057\langfenp2057 {&#13;&#10;\rtlch\fcs1 \af0 \ltrch\fcs0 \insrsid15625260\charrsid946740 [ZLEFTA]\cell [ZRIGHT]\cell }\pard\plain \ltrpar\ql \li0\ri0\widctlpar\intbl\wrapdefault\aspalpha\aspnum\faauto\adjustright\rin0\lin0 \rtlch\fcs1 \af0\afs20\alang1025 \ltrch\fcs0 &#13;&#10;\fs24\lang2057\langfe2057\cgrid\langnp2057\langfenp2057 {\rtlch\fcs1 \af0 \ltrch\fcs0 \insrsid15625260\charrsid946740 \trowd \ltrrow&#13;&#10;\ts11\trqc\trgaph340\trleft-340\trftsWidth1\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ltrrow}\pard\plain \ltrpar&#13;&#10;\s16\ql \li0\ri0\sa120\nowidctlpar\intbl\wrapdefault\aspalpha\aspnum\faauto\adjustright\rin0\lin0\pararsid12024389 \rtlch\fcs1 \af0\afs20\alang1025 \ltrch\fcs0 \fs24\lang2057\langfe2057\cgrid\langnp2057\langfenp2057 {\rtlch\fcs1 \af0 \ltrch\fcs0 &#13;&#10;\insrsid15625260\charrsid946740 [ZTEXTL]\cell [ZTEXTR]}{\rtlch\fcs1 \af0\afs24 \ltrch\fcs0 \insrsid15625260\charrsid946740 \cell }\pard\plain \ltrpar\ql \li0\ri0\widctlpar\intbl\wrapdefault\aspalpha\aspnum\faauto\adjustright\rin0\lin0 \rtlch\fcs1 &#13;&#10;\af0\afs20\alang1025 \ltrch\fcs0 \fs24\lang2057\langfe2057\cgrid\langnp2057\langfenp2057 {\rtlch\fcs1 \af0 \ltrch\fcs0 \insrsid15625260\charrsid946740 \trowd \lastrow \ltrrow&#13;&#10;\ts11\trqc\trgaph340\trleft-340\trftsWidth1\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pard\plain \ltrpar&#13;&#10;\s22\qr \li0\ri0\sb240\sa240\nowidctlpar\wrapdefault\aspalpha\aspnum\faauto\adjustright\rin0\lin0\itap0\pararsid10118616 \rtlch\fcs1 \af0\afs20\alang1025 \ltrch\fcs0 \fs24\lang1024\langfe1024\cgrid\noproof\langnp2057\langfenp2057 {\rtlch\fcs1 \af0 &#13;&#10;\ltrch\fcs0 \noproof0\insrsid15625260\charrsid946740 Or. }{\rtlch\fcs1 \af0 \ltrch\fcs0 \cs15\v\f1\fs20\cf9\noproof0\insrsid15625260\charrsid946740 &lt;Original&gt;}{\rtlch\fcs1 \af0 \ltrch\fcs0 \noproof0\insrsid15625260\charrsid946740 [ZORLANG]}{\rtlch\fcs1 &#13;&#10;\af0 \ltrch\fcs0 \cs15\v\f1\fs20\cf9\noproof0\insrsid15625260\charrsid946740 &lt;/Original&gt;}{\rtlch\fcs1 \af0 \ltrch\fcs0 \noproof0\insrsid15625260\charrsid946740 &#13;&#10;\par }\pard\plain \ltrpar\s21\qc \li0\ri0\sb240\sa240\keepn\nowidctlpar\wrapdefault\aspalpha\aspnum\faauto\adjustright\rin0\lin0\itap0\pararsid16390444 \rtlch\fcs1 \af0\afs20\alang1025 \ltrch\fcs0 &#13;&#10;\i\fs24\lang1024\langfe1024\cgrid\noproof\langnp2057\langfenp2057 {\rtlch\fcs1 \af0 \ltrch\fcs0 \cs15\i0\v\f1\fs20\cf9\noproof0\insrsid15625260\charrsid946740 &lt;TitreJust&gt;}{\rtlch\fcs1 \af0 \ltrch\fcs0 \noproof0\insrsid15625260\charrsid946740 &#13;&#10;[ZJUSTIFICATION]}{\rtlch\fcs1 \af0 \ltrch\fcs0 \cs15\i0\v\f1\fs20\cf9\noproof0\insrsid15625260\charrsid946740 &lt;/TitreJust&gt;}{\rtlch\fcs1 \af0 \ltrch\fcs0 \noproof0\insrsid15625260\charrsid946740 &#13;&#10;\par }\pard\plain \ltrpar\s20\ql \li0\ri0\sa240\nowidctlpar\wrapdefault\aspalpha\aspnum\faauto\adjustright\rin0\lin0\itap0\pararsid16390444 \rtlch\fcs1 \af0\afs20\alang1025 \ltrch\fcs0 \i\fs24\lang1024\langfe1024\cgrid\noproof\langnp2057\langfenp2057 {&#13;&#10;\rtlch\fcs1 \af0 \ltrch\fcs0 \cs15\i0\v\f1\fs20\cf9\noproof0\insrsid15625260\charrsid946740 &lt;OptDelPrev&gt;}{\rtlch\fcs1 \af0 \ltrch\fcs0 \noproof0\insrsid15625260\charrsid946740 [ZTEXTJUST]}{\rtlch\fcs1 \af0 \ltrch\fcs0 &#13;&#10;\cs15\i0\v\f1\fs20\cf9\noproof0\insrsid15625260\charrsid946740 &lt;/OptDelPrev&gt;}{\rtlch\fcs1 \af0 \ltrch\fcs0 \noproof0\insrsid15625260\charrsid946740 &#13;&#10;\par }\pard\plain \ltrpar\ql \li0\ri0\widctlpar\wrapdefault\aspalpha\aspnum\faauto\adjustright\rin0\lin0\itap0\pararsid16324206 \rtlch\fcs1 \af0\afs20\alang1025 \ltrch\fcs0 \fs24\lang2057\langfe2057\cgrid\langnp2057\langfenp2057 {\rtlch\fcs1 \af0 \ltrch\fcs0 &#13;&#10;\cs15\v\f1\fs20\cf9\insrsid15625260\charrsid946740 &lt;/AmendA&gt;}{\rtlch\fcs1 \af0 \ltrch\fcs0 \insrsid24658\charrsid16324206 {\*\bkmkend restartA}&#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a09a&#13;&#10;bf21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13;&#10;{\f34\fbidi \froman\fcharset0\fprq2{\*\panose 02040503050406030204}Cambria Math;}{\flomajor\f31500\fbidi \froman\fcharset0\fprq2{\*\panose 02020603050405020304}Times New Roman;}&#13;&#10;{\fdbmajor\f31501\fbidi \froman\fcharset0\fprq2{\*\panose 02020603050405020304}Times New Roman;}{\fhimajor\f31502\fbidi \froman\fcharset0\fprq2{\*\panose 02040503050406030204}Cambria;}&#13;&#10;{\fbimajor\f31503\fbidi \froman\fcharset0\fprq2{\*\panose 02020603050405020304}Times New Roman;}{\flominor\f31504\fbidi \froman\fcharset0\fprq2{\*\panose 02020603050405020304}Times New Roman;}&#13;&#10;{\fdbminor\f31505\fbidi \froman\fcharset0\fprq2{\*\panose 02020603050405020304}Times New Roman;}{\fhiminor\f31506\fbidi \fswiss\fcharset0\fprq2{\*\panose 020f0502020204030204}Calibri;}&#13;&#10;{\fbiminor\f31507\fbidi \froman\fcharset0\fprq2{\*\panose 02020603050405020304}Times New Roman;}{\f42\fbidi \froman\fcharset238\fprq2 Times New Roman CE;}{\f43\fbidi \froman\fcharset204\fprq2 Times New Roman Cyr;}&#13;&#10;{\f45\fbidi \froman\fcharset161\fprq2 Times New Roman Greek;}{\f46\fbidi \froman\fcharset162\fprq2 Times New Roman Tur;}{\f47\fbidi \froman\fcharset177\fprq2 Times New Roman (Hebrew);}{\f48\fbidi \froman\fcharset178\fprq2 Times New Roman (Arabic);}&#13;&#10;{\f49\fbidi \froman\fcharset186\fprq2 Times New Roman Baltic;}{\f50\fbidi \froman\fcharset163\fprq2 Times New Roman (Vietnamese);}{\f52\fbidi \fswiss\fcharset238\fprq2 Arial CE;}{\f53\fbidi \fswiss\fcharset204\fprq2 Arial Cyr;}&#13;&#10;{\f55\fbidi \fswiss\fcharset161\fprq2 Arial Greek;}{\f56\fbidi \fswiss\fcharset162\fprq2 Arial Tur;}{\f57\fbidi \fswiss\fcharset177\fprq2 Arial (Hebrew);}{\f58\fbidi \fswiss\fcharset178\fprq2 Arial (Arabic);}&#13;&#10;{\f59\fbidi \fswiss\fcharset186\fprq2 Arial Baltic;}{\f60\fbidi \fswiss\fcharset163\fprq2 Arial (Vietnamese);}{\f382\fbidi \froman\fcharset238\fprq2 Cambria Math CE;}{\f383\fbidi \froman\fcharset204\fprq2 Cambria Math Cyr;}&#13;&#10;{\f385\fbidi \froman\fcharset161\fprq2 Cambria Math Greek;}{\f386\fbidi \froman\fcharset162\fprq2 Cambria Math Tur;}{\f389\fbidi \froman\fcharset186\fprq2 Cambria Math Baltic;}{\f390\fbidi \froman\fcharset163\fprq2 Cambria Math (Vietnamese);}&#13;&#10;{\flomajor\f31508\fbidi \froman\fcharset238\fprq2 Times New Roman CE;}{\flomajor\f31509\fbidi \froman\fcharset204\fprq2 Times New Roman Cyr;}{\flomajor\f31511\fbidi \froman\fcharset161\fprq2 Times New Roman Greek;}&#13;&#10;{\flomajor\f31512\fbidi \froman\fcharset162\fprq2 Times New Roman Tur;}{\flomajor\f31513\fbidi \froman\fcharset177\fprq2 Times New Roman (Hebrew);}{\flomajor\f31514\fbidi \froman\fcharset178\fprq2 Times New Roman (Arabic);}&#13;&#10;{\flomajor\f31515\fbidi \froman\fcharset186\fprq2 Times New Roman Baltic;}{\flomajor\f31516\fbidi \froman\fcharset163\fprq2 Times New Roman (Vietnamese);}{\fdbmajor\f31518\fbidi \froman\fcharset238\fprq2 Times New Roman CE;}&#13;&#10;{\fdbmajor\f31519\fbidi \froman\fcharset204\fprq2 Times New Roman Cyr;}{\fdbmajor\f31521\fbidi \froman\fcharset161\fprq2 Times New Roman Greek;}{\fdbmajor\f31522\fbidi \froman\fcharset162\fprq2 Times New Roman Tur;}&#13;&#10;{\fdbmajor\f31523\fbidi \froman\fcharset177\fprq2 Times New Roman (Hebrew);}{\fdbmajor\f31524\fbidi \froman\fcharset178\fprq2 Times New Roman (Arabic);}{\fdbmajor\f31525\fbidi \froman\fcharset186\fprq2 Times New Roman Baltic;}&#13;&#10;{\fdbmajor\f31526\fbidi \froman\fcharset163\fprq2 Times New Roman (Vietnamese);}{\fhimajor\f31528\fbidi \froman\fcharset238\fprq2 Cambria CE;}{\fhimajor\f31529\fbidi \froman\fcharset204\fprq2 Cambria Cyr;}&#13;&#10;{\fhimajor\f31531\fbidi \froman\fcharset161\fprq2 Cambria Greek;}{\fhimajor\f31532\fbidi \froman\fcharset162\fprq2 Cambria Tur;}{\fhimajor\f31535\fbidi \froman\fcharset186\fprq2 Cambria Baltic;}&#13;&#10;{\fhimajor\f31536\fbidi \froman\fcharset163\fprq2 Cambria (Vietnamese);}{\fbimajor\f31538\fbidi \froman\fcharset238\fprq2 Times New Roman CE;}{\fbimajor\f31539\fbidi \froman\fcharset204\fprq2 Times New Roman Cyr;}&#13;&#10;{\fbimajor\f31541\fbidi \froman\fcharset161\fprq2 Times New Roman Greek;}{\fbimajor\f31542\fbidi \froman\fcharset162\fprq2 Times New Roman Tur;}{\fbimajor\f31543\fbidi \froman\fcharset177\fprq2 Times New Roman (Hebrew);}&#13;&#10;{\fbimajor\f31544\fbidi \froman\fcharset178\fprq2 Times New Roman (Arabic);}{\fbimajor\f31545\fbidi \froman\fcharset186\fprq2 Times New Roman Baltic;}{\fbimajor\f31546\fbidi \froman\fcharset163\fprq2 Times New Roman (Vietnamese);}&#13;&#10;{\flominor\f31548\fbidi \froman\fcharset238\fprq2 Times New Roman CE;}{\flominor\f31549\fbidi \froman\fcharset204\fprq2 Times New Roman Cyr;}{\flominor\f31551\fbidi \froman\fcharset161\fprq2 Times New Roman Greek;}&#13;&#10;{\flominor\f31552\fbidi \froman\fcharset162\fprq2 Times New Roman Tur;}{\flominor\f31553\fbidi \froman\fcharset177\fprq2 Times New Roman (Hebrew);}{\flominor\f31554\fbidi \froman\fcharset178\fprq2 Times New Roman (Arabic);}&#13;&#10;{\flominor\f31555\fbidi \froman\fcharset186\fprq2 Times New Roman Baltic;}{\flominor\f31556\fbidi \froman\fcharset163\fprq2 Times New Roman (Vietnamese);}{\fdbminor\f31558\fbidi \froman\fcharset238\fprq2 Times New Roman CE;}&#13;&#10;{\fdbminor\f31559\fbidi \froman\fcharset204\fprq2 Times New Roman Cyr;}{\fdbminor\f31561\fbidi \froman\fcharset161\fprq2 Times New Roman Greek;}{\fdbminor\f31562\fbidi \froman\fcharset162\fprq2 Times New Roman Tur;}&#13;&#10;{\fdbminor\f31563\fbidi \froman\fcharset177\fprq2 Times New Roman (Hebrew);}{\fdbminor\f31564\fbidi \froman\fcharset178\fprq2 Times New Roman (Arabic);}{\fdbminor\f31565\fbidi \froman\fcharset186\fprq2 Times New Roman Baltic;}&#13;&#10;{\fdbminor\f31566\fbidi \froman\fcharset163\fprq2 Times New Roman (Vietnamese);}{\fhiminor\f31568\fbidi \fswiss\fcharset238\fprq2 Calibri CE;}{\fhiminor\f31569\fbidi \fswiss\fcharset204\fprq2 Calibri Cyr;}&#13;&#10;{\fhiminor\f31571\fbidi \fswiss\fcharset161\fprq2 Calibri Greek;}{\fhiminor\f31572\fbidi \fswiss\fcharset162\fprq2 Calibri Tur;}{\fhiminor\f31575\fbidi \fswiss\fcharset186\fprq2 Calibri Baltic;}&#13;&#10;{\fhiminor\f31576\fbidi \fswiss\fcharset163\fprq2 Calibri (Vietnamese);}{\fbiminor\f31578\fbidi \froman\fcharset238\fprq2 Times New Roman CE;}{\fbiminor\f31579\fbidi \froman\fcharset204\fprq2 Times New Roman Cyr;}&#13;&#10;{\fbiminor\f31581\fbidi \froman\fcharset161\fprq2 Times New Roman Greek;}{\fbiminor\f31582\fbidi \froman\fcharset162\fprq2 Times New Roman Tur;}{\fbiminor\f31583\fbidi \froman\fcharset177\fprq2 Times New Roman (Hebrew);}&#13;&#10;{\fbiminor\f31584\fbidi \froman\fcharset178\fprq2 Times New Roman (Arabic);}{\fbiminor\f31585\fbidi \froman\fcharset186\fprq2 Times New Roman Baltic;}{\fbiminor\f31586\fbidi \froman\fcharset163\fprq2 Times New Roman (Vietnamese);}}&#13;&#10;{\colortbl;\red0\green0\blue0;\red0\green0\blue255;\red0\green255\blue255;\red0\green255\blue0;\red255\green0\blue255;\red255\green0\blue0;\red255\green255\blue0;\red255\green255\blue255;\red0\green0\blue128;\red0\green128\blue128;\red0\green128\blue0;&#13;&#10;\red128\green0\blue128;\red128\green0\blue0;\red128\green128\blue0;\red128\green128\blue128;\red192\green192\blue192;}{\*\defchp }{\*\defpap \ql \li0\ri0\widctlpar\wrapdefault\aspalpha\aspnum\faauto\adjustright\rin0\lin0\itap0 }\noqfpromote {\stylesheet{&#13;&#10;\ql \li0\ri0\widctlpar\wrapdefault\aspalpha\aspnum\faauto\adjustright\rin0\lin0\itap0 \rtlch\fcs1 \af0\afs20\alang1025 \ltrch\fcs0 \fs24\lang2057\langfe2057\cgrid\langnp2057\langfenp2057 \snext0 \sqformat \spriority0 Normal;}{\*\cs10 \additive &#13;&#10;\ssemihidden \spriority0 Default Paragraph Font;}{\*\ts11\tsrowd\trftsWidthB3\trpaddl108\trpaddr108\trpaddfl3\trpaddft3\trpaddfb3\trpaddfr3\tblind0\tblindtype3\tsvertalt\tsbrdrt\tsbrdrl\tsbrdrb\tsbrdrr\tsbrdrdgl\tsbrdrdgr\tsbrdrh\tsbrdrv &#13;&#10;\ql \li0\ri0\widctlpar\wrapdefault\aspalpha\aspnum\faauto\adjustright\rin0\lin0\itap0 \rtlch\fcs1 \af0\afs20\alang1025 \ltrch\fcs0 \fs20\lang1043\langfe1043\cgrid\langnp1043\langfenp1043 \snext11 \ssemihidden \spriority0 Normal Table;}{\*\cs15 \additive &#13;&#10;\v\f1\fs20\cf9\lang1024\langfe1024\noproof \spriority0 \styrsid2490866 HideTWBExt;}{\s16\ql \li0\ri0\sa120\nowidctlpar\wrapdefault\aspalpha\aspnum\faauto\adjustright\rin0\lin0\itap0 \rtlch\fcs1 \af0\afs20\alang1025 \ltrch\fcs0 &#13;&#10;\fs24\lang2057\langfe2057\cgrid\langnp2057\langfenp2057 \sbasedon0 \snext16 \slink17 \spriority0 \styrsid2490866 Normal6;}{\*\cs17 \additive \fs24\lang2057\langfe2057\langnp2057\langfenp2057 \slink16 \slocked \spriority0 \styrsid2490866 Normal6 Char;}{&#13;&#10;\s18\ql \li0\ri0\nowidctlpar\wrapdefault\aspalpha\aspnum\faauto\adjustright\rin0\lin0\itap0 \rtlch\fcs1 \af0\afs20\alang1025 \ltrch\fcs0 \b\fs24\lang2057\langfe2057\cgrid\langnp2057\langfenp2057 \sbasedon0 \snext18 \slink19 \spriority0 \styrsid2490866 &#13;&#10;NormalBold;}{\*\cs19 \additive \b\fs24\lang2057\langfe2057\langnp2057\langfenp2057 \slink18 \slocked \spriority0 \styrsid2490866 NormalBold Char;}{\s20\ql \li0\ri0\sa240\nowidctlpar\wrapdefault\aspalpha\aspnum\faauto\adjustright\rin0\lin0\itap0 &#13;&#10;\rtlch\fcs1 \af0\afs20\alang1025 \ltrch\fcs0 \i\fs24\lang1024\langfe1024\cgrid\noproof\langnp2057\langfenp2057 \sbasedon0 \snext20 \spriority0 \styrsid2490866 Normal12Italic;}{&#13;&#10;\s21\qc \li0\ri0\sb240\nowidctlpar\wrapdefault\aspalpha\aspnum\faauto\adjustright\rin0\lin0\itap0 \rtlch\fcs1 \af0\afs20\alang1025 \ltrch\fcs0 \i\fs24\lang2057\langfe2057\cgrid\langnp2057\langfenp2057 \sbasedon0 \snext21 \spriority0 \styrsid2490866 &#13;&#10;CrossRef;}{\s22\qc \li0\ri0\sb240\sa240\keepn\nowidctlpar\wrapdefault\aspalpha\aspnum\faauto\adjustright\rin0\lin0\itap0 \rtlch\fcs1 \af0\afs20\alang1025 \ltrch\fcs0 \i\fs24\lang1024\langfe1024\cgrid\noproof\langnp2057\langfenp2057 &#13;&#10;\sbasedon0 \snext0 \spriority0 \styrsid2490866 JustificationTitle;}{\s23\qr \li0\ri0\sb240\sa240\nowidctlpar\wrapdefault\aspalpha\aspnum\faauto\adjustright\rin0\lin0\itap0 \rtlch\fcs1 \af0\afs20\alang1025 \ltrch\fcs0 &#13;&#10;\fs24\lang1024\langfe1024\cgrid\noproof\langnp2057\langfenp2057 \sbasedon0 \snext23 \spriority0 \styrsid2490866 Olang;}{\s24\qc \li0\ri0\sa240\nowidctlpar\wrapdefault\aspalpha\aspnum\faauto\adjustright\rin0\lin0\itap0 \rtlch\fcs1 \af0\afs20\alang1025 &#13;&#10;\ltrch\fcs0 \i\fs24\lang2057\langfe2057\cgrid\langnp2057\langfenp2057 \sbasedon0 \snext24 \spriority0 \styrsid2490866 ColumnHeading;}{\s25\ql \li0\ri0\sb240\nowidctlpar&#13;&#10;\tx879\tx936\tx1021\tx1077\tx1134\tx1191\tx1247\tx1304\tx1361\tx1418\tx1474\tx1531\tx1588\tx1644\tx1701\tx1758\tx1814\tx1871\tx2070\tx2126\tx3374\tx3430\wrapdefault\aspalpha\aspnum\faauto\adjustright\rin0\lin0\itap0 \rtlch\fcs1 \af0\afs20\alang1025 &#13;&#10;\ltrch\fcs0 \b\fs24\lang2057\langfe2057\cgrid\langnp2057\langfenp2057 \sbasedon0 \snext25 \spriority0 \styrsid2490866 AMNumberTabs;}}{\*\rsidtbl \rsid24658\rsid735077\rsid2490866\rsid2892074\rsid4666813\rsid6641733\rsid7298627\rsid9636012\rsid11215221&#13;&#10;\rsid12154954\rsid14424199\rsid15204470\rsid15285974\rsid15950462\rsid16324206\rsid16662270}{\mmathPr\mmathFont34\mbrkBin0\mbrkBinSub0\msmallFrac0\mdispDef1\mlMargin0\mrMargin0\mdefJc1\mwrapIndent1440\mintLim0\mnaryLim1}{\info{\author FELIX Karina}&#13;&#10;{\operator FELIX Karina}{\creatim\yr2015\mo5\dy8\hr15\min23}{\revtim\yr2015\mo5\dy8\hr15\min23}{\version1}{\edmins0}{\nofpages1}{\nofwords80}{\nofchars445}{\*\company European Parliament}{\nofcharsws524}{\vern49165}}{\*\xmlnstbl {\xmlns1 http://schemas.mi&#13;&#10;crosoft.com/office/word/2003/wordml}}\paperw11906\paperh16838\margl1418\margr1418\margt1134\margb1418\gutter0\ltrsect &#13;&#10;\facingp\widowctrl\ftnbj\aenddoc\ftnrstpg\trackmoves0\trackformatting1\donotembedsysfont1\relyonvml0\donotembedlingdata0\grfdocevents0\validatexml1\showplaceholdtext0\ignoremixedcontent0\saveinvalidxml0&#13;&#10;\showxmlerrors1\margmirror\noxlattoyen\expshrtn\noultrlspc\dntblnsbdb\nospaceforul\formshade\horzdoc\dghspace180\dgvspace180\dghorigin1701\dgvorigin1984\dghshow0\dgvshow0&#13;&#10;\jexpand\viewkind1\viewscale90\pgbrdrhead\pgbrdrfoot\nolnhtadjtbl\nojkernpunct\rsidroot2490866\utinl \fet0{\*\wgrffmtfilter 013f}\ilfomacatclnup0{\*\template C:\\Users\\kfelix\\AppData\\Local\\Temp\\Blank1.dot}{\*\ftnsep \ltrpar \pard\plain \ltrpar&#13;&#10;\ql \li0\ri0\widctlpar\wrapdefault\aspalpha\aspnum\faauto\adjustright\rin0\lin0\itap0 \rtlch\fcs1 \af0\afs20\alang1025 \ltrch\fcs0 \fs24\lang2057\langfe2057\cgrid\langnp2057\langfenp2057 {\rtlch\fcs1 \af0 \ltrch\fcs0 \insrsid7298627 \chftnsep &#13;&#10;\par }}{\*\ftnsepc \ltrpar \pard\plain \ltrpar\ql \li0\ri0\widctlpar\wrapdefault\aspalpha\aspnum\faauto\adjustright\rin0\lin0\itap0 \rtlch\fcs1 \af0\afs20\alang1025 \ltrch\fcs0 \fs24\lang2057\langfe2057\cgrid\langnp2057\langfenp2057 {\rtlch\fcs1 \af0 &#13;&#10;\ltrch\fcs0 \insrsid7298627 \chftnsepc &#13;&#10;\par }}{\*\aftnsep \ltrpar \pard\plain \ltrpar\ql \li0\ri0\widctlpar\wrapdefault\aspalpha\aspnum\faauto\adjustright\rin0\lin0\itap0 \rtlch\fcs1 \af0\afs20\alang1025 \ltrch\fcs0 \fs24\lang2057\langfe2057\cgrid\langnp2057\langfenp2057 {\rtlch\fcs1 \af0 &#13;&#10;\ltrch\fcs0 \insrsid7298627 \chftnsep &#13;&#10;\par }}{\*\aftnsepc \ltrpar \pard\plain \ltrpar\ql \li0\ri0\widctlpar\wrapdefault\aspalpha\aspnum\faauto\adjustright\rin0\lin0\itap0 \rtlch\fcs1 \af0\afs20\alang1025 \ltrch\fcs0 \fs24\lang2057\langfe2057\cgrid\langnp2057\langfenp2057 {\rtlch\fcs1 \af0 &#13;&#10;\ltrch\fcs0 \insrsid7298627 \chftnsepc &#13;&#10;\par }}\ltrpar \sectd \ltrsect\psz9\linex0\headery1134\footery505\endnhere\titlepg\sectdefaultcl\sectrsid14424199\sftnbj\sftnrstpg {\*\pnseclvl1\pnucrm\pnstart1\pnindent720\pnhang {\pntxta .}}{\*\pnseclvl2\pnucltr\pnstart1\pnindent720\pnhang {\pntxta .}}&#13;&#10;{\*\pnseclvl3\pndec\pnstart1\pnindent720\pnhang {\pntxta .}}{\*\pnseclvl4\pnlcltr\pnstart1\pnindent720\pnhang {\pntxta )}}{\*\pnseclvl5\pndec\pnstart1\pnindent720\pnhang {\pntxtb (}{\pntxta )}}{\*\pnseclvl6\pnlcltr\pnstart1\pnindent720\pnhang {\pntxtb (}&#13;&#10;{\pntxta )}}{\*\pnseclvl7\pnlcrm\pnstart1\pnindent720\pnhang {\pntxtb (}{\pntxta )}}{\*\pnseclvl8\pnlcltr\pnstart1\pnindent720\pnhang {\pntxtb (}{\pntxta )}}{\*\pnseclvl9\pnlcrm\pnstart1\pnindent720\pnhang {\pntxtb (}{\pntxta )}}\pard\plain \ltrpar&#13;&#10;\s25\ql \li0\ri0\sb240\keepn\nowidctlpar\tx879\tx936\tx1021\tx1077\tx1134\tx1191\tx1247\tx1304\tx1361\tx1418\tx1474\tx1531\tx1588\tx1644\tx1701\tx1758\tx1814\tx1871\tx2070\tx2126\tx3374\tx3430\wrapdefault\aspalpha\aspnum\faauto\adjustright\rin0&#13;&#10;\lin0\itap0\pararsid3744759 \rtlch\fcs1 \af0\afs20\alang1025 \ltrch\fcs0 \b\fs24\lang2057\langfe2057\cgrid\langnp2057\langfenp2057 {\rtlch\fcs1 \af0 \ltrch\fcs0 \cs15\b0\v\f1\fs20\cf9\insrsid2490866\charrsid946740 {\*\bkmkstart restartB}&lt;AmendB&gt;}{&#13;&#10;\rtlch\fcs1 \af0 \ltrch\fcs0 \insrsid2490866\charrsid946740 [ZAMENDMENT]\tab \tab }{\rtlch\fcs1 \af0 \ltrch\fcs0 \cs15\b0\v\f1\fs20\cf9\insrsid2490866\charrsid946740 &lt;NumAmB&gt;}{\rtlch\fcs1 \af0 \ltrch\fcs0 \insrsid2490866\charrsid946740 [ZNRAM]}{&#13;&#10;\rtlch\fcs1 \af0 \ltrch\fcs0 \cs15\b0\v\f1\fs20\cf9\insrsid2490866\charrsid946740 &lt;/NumAmB&gt;}{\rtlch\fcs1 \af0 \ltrch\fcs0 \insrsid2490866\charrsid946740 &#13;&#10;\par }\pard\plain \ltrpar\s18\ql \li0\ri0\nowidctlpar\wrapdefault\aspalpha\aspnum\faauto\adjustright\rin0\lin0\itap0\pararsid5976803 \rtlch\fcs1 \af0\afs20\alang1025 \ltrch\fcs0 \b\fs24\lang2057\langfe2057\cgrid\langnp2057\langfenp2057 {\rtlch\fcs1 \af0 &#13;&#10;\ltrch\fcs0 \cs15\b0\v\f1\fs20\cf9\lang1024\langfe1024\noproof\insrsid2490866\charrsid14699840 &lt;RepeatBlock-By&gt;}{\rtlch\fcs1 \af0 \ltrch\fcs0 \lang1024\langfe1024\noproof\insrsid2490866\charrsid14699840 [RepeatMembers]}{\rtlch\fcs1 \af0 \ltrch\fcs0 &#13;&#10;\cs15\b0\v\f1\fs20\cf9\lang1024\langfe1024\noproof\insrsid2490866\charrsid14699840 &lt;Members&gt;}{\rtlch\fcs1 \af0 \ltrch\fcs0 \insrsid2490866\charrsid14699840 [ZMEMBERS]}{\rtlch\fcs1 \af0 \ltrch\fcs0 &#13;&#10;\cs15\b0\v\f1\fs20\cf9\lang1024\langfe1024\noproof\insrsid2490866\charrsid14699840 &lt;/Members&gt;}{\rtlch\fcs1 \af0 \ltrch\fcs0 \insrsid2490866\charrsid14699840 &#13;&#10;\par }\pard\plain \ltrpar\ql \li0\ri0\widctlpar\wrapdefault\aspalpha\aspnum\faauto\adjustright\rin0\lin0\itap0\pararsid5976803 \rtlch\fcs1 \af0\afs20\alang1025 \ltrch\fcs0 \fs24\lang2057\langfe2057\cgrid\langnp2057\langfenp2057 {\rtlch\fcs1 \af0 \ltrch\fcs0 &#13;&#10;\cs15\v\f1\fs20\cf9\lang1024\langfe1024\noproof\insrsid2490866\charrsid14699840 &lt;AuNomDe&gt;&lt;OptDel&gt;}{\rtlch\fcs1 \af0 \ltrch\fcs0 \lang1024\langfe1024\noproof\insrsid2490866\charrsid14699840 [ZONBEHALF]}{\rtlch\fcs1 \af0 \ltrch\fcs0 &#13;&#10;\cs15\v\f1\fs20\cf9\lang1024\langfe1024\noproof\insrsid2490866\charrsid14699840 &lt;/OptDel&gt;&lt;/AuNomDe&gt;}{\rtlch\fcs1 \af0 \ltrch\fcs0 \insrsid2490866\charrsid14699840 &#13;&#10;\par &lt;&lt;&lt;}{\rtlch\fcs1 \af0 \ltrch\fcs0 \cs15\v\f1\fs20\cf9\lang1024\langfe1024\noproof\insrsid2490866\charrsid14699840 &lt;/RepeatBlock-By&gt;}{\rtlch\fcs1 \af0 \ltrch\fcs0 \insrsid2490866\charrsid14699840 &#13;&#10;\par }\pard\plain \ltrpar\s18\ql \li0\ri0\nowidctlpar\wrapdefault\aspalpha\aspnum\faauto\adjustright\rin0\lin0\itap0\pararsid5976803 \rtlch\fcs1 \af0\afs20\alang1025 \ltrch\fcs0 \b\fs24\lang2057\langfe2057\cgrid\langnp2057\langfenp2057 {\rtlch\fcs1 \af0 &#13;&#10;\ltrch\fcs0 \cs15\b0\v\f1\fs20\cf9\insrsid2490866\charrsid946740 &lt;DocAmend&gt;}{\rtlch\fcs1 \af0 \ltrch\fcs0 \insrsid2490866\charrsid946740 [Z}{\rtlch\fcs1 \af0 \ltrch\fcs0 \insrsid2490866 AMDOC}{\rtlch\fcs1 \af0 \ltrch\fcs0 \insrsid2490866\charrsid946740 ]}&#13;&#10;{\rtlch\fcs1 \af0 \ltrch\fcs0 \cs15\b0\v\f1\fs20\cf9\insrsid2490866\charrsid946740 &lt;/DocAmend&gt;}{\rtlch\fcs1 \af0 \ltrch\fcs0 \insrsid2490866\charrsid946740 &#13;&#10;\par }\pard \ltrpar\s18\ql \li0\ri0\keepn\nowidctlpar\wrapdefault\aspalpha\aspnum\faauto\adjustright\rin0\lin0\itap0\pararsid10630121 {\rtlch\fcs1 \af0 \ltrch\fcs0 \cs15\b0\v\f1\fs20\cf9\insrsid2490866\charrsid946740 &lt;Article&gt;}{\rtlch\fcs1 \af0 \ltrch\fcs0 &#13;&#10;\insrsid2490866\charrsid946740 [ZAMPART]}{\rtlch\fcs1 \af0 \ltrch\fcs0 \cs15\b0\v\f1\fs20\cf9\insrsid2490866\charrsid946740 &lt;/Article&gt;}{\rtlch\fcs1 \af0 \ltrch\fcs0 \insrsid2490866\charrsid946740 &#13;&#10;\par }\pard\plain \ltrpar\ql \li0\ri0\keepn\widctlpar\wrapdefault\aspalpha\aspnum\faauto\adjustright\rin0\lin0\itap0\pararsid3744759 \rtlch\fcs1 \af0\afs20\alang1025 \ltrch\fcs0 \fs24\lang2057\langfe2057\cgrid\langnp2057\langfenp2057 {\rtlch\fcs1 \af0 &#13;&#10;\ltrch\fcs0 \cs15\v\f1\fs20\cf9\insrsid2490866\charrsid946740 &lt;DocAmend2&gt;&lt;OptDel&gt;}{\rtlch\fcs1 \af0 \ltrch\fcs0 \insrsid2490866\charrsid946740 [ZNRACT]}{\rtlch\fcs1 \af0 \ltrch\fcs0 \cs15\v\f1\fs20\cf9\insrsid2490866\charrsid946740 &lt;/OptDel&gt;&lt;/DocAmend2&gt;}{&#13;&#10;\rtlch\fcs1 \af0 \ltrch\fcs0 \insrsid2490866\charrsid946740 &#13;&#10;\par }\pard \ltrpar\ql \li0\ri0\widctlpar\wrapdefault\aspalpha\aspnum\faauto\adjustright\rin0\lin0\itap0\pararsid10158853 {\rtlch\fcs1 \af0 \ltrch\fcs0 \cs15\v\f1\fs20\cf9\insrsid2490866\charrsid946740 &lt;Article2&gt;&lt;OptDel&gt;}{\rtlch\fcs1 \af0 \ltrch\fcs0 &#13;&#10;\insrsid2490866\charrsid946740 [ZACTPART]}{\rtlch\fcs1 \af0 \ltrch\fcs0 \cs15\v\f1\fs20\cf9\insrsid2490866\charrsid946740 &lt;/OptDel&gt;&lt;/Article2&gt;}{\rtlch\fcs1 \af0 \ltrch\fcs0 \insrsid2490866\charrsid946740 &#13;&#10;\par \ltrrow}\trowd \ltrrow\ts11\trqc\trgaph340\trleft-340\trftsWidth3\trwWidth9752\trftsWidthB3\trftsWidthA3\trpaddl340\trpaddr340\trpaddfl3\trpaddfr3\tblind0\tblindtype3 \clvertalt\clbrdrt\brdrtbl \clbrdrl\brdrtbl \clbrdrb\brdrtbl \clbrdrr\brdrtbl &#13;&#10;\cltxlrtb\clftsWidth3\clwWidth9752\clshdrawnil \cellx9412\pard \ltrpar\ql \li0\ri0\keepn\widctlpar\intbl\wrapdefault\aspalpha\aspnum\faauto\adjustright\rin0\lin0\pararsid10630121 {\rtlch\fcs1 \af0 \ltrch\fcs0 \insrsid2490866\charrsid946740 \cell &#13;&#10;}\pard \ltrpar\ql \li0\ri0\widctlpar\intbl\wrapdefault\aspalpha\aspnum\faauto\adjustright\rin0\lin0 {\rtlch\fcs1 \af0 \ltrch\fcs0 \insrsid2490866\charrsid946740 \trowd \ltrrow&#13;&#10;\ts11\trqc\trgaph340\trleft-340\trftsWidth3\trwWidth9752\trftsWidthB3\trftsWidthA3\trpaddl340\trpaddr340\trpaddfl3\trpaddfr3\tblind0\tblindtype3 \clvertalt\clbrdrt\brdrtbl \clbrdrl\brdrtbl \clbrdrb\brdrtbl \clbrdrr\brdrtbl &#13;&#10;\cltxlrtb\clftsWidth3\clwWidth9752\clshdrawnil \cellx9412\row \ltrrow}\trowd \ltrrow\ts11\trqc\trgaph340\trleft-340\trftsWidth3\trwWidth9752\trftsWidthB3\trftsWidthA3\trpaddl340\trpaddr340\trpaddfl3\trpaddfr3\tblind0\tblindtype3 \clvertalt\clbrdrt&#13;&#10;\brdrtbl \clbrdrl\brdrtbl \clbrdrb\brdrtbl \clbrdrr\brdrtbl \cltxlrtb\clftsWidth3\clwWidth4876\clshdrawnil \cellx4536\clvertalt\clbrdrt\brdrtbl \clbrdrl\brdrtbl \clbrdrb\brdrtbl \clbrdrr\brdrtbl \cltxlrtb\clftsWidth3\clwWidth4876\clshdrawnil \cellx9412&#13;&#10;\pard\plain \ltrpar\s24\qc \li0\ri0\sa240\keepn\nowidctlpar\intbl\wrapdefault\aspalpha\aspnum\faauto\adjustright\rin0\lin0\pararsid10630121 \rtlch\fcs1 \af0\afs20\alang1025 \ltrch\fcs0 \i\fs24\lang2057\langfe2057\cgrid\langnp2057\langfenp2057 {&#13;&#10;\rtlch\fcs1 \af0 \ltrch\fcs0 \insrsid2490866\charrsid946740 [ZLEFTB]\cell [ZRIGHT]\cell }\pard\plain \ltrpar\ql \li0\ri0\widctlpar\intbl\wrapdefault\aspalpha\aspnum\faauto\adjustright\rin0\lin0 \rtlch\fcs1 \af0\afs20\alang1025 \ltrch\fcs0 &#13;&#10;\fs24\lang2057\langfe2057\cgrid\langnp2057\langfenp2057 {\rtlch\fcs1 \af0 \ltrch\fcs0 \insrsid2490866\charrsid946740 \trowd \ltrrow&#13;&#10;\ts11\trqc\trgaph340\trleft-340\trftsWidth3\trwWidth9752\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ltrrow}\pard\plain \ltrpar&#13;&#10;\s16\ql \li0\ri0\sa120\nowidctlpar\intbl\wrapdefault\aspalpha\aspnum\faauto\adjustright\rin0\lin0\pararsid12024389 \rtlch\fcs1 \af0\afs20\alang1025 \ltrch\fcs0 \fs24\lang2057\langfe2057\cgrid\langnp2057\langfenp2057 {\rtlch\fcs1 \af0 \ltrch\fcs0 &#13;&#10;\insrsid2490866\charrsid946740 [ZTEXTL]\cell [ZTEXTR]}{\rtlch\fcs1 \af0\afs24 \ltrch\fcs0 \insrsid2490866\charrsid946740 \cell }\pard\plain \ltrpar\ql \li0\ri0\widctlpar\intbl\wrapdefault\aspalpha\aspnum\faauto\adjustright\rin0\lin0 \rtlch\fcs1 &#13;&#10;\af0\afs20\alang1025 \ltrch\fcs0 \fs24\lang2057\langfe2057\cgrid\langnp2057\langfenp2057 {\rtlch\fcs1 \af0 \ltrch\fcs0 \insrsid2490866\charrsid946740 \trowd \lastrow \ltrrow&#13;&#10;\ts11\trqc\trgaph340\trleft-340\trftsWidth3\trwWidth9752\trftsWidthB3\trftsWidthA3\trpaddl340\trpaddr340\trpaddfl3\trpaddfr3\tblind0\tblindtype3 \clvertalt\clbrdrt\brdrtbl \clbrdrl\brdrtbl \clbrdrb\brdrtbl \clbrdrr\brdrtbl &#13;&#10;\cltxlrtb\clftsWidth3\clwWidth4876\clshdrawnil \cellx4536\clvertalt\clbrdrt\brdrtbl \clbrdrl\brdrtbl \clbrdrb\brdrtbl \clbrdrr\brdrtbl \cltxlrtb\clftsWidth3\clwWidth4876\clshdrawnil \cellx9412\row }\pard\plain \ltrpar&#13;&#10;\s23\qr \li0\ri0\sb240\sa240\nowidctlpar\wrapdefault\aspalpha\aspnum\faauto\adjustright\rin0\lin0\itap0\pararsid16390444 \rtlch\fcs1 \af0\afs20\alang1025 \ltrch\fcs0 \fs24\lang1024\langfe1024\cgrid\noproof\langnp2057\langfenp2057 {\rtlch\fcs1 \af0 &#13;&#10;\ltrch\fcs0 \noproof0\insrsid2490866\charrsid946740 Or. }{\rtlch\fcs1 \af0 \ltrch\fcs0 \cs15\v\f1\fs20\cf9\noproof0\insrsid2490866\charrsid946740 &lt;Original&gt;}{\rtlch\fcs1 \af0 \ltrch\fcs0 \noproof0\insrsid2490866\charrsid946740 [ZORLANG]}{\rtlch\fcs1 \af0 &#13;&#10;\ltrch\fcs0 \cs15\v\f1\fs20\cf9\noproof0\insrsid2490866\charrsid946740 &lt;/Original&gt;}{\rtlch\fcs1 \af0 \ltrch\fcs0 \noproof0\insrsid2490866\charrsid946740 &#13;&#10;\par }\pard\plain \ltrpar\s21\qc \li0\ri0\sb240\nowidctlpar\wrapdefault\aspalpha\aspnum\faauto\adjustright\rin0\lin0\itap0\pararsid10630121 \rtlch\fcs1 \af0\afs20\alang1025 \ltrch\fcs0 \i\fs24\lang2057\langfe2057\cgrid\langnp2057\langfenp2057 {\rtlch\fcs1 &#13;&#10;\af0 \ltrch\fcs0 \cs15\i0\v\f1\fs20\cf9\insrsid2490866\charrsid946740 &lt;OptDel&gt;}{\rtlch\fcs1 \af0 \ltrch\fcs0 \insrsid2490866\charrsid946740 [ZCROSSREF]}{\rtlch\fcs1 \af0 \ltrch\fcs0 \cs15\i0\v\f1\fs20\cf9\insrsid2490866\charrsid946740 &lt;/OptDel&gt;}{&#13;&#10;\rtlch\fcs1 \af0 \ltrch\fcs0 \insrsid2490866\charrsid946740 &#13;&#10;\par }\pard\plain \ltrpar\s22\qc \li0\ri0\sb240\sa240\keepn\nowidctlpar\wrapdefault\aspalpha\aspnum\faauto\adjustright\rin0\lin0\itap0\pararsid3744759 \rtlch\fcs1 \af0\afs20\alang1025 \ltrch\fcs0 &#13;&#10;\i\fs24\lang1024\langfe1024\cgrid\noproof\langnp2057\langfenp2057 {\rtlch\fcs1 \af0 \ltrch\fcs0 \cs15\i0\v\f1\fs20\cf9\noproof0\insrsid2490866\charrsid946740 &lt;TitreJust&gt;}{\rtlch\fcs1 \af0 \ltrch\fcs0 \noproof0\insrsid2490866\charrsid946740 &#13;&#10;[ZJUSTIFICATION]}{\rtlch\fcs1 \af0 \ltrch\fcs0 \cs15\i0\v\f1\fs20\cf9\noproof0\insrsid2490866\charrsid946740 &lt;/TitreJust&gt;}{\rtlch\fcs1 \af0 \ltrch\fcs0 \noproof0\insrsid2490866\charrsid946740 &#13;&#10;\par }\pard\plain \ltrpar\s20\ql \li0\ri0\sa240\nowidctlpar\wrapdefault\aspalpha\aspnum\faauto\adjustright\rin0\lin0\itap0\pararsid16390444 \rtlch\fcs1 \af0\afs20\alang1025 \ltrch\fcs0 \i\fs24\lang1024\langfe1024\cgrid\noproof\langnp2057\langfenp2057 {&#13;&#10;\rtlch\fcs1 \af0 \ltrch\fcs0 \cs15\i0\v\f1\fs20\cf9\noproof0\insrsid2490866\charrsid946740 &lt;OptDelPrev&gt;}{\rtlch\fcs1 \af0 \ltrch\fcs0 \noproof0\insrsid2490866\charrsid946740 [ZTEXTJUST]}{\rtlch\fcs1 \af0 \ltrch\fcs0 &#13;&#10;\cs15\i0\v\f1\fs20\cf9\noproof0\insrsid2490866\charrsid946740 &lt;/OptDelPrev&gt;}{\rtlch\fcs1 \af0 \ltrch\fcs0 \noproof0\insrsid2490866\charrsid946740 &#13;&#10;\par }\pard\plain \ltrpar\ql \li0\ri0\widctlpar\wrapdefault\aspalpha\aspnum\faauto\adjustright\rin0\lin0\itap0\pararsid16324206 \rtlch\fcs1 \af0\afs20\alang1025 \ltrch\fcs0 \fs24\lang2057\langfe2057\cgrid\langnp2057\langfenp2057 {\rtlch\fcs1 \af0 \ltrch\fcs0 &#13;&#10;\cs15\v\f1\fs20\cf9\insrsid2490866\charrsid946740 &lt;/AmendB&gt;}{\rtlch\fcs1 \af0 \ltrch\fcs0 \insrsid24658\charrsid16324206 {\*\bkmkend restartB}&#13;&#10;\par }{\*\themedata 504b030414000600080000002100e9de0fbfff0000001c020000130000005b436f6e74656e745f54797065735d2e786d6cac91cb4ec3301045f748fc83e52d4a&#13;&#10;9cb2400825e982c78ec7a27cc0c8992416c9d8b2a755fbf74cd25442a820166c2cd933f79e3be372bd1f07b5c3989ca74aaff2422b24eb1b475da5df374fd9ad&#13;&#10;5689811a183c61a50f98f4babebc2837878049899a52a57be670674cb23d8e90721f90a4d2fa3802cb35762680fd800ecd7551dc18eb899138e3c943d7e503b6&#13;&#10;b01d583deee5f99824e290b4ba3f364eac4a430883b3c092d4eca8f946c916422ecab927f52ea42b89a1cd59c254f919b0e85e6535d135a8de20f20b8c12c3b0&#13;&#10;0c895fcf6720192de6bf3b9e89ecdbd6596cbcdd8eb28e7c365ecc4ec1ff1460f53fe813d3cc7f5b7f020000ffff0300504b030414000600080000002100a5d6&#13;&#10;a7e7c0000000360100000b0000005f72656c732f2e72656c73848fcf6ac3300c87ef85bd83d17d51d2c31825762fa590432fa37d00e1287f68221bdb1bebdb4f&#13;&#10;c7060abb0884a4eff7a93dfeae8bf9e194e720169aaa06c3e2433fcb68e1763dbf7f82c985a4a725085b787086a37bdbb55fbc50d1a33ccd311ba548b6309512&#13;&#10;0f88d94fbc52ae4264d1c910d24a45db3462247fa791715fd71f989e19e0364cd3f51652d73760ae8fa8c9ffb3c330cc9e4fc17faf2ce545046e37944c69e462&#13;&#10;a1a82fe353bd90a865aad41ed0b5b8f9d6fd010000ffff0300504b0304140006000800000021006b799616830000008a0000001c0000007468656d652f746865&#13;&#10;6d652f7468656d654d616e616765722e786d6c0ccc4d0ac3201040e17da17790d93763bb284562b2cbaebbf600439c1a41c7a0d29fdbd7e5e38337cedf14d59b&#13;&#10;4b0d592c9c070d8a65cd2e88b7f07c2ca71ba8da481cc52c6ce1c715e6e97818c9b48d13df49c873517d23d59085adb5dd20d6b52bd521ef2cdd5eb9246a3d8b&#13;&#10;4757e8d3f729e245eb2b260a0238fd010000ffff0300504b03041400060008000000210030dd4329a8060000a41b0000160000007468656d652f7468656d652f&#13;&#10;7468656d65312e786d6cec594f6fdb3614bf0fd87720746f6327761a07758ad8b19b2d4d1bc46e871e698996d850a240d2497d1bdae38001c3ba618715d86d87&#13;&#10;615b8116d8a5fb34d93a6c1dd0afb0475292c5585e9236d88aad3e2412f9e3fbff1e1fa9abd7eec70c1d1221294fda5efd72cd4324f1794093b0eddd1ef62fad&#13;&#10;79482a9c0498f184b4bd2991deb58df7dfbb8ad755446282607d22d771db8b944ad79796a40fc3585ee62949606ecc458c15bc8a702910f808e8c66c69b9565b&#13;&#10;5d8a314d3c94e018c8de1a8fa94fd05093f43672e23d06af89927ac06762a049136785c10607758d9053d965021d62d6f6804fc08f86e4bef210c352c144dbab&#13;&#10;999fb7b4717509af678b985ab0b6b4ae6f7ed9ba6c4170b06c788a705430adf71bad2b5b057d03606a1ed7ebf5babd7a41cf00b0ef83a6569632cd467faddec9&#13;&#10;699640f6719e76b7d6ac355c7c89feca9cccad4ea7d36c65b258a206641f1b73f8b5da6a6373d9c11b90c537e7f08dce66b7bbeae00dc8e257e7f0fd2badd586&#13;&#10;8b37a088d1e4600ead1ddaef67d40bc898b3ed4af81ac0d76a197c86826828a24bb318f3442d8ab518dfe3a20f000d6458d104a9694ac6d88728eee2782428d6&#13;&#10;0cf03ac1a5193be4cbb921cd0b495fd054b5bd0f530c1931a3f7eaf9f7af9e3f45c70f9e1d3ff8e9f8e1c3e3073f5a42ceaa6d9c84e5552fbffdeccfc71fa33f&#13;&#10;9e7ef3f2d117d57859c6fffac327bffcfc793510d26726ce8b2f9ffcf6ecc98baf3efdfdbb4715f04d814765f890c644a29be408edf3181433567125272371be&#13;&#10;15c308d3f28acd249438c19a4b05fd9e8a1cf4cd296699771c393ac4b5e01d01e5a30a787d72cf1178108989a2159c77a2d801ee72ce3a5c545a6147f32a9979&#13;&#10;3849c26ae66252c6ed637c58c5bb8b13c7bfbd490a75330f4b47f16e441c31f7184e140e494214d273fc80900aedee52ead87597fa824b3e56e82e451d4c2b4d&#13;&#10;32a423279a668bb6690c7e9956e90cfe766cb37b077538abd27a8b1cba48c80acc2a841f12e698f13a9e281c57911ce298950d7e03aba84ac8c154f8655c4f2a&#13;&#10;f074481847bd804859b5e696007d4b4edfc150b12addbecba6b18b148a1e54d1bc81392f23b7f84137c2715a851dd0242a633f900710a218ed715505dfe56e86&#13;&#10;e877f0034e16bafb0e258ebb4faf06b769e888340b103d331115bebc4eb813bf83291b63624a0d1475a756c734f9bbc2cd28546ecbe1e20a3794ca175f3fae90&#13;&#10;fb6d2dd99bb07b55e5ccf68942bd0877b23c77b908e8db5f9db7f024d9239010f35bd4bbe2fcae387bfff9e2bc289f2fbe24cfaa301468dd8bd846dbb4ddf1c2&#13;&#10;ae7b4c191ba8292337a469bc25ec3d411f06f53a73e224c5292c8de0516732307070a1c0660d125c7d44553488700a4d7bddd3444299910e254ab984c3a219ae&#13;&#10;a4adf1d0f82b7bd46cea4388ad1c12ab5d1ed8e1153d9c9f350a3246aad01c6873462b9ac05999ad5cc988826eafc3acae853a33b7ba11cd1445875ba1b236b1&#13;&#10;399483c90bd560b0b0263435085a21b0f22a9cf9356b38ec6046026d77eba3dc2dc60b17e92219e180643ed27acffba86e9c94c7ca9c225a0f1b0cfae0788ad5&#13;&#10;4adc5a9aec1b703b8b93caec1a0bd8e5de7b132fe5113cf312503b998e2c2927274bd051db6b35979b1ef271daf6c6704e86c73805af4bdd476216c26593af84&#13;&#10;0dfb5393d964f9cc9bad5c313709ea70f561ed3ea7b053075221d51696910d0d339585004b34272bff7213cc7a510a5454a3b349b1b206c1f0af490176745d4b&#13;&#10;c663e2abb2b34b23da76f6352ba57ca2881844c1111ab189d8c7e07e1daaa04f40255c77988aa05fe06e4e5bdb4cb9c5394bbaf28d98c1d971ccd20867e556a7&#13;&#10;689ec9166e0a522183792b8907ba55ca6e943bbf2a26e52f48957218ffcf54d1fb09dc3eac04da033e5c0d0b8c74a6b43d2e54c4a10aa511f5fb021a07533b20&#13;&#10;5ae07e17a621a8e082dafc17e450ffb739676998b48643a4daa7211214f623150942f6a02c99e83b85583ddbbb2c4996113211551257a656ec1139246ca86be0&#13;&#10;aadedb3d1441a89b6a929501833b197fee7b9641a3503739e57c732a59b1f7da1cf8a73b1f9bcca0945b874d4393dbbf10b1680f66bbaa5d6f96e77b6f59113d&#13;&#10;316bb31a795600b3d256d0cad2fe354538e7566b2bd69cc6cbcd5c38f0e2bcc63058344429dc2121fd07f63f2a7c66bf76e80d75c8f7a1b622f878a18941d840&#13;&#10;545fb28d07d205d20e8ea071b283369834296bdaac75d256cb37eb0bee740bbe278cad253b8bbfcf69eca23973d939b97891c6ce2cecd8da8e2d343578f6648a&#13;&#10;c2d0383fc818c798cf64e52f597c740f1cbd05df0c264c49134cf09d4a60e8a107260f20f92d47b374e32f000000ffff0300504b030414000600080000002100&#13;&#10;0dd1909fb60000001b010000270000007468656d652f7468656d652f5f72656c732f7468656d654d616e616765722e786d6c2e72656c73848f4d0ac2301484f7&#13;&#10;8277086f6fd3ba109126dd88d0add40384e4350d363f2451eced0dae2c082e8761be9969bb979dc9136332de3168aa1a083ae995719ac16db8ec8e4052164e89&#13;&#10;d93b64b060828e6f37ed1567914b284d262452282e3198720e274a939cd08a54f980ae38a38f56e422a3a641c8bbd048f7757da0f19b017cc524bd62107bd500&#13;&#10;1996509affb3fd381a89672f1f165dfe514173d9850528a2c6cce0239baa4c04ca5bbabac4df000000ffff0300504b01022d0014000600080000002100e9de0f&#13;&#10;bfff0000001c0200001300000000000000000000000000000000005b436f6e74656e745f54797065735d2e786d6c504b01022d0014000600080000002100a5d6&#13;&#10;a7e7c0000000360100000b00000000000000000000000000300100005f72656c732f2e72656c73504b01022d00140006000800000021006b799616830000008a&#13;&#10;0000001c00000000000000000000000000190200007468656d652f7468656d652f7468656d654d616e616765722e786d6c504b01022d00140006000800000021&#13;&#10;0030dd4329a8060000a41b00001600000000000000000000000000d60200007468656d652f7468656d652f7468656d65312e786d6c504b01022d001400060008&#13;&#10;00000021000dd1909fb60000001b0100002700000000000000000000000000b20900007468656d652f7468656d652f5f72656c732f7468656d654d616e616765722e786d6c2e72656c73504b050600000000050005005d010000ad0a00000000}&#13;&#10;{\*\colorschememapping 3c3f786d6c2076657273696f6e3d22312e302220656e636f64696e673d225554462d3822207374616e64616c6f6e653d22796573223f3e0d0a3c613a636c724d&#13;&#10;617020786d6c6e733a613d22687474703a2f2f736368656d61732e6f70656e786d6c666f726d6174732e6f72672f64726177696e676d6c2f323030362f6d6169&#13;&#10;6e22206267313d226c743122207478313d22646b3122206267323d226c743222207478323d22646b322220616363656e74313d22616363656e74312220616363&#13;&#10;656e74323d22616363656e74322220616363656e74333d22616363656e74332220616363656e74343d22616363656e74342220616363656e74353d22616363656e74352220616363656e74363d22616363656e74362220686c696e6b3d22686c696e6b2220666f6c486c696e6b3d22666f6c486c696e6b222f3e}&#13;&#10;{\*\latentstyles\lsdstimax267\lsdlockeddef0\lsdsemihiddendef0\lsdunhideuseddef0\lsdqformatdef0\lsdprioritydef0{\lsdlockedexcept \lsdqformat1 \lsdlocked0 Normal;\lsdqformat1 \lsdlocked0 heading 1;&#13;&#10;\lsdsemihidden1 \lsdunhideused1 \lsdqformat1 \lsdlocked0 heading 2;\lsdsemihidden1 \lsdunhideused1 \lsdqformat1 \lsdlocked0 heading 3;\lsdsemihidden1 \lsdunhideused1 \lsdqformat1 \lsdlocked0 heading 4;&#13;&#10;\lsdsemihidden1 \lsdunhideused1 \lsdqformat1 \lsdlocked0 heading 5;\lsdsemihidden1 \lsdunhideused1 \lsdqformat1 \lsdlocked0 heading 6;\lsdsemihidden1 \lsdunhideused1 \lsdqformat1 \lsdlocked0 heading 7;&#13;&#10;\lsdsemihidden1 \lsdunhideused1 \lsdqformat1 \lsdlocked0 heading 8;\lsdsemihidden1 \lsdunhideused1 \lsdqformat1 \lsdlocked0 heading 9;\lsdsemihidden1 \lsdunhideused1 \lsdqformat1 \lsdlocked0 caption;\lsdqformat1 \lsdlocked0 Title;&#13;&#10;\lsdqformat1 \lsdlocked0 Subtitle;\lsdqformat1 \lsdlocked0 Strong;\lsdqformat1 \lsdlocked0 Emphasis;\lsdsemihidden1 \lsdpriority99 \lsdlocked0 Placeholder Text;\lsdqformat1 \lsdpriority1 \lsdlocked0 No Spacing;\lsdpriority60 \lsdlocked0 Light Shading;&#13;&#10;\lsdpriority61 \lsdlocked0 Light List;\lsdpriority62 \lsdlocked0 Light Grid;\lsdpriority63 \lsdlocked0 Medium Shading 1;\lsdpriority64 \lsdlocked0 Medium Shading 2;\lsdpriority65 \lsdlocked0 Medium List 1;\lsdpriority66 \lsdlocked0 Medium List 2;&#13;&#10;\lsdpriority67 \lsdlocked0 Medium Grid 1;\lsdpriority68 \lsdlocked0 Medium Grid 2;\lsdpriority69 \lsdlocked0 Medium Grid 3;\lsdpriority70 \lsdlocked0 Dark List;\lsdpriority71 \lsdlocked0 Colorful Shading;\lsdpriority72 \lsdlocked0 Colorful List;&#13;&#10;\lsdpriority73 \lsdlocked0 Colorful Grid;\lsdpriority60 \lsdlocked0 Light Shading Accent 1;\lsdpriority61 \lsdlocked0 Light List Accent 1;\lsdpriority62 \lsdlocked0 Light Grid Accent 1;\lsdpriority63 \lsdlocked0 Medium Shading 1 Accent 1;&#13;&#10;\lsdpriority64 \lsdlocked0 Medium Shading 2 Accent 1;\lsdpriority65 \lsdlocked0 Medium List 1 Accent 1;\lsdsemihidden1 \lsdpriority99 \lsdlocked0 Revision;\lsdqformat1 \lsdpriority34 \lsdlocked0 List Paragraph;&#13;&#10;\lsdqformat1 \lsdpriority29 \lsdlocked0 Quote;\lsdqformat1 \lsdpriority30 \lsdlocked0 Intense Quote;\lsdpriority66 \lsdlocked0 Medium List 2 Accent 1;\lsdpriority67 \lsdlocked0 Medium Grid 1 Accent 1;\lsdpriority68 \lsdlocked0 Medium Grid 2 Accent 1;&#13;&#10;\lsdpriority69 \lsdlocked0 Medium Grid 3 Accent 1;\lsdpriority70 \lsdlocked0 Dark List Accent 1;\lsdpriority71 \lsdlocked0 Colorful Shading Accent 1;\lsdpriority72 \lsdlocked0 Colorful List Accent 1;\lsdpriority73 \lsdlocked0 Colorful Grid Accent 1;&#13;&#10;\lsdpriority60 \lsdlocked0 Light Shading Accent 2;\lsdpriority61 \lsdlocked0 Light List Accent 2;\lsdpriority62 \lsdlocked0 Light Grid Accent 2;\lsdpriority63 \lsdlocked0 Medium Shading 1 Accent 2;\lsdpriority64 \lsdlocked0 Medium Shading 2 Accent 2;&#13;&#10;\lsdpriority65 \lsdlocked0 Medium List 1 Accent 2;\lsdpriority66 \lsdlocked0 Medium List 2 Accent 2;\lsdpriority67 \lsdlocked0 Medium Grid 1 Accent 2;\lsdpriority68 \lsdlocked0 Medium Grid 2 Accent 2;\lsdpriority69 \lsdlocked0 Medium Grid 3 Accent 2;&#13;&#10;\lsdpriority70 \lsdlocked0 Dark List Accent 2;\lsdpriority71 \lsdlocked0 Colorful Shading Accent 2;\lsdpriority72 \lsdlocked0 Colorful List Accent 2;\lsdpriority73 \lsdlocked0 Colorful Grid Accent 2;\lsdpriority60 \lsdlocked0 Light Shading Accent 3;&#13;&#10;\lsdpriority61 \lsdlocked0 Light List Accent 3;\lsdpriority62 \lsdlocked0 Light Grid Accent 3;\lsdpriority63 \lsdlocked0 Medium Shading 1 Accent 3;\lsdpriority64 \lsdlocked0 Medium Shading 2 Accent 3;\lsdpriority65 \lsdlocked0 Medium List 1 Accent 3;&#13;&#10;\lsdpriority66 \lsdlocked0 Medium List 2 Accent 3;\lsdpriority67 \lsdlocked0 Medium Grid 1 Accent 3;\lsdpriority68 \lsdlocked0 Medium Grid 2 Accent 3;\lsdpriority69 \lsdlocked0 Medium Grid 3 Accent 3;\lsdpriority70 \lsdlocked0 Dark List Accent 3;&#13;&#10;\lsdpriority71 \lsdlocked0 Colorful Shading Accent 3;\lsdpriority72 \lsdlocked0 Colorful List Accent 3;\lsdpriority73 \lsdlocked0 Colorful Grid Accent 3;\lsdpriority60 \lsdlocked0 Light Shading Accent 4;\lsdpriority61 \lsdlocked0 Light List Accent 4;&#13;&#10;\lsdpriority62 \lsdlocked0 Light Grid Accent 4;\lsdpriority63 \lsdlocked0 Medium Shading 1 Accent 4;\lsdpriority64 \lsdlocked0 Medium Shading 2 Accent 4;\lsdpriority65 \lsdlocked0 Medium List 1 Accent 4;\lsdpriority66 \lsdlocked0 Medium List 2 Accent 4;&#13;&#10;\lsdpriority67 \lsdlocked0 Medium Grid 1 Accent 4;\lsdpriority68 \lsdlocked0 Medium Grid 2 Accent 4;\lsdpriority69 \lsdlocked0 Medium Grid 3 Accent 4;\lsdpriority70 \lsdlocked0 Dark List Accent 4;\lsdpriority71 \lsdlocked0 Colorful Shading Accent 4;&#13;&#10;\lsdpriority72 \lsdlocked0 Colorful List Accent 4;\lsdpriority73 \lsdlocked0 Colorful Grid Accent 4;\lsdpriority60 \lsdlocked0 Light Shading Accent 5;\lsdpriority61 \lsdlocked0 Light List Accent 5;\lsdpriority62 \lsdlocked0 Light Grid Accent 5;&#13;&#10;\lsdpriority63 \lsdlocked0 Medium Shading 1 Accent 5;\lsdpriority64 \lsdlocked0 Medium Shading 2 Accent 5;\lsdpriority65 \lsdlocked0 Medium List 1 Accent 5;\lsdpriority66 \lsdlocked0 Medium List 2 Accent 5;&#13;&#10;\lsdpriority67 \lsdlocked0 Medium Grid 1 Accent 5;\lsdpriority68 \lsdlocked0 Medium Grid 2 Accent 5;\lsdpriority69 \lsdlocked0 Medium Grid 3 Accent 5;\lsdpriority70 \lsdlocked0 Dark List Accent 5;\lsdpriority71 \lsdlocked0 Colorful Shading Accent 5;&#13;&#10;\lsdpriority72 \lsdlocked0 Colorful List Accent 5;\lsdpriority73 \lsdlocked0 Colorful Grid Accent 5;\lsdpriority60 \lsdlocked0 Light Shading Accent 6;\lsdpriority61 \lsdlocked0 Light List Accent 6;\lsdpriority62 \lsdlocked0 Light Grid Accent 6;&#13;&#10;\lsdpriority63 \lsdlocked0 Medium Shading 1 Accent 6;\lsdpriority64 \lsdlocked0 Medium Shading 2 Accent 6;\lsdpriority65 \lsdlocked0 Medium List 1 Accent 6;\lsdpriority66 \lsdlocked0 Medium List 2 Accent 6;&#13;&#10;\lsdpriority67 \lsdlocked0 Medium Grid 1 Accent 6;\lsdpriority68 \lsdlocked0 Medium Grid 2 Accent 6;\lsdpriority69 \lsdlocked0 Medium Grid 3 Accent 6;\lsdpriority70 \lsdlocked0 Dark List Accent 6;\lsdpriority71 \lsdlocked0 Colorful Shading Accent 6;&#13;&#10;\lsdpriority72 \lsdlocked0 Colorful List Accent 6;\lsdpriority73 \lsdlocked0 Colorful Grid Accent 6;\lsdqformat1 \lsdpriority19 \lsdlocked0 Subtle Emphasis;\lsdqformat1 \lsdpriority21 \lsdlocked0 Intense Emphasis;&#13;&#10;\lsdqformat1 \lsdpriority31 \lsdlocked0 Subtle Reference;\lsdqformat1 \lsdpriority32 \lsdlocked0 Intense Reference;\lsdqformat1 \lsdpriority33 \lsdlocked0 Book Title;\lsdsemihidden1 \lsdunhideused1 \lsdpriority37 \lsdlocked0 Bibliography;&#13;&#10;\lsdsemihidden1 \lsdunhideused1 \lsdqformat1 \lsdpriority39 \lsdlocked0 TOC Heading;}}{\*\datastore 0105000002000000180000004d73786d6c322e534158584d4c5265616465722e362e3000000000000000000000060000&#13;&#10;d0cf11e0a1b11ae1000000000000000000000000000000003e000300feff090006000000000000000000000001000000010000000000000000100000feffffff00000000feffffff0000000000000000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dfffffffe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ffffffffffffffffffffffffffffffffffffffffffffffffffffffffffffffffffffffffffffffffffffffffffffffffffffffffffffffffffffffffffffffffffffffffffffffffffffffffffffffffffffffffffffffffffffffffffffffffffffffffffffffffffffffffffff&#13;&#10;ffffffffffffffffffffffffffffffff52006f006f007400200045006e00740072007900000000000000000000000000000000000000000000000000000000000000000000000000000000000000000016000500ffffffffffffffffffffffff0c6ad98892f1d411a65f0040963251e5000000000000000000000000c03f&#13;&#10;6d229289d001feffffff00000000000000000000000000000000000000000000000000000000000000000000000000000000000000000000000000000000000000000000000000000000000000000000000000000000ffffffffffffffffffffffff00000000000000000000000000000000000000000000000000000000&#13;&#10;00000000000000000000000000000000000000000000000000000000000000000000000000000000000000000000000000000000000000000000000000000000000000000000000000000000000000000000000000000000ffffffffffffffffffffffff0000000000000000000000000000000000000000000000000000&#13;&#10;000000000000000000000000000000000000000000000000000000000000000000000000000000000000000000000000000000000000000000000000000000000000000000000000000000000000000000000000000000000000ffffffffffffffffffffffff000000000000000000000000000000000000000000000000&#13;&#10;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sz w:val="24"/>
      <w:szCs w:val="24"/>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sz w:val="24"/>
      <w:szCs w:val="24"/>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sz w:val="24"/>
      <w:szCs w:val="24"/>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next w:val="DefaultParagraphFont"/>
    <w:uiPriority w:val="1"/>
    <w:semiHidden/>
    <w:unhideWhenUsed/>
  </w:style>
  <w:style w:type="paragraph" w:customStyle="1" w:styleId="EPLogo">
    <w:name w:val="EPLogo"/>
    <w:basedOn w:val="Normal"/>
    <w:qFormat/>
    <w:rsid w:val="00D7732B"/>
    <w:pPr>
      <w:widowControl w:val="0"/>
      <w:jc w:val="right"/>
    </w:pPr>
    <w:rPr>
      <w:sz w:val="24"/>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6"/>
        <w:tab w:val="right" w:pos="9072"/>
      </w:tabs>
      <w:spacing w:before="0" w:after="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rsid w:val="00A801F5"/>
    <w:pPr>
      <w:tabs>
        <w:tab w:val="center" w:pos="4535"/>
        <w:tab w:val="right" w:pos="9923"/>
      </w:tabs>
      <w:spacing w:after="240"/>
      <w:ind w:left="-851"/>
    </w:pPr>
    <w:rPr>
      <w:rFonts w:ascii="Arial" w:eastAsia="Arial" w:hAnsi="Arial" w:cs="Arial"/>
      <w:b/>
      <w:color w:val="000000"/>
      <w:sz w:val="48"/>
      <w:szCs w:val="24"/>
    </w:rPr>
  </w:style>
  <w:style w:type="paragraph" w:customStyle="1" w:styleId="Footer2Landscape">
    <w:name w:val="Footer2Landscape"/>
    <w:qFormat/>
    <w:rsid w:val="00126EF9"/>
    <w:pPr>
      <w:tabs>
        <w:tab w:val="center" w:pos="4535"/>
        <w:tab w:val="center" w:pos="6804"/>
        <w:tab w:val="clear" w:pos="9923"/>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lear" w:pos="4536"/>
        <w:tab w:val="center" w:pos="6804"/>
        <w:tab w:val="clear" w:pos="9072"/>
        <w:tab w:val="center" w:pos="13608"/>
      </w:tabs>
      <w:spacing w:before="0" w:after="0"/>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szCs w:val="24"/>
    </w:rPr>
  </w:style>
  <w:style w:type="paragraph" w:customStyle="1" w:styleId="LineTop">
    <w:name w:val="LineTop"/>
    <w:basedOn w:val="Normal"/>
    <w:pPr>
      <w:pBdr>
        <w:top w:val="single" w:sz="4" w:space="0" w:color="auto"/>
      </w:pBdr>
      <w:jc w:val="center"/>
    </w:pPr>
    <w:rPr>
      <w:rFonts w:ascii="Arial" w:eastAsia="Arial" w:hAnsi="Arial" w:cs="Arial"/>
      <w:color w:val="000000"/>
      <w:sz w:val="16"/>
      <w:szCs w:val="24"/>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sz w:val="24"/>
      <w:szCs w:val="24"/>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sz w:val="24"/>
      <w:szCs w:val="24"/>
    </w:rPr>
  </w:style>
  <w:style w:type="paragraph" w:customStyle="1" w:styleId="Normal24">
    <w:name w:val="Normal24"/>
    <w:basedOn w:val="Normal"/>
    <w:pPr>
      <w:spacing w:after="480"/>
    </w:pPr>
    <w:rPr>
      <w:color w:val="000000"/>
      <w:sz w:val="24"/>
      <w:szCs w:val="24"/>
    </w:rPr>
  </w:style>
  <w:style w:type="paragraph" w:customStyle="1" w:styleId="Normal6">
    <w:name w:val="Normal6"/>
    <w:basedOn w:val="Normal"/>
    <w:pPr>
      <w:spacing w:after="120"/>
    </w:pPr>
    <w:rPr>
      <w:color w:val="000000"/>
      <w:sz w:val="24"/>
      <w:szCs w:val="24"/>
    </w:rPr>
  </w:style>
  <w:style w:type="paragraph" w:customStyle="1" w:styleId="Normal6Italic">
    <w:name w:val="Normal6Italic"/>
    <w:basedOn w:val="Normal"/>
    <w:pPr>
      <w:spacing w:after="120"/>
    </w:pPr>
    <w:rPr>
      <w:i/>
      <w:color w:val="000000"/>
      <w:sz w:val="24"/>
      <w:szCs w:val="24"/>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sz w:val="24"/>
      <w:szCs w:val="24"/>
    </w:rPr>
  </w:style>
  <w:style w:type="paragraph" w:customStyle="1" w:styleId="NormalBold12b">
    <w:name w:val="NormalBold12b"/>
    <w:basedOn w:val="Normal"/>
    <w:pPr>
      <w:spacing w:before="240"/>
    </w:pPr>
    <w:rPr>
      <w:b/>
      <w:color w:val="000000"/>
      <w:sz w:val="24"/>
      <w:szCs w:val="24"/>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sz w:val="24"/>
      <w:szCs w:val="24"/>
    </w:rPr>
  </w:style>
  <w:style w:type="paragraph" w:customStyle="1" w:styleId="RefProc">
    <w:name w:val="RefProc"/>
    <w:basedOn w:val="Normal"/>
    <w:pPr>
      <w:spacing w:after="240"/>
      <w:jc w:val="right"/>
    </w:pPr>
    <w:rPr>
      <w:rFonts w:ascii="Arial" w:eastAsia="Arial" w:hAnsi="Arial" w:cs="Arial"/>
      <w:b/>
      <w:caps/>
      <w:color w:val="000000"/>
      <w:sz w:val="22"/>
      <w:szCs w:val="24"/>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b w:val="0"/>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szCs w:val="24"/>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szCs w:val="24"/>
    </w:rPr>
  </w:style>
  <w:style w:type="paragraph" w:customStyle="1" w:styleId="ZDate">
    <w:name w:val="ZDate"/>
    <w:basedOn w:val="Normal"/>
    <w:pPr>
      <w:spacing w:after="1680"/>
    </w:pPr>
    <w:rPr>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1129323</vt:lpwstr>
  </property>
  <property fmtid="{D5CDD505-2E9C-101B-9397-08002B2CF9AE}" pid="4" name="&lt;FooterPath&gt;">
    <vt:lpwstr>AM\1129323SV.doc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20170710-182540-129874-966886</vt:lpwstr>
  </property>
  <property fmtid="{D5CDD505-2E9C-101B-9397-08002B2CF9AE}" pid="8" name="PE Number">
    <vt:lpwstr>607.804</vt:lpwstr>
  </property>
  <property fmtid="{D5CDD505-2E9C-101B-9397-08002B2CF9AE}" pid="9" name="UID">
    <vt:lpwstr>eu.europa.europarl-DIN1-2017-0000065563_01.01-sv-01.00_text-xml</vt:lpwstr>
  </property>
</Properties>
</file>