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3742E" w:rsidRPr="00993CC0" w:rsidTr="006D69C2">
        <w:trPr>
          <w:trHeight w:hRule="exact" w:val="1418"/>
        </w:trPr>
        <w:tc>
          <w:tcPr>
            <w:tcW w:w="6804" w:type="dxa"/>
            <w:shd w:val="clear" w:color="auto" w:fill="auto"/>
            <w:vAlign w:val="center"/>
          </w:tcPr>
          <w:p w:rsidR="00BE5062" w:rsidRPr="00993CC0" w:rsidRDefault="00C51CF1" w:rsidP="006D69C2">
            <w:pPr>
              <w:pStyle w:val="EPName"/>
            </w:pPr>
            <w:r w:rsidRPr="00993CC0">
              <w:t>Europäisches Parlament</w:t>
            </w:r>
          </w:p>
          <w:p w:rsidR="00BE5062" w:rsidRPr="00993CC0" w:rsidRDefault="00C51CF1" w:rsidP="004B700C">
            <w:pPr>
              <w:pStyle w:val="EPTerm"/>
            </w:pPr>
            <w:r w:rsidRPr="00993CC0">
              <w:t>2019-2024</w:t>
            </w:r>
          </w:p>
        </w:tc>
        <w:tc>
          <w:tcPr>
            <w:tcW w:w="2268" w:type="dxa"/>
            <w:shd w:val="clear" w:color="auto" w:fill="auto"/>
          </w:tcPr>
          <w:p w:rsidR="00BE5062" w:rsidRPr="00993CC0" w:rsidRDefault="00C51CF1" w:rsidP="006D69C2">
            <w:pPr>
              <w:pStyle w:val="EPLogo"/>
            </w:pPr>
            <w:r w:rsidRPr="00993CC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8336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93CC0" w:rsidRDefault="000E7234" w:rsidP="000E7234">
      <w:pPr>
        <w:pStyle w:val="LineTop"/>
      </w:pPr>
    </w:p>
    <w:p w:rsidR="000E7234" w:rsidRPr="00993CC0" w:rsidRDefault="00C51CF1" w:rsidP="000E7234">
      <w:pPr>
        <w:pStyle w:val="EPBody"/>
      </w:pPr>
      <w:r w:rsidRPr="00993CC0">
        <w:rPr>
          <w:rStyle w:val="HideTWBExt"/>
          <w:noProof w:val="0"/>
        </w:rPr>
        <w:t>&lt;</w:t>
      </w:r>
      <w:r w:rsidRPr="00993CC0">
        <w:rPr>
          <w:rStyle w:val="HideTWBExt"/>
          <w:i w:val="0"/>
          <w:noProof w:val="0"/>
        </w:rPr>
        <w:t>Commission</w:t>
      </w:r>
      <w:r w:rsidRPr="00993CC0">
        <w:rPr>
          <w:rStyle w:val="HideTWBExt"/>
          <w:noProof w:val="0"/>
        </w:rPr>
        <w:t>&gt;</w:t>
      </w:r>
      <w:r w:rsidRPr="00993CC0">
        <w:rPr>
          <w:rStyle w:val="HideTWBInt"/>
          <w:color w:val="auto"/>
        </w:rPr>
        <w:t>{LIBE}</w:t>
      </w:r>
      <w:r w:rsidRPr="00993CC0">
        <w:t>Ausschuss für bürgerliche Freiheiten, Justiz und Inneres</w:t>
      </w:r>
      <w:r w:rsidRPr="00993CC0">
        <w:rPr>
          <w:rStyle w:val="HideTWBExt"/>
          <w:noProof w:val="0"/>
        </w:rPr>
        <w:t>&lt;/</w:t>
      </w:r>
      <w:r w:rsidRPr="00993CC0">
        <w:rPr>
          <w:rStyle w:val="HideTWBExt"/>
          <w:i w:val="0"/>
          <w:noProof w:val="0"/>
        </w:rPr>
        <w:t>Commission</w:t>
      </w:r>
      <w:r w:rsidRPr="00993CC0">
        <w:rPr>
          <w:rStyle w:val="HideTWBExt"/>
          <w:noProof w:val="0"/>
        </w:rPr>
        <w:t>&gt;</w:t>
      </w:r>
    </w:p>
    <w:p w:rsidR="000E7234" w:rsidRPr="00993CC0" w:rsidRDefault="000E7234" w:rsidP="000E7234">
      <w:pPr>
        <w:pStyle w:val="LineBottom"/>
      </w:pPr>
    </w:p>
    <w:p w:rsidR="00B85286" w:rsidRPr="00993CC0" w:rsidRDefault="00C51CF1">
      <w:pPr>
        <w:pStyle w:val="CoverReference"/>
      </w:pPr>
      <w:r w:rsidRPr="00993CC0">
        <w:rPr>
          <w:rStyle w:val="HideTWBExt"/>
          <w:b w:val="0"/>
          <w:noProof w:val="0"/>
        </w:rPr>
        <w:t>&lt;RefProc&gt;</w:t>
      </w:r>
      <w:r w:rsidRPr="00993CC0">
        <w:t>2016/0132</w:t>
      </w:r>
      <w:r w:rsidRPr="00993CC0">
        <w:rPr>
          <w:rStyle w:val="HideTWBExt"/>
          <w:b w:val="0"/>
          <w:noProof w:val="0"/>
        </w:rPr>
        <w:t>&lt;/RefProc&gt;&lt;RefTypeProc&gt;</w:t>
      </w:r>
      <w:r w:rsidRPr="00993CC0">
        <w:t>(COD)</w:t>
      </w:r>
      <w:r w:rsidRPr="00993CC0">
        <w:rPr>
          <w:rStyle w:val="HideTWBExt"/>
          <w:b w:val="0"/>
          <w:noProof w:val="0"/>
        </w:rPr>
        <w:t>&lt;/RefTypeProc&gt;</w:t>
      </w:r>
    </w:p>
    <w:p w:rsidR="00B85286" w:rsidRPr="00993CC0" w:rsidRDefault="00C51CF1">
      <w:pPr>
        <w:pStyle w:val="CoverDate"/>
      </w:pPr>
      <w:r w:rsidRPr="00993CC0">
        <w:rPr>
          <w:rStyle w:val="HideTWBExt"/>
          <w:noProof w:val="0"/>
        </w:rPr>
        <w:t>&lt;Date&gt;</w:t>
      </w:r>
      <w:r w:rsidRPr="00993CC0">
        <w:rPr>
          <w:rStyle w:val="HideTWBInt"/>
          <w:color w:val="auto"/>
        </w:rPr>
        <w:t>{19/03/2021}</w:t>
      </w:r>
      <w:r w:rsidRPr="00993CC0">
        <w:t>19.3.2021</w:t>
      </w:r>
      <w:r w:rsidRPr="00993CC0">
        <w:rPr>
          <w:rStyle w:val="HideTWBExt"/>
          <w:noProof w:val="0"/>
        </w:rPr>
        <w:t>&lt;/Date&gt;</w:t>
      </w:r>
    </w:p>
    <w:p w:rsidR="009B0305" w:rsidRPr="00993CC0" w:rsidRDefault="00C51CF1" w:rsidP="009B0305">
      <w:pPr>
        <w:pStyle w:val="CoverDocType"/>
      </w:pPr>
      <w:r w:rsidRPr="00993CC0">
        <w:rPr>
          <w:rStyle w:val="HideTWBExt"/>
          <w:b w:val="0"/>
          <w:noProof w:val="0"/>
        </w:rPr>
        <w:t>&lt;TypeAM&gt;</w:t>
      </w:r>
      <w:r w:rsidRPr="00993CC0">
        <w:t>ÄNDERUNGSANTRÄGE</w:t>
      </w:r>
      <w:r w:rsidRPr="00993CC0">
        <w:rPr>
          <w:rStyle w:val="HideTWBExt"/>
          <w:b w:val="0"/>
          <w:noProof w:val="0"/>
        </w:rPr>
        <w:t>&lt;/TypeAM&gt;</w:t>
      </w:r>
    </w:p>
    <w:p w:rsidR="00B85286" w:rsidRPr="00993CC0" w:rsidRDefault="00C51CF1" w:rsidP="001C2054">
      <w:pPr>
        <w:pStyle w:val="CoverDocType24a"/>
      </w:pPr>
      <w:r w:rsidRPr="00993CC0">
        <w:rPr>
          <w:rStyle w:val="HideTWBExt"/>
          <w:b w:val="0"/>
          <w:noProof w:val="0"/>
        </w:rPr>
        <w:t>&lt;RangeAM&gt;</w:t>
      </w:r>
      <w:r w:rsidRPr="00993CC0">
        <w:t>1 bis 37</w:t>
      </w:r>
      <w:r w:rsidRPr="00993CC0">
        <w:rPr>
          <w:rStyle w:val="HideTWBExt"/>
          <w:b w:val="0"/>
          <w:noProof w:val="0"/>
        </w:rPr>
        <w:t>&lt;/RangeAM&gt;</w:t>
      </w:r>
    </w:p>
    <w:p w:rsidR="001C2054" w:rsidRPr="00993CC0" w:rsidRDefault="00C51CF1" w:rsidP="00A93F8C">
      <w:pPr>
        <w:pStyle w:val="CoverBold"/>
      </w:pPr>
      <w:r w:rsidRPr="00993CC0">
        <w:rPr>
          <w:rStyle w:val="HideTWBExt"/>
          <w:b w:val="0"/>
          <w:noProof w:val="0"/>
        </w:rPr>
        <w:t>&lt;TitreType&gt;</w:t>
      </w:r>
      <w:r w:rsidRPr="00993CC0">
        <w:t>Entwurf für ein aktualisiertes Mandat</w:t>
      </w:r>
      <w:r w:rsidRPr="00993CC0">
        <w:rPr>
          <w:rStyle w:val="HideTWBExt"/>
          <w:b w:val="0"/>
          <w:noProof w:val="0"/>
        </w:rPr>
        <w:t>&lt;/TitreType&gt;</w:t>
      </w:r>
    </w:p>
    <w:p w:rsidR="00B85286" w:rsidRPr="00993CC0" w:rsidRDefault="00C51CF1" w:rsidP="00A93F8C">
      <w:pPr>
        <w:pStyle w:val="CoverBold"/>
      </w:pPr>
      <w:r w:rsidRPr="00993CC0">
        <w:rPr>
          <w:rStyle w:val="HideTWBExt"/>
          <w:b w:val="0"/>
          <w:noProof w:val="0"/>
        </w:rPr>
        <w:t>&lt;Rapporteur&gt;</w:t>
      </w:r>
      <w:r w:rsidRPr="00993CC0">
        <w:t>Jorge Buxadé Villalba</w:t>
      </w:r>
      <w:r w:rsidRPr="00993CC0">
        <w:rPr>
          <w:rStyle w:val="HideTWBExt"/>
          <w:b w:val="0"/>
          <w:noProof w:val="0"/>
        </w:rPr>
        <w:t>&lt;/Rapporteur&gt;</w:t>
      </w:r>
    </w:p>
    <w:p w:rsidR="00B85286" w:rsidRPr="00993CC0" w:rsidRDefault="00C51CF1">
      <w:pPr>
        <w:pStyle w:val="CoverNormal24a"/>
      </w:pPr>
      <w:r w:rsidRPr="00993CC0">
        <w:rPr>
          <w:rStyle w:val="HideTWBExt"/>
          <w:noProof w:val="0"/>
        </w:rPr>
        <w:t>&lt;DocRefPE&gt;</w:t>
      </w:r>
      <w:r w:rsidRPr="00993CC0">
        <w:t>(PE597.620v02-00)</w:t>
      </w:r>
      <w:r w:rsidRPr="00993CC0">
        <w:rPr>
          <w:rStyle w:val="HideTWBExt"/>
          <w:noProof w:val="0"/>
        </w:rPr>
        <w:t>&lt;/DocRefPE&gt;</w:t>
      </w:r>
    </w:p>
    <w:p w:rsidR="00B85286" w:rsidRPr="00993CC0" w:rsidRDefault="00C51CF1">
      <w:pPr>
        <w:pStyle w:val="CoverNormal24a"/>
      </w:pPr>
      <w:r w:rsidRPr="00993CC0">
        <w:rPr>
          <w:rStyle w:val="HideTWBExt"/>
          <w:noProof w:val="0"/>
        </w:rPr>
        <w:t>&lt;Titre&gt;</w:t>
      </w:r>
      <w:r w:rsidRPr="00993CC0">
        <w:t xml:space="preserve">zu dem Vorschlag für eine Verordnung des Europäischen Parlaments und des Rates über die Einrichtung von Eurodac für den Abgleich biometrischer Daten zum Zwecke der effektiven Anwendung der Verordnung (EU) XXX/XXX [Verordnung über Asyl- und Migrationsmanagement] und der Verordnung (EU) XXX/XXX [Neuansiedlungsverordnung],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sowie zur Änderung der Verordnungen (EU) 2018/1240 und (EU) 2019/818 </w:t>
      </w:r>
      <w:r w:rsidRPr="00993CC0">
        <w:rPr>
          <w:rStyle w:val="HideTWBExt"/>
          <w:noProof w:val="0"/>
        </w:rPr>
        <w:t>&lt;/Titre&gt;</w:t>
      </w:r>
    </w:p>
    <w:p w:rsidR="006337D4" w:rsidRPr="00993CC0" w:rsidRDefault="00C51CF1" w:rsidP="006337D4">
      <w:pPr>
        <w:pStyle w:val="CoverNormal"/>
      </w:pPr>
      <w:r w:rsidRPr="00993CC0">
        <w:rPr>
          <w:rStyle w:val="HideTWBExt"/>
          <w:noProof w:val="0"/>
        </w:rPr>
        <w:t>&lt;DocAmend&gt;</w:t>
      </w:r>
      <w:r w:rsidRPr="00993CC0">
        <w:t>Geänderter Vorschlag für eine Verordnung</w:t>
      </w:r>
      <w:r w:rsidRPr="00993CC0">
        <w:rPr>
          <w:rStyle w:val="HideTWBExt"/>
          <w:noProof w:val="0"/>
        </w:rPr>
        <w:t>&lt;/DocAmend&gt;</w:t>
      </w:r>
    </w:p>
    <w:p w:rsidR="00B85286" w:rsidRPr="00993CC0" w:rsidRDefault="00C51CF1">
      <w:pPr>
        <w:pStyle w:val="CoverNormal24a"/>
      </w:pPr>
      <w:r w:rsidRPr="00993CC0">
        <w:rPr>
          <w:rStyle w:val="HideTWBExt"/>
          <w:noProof w:val="0"/>
        </w:rPr>
        <w:t>&lt;DocRef&gt;</w:t>
      </w:r>
      <w:r w:rsidRPr="00993CC0">
        <w:t>(COM(2020)0614 – C8-0179/2016 – 2016/0132(COD))</w:t>
      </w:r>
      <w:r w:rsidRPr="00993CC0">
        <w:rPr>
          <w:rStyle w:val="HideTWBExt"/>
          <w:noProof w:val="0"/>
        </w:rPr>
        <w:t>&lt;/DocRef&gt;</w:t>
      </w:r>
    </w:p>
    <w:p w:rsidR="00B85286" w:rsidRPr="00993CC0" w:rsidRDefault="00C51CF1" w:rsidP="00E660E2">
      <w:pPr>
        <w:widowControl/>
        <w:tabs>
          <w:tab w:val="center" w:pos="4677"/>
        </w:tabs>
      </w:pPr>
      <w:r w:rsidRPr="00993CC0">
        <w:br w:type="page"/>
      </w:r>
      <w:r w:rsidRPr="00993CC0">
        <w:lastRenderedPageBreak/>
        <w:t>AM_Com_LegReport</w:t>
      </w:r>
    </w:p>
    <w:p w:rsidR="006C1CE1" w:rsidRPr="00993CC0" w:rsidRDefault="00C51CF1" w:rsidP="00EC4B67">
      <w:pPr>
        <w:pStyle w:val="AmNumberTabs"/>
        <w:keepNext/>
      </w:pPr>
      <w:r w:rsidRPr="00993CC0">
        <w:br w:type="page"/>
      </w:r>
      <w:bookmarkStart w:id="0" w:name="IntroB"/>
    </w:p>
    <w:p w:rsidR="006C1CE1" w:rsidRPr="00993CC0" w:rsidRDefault="006C1CE1" w:rsidP="006C1CE1"/>
    <w:p w:rsidR="006C1CE1" w:rsidRPr="00993CC0" w:rsidRDefault="00C51CF1" w:rsidP="006C1CE1">
      <w:pPr>
        <w:pStyle w:val="AMNumberTabs0"/>
        <w:keepNext/>
      </w:pPr>
      <w:r w:rsidRPr="00993CC0">
        <w:rPr>
          <w:rStyle w:val="HideTWBExt"/>
          <w:b w:val="0"/>
          <w:noProof w:val="0"/>
        </w:rPr>
        <w:t>&lt;RepeatBlock-Amend&gt;&lt;Amend&gt;</w:t>
      </w:r>
      <w:r w:rsidRPr="00993CC0">
        <w:t>Änderungsantrag</w:t>
      </w:r>
      <w:r w:rsidRPr="00993CC0">
        <w:tab/>
      </w:r>
      <w:r w:rsidRPr="00993CC0">
        <w:tab/>
      </w:r>
      <w:r w:rsidRPr="00993CC0">
        <w:rPr>
          <w:rStyle w:val="HideTWBExt"/>
          <w:b w:val="0"/>
          <w:noProof w:val="0"/>
        </w:rPr>
        <w:t>&lt;NumAm&gt;</w:t>
      </w:r>
      <w:r w:rsidRPr="00993CC0">
        <w:t>1</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Bezugsvermerk 1</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gestützt auf den Vertrag über die Arbeitsweise der Europäischen Union, insbesondere auf Artikel 78 Absatz 2 Buchstaben d, e und g, Artikel 79 Absatz 2 Buchstabe c, Artikel 87 Absatz 2 Buchstabe c und Artikel 88 Absatz 2 Buchstabe a,</w:t>
            </w:r>
          </w:p>
        </w:tc>
        <w:tc>
          <w:tcPr>
            <w:tcW w:w="4876" w:type="dxa"/>
          </w:tcPr>
          <w:p w:rsidR="006C1CE1" w:rsidRPr="00993CC0" w:rsidRDefault="00C51CF1" w:rsidP="006D69C2">
            <w:pPr>
              <w:pStyle w:val="Normal6"/>
              <w:rPr>
                <w:szCs w:val="24"/>
              </w:rPr>
            </w:pPr>
            <w:r w:rsidRPr="00993CC0">
              <w:t>gestützt auf den Vertrag über die Arbeitsweise der Europäischen Union, insbesondere auf Artikel 78 Absatz 2 Buchstaben d, e und g, Artikel 79 Absatz 2 Buchstabe c, Artikel 87 Absatz 2 Buchstabe </w:t>
            </w:r>
            <w:r w:rsidRPr="00993CC0">
              <w:rPr>
                <w:b/>
                <w:i/>
              </w:rPr>
              <w:t>a und</w:t>
            </w:r>
            <w:r w:rsidRPr="00993CC0">
              <w:t xml:space="preserve"> c und Artikel 88 Absatz 2 Buchstabe a,</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6C1CE1" w:rsidRPr="00993CC0" w:rsidRDefault="00C51CF1" w:rsidP="006C1CE1">
      <w:pPr>
        <w:pStyle w:val="Normal12Italic"/>
        <w:rPr>
          <w:noProof w:val="0"/>
        </w:rPr>
      </w:pPr>
      <w:r w:rsidRPr="00993CC0">
        <w:rPr>
          <w:noProof w:val="0"/>
        </w:rPr>
        <w:t>Rechtsgrundlage für die Elemente im Zusammenhang mit der Erhebung, Speicherung, Verarbeitung, Analyse und dem Austausch relevanter Informationen zu Strafverfolgungszwecken (vorläufige Einigung – gelber Teil)</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Präambel – </w:t>
      </w:r>
      <w:r w:rsidR="00384480" w:rsidRPr="00993CC0">
        <w:t>Nummer</w:t>
      </w:r>
      <w:r w:rsidRPr="00993CC0">
        <w:t xml:space="preserve"> 2 – </w:t>
      </w:r>
      <w:r w:rsidR="007C07F4" w:rsidRPr="00993CC0">
        <w:t>Erwägung</w:t>
      </w:r>
      <w:r w:rsidRPr="00993CC0">
        <w:t xml:space="preserve"> 5b a (neu)</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4E4907">
            <w:pPr>
              <w:pStyle w:val="Normal6"/>
              <w:rPr>
                <w:szCs w:val="24"/>
              </w:rPr>
            </w:pPr>
            <w:r w:rsidRPr="00993CC0">
              <w:rPr>
                <w:b/>
                <w:i/>
              </w:rPr>
              <w:t>(5ba)</w:t>
            </w:r>
            <w:r w:rsidRPr="00993CC0">
              <w:rPr>
                <w:b/>
                <w:i/>
              </w:rPr>
              <w:tab/>
              <w:t>Zur Erfüllung der in der Verordnung (EU) 2019/1896 des Europäischen Parlaments und des Rates</w:t>
            </w:r>
            <w:r w:rsidRPr="00993CC0">
              <w:rPr>
                <w:b/>
                <w:i/>
                <w:vertAlign w:val="superscript"/>
              </w:rPr>
              <w:t>1a</w:t>
            </w:r>
            <w:r w:rsidRPr="00993CC0">
              <w:rPr>
                <w:b/>
                <w:i/>
              </w:rPr>
              <w:t xml:space="preserve"> festgelegten Aufgaben ist es außerdem erforderlich, dass die ständige Reserve der europäischen Grenz- und Küstenwache Zugang zu Eurodac hat, um Daten über eine eigene technische Schnittstelle abzurufen, die von eu-LISA in Zusammenarbeit mit der Europäischen Agentur für die Grenz- und Küstenwache entwickelt und gepflegt werden sollte. Die operativen Erfahrungen aus früheren Einsätzen von Bediensteten der </w:t>
            </w:r>
            <w:r w:rsidRPr="00993CC0">
              <w:rPr>
                <w:b/>
                <w:i/>
              </w:rPr>
              <w:lastRenderedPageBreak/>
              <w:t>Europäischen Agentur für die Grenz- und Küstenwache zeigen, welche Schwierigkeiten die Mitglieder der Teams in rechtlicher, technischer und praktischer Hinsicht bei der Nutzung nationaler IT-Systeme oder Schnittstellen für den Zugang zu Eurodac hatten. Um ihre operative Unterstützung und Kapazität zu maximieren, sollte sich die Europäische Agentur für die Grenz- und Küstenwache auf ihre eigenen Kapazitäten stützen können, zu denen auch ordnungsgemäß funktionierende IT-Systeme gehören.</w:t>
            </w:r>
          </w:p>
        </w:tc>
      </w:tr>
      <w:tr w:rsidR="0033742E" w:rsidRPr="00993CC0" w:rsidTr="006D69C2">
        <w:trPr>
          <w:jc w:val="center"/>
        </w:trPr>
        <w:tc>
          <w:tcPr>
            <w:tcW w:w="4876" w:type="dxa"/>
          </w:tcPr>
          <w:p w:rsidR="00636AAB" w:rsidRPr="00993CC0" w:rsidRDefault="00636AAB" w:rsidP="006D69C2">
            <w:pPr>
              <w:pStyle w:val="Normal6"/>
            </w:pPr>
          </w:p>
        </w:tc>
        <w:tc>
          <w:tcPr>
            <w:tcW w:w="4876" w:type="dxa"/>
          </w:tcPr>
          <w:p w:rsidR="00636AAB" w:rsidRPr="00993CC0" w:rsidRDefault="00C51CF1" w:rsidP="00636AAB">
            <w:pPr>
              <w:pStyle w:val="Normal6"/>
              <w:rPr>
                <w:b/>
                <w:i/>
              </w:rPr>
            </w:pPr>
            <w:r w:rsidRPr="00993CC0">
              <w:rPr>
                <w:b/>
                <w:i/>
              </w:rPr>
              <w:t>______________</w:t>
            </w:r>
          </w:p>
        </w:tc>
      </w:tr>
      <w:tr w:rsidR="0033742E" w:rsidRPr="00993CC0" w:rsidTr="006D69C2">
        <w:trPr>
          <w:jc w:val="center"/>
        </w:trPr>
        <w:tc>
          <w:tcPr>
            <w:tcW w:w="4876" w:type="dxa"/>
          </w:tcPr>
          <w:p w:rsidR="00636AAB" w:rsidRPr="00993CC0" w:rsidRDefault="00636AAB" w:rsidP="006D69C2">
            <w:pPr>
              <w:pStyle w:val="Normal6"/>
            </w:pPr>
          </w:p>
        </w:tc>
        <w:tc>
          <w:tcPr>
            <w:tcW w:w="4876" w:type="dxa"/>
          </w:tcPr>
          <w:p w:rsidR="00636AAB" w:rsidRPr="00993CC0" w:rsidRDefault="00C51CF1" w:rsidP="00636AAB">
            <w:pPr>
              <w:pStyle w:val="Normal6"/>
              <w:rPr>
                <w:b/>
                <w:i/>
              </w:rPr>
            </w:pPr>
            <w:r w:rsidRPr="00993CC0">
              <w:rPr>
                <w:b/>
                <w:i/>
                <w:vertAlign w:val="superscript"/>
              </w:rPr>
              <w:t>1a</w:t>
            </w:r>
            <w:r w:rsidRPr="00993CC0">
              <w:rPr>
                <w:b/>
                <w:i/>
              </w:rPr>
              <w:tab/>
            </w:r>
            <w:r w:rsidRPr="00993CC0">
              <w:rPr>
                <w:b/>
              </w:rPr>
              <w:t>Verordnung (EU) 2019/1896 des Europäischen Parlaments und des Rates vom 13. November 2019 über die Europäische Grenz- und Küstenwache und zur Aufhebung der Verordnungen (EU) Nr. 1052/2013 und (EU) 2016/1624 (</w:t>
            </w:r>
            <w:r w:rsidRPr="00993CC0">
              <w:rPr>
                <w:rStyle w:val="Emphasis"/>
                <w:b/>
              </w:rPr>
              <w:t>ABl. L 295 vom 14.11.2019, S. 1</w:t>
            </w:r>
            <w:r w:rsidRPr="00993CC0">
              <w:rPr>
                <w:b/>
              </w:rPr>
              <w: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Präambel - </w:t>
      </w:r>
      <w:r w:rsidR="00384480" w:rsidRPr="00993CC0">
        <w:t>Nummer</w:t>
      </w:r>
      <w:r w:rsidRPr="00993CC0">
        <w:t xml:space="preserve"> 2 - </w:t>
      </w:r>
      <w:r w:rsidR="007C07F4" w:rsidRPr="00993CC0">
        <w:t>Erwägung</w:t>
      </w:r>
      <w:r w:rsidRPr="00993CC0">
        <w:t xml:space="preserve"> 5c</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CD7BAF">
            <w:pPr>
              <w:pStyle w:val="Normal6"/>
            </w:pPr>
            <w:r w:rsidRPr="00993CC0">
              <w:t>(5c)</w:t>
            </w:r>
            <w:r w:rsidRPr="00993CC0">
              <w:tab/>
              <w:t xml:space="preserve">Ebenso ist es für </w:t>
            </w:r>
            <w:r w:rsidRPr="00993CC0">
              <w:rPr>
                <w:b/>
                <w:i/>
              </w:rPr>
              <w:t xml:space="preserve">das Management </w:t>
            </w:r>
            <w:r w:rsidRPr="00993CC0">
              <w:t>der irregulären Migration notwendig, eu-LISA in die Lage zu versetzen, unter Rückgriff auf Daten von Eurodac, des Einreise-/Ausreisesystems (EES), des ETIAS und des Visa-Informationssystems (VIS)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c>
          <w:tcPr>
            <w:tcW w:w="4876" w:type="dxa"/>
          </w:tcPr>
          <w:p w:rsidR="006C1CE1" w:rsidRPr="00993CC0" w:rsidRDefault="00C51CF1" w:rsidP="00CD7BAF">
            <w:pPr>
              <w:pStyle w:val="Normal6"/>
              <w:rPr>
                <w:szCs w:val="24"/>
              </w:rPr>
            </w:pPr>
            <w:r w:rsidRPr="00993CC0">
              <w:t>(5c)</w:t>
            </w:r>
            <w:r w:rsidRPr="00993CC0">
              <w:tab/>
              <w:t xml:space="preserve">Ebenso ist es für </w:t>
            </w:r>
            <w:r w:rsidRPr="00993CC0">
              <w:rPr>
                <w:b/>
                <w:i/>
              </w:rPr>
              <w:t>die Unterstützung der Mitgliedstaaten bei der Kontrolle</w:t>
            </w:r>
            <w:r w:rsidRPr="00993CC0">
              <w:t xml:space="preserve"> der irregulären Migration notwendig, eu-LISA in die Lage zu versetzen, unter Rückgriff auf Daten von </w:t>
            </w:r>
            <w:r w:rsidRPr="00993CC0">
              <w:rPr>
                <w:b/>
                <w:i/>
              </w:rPr>
              <w:t xml:space="preserve">einschlägigen Datenbanken der Union, insbesondere </w:t>
            </w:r>
            <w:r w:rsidRPr="00993CC0">
              <w:t>Eurodac, des Einreise-/Ausreisesystems (EES), des ETIAS</w:t>
            </w:r>
            <w:r w:rsidRPr="00993CC0">
              <w:rPr>
                <w:b/>
                <w:i/>
              </w:rPr>
              <w:t>,</w:t>
            </w:r>
            <w:r w:rsidRPr="00993CC0">
              <w:t xml:space="preserve"> des Visa-Informationssystems (VIS) </w:t>
            </w:r>
            <w:r w:rsidRPr="00993CC0">
              <w:rPr>
                <w:b/>
                <w:i/>
              </w:rPr>
              <w:t>und des Schengener Informationssystem</w:t>
            </w:r>
            <w:r w:rsidRPr="00993CC0">
              <w:t xml:space="preserve">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4</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Präambel – </w:t>
      </w:r>
      <w:r w:rsidR="00384480" w:rsidRPr="00993CC0">
        <w:t>Nummer</w:t>
      </w:r>
      <w:r w:rsidRPr="00993CC0">
        <w:t xml:space="preserve"> 3 – </w:t>
      </w:r>
      <w:r w:rsidR="007C07F4" w:rsidRPr="00993CC0">
        <w:t>Erwägung</w:t>
      </w:r>
      <w:r w:rsidRPr="00993CC0">
        <w:t xml:space="preserve"> 6</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(6)</w:t>
            </w:r>
            <w:r w:rsidRPr="00993CC0">
              <w:tab/>
              <w:t>„Hierzu ist es notwendig, ein System mit der Bezeichnung ‚Eurodac‘ einzurichten, das aus einem Zentralsystem und aus dem durch die Verordnung (EU) 2019/818 eingerichteten gemeinsamen Speicher für Identitätsdaten, der als eine automatisierte Zentraldatenbank für biometrische Daten betrieben wird, sowie aus elektronischen Einrichtungen für die Datenübertragung zwischen den Mitgliedstaaten und letzteren [dem Zentralsystem und dem gemeinsamen Speicher für Identitätsdaten] (im Folgenden „Kommunikationsinfrastruktur“) besteht.“</w:t>
            </w:r>
          </w:p>
        </w:tc>
        <w:tc>
          <w:tcPr>
            <w:tcW w:w="4876" w:type="dxa"/>
          </w:tcPr>
          <w:p w:rsidR="006C1CE1" w:rsidRPr="00993CC0" w:rsidRDefault="00C51CF1" w:rsidP="006D69C2">
            <w:pPr>
              <w:pStyle w:val="Normal6"/>
              <w:rPr>
                <w:szCs w:val="24"/>
              </w:rPr>
            </w:pPr>
            <w:r w:rsidRPr="00993CC0">
              <w:t>(6)</w:t>
            </w:r>
            <w:r w:rsidRPr="00993CC0">
              <w:tab/>
              <w:t xml:space="preserve">„Hierzu ist es notwendig, ein System mit der Bezeichnung ‚Eurodac‘ einzurichten, das aus einem Zentralsystem und aus dem durch die Verordnung (EU) 2019/818 eingerichteten gemeinsamen Speicher für Identitätsdaten, der als eine automatisierte Zentraldatenbank für biometrische </w:t>
            </w:r>
            <w:r w:rsidRPr="00993CC0">
              <w:rPr>
                <w:b/>
                <w:i/>
              </w:rPr>
              <w:t>und alphanumerische</w:t>
            </w:r>
            <w:r w:rsidRPr="00993CC0">
              <w:t xml:space="preserve"> Daten betrieben wird, sowie aus elektronischen Einrichtungen für die Datenübertragung zwischen den Mitgliedstaaten und letzteren [dem Zentralsystem und dem gemeinsamen Speicher für Identitätsdaten] (im Folgenden „Kommunikationsinfrastruktur“) besteht.“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5</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Präambel - </w:t>
      </w:r>
      <w:r w:rsidR="00384480" w:rsidRPr="00993CC0">
        <w:t>Nummer</w:t>
      </w:r>
      <w:r w:rsidRPr="00993CC0">
        <w:t xml:space="preserve"> 5 - </w:t>
      </w:r>
      <w:r w:rsidR="007C07F4" w:rsidRPr="00993CC0">
        <w:t>Erwägung</w:t>
      </w:r>
      <w:r w:rsidRPr="00993CC0">
        <w:t xml:space="preserve"> 14</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(14)</w:t>
            </w:r>
            <w:r w:rsidRPr="00993CC0">
              <w:tab/>
              <w:t xml:space="preserve">„Damit Eurodac wirksam zur Kontrolle der </w:t>
            </w:r>
            <w:r w:rsidRPr="00993CC0">
              <w:rPr>
                <w:b/>
                <w:i/>
              </w:rPr>
              <w:t>irregulären Migration</w:t>
            </w:r>
            <w:r w:rsidRPr="00993CC0">
              <w:t xml:space="preserve"> und zur Aufdeckung von Sekundärbewegungen in der </w:t>
            </w:r>
            <w:r w:rsidRPr="00993CC0">
              <w:rPr>
                <w:b/>
                <w:i/>
              </w:rPr>
              <w:t>EU</w:t>
            </w:r>
            <w:r w:rsidRPr="00993CC0">
              <w:t xml:space="preserve"> beitragen kann, ist es darüber hinaus notwendig, dass das System neben den Anträgen auch Antragsteller zählen kann, indem es alle Da</w:t>
            </w:r>
            <w:bookmarkStart w:id="1" w:name="_GoBack"/>
            <w:bookmarkEnd w:id="1"/>
            <w:r w:rsidRPr="00993CC0">
              <w:t>tensätze, die einer Person entsprechen, unabhängig von ihrer Kategorie in einer Sequenz miteinander verknüpft.“</w:t>
            </w:r>
          </w:p>
        </w:tc>
        <w:tc>
          <w:tcPr>
            <w:tcW w:w="4876" w:type="dxa"/>
          </w:tcPr>
          <w:p w:rsidR="006C1CE1" w:rsidRPr="00993CC0" w:rsidRDefault="00C51CF1" w:rsidP="00CD7BAF">
            <w:pPr>
              <w:pStyle w:val="Normal6"/>
              <w:rPr>
                <w:szCs w:val="24"/>
              </w:rPr>
            </w:pPr>
            <w:r w:rsidRPr="00993CC0">
              <w:t>(14)</w:t>
            </w:r>
            <w:r w:rsidRPr="00993CC0">
              <w:tab/>
              <w:t xml:space="preserve">Damit Eurodac wirksam zur Kontrolle der </w:t>
            </w:r>
            <w:r w:rsidRPr="00993CC0">
              <w:rPr>
                <w:b/>
                <w:i/>
              </w:rPr>
              <w:t>illegalen Zuwanderung in die Union</w:t>
            </w:r>
            <w:r w:rsidRPr="00993CC0">
              <w:t xml:space="preserve"> und zur Aufdeckung von Sekundärbewegungen in der </w:t>
            </w:r>
            <w:r w:rsidRPr="00993CC0">
              <w:rPr>
                <w:b/>
                <w:i/>
              </w:rPr>
              <w:t>Union</w:t>
            </w:r>
            <w:r w:rsidRPr="00993CC0">
              <w:t xml:space="preserve"> beitragen kann, ist es darüber hinaus notwendig, dass das System neben den Anträgen auch Antragsteller zählen kann, indem es alle Datensätze, die einer Person entsprechen, unabhängig von ihrer Kategorie in einer Sequenz miteinander verknüpft.“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6</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9 – Artikel 1 – Absatz 1 – Buchstabe c</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(c)</w:t>
            </w:r>
            <w:r w:rsidRPr="00993CC0">
              <w:tab/>
              <w:t xml:space="preserve">die Kontrolle der </w:t>
            </w:r>
            <w:r w:rsidRPr="00993CC0">
              <w:rPr>
                <w:b/>
                <w:i/>
              </w:rPr>
              <w:t>irregulären</w:t>
            </w:r>
            <w:r w:rsidRPr="00993CC0">
              <w:t xml:space="preserve"> Zuwanderung in die Union und die Aufdeckung von Sekundärbewegungen innerhalb der Union sowie die Identifizierung illegal aufhältiger Drittstaatsangehöriger und Staatenloser zu erleichtern, um die von den Mitgliedstaaten zu ergreifenden angemessenen Maßnahmen festzulegen;</w:t>
            </w:r>
          </w:p>
        </w:tc>
        <w:tc>
          <w:tcPr>
            <w:tcW w:w="4876" w:type="dxa"/>
          </w:tcPr>
          <w:p w:rsidR="006C1CE1" w:rsidRPr="00993CC0" w:rsidRDefault="00C51CF1" w:rsidP="006D69C2">
            <w:pPr>
              <w:pStyle w:val="Normal6"/>
              <w:rPr>
                <w:szCs w:val="24"/>
              </w:rPr>
            </w:pPr>
            <w:r w:rsidRPr="00993CC0">
              <w:t>(c)</w:t>
            </w:r>
            <w:r w:rsidRPr="00993CC0">
              <w:tab/>
              <w:t xml:space="preserve">die Kontrolle der </w:t>
            </w:r>
            <w:r w:rsidRPr="00993CC0">
              <w:rPr>
                <w:b/>
                <w:i/>
              </w:rPr>
              <w:t>illegalen</w:t>
            </w:r>
            <w:r w:rsidRPr="00993CC0">
              <w:t xml:space="preserve"> Zuwanderung in die Union und die Aufdeckung von Sekundärbewegungen innerhalb der Union sowie die Identifizierung illegal aufhältiger Drittstaatsangehöriger und Staatenloser zu erleichtern, um die von den Mitgliedstaaten zu ergreifenden angemessenen Maßnahmen festzulegen;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7</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9 – Artikel 1 – Absatz 1 – Buchstabe d</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(d)</w:t>
            </w:r>
            <w:r w:rsidRPr="00993CC0">
              <w:tab/>
              <w:t>die Bedingungen festzulegen, unter denen die benannten Behörden der Mitgliedstaaten und das Europäische Polizeiamt (Europol) den Abgleich von biometrischen oder alphanumerischen Daten mit den im Zentralsystem gespeicherten Daten zum Zweck der Gefahrenabwehr und Strafverfolgung zur Verhütung, Aufdeckung oder Untersuchung terroristischer oder sonstiger schwerer Straftaten beantragen können;</w:t>
            </w:r>
          </w:p>
        </w:tc>
        <w:tc>
          <w:tcPr>
            <w:tcW w:w="4876" w:type="dxa"/>
          </w:tcPr>
          <w:p w:rsidR="006C1CE1" w:rsidRPr="00993CC0" w:rsidRDefault="00C51CF1" w:rsidP="00813143">
            <w:pPr>
              <w:pStyle w:val="Normal6"/>
              <w:rPr>
                <w:szCs w:val="24"/>
              </w:rPr>
            </w:pPr>
            <w:r w:rsidRPr="00993CC0">
              <w:t>(d)</w:t>
            </w:r>
            <w:r w:rsidRPr="00993CC0">
              <w:tab/>
              <w:t xml:space="preserve">die Bedingungen festzulegen, unter denen die benannten Behörden der Mitgliedstaaten und das Europäische Polizeiamt (Europol) den Abgleich von biometrischen oder alphanumerischen Daten mit den im Zentralsystem </w:t>
            </w:r>
            <w:r w:rsidRPr="00993CC0">
              <w:rPr>
                <w:b/>
                <w:i/>
              </w:rPr>
              <w:t xml:space="preserve">und dem gemeinsamen Speicher für Identitätsdaten (CIR) </w:t>
            </w:r>
            <w:r w:rsidRPr="00993CC0">
              <w:t>gespeicherten Daten zum Zweck der Gefahrenabwehr und Strafverfolgung zur Verhütung, Aufdeckung oder Untersuchung terroristischer oder sonstiger schwerer Straftaten beantragen können;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8</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9 - Artikel 1 – Absatz 2</w:t>
      </w:r>
      <w:r w:rsidRPr="00993CC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11B52">
        <w:trPr>
          <w:jc w:val="center"/>
        </w:trPr>
        <w:tc>
          <w:tcPr>
            <w:tcW w:w="9752" w:type="dxa"/>
            <w:gridSpan w:val="2"/>
          </w:tcPr>
          <w:p w:rsidR="006C1CE1" w:rsidRPr="00993CC0" w:rsidRDefault="006C1CE1" w:rsidP="006D69C2">
            <w:pPr>
              <w:keepNext/>
            </w:pPr>
          </w:p>
        </w:tc>
      </w:tr>
      <w:tr w:rsidR="0033742E" w:rsidRPr="00993CC0" w:rsidTr="00211B5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211B52">
        <w:trPr>
          <w:jc w:val="center"/>
        </w:trPr>
        <w:tc>
          <w:tcPr>
            <w:tcW w:w="4876" w:type="dxa"/>
          </w:tcPr>
          <w:p w:rsidR="006C1CE1" w:rsidRPr="00993CC0" w:rsidRDefault="00C51CF1" w:rsidP="006D69C2">
            <w:pPr>
              <w:pStyle w:val="Normal6"/>
            </w:pPr>
            <w:r w:rsidRPr="00993CC0">
              <w:t>2.</w:t>
            </w:r>
            <w:r w:rsidRPr="00993CC0">
              <w:tab/>
              <w:t>Unbeschadet der Verarbeitung der für Eurodac bestimmten Daten durch den Herkunftsmitgliedstaat in nach seinem nationalen Recht eingerichteten Datenbanken dürfen die biometrischen Daten und andere personenbezogene Daten nur für die in dieser Verordnung</w:t>
            </w:r>
            <w:r w:rsidRPr="00993CC0">
              <w:rPr>
                <w:b/>
                <w:i/>
              </w:rPr>
              <w:t>,</w:t>
            </w:r>
            <w:r w:rsidRPr="00993CC0">
              <w:t xml:space="preserve"> in </w:t>
            </w:r>
            <w:r w:rsidRPr="00993CC0">
              <w:rPr>
                <w:b/>
                <w:i/>
              </w:rPr>
              <w:t>der</w:t>
            </w:r>
            <w:r w:rsidRPr="00993CC0">
              <w:t xml:space="preserve"> </w:t>
            </w:r>
            <w:r w:rsidRPr="00993CC0">
              <w:rPr>
                <w:b/>
                <w:i/>
              </w:rPr>
              <w:t>Verordnung</w:t>
            </w:r>
            <w:r w:rsidRPr="00993CC0">
              <w:t xml:space="preserve"> (EU) XXX/XXX [Verordnung über Asyl- und Migrationsmanagement] </w:t>
            </w:r>
            <w:r w:rsidRPr="00993CC0">
              <w:rPr>
                <w:b/>
                <w:i/>
              </w:rPr>
              <w:t>und</w:t>
            </w:r>
            <w:r w:rsidRPr="00993CC0">
              <w:t xml:space="preserve"> in der Verordnung (EU) XXX/XXX [Neuansiedlungsverordnung] genannten Zwecke in Eurodac verarbeitet werden.“;</w:t>
            </w:r>
          </w:p>
        </w:tc>
        <w:tc>
          <w:tcPr>
            <w:tcW w:w="4876" w:type="dxa"/>
          </w:tcPr>
          <w:p w:rsidR="006C1CE1" w:rsidRPr="00993CC0" w:rsidRDefault="00C51CF1" w:rsidP="00813143">
            <w:pPr>
              <w:pStyle w:val="Normal6"/>
              <w:rPr>
                <w:szCs w:val="24"/>
              </w:rPr>
            </w:pPr>
            <w:r w:rsidRPr="00993CC0">
              <w:t>2.</w:t>
            </w:r>
            <w:r w:rsidRPr="00993CC0">
              <w:tab/>
              <w:t xml:space="preserve">Unbeschadet der Verarbeitung der für Eurodac bestimmten Daten durch den Herkunftsmitgliedstaat in nach seinem nationalen Recht eingerichteten Datenbanken dürfen die biometrischen Daten und andere personenbezogene Daten nur für die in dieser Verordnung </w:t>
            </w:r>
            <w:r w:rsidRPr="00993CC0">
              <w:rPr>
                <w:b/>
                <w:i/>
              </w:rPr>
              <w:t>und</w:t>
            </w:r>
            <w:r w:rsidRPr="00993CC0">
              <w:t xml:space="preserve"> in </w:t>
            </w:r>
            <w:r w:rsidRPr="00993CC0">
              <w:rPr>
                <w:b/>
                <w:i/>
              </w:rPr>
              <w:t>den</w:t>
            </w:r>
            <w:r w:rsidRPr="00993CC0">
              <w:t xml:space="preserve"> </w:t>
            </w:r>
            <w:r w:rsidRPr="00993CC0">
              <w:rPr>
                <w:b/>
                <w:i/>
              </w:rPr>
              <w:t>Verordnungen</w:t>
            </w:r>
            <w:r w:rsidRPr="00993CC0">
              <w:t xml:space="preserve"> (EU) XXX/XXX [Verordnung über Asyl- und Migrationsmanagement]</w:t>
            </w:r>
            <w:r w:rsidRPr="00993CC0">
              <w:rPr>
                <w:b/>
                <w:i/>
              </w:rPr>
              <w:t>,</w:t>
            </w:r>
            <w:r w:rsidRPr="00993CC0">
              <w:rPr>
                <w:b/>
                <w:i/>
              </w:rPr>
              <w:cr/>
            </w:r>
            <w:r w:rsidRPr="00993CC0">
              <w:rPr>
                <w:b/>
                <w:i/>
              </w:rPr>
              <w:br/>
            </w:r>
            <w:r w:rsidRPr="00993CC0">
              <w:t>in der Verordnung (EU) XXX/XXX [Neuansiedlungsverordnung]</w:t>
            </w:r>
            <w:r w:rsidRPr="00993CC0">
              <w:rPr>
                <w:b/>
                <w:i/>
              </w:rPr>
              <w:t>,</w:t>
            </w:r>
            <w:r w:rsidRPr="00993CC0">
              <w:t xml:space="preserve"> </w:t>
            </w:r>
            <w:r w:rsidRPr="00993CC0">
              <w:rPr>
                <w:b/>
                <w:i/>
              </w:rPr>
              <w:t>(EU) 2019/818, (EU) XXX/XXX [VIS-Verordnung] und (EU) 2018/1240</w:t>
            </w:r>
            <w:r w:rsidRPr="00993CC0">
              <w:t>.genannten Zwecke in Eurodac verarbeitet werden.“;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9</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10 -a (neu) – Artikel 3 – Absatz 1 – </w:t>
      </w:r>
      <w:r w:rsidR="00384480" w:rsidRPr="00993CC0">
        <w:t>Nummer</w:t>
      </w:r>
      <w:r w:rsidRPr="00993CC0">
        <w:t xml:space="preserve"> a a (neu)</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813143">
            <w:pPr>
              <w:pStyle w:val="Normal6"/>
              <w:rPr>
                <w:szCs w:val="24"/>
              </w:rPr>
            </w:pPr>
            <w:r w:rsidRPr="00993CC0">
              <w:rPr>
                <w:b/>
                <w:i/>
              </w:rPr>
              <w:t>(aa)</w:t>
            </w:r>
            <w:r w:rsidRPr="00993CC0">
              <w:rPr>
                <w:b/>
                <w:i/>
              </w:rPr>
              <w:tab/>
              <w:t>„neu angesiedelter Drittstaatsangehöriger oder Staatenlose“ einen Drittstaatsangehörigen oder Staatenlosen, der nach einem Neuansiedlungsverfahren nach nationalem Recht oder gemäß [Verordnung (EU) XXX/XXX] in das Hoheitsgebiet des Mitgliedstaats der Neuansiedlung einreist;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10</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11 - Artikel 4 – Absatz 6</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6.</w:t>
            </w:r>
            <w:r w:rsidRPr="00993CC0">
              <w:tab/>
              <w:t xml:space="preserve">Alle in Eurodac erfassten Datensätze, die ein und demselben Drittstaatsangehörigen oder Staatenlosen entsprechen, werden in einer Sequenz miteinander verknüpft. Wenn </w:t>
            </w:r>
            <w:r w:rsidRPr="00993CC0">
              <w:rPr>
                <w:b/>
                <w:i/>
              </w:rPr>
              <w:t>eine Abfrage anhand der Fingerabdrücke aus dem Datensatz eines Drittstaatsangehörigen oder Staatenlosen durchgeführt</w:t>
            </w:r>
            <w:r w:rsidRPr="00993CC0">
              <w:t xml:space="preserve"> und dabei ein Treffer in mindestens einem anderen Satz von </w:t>
            </w:r>
            <w:r w:rsidRPr="00993CC0">
              <w:rPr>
                <w:b/>
                <w:i/>
              </w:rPr>
              <w:t>Fingerabdrücken</w:t>
            </w:r>
            <w:r w:rsidRPr="00993CC0">
              <w:t xml:space="preserve"> aus einem anderen Datensatz erzielt wird, der demselben Drittstaatsangehörigen oder Staatenlosen entspricht, verknüpft Eurodac diese Datensätze automatisch auf der Grundlage des </w:t>
            </w:r>
            <w:r w:rsidRPr="00993CC0">
              <w:rPr>
                <w:b/>
                <w:i/>
              </w:rPr>
              <w:t>Fingerabdruckabgleichs</w:t>
            </w:r>
            <w:r w:rsidRPr="00993CC0">
              <w:t xml:space="preserve"> miteinander. </w:t>
            </w:r>
            <w:r w:rsidRPr="00993CC0">
              <w:rPr>
                <w:b/>
                <w:i/>
              </w:rPr>
              <w:t>Falls erforderlich,</w:t>
            </w:r>
            <w:r w:rsidRPr="00993CC0">
              <w:t xml:space="preserve"> wird der Abgleich der </w:t>
            </w:r>
            <w:r w:rsidRPr="00993CC0">
              <w:rPr>
                <w:b/>
                <w:i/>
              </w:rPr>
              <w:t>Fingerabdrücke</w:t>
            </w:r>
            <w:r w:rsidRPr="00993CC0">
              <w:t xml:space="preserve"> von einem</w:t>
            </w:r>
            <w:r w:rsidRPr="00993CC0">
              <w:rPr>
                <w:b/>
                <w:i/>
              </w:rPr>
              <w:t xml:space="preserve"> Fingerabdruckexperten</w:t>
            </w:r>
            <w:r w:rsidRPr="00993CC0">
              <w:t xml:space="preserve"> nach Artikel 26 überprüft und </w:t>
            </w:r>
            <w:r w:rsidRPr="00993CC0">
              <w:rPr>
                <w:b/>
                <w:i/>
              </w:rPr>
              <w:t>gegebenenfalls bestätigt</w:t>
            </w:r>
            <w:r w:rsidRPr="00993CC0">
              <w:t>. Falls der Mitgliedstaat, der das Ergebnis des Abgleichs erhält, den Treffer bestätigt, übermittelt er eine Mitteilung an eu-LISA, in der die Verknüpfung bestätigt wird.</w:t>
            </w:r>
          </w:p>
        </w:tc>
        <w:tc>
          <w:tcPr>
            <w:tcW w:w="4876" w:type="dxa"/>
          </w:tcPr>
          <w:p w:rsidR="006C1CE1" w:rsidRPr="00993CC0" w:rsidRDefault="00C51CF1" w:rsidP="00813143">
            <w:pPr>
              <w:pStyle w:val="Normal6"/>
              <w:rPr>
                <w:szCs w:val="24"/>
              </w:rPr>
            </w:pPr>
            <w:r w:rsidRPr="00993CC0">
              <w:t>6.</w:t>
            </w:r>
            <w:r w:rsidRPr="00993CC0">
              <w:tab/>
              <w:t xml:space="preserve">Alle in Eurodac erfassten Datensätze, die ein und demselben Drittstaatsangehörigen oder Staatenlosen entsprechen, werden in einer Sequenz miteinander verknüpft. Wenn </w:t>
            </w:r>
            <w:r w:rsidRPr="00993CC0">
              <w:rPr>
                <w:b/>
                <w:i/>
              </w:rPr>
              <w:t>ein automatischer Abgleich in Übereinstimmung mit den Artikeln 15 und 16 durchgeführt wird</w:t>
            </w:r>
            <w:r w:rsidRPr="00993CC0">
              <w:t xml:space="preserve"> und dabei ein Treffer in mindestens einem anderen Satz von </w:t>
            </w:r>
            <w:r w:rsidRPr="00993CC0">
              <w:rPr>
                <w:b/>
                <w:i/>
              </w:rPr>
              <w:t xml:space="preserve">Fingerabdruck- und Gesichtsbilddaten oder nur von Gesichtsbilddaten </w:t>
            </w:r>
            <w:r w:rsidRPr="00993CC0">
              <w:t xml:space="preserve">aus einem anderen Datensatz erzielt wird, der demselben Drittstaatsangehörigen oder Staatenlosen entspricht, verknüpft Eurodac diese Datensätze automatisch auf der Grundlage des </w:t>
            </w:r>
            <w:r w:rsidRPr="00993CC0">
              <w:rPr>
                <w:b/>
                <w:i/>
              </w:rPr>
              <w:t>Abgleichs</w:t>
            </w:r>
            <w:r w:rsidRPr="00993CC0">
              <w:t xml:space="preserve"> miteinander. </w:t>
            </w:r>
            <w:r w:rsidRPr="00993CC0">
              <w:rPr>
                <w:b/>
                <w:i/>
              </w:rPr>
              <w:t>Das Ergebnis des Abgleichs</w:t>
            </w:r>
            <w:r w:rsidRPr="00993CC0">
              <w:t xml:space="preserve"> </w:t>
            </w:r>
            <w:r w:rsidRPr="00993CC0">
              <w:rPr>
                <w:b/>
                <w:i/>
              </w:rPr>
              <w:t>wird</w:t>
            </w:r>
            <w:r w:rsidRPr="00993CC0">
              <w:t xml:space="preserve"> nach Artikel 26 </w:t>
            </w:r>
            <w:r w:rsidRPr="00993CC0">
              <w:rPr>
                <w:b/>
                <w:i/>
              </w:rPr>
              <w:t>Absätze 4 und 5</w:t>
            </w:r>
            <w:r w:rsidRPr="00993CC0">
              <w:t xml:space="preserve"> </w:t>
            </w:r>
            <w:r w:rsidRPr="00993CC0">
              <w:rPr>
                <w:b/>
                <w:i/>
              </w:rPr>
              <w:t>abgeglichen</w:t>
            </w:r>
            <w:r w:rsidRPr="00993CC0">
              <w:t xml:space="preserve"> und von einem</w:t>
            </w:r>
            <w:r w:rsidRPr="00993CC0">
              <w:rPr>
                <w:b/>
                <w:i/>
              </w:rPr>
              <w:t xml:space="preserve"> Experten</w:t>
            </w:r>
            <w:r w:rsidRPr="00993CC0">
              <w:t xml:space="preserve"> überprüft. Falls der Mitgliedstaat, der das Ergebnis des Abgleichs erhält, den Treffer bestätigt, übermittelt er eine Mitteilung an eu-LISA, in der die Verknüpfung bestätigt wird.</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11</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D69C2">
      <w:pPr>
        <w:pStyle w:val="NormalBold"/>
      </w:pPr>
      <w:r w:rsidRPr="00993CC0">
        <w:rPr>
          <w:rStyle w:val="HideTWBExt"/>
          <w:b w:val="0"/>
          <w:noProof w:val="0"/>
        </w:rPr>
        <w:t>&lt;Article&gt;</w:t>
      </w:r>
      <w:r w:rsidRPr="00993CC0">
        <w:t xml:space="preserve">Verfügender Teil – </w:t>
      </w:r>
      <w:r w:rsidR="00384480" w:rsidRPr="00993CC0">
        <w:t>Nummer</w:t>
      </w:r>
      <w:r w:rsidRPr="00993CC0">
        <w:t> 12 – Artikel 8c a (neu)</w:t>
      </w:r>
      <w:r w:rsidRPr="00993CC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11B52">
        <w:trPr>
          <w:jc w:val="center"/>
        </w:trPr>
        <w:tc>
          <w:tcPr>
            <w:tcW w:w="9752" w:type="dxa"/>
            <w:gridSpan w:val="2"/>
          </w:tcPr>
          <w:p w:rsidR="006C1CE1" w:rsidRPr="00993CC0" w:rsidRDefault="006C1CE1" w:rsidP="006D69C2">
            <w:pPr>
              <w:keepNext/>
            </w:pPr>
          </w:p>
        </w:tc>
      </w:tr>
      <w:tr w:rsidR="0033742E" w:rsidRPr="00993CC0" w:rsidTr="00211B5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211B5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Artikel 8ca</w:t>
            </w:r>
          </w:p>
        </w:tc>
      </w:tr>
      <w:tr w:rsidR="0033742E" w:rsidRPr="00993CC0" w:rsidTr="00211B52">
        <w:trPr>
          <w:jc w:val="center"/>
        </w:trPr>
        <w:tc>
          <w:tcPr>
            <w:tcW w:w="4876" w:type="dxa"/>
          </w:tcPr>
          <w:p w:rsidR="006C1CE1" w:rsidRPr="00993CC0" w:rsidRDefault="006C1CE1" w:rsidP="006D69C2">
            <w:pPr>
              <w:pStyle w:val="Normal6"/>
            </w:pPr>
          </w:p>
        </w:tc>
        <w:tc>
          <w:tcPr>
            <w:tcW w:w="4876" w:type="dxa"/>
          </w:tcPr>
          <w:p w:rsidR="006C1CE1" w:rsidRPr="00993CC0" w:rsidRDefault="00C51CF1" w:rsidP="00B81EC9">
            <w:pPr>
              <w:pStyle w:val="Normal6"/>
              <w:rPr>
                <w:szCs w:val="24"/>
              </w:rPr>
            </w:pPr>
            <w:r w:rsidRPr="00993CC0">
              <w:rPr>
                <w:b/>
                <w:i/>
              </w:rPr>
              <w:t>Zugang zu Eurodac seitens der ständigen Reserve der europäischen Grenz- und Küstenwache</w:t>
            </w:r>
          </w:p>
        </w:tc>
      </w:tr>
      <w:tr w:rsidR="0033742E" w:rsidRPr="00993CC0" w:rsidTr="00211B52">
        <w:trPr>
          <w:jc w:val="center"/>
        </w:trPr>
        <w:tc>
          <w:tcPr>
            <w:tcW w:w="4876" w:type="dxa"/>
          </w:tcPr>
          <w:p w:rsidR="006C1CE1" w:rsidRPr="00993CC0" w:rsidRDefault="006C1CE1" w:rsidP="006D69C2">
            <w:pPr>
              <w:pStyle w:val="Normal6"/>
            </w:pPr>
          </w:p>
        </w:tc>
        <w:tc>
          <w:tcPr>
            <w:tcW w:w="4876" w:type="dxa"/>
          </w:tcPr>
          <w:p w:rsidR="006C1CE1" w:rsidRPr="00993CC0" w:rsidRDefault="00C51CF1" w:rsidP="006860DC">
            <w:pPr>
              <w:pStyle w:val="Normal6"/>
              <w:rPr>
                <w:szCs w:val="24"/>
              </w:rPr>
            </w:pPr>
            <w:r w:rsidRPr="00993CC0">
              <w:rPr>
                <w:b/>
                <w:i/>
              </w:rPr>
              <w:t>Zur Wahrnehmung der in der Verordnung (EU) 2019/1896 festgelegten Aufgaben, insbesondere der in Artikel 55 Absatz 7 Buchstaben a und g der genannten Verordnung genannten Aufgaben, die Durchführungsbefugnisse erfordern, und zur Bereitstellung operativer Unterstützung für die Durchführung der [Verordnung (EU) XXX/XXX] [Screening-Verordnung] haben die Mitglieder der Teams im Sinne von Artikel 2 Absatz 17 der Verordnung (EU) 2019/1896 Zugang zu Eurodac.</w:t>
            </w:r>
          </w:p>
        </w:tc>
      </w:tr>
      <w:tr w:rsidR="0033742E" w:rsidRPr="00993CC0" w:rsidTr="00211B52">
        <w:trPr>
          <w:jc w:val="center"/>
        </w:trPr>
        <w:tc>
          <w:tcPr>
            <w:tcW w:w="4876" w:type="dxa"/>
          </w:tcPr>
          <w:p w:rsidR="006C1CE1" w:rsidRPr="00993CC0" w:rsidRDefault="006C1CE1" w:rsidP="006D69C2">
            <w:pPr>
              <w:pStyle w:val="Normal6"/>
            </w:pPr>
          </w:p>
        </w:tc>
        <w:tc>
          <w:tcPr>
            <w:tcW w:w="4876" w:type="dxa"/>
          </w:tcPr>
          <w:p w:rsidR="006C1CE1" w:rsidRPr="00993CC0" w:rsidRDefault="00C51CF1" w:rsidP="00813143">
            <w:pPr>
              <w:pStyle w:val="Normal6"/>
              <w:rPr>
                <w:szCs w:val="24"/>
              </w:rPr>
            </w:pPr>
            <w:r w:rsidRPr="00993CC0">
              <w:rPr>
                <w:b/>
                <w:i/>
              </w:rPr>
              <w:t>Die Mitglieder der Teams haben Zugang zu Eurodac und können es über eine eigene technische Schnittstelle konsultieren, die von eu-LISA in Zusammenarbeit mit der Europäischen Agentur für die Grenz- und Küstenwache entwickelt und gepflegt wird. Eine solche technische Schnittstelle muss einen Eigenkontroll- und Protokollierungsmechanismus enthalten, um die Rechtmäßigkeit der Datenverarbeitung und die Einhaltung der Datenschutzanforderungen gemäß der Verordnung (EU) 2018/1725 sicherzustellen.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6C1CE1" w:rsidRPr="00993CC0" w:rsidRDefault="00C51CF1" w:rsidP="006C1CE1">
      <w:pPr>
        <w:pStyle w:val="Normal12Italic"/>
        <w:rPr>
          <w:noProof w:val="0"/>
        </w:rPr>
      </w:pPr>
      <w:r w:rsidRPr="00993CC0">
        <w:rPr>
          <w:noProof w:val="0"/>
        </w:rPr>
        <w:t>Dieser neue Artikel verdeutlicht die Verfahren des Zugangs von Frontex zu Eurodac, der auf die Teammitglieder der Europäischen Grenz- und Küstenwache (ständige Reserve) zur Durchführung der ihnen vom EU-Gesetzgeber übertragenen Aufgaben beschränkt ist. Dieser neue Artikel folgt dem Ansatz, den der EU-Gesetzgeber für den Zugang der EBCG-Teams zum SIS (vgl. Artikel 36 der Verordnung (EU) 2018/1861) und zum VIS (vgl. Kompromisstext zur neuen VIS-Verordnung, Artikel 45d und Artikel 45e) gewählt hat, wonach die Agentur ihre eigene Infrastruktur, Schnittstelle oder ihren eigenen Zugangspunkt zum EU-Informationssystem entwickeln muss.</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12</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13 – Artikel 9 – Absatz 1 – </w:t>
      </w:r>
      <w:r w:rsidR="00384480" w:rsidRPr="00993CC0">
        <w:t>Einleitung</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1.</w:t>
            </w:r>
            <w:r w:rsidRPr="00993CC0">
              <w:tab/>
              <w:t>eu-LISA erstellt monatlich eine Statistik über die Arbeit des Zentralsystems, aus der insbesondere Folgendes hervorgeht:</w:t>
            </w:r>
          </w:p>
        </w:tc>
        <w:tc>
          <w:tcPr>
            <w:tcW w:w="4876" w:type="dxa"/>
          </w:tcPr>
          <w:p w:rsidR="006C1CE1" w:rsidRPr="00993CC0" w:rsidRDefault="00C51CF1" w:rsidP="006D69C2">
            <w:pPr>
              <w:pStyle w:val="Normal6"/>
              <w:rPr>
                <w:szCs w:val="24"/>
              </w:rPr>
            </w:pPr>
            <w:r w:rsidRPr="00993CC0">
              <w:t>1.</w:t>
            </w:r>
            <w:r w:rsidRPr="00993CC0">
              <w:tab/>
              <w:t>eu-LISA erstellt monatlich eine Statistik über die Arbeit des Zentralsystems</w:t>
            </w:r>
            <w:r w:rsidRPr="00993CC0">
              <w:rPr>
                <w:b/>
                <w:i/>
              </w:rPr>
              <w:t xml:space="preserve"> und des CIR</w:t>
            </w:r>
            <w:r w:rsidRPr="00993CC0">
              <w:t>, aus der insbesondere Folgendes hervorgeht: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13</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13 – Artikel 9 – Absatz 1 – Buchstabe b</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(b)</w:t>
            </w:r>
            <w:r w:rsidRPr="00993CC0">
              <w:tab/>
              <w:t>die Zahl der abgelehnten Antragsteller, die durch den in Artikel 4 Absatz 6 genannten Verknüpfungsprozess gemäß Artikel 12 Buchstabe </w:t>
            </w:r>
            <w:r w:rsidRPr="00993CC0">
              <w:rPr>
                <w:b/>
                <w:i/>
              </w:rPr>
              <w:t>za</w:t>
            </w:r>
            <w:r w:rsidRPr="00993CC0">
              <w:t xml:space="preserve"> ermittelt wurde;</w:t>
            </w:r>
          </w:p>
        </w:tc>
        <w:tc>
          <w:tcPr>
            <w:tcW w:w="4876" w:type="dxa"/>
          </w:tcPr>
          <w:p w:rsidR="006C1CE1" w:rsidRPr="00993CC0" w:rsidRDefault="00C51CF1" w:rsidP="006D69C2">
            <w:pPr>
              <w:pStyle w:val="Normal6"/>
              <w:rPr>
                <w:szCs w:val="24"/>
              </w:rPr>
            </w:pPr>
            <w:r w:rsidRPr="00993CC0">
              <w:t>(b)</w:t>
            </w:r>
            <w:r w:rsidRPr="00993CC0">
              <w:tab/>
              <w:t>die Zahl der abgelehnten Antragsteller, die durch den in Artikel 4 Absatz 6 genannten Verknüpfungsprozess gemäß Artikel 12 Buchstabe </w:t>
            </w:r>
            <w:r w:rsidRPr="00993CC0">
              <w:rPr>
                <w:b/>
                <w:i/>
              </w:rPr>
              <w:t>x</w:t>
            </w:r>
            <w:r w:rsidRPr="00993CC0">
              <w:t xml:space="preserve"> ermittelt wurde;</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14</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13 – Artikel 9 – Absatz 3 – Unterabsatz 1</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3.</w:t>
            </w:r>
            <w:r w:rsidRPr="00993CC0">
              <w:tab/>
              <w:t>Zur Unterstützung des in Artikel 1 Buchstabe c genannten Ziels erstellt eu-LISA monatliche systemübergreifende Statistiken. Diese Statistiken dürfen nicht die Identifizierung von Einzelpersonen ermöglichen und müssen auf Daten aus Eurodac, dem Visa-Informationssystem, ETIAS und dem Einreise-/Ausreisesystem zurückgreifen.</w:t>
            </w:r>
          </w:p>
        </w:tc>
        <w:tc>
          <w:tcPr>
            <w:tcW w:w="4876" w:type="dxa"/>
          </w:tcPr>
          <w:p w:rsidR="006C1CE1" w:rsidRPr="00993CC0" w:rsidRDefault="00C51CF1" w:rsidP="006D69C2">
            <w:pPr>
              <w:pStyle w:val="Normal6"/>
              <w:rPr>
                <w:szCs w:val="24"/>
              </w:rPr>
            </w:pPr>
            <w:r w:rsidRPr="00993CC0">
              <w:t>3.</w:t>
            </w:r>
            <w:r w:rsidRPr="00993CC0">
              <w:tab/>
              <w:t>Zur Unterstützung des in Artikel 1 Buchstabe c genannten Ziels erstellt eu-LISA monatliche systemübergreifende Statistiken. Diese Statistiken dürfen nicht die Identifizierung von Einzelpersonen ermöglichen und müssen auf Daten aus Eurodac, dem Visa-Informationssystem, ETIAS</w:t>
            </w:r>
            <w:r w:rsidRPr="00993CC0">
              <w:rPr>
                <w:b/>
                <w:i/>
              </w:rPr>
              <w:t>,</w:t>
            </w:r>
            <w:r w:rsidRPr="00993CC0">
              <w:t xml:space="preserve"> dem Einreise-/Ausreisesystem und </w:t>
            </w:r>
            <w:r w:rsidRPr="00993CC0">
              <w:rPr>
                <w:b/>
                <w:i/>
              </w:rPr>
              <w:t>dem Schengener Informationssystem</w:t>
            </w:r>
            <w:r w:rsidRPr="00993CC0">
              <w:t xml:space="preserve"> zurückgreifen.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6C1CE1" w:rsidRPr="00993CC0" w:rsidRDefault="00C51CF1" w:rsidP="006C1CE1">
      <w:pPr>
        <w:pStyle w:val="Normal12Italic"/>
        <w:rPr>
          <w:noProof w:val="0"/>
        </w:rPr>
      </w:pPr>
      <w:r w:rsidRPr="00993CC0">
        <w:rPr>
          <w:noProof w:val="0"/>
        </w:rPr>
        <w:t>Die systemübergreifende Analyse wird eine kritische Funktion des zentralen Speichers für Berichte und Statistiken (CRRS) sein, die in den Interoperabilitätsverordnungen festgelegt ist. Diese systemübergreifende Analyse ist nur dann vollständig, wenn einschlägige SIS-Statistiken berücksichtigt werden, insbesondere die SIS-Ausschreibungen, die auf der Grundlage von Rückführungsentscheidungen erfolgen. Dies alles sollte zu einer genaueren Analyse führen, die zu mehr evidenzbasierten operativen und politischen Entscheidungen führt.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15</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13 – Artikel 9 – Absatz 3 – Unterabsatz 2</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Diese Statistiken werden der Kommission, der [Asylagentur der Europäischen Union], der Europäischen Agentur für die Grenz- und Küstenwache und den Mitgliedstaaten zur Verfügung gestellt. Die Kommission legt im Wege von Durchführungsrechtsakten den Inhalt der monatlichen systemübergreifenden Statistiken fest. Diese Durchführungsrechtsakte werden gemäß dem in Artikel 41a Absatz 2 genannten Prüfverfahren erlassen.</w:t>
            </w:r>
          </w:p>
        </w:tc>
        <w:tc>
          <w:tcPr>
            <w:tcW w:w="4876" w:type="dxa"/>
          </w:tcPr>
          <w:p w:rsidR="006C1CE1" w:rsidRPr="00993CC0" w:rsidRDefault="00C51CF1" w:rsidP="00813143">
            <w:pPr>
              <w:pStyle w:val="Normal6"/>
              <w:rPr>
                <w:szCs w:val="24"/>
              </w:rPr>
            </w:pPr>
            <w:r w:rsidRPr="00993CC0">
              <w:t xml:space="preserve">Diese Statistiken werden der Kommission, </w:t>
            </w:r>
            <w:r w:rsidRPr="00993CC0">
              <w:rPr>
                <w:b/>
                <w:i/>
              </w:rPr>
              <w:t xml:space="preserve">den Mitgliedstaaten und den einschlägigen Stellen der Union, insbesondere </w:t>
            </w:r>
            <w:r w:rsidRPr="00993CC0">
              <w:t xml:space="preserve">der [Asylagentur der Europäischen Union], der Europäischen Agentur für die Grenz- und Küstenwache und den Mitgliedstaaten </w:t>
            </w:r>
            <w:r w:rsidRPr="00993CC0">
              <w:rPr>
                <w:b/>
                <w:i/>
              </w:rPr>
              <w:t xml:space="preserve">und Europol </w:t>
            </w:r>
            <w:r w:rsidRPr="00993CC0">
              <w:t>zur Verfügung gestellt. Die Kommission legt im Wege von Durchführungsrechtsakten den Inhalt der monatlichen systemübergreifenden Statistiken fest. Diese Durchführungsrechtsakte werden gemäß dem in Artikel 41a Absatz 2 genannten Prüfverfahren erlassen.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6C1CE1" w:rsidRPr="00993CC0" w:rsidRDefault="00C51CF1" w:rsidP="006C1CE1">
      <w:pPr>
        <w:pStyle w:val="Normal12Italic"/>
        <w:rPr>
          <w:noProof w:val="0"/>
        </w:rPr>
      </w:pPr>
      <w:r w:rsidRPr="00993CC0">
        <w:rPr>
          <w:noProof w:val="0"/>
        </w:rPr>
        <w:t>Die systemübergreifenden Statistiken sollten den zuständigen JI-Agenturen, einschließlich Europol, zur Verfügung stehen. Insbesondere könnten diese Statistiken Europol wertvolle Informationen liefern und dazu dienen, kriminelle Netze, die an Schleuserkriminalität und Menschenhandel beteiligt sind, aufzuspüren und zu zerschlagen.</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16</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13 - Artikel 9 – Absatz 4</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4.</w:t>
            </w:r>
            <w:r w:rsidRPr="00993CC0">
              <w:tab/>
              <w:t>eu-LISA stellt der Kommission auf Ersuchen Statistiken zu bestimmten Aspekten im Zusammenhang mit der Anwendung dieser Verordnung sowie die in Absatz 1 genannten Statistiken zur Verfügung und macht sie auf Antrag auch einem Mitgliedstaat und der [Asylagentur der Europäischen Union] verfügbar.</w:t>
            </w:r>
          </w:p>
        </w:tc>
        <w:tc>
          <w:tcPr>
            <w:tcW w:w="4876" w:type="dxa"/>
          </w:tcPr>
          <w:p w:rsidR="006C1CE1" w:rsidRPr="00993CC0" w:rsidRDefault="00C51CF1" w:rsidP="00813143">
            <w:pPr>
              <w:pStyle w:val="Normal6"/>
              <w:rPr>
                <w:szCs w:val="24"/>
              </w:rPr>
            </w:pPr>
            <w:r w:rsidRPr="00993CC0">
              <w:t>4.</w:t>
            </w:r>
            <w:r w:rsidRPr="00993CC0">
              <w:tab/>
              <w:t xml:space="preserve">eu-LISA stellt der Kommission auf Ersuchen Statistiken zu bestimmten Aspekten im Zusammenhang mit der Anwendung dieser Verordnung sowie die in Absatz 1 genannten Statistiken zur Verfügung und macht sie auf Antrag auch einem Mitgliedstaat und </w:t>
            </w:r>
            <w:r w:rsidRPr="00993CC0">
              <w:rPr>
                <w:b/>
                <w:i/>
              </w:rPr>
              <w:t>den zuständigen Stellen der Union, insbesondere</w:t>
            </w:r>
            <w:r w:rsidRPr="00993CC0">
              <w:t xml:space="preserve"> der [Asylagentur der Europäischen Union]</w:t>
            </w:r>
            <w:r w:rsidRPr="00993CC0">
              <w:rPr>
                <w:b/>
                <w:i/>
              </w:rPr>
              <w:t>, der Europäischen Agentur für die Grenz- und Küstenwache und Europol</w:t>
            </w:r>
            <w:r w:rsidRPr="00993CC0">
              <w:t xml:space="preserve"> verfügbar.</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17</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13 - Artikel 9 – Absatz 5</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5.</w:t>
            </w:r>
            <w:r w:rsidRPr="00993CC0">
              <w:tab/>
              <w:t xml:space="preserve">eu-LISA speichert die in den Absätzen 1 bis 4 genannten Daten, welche nicht die Identifizierung von Einzelpersonen ermöglichen dürfen, zu Forschungs- und Analysezwecken, </w:t>
            </w:r>
            <w:r w:rsidRPr="00993CC0">
              <w:rPr>
                <w:b/>
                <w:i/>
              </w:rPr>
              <w:t>um den in Absatz 3 genannten Behörden zu ermöglichen, im zentralen Speicher für Berichte und Statistiken nach Artikel 39 der Verordnung (EU) 2019/818 anpassbare Berichte und Statistiken abzurufen</w:t>
            </w:r>
            <w:r w:rsidRPr="00993CC0">
              <w:t>.</w:t>
            </w:r>
          </w:p>
        </w:tc>
        <w:tc>
          <w:tcPr>
            <w:tcW w:w="4876" w:type="dxa"/>
          </w:tcPr>
          <w:p w:rsidR="006C1CE1" w:rsidRPr="00993CC0" w:rsidRDefault="00C51CF1" w:rsidP="006D69C2">
            <w:pPr>
              <w:pStyle w:val="Normal6"/>
              <w:rPr>
                <w:szCs w:val="24"/>
              </w:rPr>
            </w:pPr>
            <w:r w:rsidRPr="00993CC0">
              <w:t>5.</w:t>
            </w:r>
            <w:r w:rsidRPr="00993CC0">
              <w:tab/>
              <w:t>eu-LISA speichert die in den Absätzen 1 bis 4 genannten Daten, welche nicht die Identifizierung von Einzelpersonen ermöglichen dürfen, zu Forschungs- und Analysezwecken.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6C1CE1" w:rsidRPr="00993CC0" w:rsidRDefault="00C51CF1" w:rsidP="006C1CE1">
      <w:pPr>
        <w:pStyle w:val="Normal12Italic"/>
        <w:rPr>
          <w:noProof w:val="0"/>
        </w:rPr>
      </w:pPr>
      <w:r w:rsidRPr="00993CC0">
        <w:rPr>
          <w:noProof w:val="0"/>
        </w:rPr>
        <w:t>Dies wird durch Artikel 9 Absatz 6 bereits abgedeckt.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18</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13 - Artikel 9 – Absatz 6</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6.</w:t>
            </w:r>
            <w:r w:rsidRPr="00993CC0">
              <w:tab/>
              <w:t xml:space="preserve">eu-LISA, die Kommission, die </w:t>
            </w:r>
            <w:r w:rsidRPr="00993CC0">
              <w:rPr>
                <w:b/>
                <w:i/>
              </w:rPr>
              <w:t>[Asylagentur der Europäischen Union]</w:t>
            </w:r>
            <w:r w:rsidRPr="00993CC0">
              <w:t xml:space="preserve"> und die von den einzelnen Mitgliedstaaten gemäß Artikel 28 Absatz 2 benannten Behörden erhalten Zugang zum zentralen Speicher für Berichte und Statistiken nach Artikel 39 der Verordnung (EU) 2019/818. Zugang kann auch berechtigten Benutzern </w:t>
            </w:r>
            <w:r w:rsidRPr="00993CC0">
              <w:rPr>
                <w:b/>
                <w:i/>
              </w:rPr>
              <w:t>anderer</w:t>
            </w:r>
            <w:r w:rsidRPr="00993CC0">
              <w:t xml:space="preserve"> Agenturen aus dem Bereich Justiz und Inneres gewährt werden, wenn dieser Zugang für die Erfüllung ihrer Aufgaben von Belang ist.</w:t>
            </w:r>
            <w:r w:rsidRPr="00993CC0">
              <w:rPr>
                <w:b/>
              </w:rPr>
              <w:t>“;</w:t>
            </w:r>
          </w:p>
        </w:tc>
        <w:tc>
          <w:tcPr>
            <w:tcW w:w="4876" w:type="dxa"/>
          </w:tcPr>
          <w:p w:rsidR="006C1CE1" w:rsidRPr="00993CC0" w:rsidRDefault="00C51CF1" w:rsidP="006D69C2">
            <w:pPr>
              <w:pStyle w:val="Normal6"/>
              <w:rPr>
                <w:szCs w:val="24"/>
              </w:rPr>
            </w:pPr>
            <w:r w:rsidRPr="00993CC0">
              <w:t>6.</w:t>
            </w:r>
            <w:r w:rsidRPr="00993CC0">
              <w:tab/>
              <w:t xml:space="preserve">eu-LISA, die Kommission und die von den einzelnen Mitgliedstaaten gemäß Artikel 28 Absatz 2 benannten Behörden erhalten Zugang zum zentralen Speicher für Berichte und Statistiken nach Artikel 39 der Verordnung (EU) 2019/818. Zugang kann auch berechtigten Benutzern </w:t>
            </w:r>
            <w:r w:rsidRPr="00993CC0">
              <w:rPr>
                <w:b/>
                <w:i/>
              </w:rPr>
              <w:t>der zuständigen</w:t>
            </w:r>
            <w:r w:rsidRPr="00993CC0">
              <w:t xml:space="preserve"> Agenturen aus dem Bereich Justiz und Inneres</w:t>
            </w:r>
            <w:r w:rsidRPr="00993CC0">
              <w:rPr>
                <w:b/>
              </w:rPr>
              <w:t xml:space="preserve">, </w:t>
            </w:r>
            <w:r w:rsidRPr="00993CC0">
              <w:rPr>
                <w:b/>
                <w:i/>
              </w:rPr>
              <w:t xml:space="preserve">insbesondere der [Asylagentur der Europäischen Union], der Europäischen Agentur für die Grenz- und Küstenwache und Europol, </w:t>
            </w:r>
            <w:r w:rsidRPr="00993CC0">
              <w:t>gewährt werden, wenn dieser Zugang für die Erfüllung ihrer Aufgaben von Belang ist.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19</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14 – Artikel 10 – Absatz 1 – Unterabsatz 1</w:t>
      </w:r>
      <w:r w:rsidRPr="00993CC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11B52">
        <w:trPr>
          <w:jc w:val="center"/>
        </w:trPr>
        <w:tc>
          <w:tcPr>
            <w:tcW w:w="9752" w:type="dxa"/>
            <w:gridSpan w:val="2"/>
          </w:tcPr>
          <w:p w:rsidR="006C1CE1" w:rsidRPr="00993CC0" w:rsidRDefault="006C1CE1" w:rsidP="006D69C2">
            <w:pPr>
              <w:keepNext/>
            </w:pPr>
          </w:p>
        </w:tc>
      </w:tr>
      <w:tr w:rsidR="0033742E" w:rsidRPr="00993CC0" w:rsidTr="00211B5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211B52">
        <w:trPr>
          <w:jc w:val="center"/>
        </w:trPr>
        <w:tc>
          <w:tcPr>
            <w:tcW w:w="4876" w:type="dxa"/>
          </w:tcPr>
          <w:p w:rsidR="006C1CE1" w:rsidRPr="00993CC0" w:rsidRDefault="00C51CF1" w:rsidP="00CD280B">
            <w:pPr>
              <w:pStyle w:val="Normal6"/>
            </w:pPr>
            <w:r w:rsidRPr="00993CC0">
              <w:t>1.</w:t>
            </w:r>
            <w:r w:rsidRPr="00993CC0">
              <w:tab/>
              <w:t xml:space="preserve">Jeder Mitgliedstaat erfasst von jeder Person, die internationalen Schutz beantragt und mindestens sechs Jahre alt ist, die biometrischen Daten </w:t>
            </w:r>
            <w:r w:rsidRPr="00993CC0">
              <w:rPr>
                <w:b/>
                <w:i/>
              </w:rPr>
              <w:t>während des Screenings nach der Verordnung (EU) XXX/XXX [Screening-Verordnung] oder, falls die biometrischen Daten nicht während des Screenings erfasst werden konnten oder der Antragsteller nicht der Screening-Pflicht unterlag,</w:t>
            </w:r>
            <w:r w:rsidRPr="00993CC0">
              <w:t xml:space="preserve"> nach der Registrierung des Antrags auf internationalen Schutz gemäß Artikel 27 der Verordnung (EU) XXX/XXX [Asylverfahrensverordnung] und übermittelt diese Daten</w:t>
            </w:r>
            <w:r w:rsidRPr="00993CC0">
              <w:rPr>
                <w:b/>
                <w:i/>
              </w:rPr>
              <w:t xml:space="preserve"> </w:t>
            </w:r>
            <w:r w:rsidRPr="00993CC0">
              <w:t xml:space="preserve">zusammen mit den in Artikel 12 </w:t>
            </w:r>
            <w:r w:rsidRPr="00993CC0">
              <w:rPr>
                <w:b/>
                <w:i/>
              </w:rPr>
              <w:t>Buchstaben c bis p</w:t>
            </w:r>
            <w:r w:rsidRPr="00993CC0">
              <w:t xml:space="preserve"> </w:t>
            </w:r>
            <w:r w:rsidRPr="00993CC0">
              <w:rPr>
                <w:b/>
                <w:i/>
              </w:rPr>
              <w:t>der vorliegenden Verordnung</w:t>
            </w:r>
            <w:r w:rsidRPr="00993CC0">
              <w:t xml:space="preserve"> aufgeführten Daten so bald wie möglich, spätestens jedoch 72 Stunden nach der Erfassung der biometrischen Daten an das Zentralsystem und gegebenenfalls gemäß Artikel 4 Absatz 2 an den CIR.</w:t>
            </w:r>
          </w:p>
        </w:tc>
        <w:tc>
          <w:tcPr>
            <w:tcW w:w="4876" w:type="dxa"/>
          </w:tcPr>
          <w:p w:rsidR="006C1CE1" w:rsidRPr="00993CC0" w:rsidRDefault="00C51CF1" w:rsidP="006D69C2">
            <w:pPr>
              <w:pStyle w:val="Normal6"/>
              <w:rPr>
                <w:szCs w:val="24"/>
              </w:rPr>
            </w:pPr>
            <w:r w:rsidRPr="00993CC0">
              <w:t>1.</w:t>
            </w:r>
            <w:r w:rsidRPr="00993CC0">
              <w:tab/>
              <w:t>Jeder Mitgliedstaat erfasst von jeder Person, die internationalen Schutz beantragt und mindestens sechs Jahre alt ist, die biometrischen Daten</w:t>
            </w:r>
            <w:r w:rsidRPr="00993CC0">
              <w:rPr>
                <w:b/>
                <w:i/>
              </w:rPr>
              <w:t>:</w:t>
            </w:r>
          </w:p>
        </w:tc>
      </w:tr>
      <w:tr w:rsidR="0033742E" w:rsidRPr="00993CC0" w:rsidTr="00211B52">
        <w:trPr>
          <w:jc w:val="center"/>
        </w:trPr>
        <w:tc>
          <w:tcPr>
            <w:tcW w:w="4876" w:type="dxa"/>
          </w:tcPr>
          <w:p w:rsidR="006C1CE1" w:rsidRPr="00993CC0" w:rsidRDefault="006C1CE1" w:rsidP="006D69C2">
            <w:pPr>
              <w:pStyle w:val="Normal6"/>
            </w:pPr>
          </w:p>
        </w:tc>
        <w:tc>
          <w:tcPr>
            <w:tcW w:w="4876" w:type="dxa"/>
          </w:tcPr>
          <w:p w:rsidR="006C1CE1" w:rsidRPr="00993CC0" w:rsidRDefault="00C51CF1" w:rsidP="004B5B2E">
            <w:pPr>
              <w:pStyle w:val="Normal6"/>
              <w:rPr>
                <w:szCs w:val="24"/>
              </w:rPr>
            </w:pPr>
            <w:r w:rsidRPr="00993CC0">
              <w:rPr>
                <w:b/>
                <w:i/>
              </w:rPr>
              <w:t>(a</w:t>
            </w:r>
            <w:r w:rsidRPr="00993CC0">
              <w:t>) nach der Registrierung des Antrags auf internationalen Schutz gemäß Artikel 27 der Verordnung (EU) XXX/XXX [Asylverfahrensverordnung]</w:t>
            </w:r>
            <w:r w:rsidRPr="00993CC0">
              <w:rPr>
                <w:b/>
                <w:i/>
              </w:rPr>
              <w:t>; oder</w:t>
            </w:r>
          </w:p>
        </w:tc>
      </w:tr>
      <w:tr w:rsidR="0033742E" w:rsidRPr="00993CC0" w:rsidTr="00211B52">
        <w:trPr>
          <w:jc w:val="center"/>
        </w:trPr>
        <w:tc>
          <w:tcPr>
            <w:tcW w:w="4876" w:type="dxa"/>
          </w:tcPr>
          <w:p w:rsidR="006C1CE1" w:rsidRPr="00993CC0" w:rsidRDefault="006C1CE1" w:rsidP="006D69C2">
            <w:pPr>
              <w:pStyle w:val="Normal6"/>
            </w:pPr>
          </w:p>
        </w:tc>
        <w:tc>
          <w:tcPr>
            <w:tcW w:w="4876" w:type="dxa"/>
          </w:tcPr>
          <w:p w:rsidR="006C1CE1" w:rsidRPr="00993CC0" w:rsidRDefault="00C51CF1" w:rsidP="004B5B2E">
            <w:pPr>
              <w:pStyle w:val="Normal6"/>
              <w:rPr>
                <w:szCs w:val="24"/>
              </w:rPr>
            </w:pPr>
            <w:r w:rsidRPr="00993CC0">
              <w:rPr>
                <w:b/>
                <w:i/>
              </w:rPr>
              <w:t>(b) bei der Stellung des Antrags auf internationalen Schutz, wenn der Antrag an einer Grenzübergangsstelle oder in einer Transitzone von einer Person gestellt wird, die die Einreisebedingungen gemäß Artikel 6 der Verordnung (EU) 2016/399 nicht erfüllt.</w:t>
            </w:r>
          </w:p>
        </w:tc>
      </w:tr>
      <w:tr w:rsidR="0033742E" w:rsidRPr="00993CC0" w:rsidTr="00211B52">
        <w:trPr>
          <w:jc w:val="center"/>
        </w:trPr>
        <w:tc>
          <w:tcPr>
            <w:tcW w:w="4876" w:type="dxa"/>
          </w:tcPr>
          <w:p w:rsidR="004B5B2E" w:rsidRPr="00993CC0" w:rsidRDefault="004B5B2E" w:rsidP="006D69C2">
            <w:pPr>
              <w:pStyle w:val="Normal6"/>
            </w:pPr>
          </w:p>
        </w:tc>
        <w:tc>
          <w:tcPr>
            <w:tcW w:w="4876" w:type="dxa"/>
          </w:tcPr>
          <w:p w:rsidR="004B5B2E" w:rsidRPr="00993CC0" w:rsidRDefault="00C51CF1" w:rsidP="004B5B2E">
            <w:pPr>
              <w:pStyle w:val="Normal6"/>
              <w:rPr>
                <w:b/>
                <w:i/>
              </w:rPr>
            </w:pPr>
            <w:r w:rsidRPr="00993CC0">
              <w:rPr>
                <w:b/>
                <w:i/>
              </w:rPr>
              <w:t>Jeder Mitgliedstaat</w:t>
            </w:r>
            <w:r w:rsidRPr="00993CC0">
              <w:t xml:space="preserve"> übermittelt diese Daten zusammen mit den in Artikel 12 Absatz 1 aufgeführten Daten so bald wie möglich, spätestens jedoch 72 Stunden nach der Erfassung der biometrischen Daten </w:t>
            </w:r>
            <w:r w:rsidRPr="00993CC0">
              <w:rPr>
                <w:b/>
                <w:i/>
              </w:rPr>
              <w:t xml:space="preserve">des Antragstellers auf internationalen Schutz </w:t>
            </w:r>
            <w:r w:rsidRPr="00993CC0">
              <w:t>an das Zentralsystem und gegebenenfalls gemäß Artikel 4 Absatz 2 an den CIR.</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20</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14 – Artikel 10 – Absatz 1 – Unterabsatz 2</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rPr>
                <w:b/>
                <w:i/>
              </w:rPr>
              <w:t>In Fällen, in denen Artikel 3 Absatz 1 der Verordnung (EU) XXX/XXX [Screening-Verordnung] Anwendung findet und die Person während des Screenings internationalen Schutz beantragt, verwendet jeder Mitgliedstaat für jede Person, die einen Antrag auf internationalen Schutz stellt und mindestens sechs Jahre alt ist, die beim Screening erfassten biometrischen Daten und übermittelt diese spätestens 72 Stunden nach der Registrierung des Antrags gemäß Artikel 27 der Verordnung (EU) XXX/XXX [Asylverfahrensverordnung] zusammen mit den in Artikel 12 Buchstaben c bis p dieser Verordnung genannten Daten an das Zentralsystems sowie gegebenenfalls gemäß Artikel 4 Absatz 2 an den CIR.</w:t>
            </w:r>
          </w:p>
        </w:tc>
        <w:tc>
          <w:tcPr>
            <w:tcW w:w="4876" w:type="dxa"/>
          </w:tcPr>
          <w:p w:rsidR="006C1CE1" w:rsidRPr="00993CC0" w:rsidRDefault="00C51CF1" w:rsidP="006D69C2">
            <w:pPr>
              <w:pStyle w:val="Normal6"/>
              <w:rPr>
                <w:szCs w:val="24"/>
              </w:rPr>
            </w:pPr>
            <w:r w:rsidRPr="00993CC0">
              <w:rPr>
                <w:b/>
                <w:i/>
              </w:rPr>
              <w:t>entfällt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21</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14 - Artikel 10 – Absatz 3</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3.</w:t>
            </w:r>
            <w:r w:rsidRPr="00993CC0">
              <w:tab/>
              <w:t>Die biometrischen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tcPr>
          <w:p w:rsidR="006C1CE1" w:rsidRPr="00993CC0" w:rsidRDefault="00C51CF1" w:rsidP="006D69C2">
            <w:pPr>
              <w:pStyle w:val="Normal6"/>
              <w:rPr>
                <w:szCs w:val="24"/>
              </w:rPr>
            </w:pPr>
            <w:r w:rsidRPr="00993CC0">
              <w:t>3.</w:t>
            </w:r>
            <w:r w:rsidRPr="00993CC0">
              <w:tab/>
              <w:t xml:space="preserve">Die biometrischen </w:t>
            </w:r>
            <w:r w:rsidRPr="00993CC0">
              <w:rPr>
                <w:b/>
                <w:i/>
              </w:rPr>
              <w:t>und alphanumerischen</w:t>
            </w:r>
            <w:r w:rsidRPr="00993CC0">
              <w:t xml:space="preserve">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6C1CE1" w:rsidRPr="00993CC0" w:rsidRDefault="00C51CF1" w:rsidP="006C1CE1">
      <w:pPr>
        <w:pStyle w:val="Normal12Italic"/>
        <w:rPr>
          <w:noProof w:val="0"/>
        </w:rPr>
      </w:pPr>
      <w:r w:rsidRPr="00993CC0">
        <w:rPr>
          <w:noProof w:val="0"/>
        </w:rPr>
        <w:t xml:space="preserve">Dieser Vorschlag enthält eine wichtige Ergänzung, nämlich die Übermittlung relevanter alphanumerischer Daten der Asylbewerber oder illegalen Einwanderer an Eurodac. </w:t>
      </w:r>
      <w:r w:rsidR="00384480" w:rsidRPr="00993CC0">
        <w:rPr>
          <w:noProof w:val="0"/>
        </w:rPr>
        <w:t>Dieser Änderungsantrag</w:t>
      </w:r>
      <w:r w:rsidRPr="00993CC0">
        <w:rPr>
          <w:noProof w:val="0"/>
        </w:rPr>
        <w:t xml:space="preserve"> würde den Aufnahmemitgliedstaat in Zukunft besser unterstützen, indem er im Namen der zuständigen Behörde nicht nur die biometrischen, sondern auch die alphanumerischen Daten übermittelt, die im Rahmen desselben TCN-Screening-Prozesses erhoben werden sollten.</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22</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5A0F10">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14 – Artikel 10 – Absatz 4 a (neu)</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E733C7">
            <w:pPr>
              <w:pStyle w:val="Normal6"/>
              <w:rPr>
                <w:szCs w:val="24"/>
              </w:rPr>
            </w:pPr>
            <w:r w:rsidRPr="00993CC0">
              <w:rPr>
                <w:b/>
                <w:i/>
              </w:rPr>
              <w:t>4a.</w:t>
            </w:r>
            <w:r w:rsidRPr="00993CC0">
              <w:rPr>
                <w:b/>
                <w:i/>
              </w:rPr>
              <w:tab/>
              <w:t xml:space="preserve">Stellt ein Drittstaatsangehöriger oder Staatenloser, der sich illegal in einem Mitgliedstaat aufhält, gleichzeitig mit oder nach der Festnahme einen Antrag auf internationalen Schutz, so ist dieser Mitgliedstaat nicht von der Verpflichtung entbunden, die biometrischen Daten dieses Drittstaatsangehörigen oder Staatenlosen gemäß Artikel 14 zu erfassen und zu speichern. </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23</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5A0F10">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14 – Artikel 10 – Absatz 4 b (neu)</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E733C7">
            <w:pPr>
              <w:pStyle w:val="Normal6"/>
              <w:rPr>
                <w:szCs w:val="24"/>
              </w:rPr>
            </w:pPr>
            <w:r w:rsidRPr="00993CC0">
              <w:rPr>
                <w:b/>
                <w:i/>
              </w:rPr>
              <w:t>4b.</w:t>
            </w:r>
            <w:r w:rsidRPr="00993CC0">
              <w:rPr>
                <w:b/>
                <w:i/>
              </w:rPr>
              <w:tab/>
              <w:t>Stellt ein Drittstaatsangehöriger oder Staatenloser, der in Verbindung mit dem illegalen Überschreiten einer Außengrenze aufgegriffen wurde, zum Zeitpunkt des Aufgreifens oder danach einen Antrag auf internationalen Schutz, so ist der aufgreifende Mitgliedstaat nicht von der Verpflichtung entbunden, die biometrischen Daten dieses Drittstaatsangehörigen oder Staatenlosen gemäß Artikel 13 zu erfassen und zu speichern.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24</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5A0F10">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14 - Artikel 10 – Absatz 4 c (neu)</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EF3617">
            <w:pPr>
              <w:pStyle w:val="Normal6"/>
              <w:rPr>
                <w:szCs w:val="24"/>
              </w:rPr>
            </w:pPr>
            <w:r w:rsidRPr="00993CC0">
              <w:rPr>
                <w:b/>
                <w:i/>
              </w:rPr>
              <w:t>4c.</w:t>
            </w:r>
            <w:r w:rsidRPr="00993CC0">
              <w:rPr>
                <w:b/>
                <w:i/>
              </w:rPr>
              <w:tab/>
              <w:t>In den in den Absätzen 4a und 4b des vorliegenden Artikels genannten Fällen verwenden die Mitgliedstaaten die nach den Artikeln 13 und 14 erfassten biometrischen Daten zur Übermittlung an das Zentralsystem und im CIR gemäß Absatz 1 des vorliegenden Artikels weiter.</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25</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16 – Artikel 12 – </w:t>
      </w:r>
      <w:r w:rsidR="00384480" w:rsidRPr="00993CC0">
        <w:t>Einleitung</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Im Zentralsystem sowie gegebenenfalls im CIR werden ausschließlich folgende Daten gespeichert:</w:t>
            </w:r>
          </w:p>
        </w:tc>
        <w:tc>
          <w:tcPr>
            <w:tcW w:w="4876" w:type="dxa"/>
          </w:tcPr>
          <w:p w:rsidR="006C1CE1" w:rsidRPr="00993CC0" w:rsidRDefault="00C51CF1" w:rsidP="006D69C2">
            <w:pPr>
              <w:pStyle w:val="Normal6"/>
              <w:rPr>
                <w:szCs w:val="24"/>
              </w:rPr>
            </w:pPr>
            <w:r w:rsidRPr="00993CC0">
              <w:t xml:space="preserve">Im Zentralsystem sowie gegebenenfalls im CIR werden </w:t>
            </w:r>
            <w:r w:rsidRPr="00993CC0">
              <w:rPr>
                <w:b/>
                <w:i/>
              </w:rPr>
              <w:t xml:space="preserve">in Übereinstimmung mit Artikel 4 Absatz 2 </w:t>
            </w:r>
            <w:r w:rsidRPr="00993CC0">
              <w:t>ausschließlich folgende Daten gespeichert: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26</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16 – Artikel 12 –– Buchstabe o</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(o)</w:t>
            </w:r>
            <w:r w:rsidRPr="00993CC0">
              <w:tab/>
              <w:t>Datum der Übermittlung der Daten an das Zentralsystem sowie gegebenenfalls an den CIR</w:t>
            </w:r>
            <w:r w:rsidRPr="00993CC0">
              <w:rPr>
                <w:b/>
                <w:i/>
              </w:rPr>
              <w:t>;</w:t>
            </w:r>
          </w:p>
        </w:tc>
        <w:tc>
          <w:tcPr>
            <w:tcW w:w="4876" w:type="dxa"/>
          </w:tcPr>
          <w:p w:rsidR="006C1CE1" w:rsidRPr="00993CC0" w:rsidRDefault="00C51CF1" w:rsidP="006D69C2">
            <w:pPr>
              <w:pStyle w:val="Normal6"/>
              <w:rPr>
                <w:szCs w:val="24"/>
              </w:rPr>
            </w:pPr>
            <w:r w:rsidRPr="00993CC0">
              <w:t>(o)</w:t>
            </w:r>
            <w:r w:rsidRPr="00993CC0">
              <w:tab/>
            </w:r>
            <w:r w:rsidRPr="00993CC0">
              <w:rPr>
                <w:b/>
                <w:i/>
              </w:rPr>
              <w:t>das</w:t>
            </w:r>
            <w:r w:rsidRPr="00993CC0">
              <w:t xml:space="preserve"> Datum der Übermittlung der Daten an das Zentralsystem sowie gegebenenfalls </w:t>
            </w:r>
            <w:r w:rsidRPr="00993CC0">
              <w:rPr>
                <w:b/>
                <w:i/>
              </w:rPr>
              <w:t xml:space="preserve">in Übereinstimmung mit Artikel 4 Absatz 2 </w:t>
            </w:r>
            <w:r w:rsidRPr="00993CC0">
              <w:t>an den CIR</w:t>
            </w:r>
            <w:r w:rsidRPr="00993CC0">
              <w:rPr>
                <w:b/>
                <w:i/>
              </w:rPr>
              <w: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27</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16a (neu) – Artikel 12 a (neu)</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211B52">
            <w:pPr>
              <w:pStyle w:val="Normal6"/>
              <w:jc w:val="center"/>
              <w:rPr>
                <w:szCs w:val="24"/>
              </w:rPr>
            </w:pPr>
            <w:r w:rsidRPr="00993CC0">
              <w:rPr>
                <w:b/>
                <w:i/>
              </w:rPr>
              <w:t>Artikel 12a</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211B52">
            <w:pPr>
              <w:pStyle w:val="Normal6"/>
              <w:jc w:val="center"/>
              <w:rPr>
                <w:szCs w:val="24"/>
              </w:rPr>
            </w:pPr>
            <w:r w:rsidRPr="00993CC0">
              <w:rPr>
                <w:b/>
                <w:i/>
              </w:rPr>
              <w:t>Erfassung und Übermittlung von Fingerabdruck- und Gesichtsbilddaten</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1. </w:t>
            </w:r>
            <w:r w:rsidRPr="00993CC0">
              <w:rPr>
                <w:b/>
                <w:i/>
              </w:rPr>
              <w:tab/>
              <w:t>Jeder Mitgliedstaat erfasst von jedem neu angesiedelten Drittstaatsangehörigen oder Staatenlosen, der mindestens sechs Jahre alt ist, bei deren Ankunft in seinem Hoheitsgebiet umgehend den Abdruck aller Finger und ein Gesichtsbild und übermittelt diese Fingerabdruck- und Gesichtsbilddaten zusammen mit den anderen in Artikel 10 der Verordnung (EU) .../... aufgeführten Daten an das Zentralsystem.</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Die Nichteinhaltung der Anforderung, umgehend den Abdruck aller Finger und ein Gesichtsbild zu erfassen, entbindet die Mitgliedstaaten nicht von der Verpflichtung, die Fingerabdruck- und Gesichtsbilddaten zu erfassen und an das Zentralsystem zu übermitteln. Können aufgrund des Zustands der Fingerkuppen keine Fingerabdrücke in einer Qualität abgenommen werden, die einen angemessenen Abgleich nach Artikel 26 gewährleistet, nimmt der Mitgliedstaat der Neuansiedlung erneut die Fingerabdrücke des Antragstellers ab und übermittelt diese so bald wie möglich, spätestens aber 48 Stunden nach erfolgreicher Abnahme.</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2. </w:t>
            </w:r>
            <w:r w:rsidRPr="00993CC0">
              <w:rPr>
                <w:b/>
                <w:i/>
              </w:rPr>
              <w:tab/>
              <w:t>In Fällen, in denen es aufgrund von Maßnahmen zum Schutz der Gesundheit der betreffenden Person oder zum Schutz der öffentlichen Gesundheit nicht möglich ist, die Fingerabdrücke oder ein Gesichtsbild oder beides von einem neu angesiedelten Drittstaatsangehörigen oder Staatenlosen zu erfassen, ist es den Mitgliedstaaten gestattet, abweichend von Absatz 1 so bald wie möglich, spätestens aber 48 Stunden, nachdem diese gesundheitlichen Gründe nicht mehr vorliegen, die Fingerabdruck- und Gesichtsbilddaten zu erfassen und zu übermitteln.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075CA9" w:rsidRPr="00993CC0" w:rsidRDefault="00C51CF1" w:rsidP="00075CA9">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075CA9" w:rsidRPr="00993CC0" w:rsidRDefault="00C51CF1" w:rsidP="006C1CE1">
      <w:pPr>
        <w:rPr>
          <w:i/>
        </w:rPr>
      </w:pPr>
      <w:r w:rsidRPr="00993CC0">
        <w:rPr>
          <w:i/>
        </w:rPr>
        <w:t>Wiedereinführung des Standpunkts des Parlaments zu dieser in Eurodac zu registrierenden Personenkategorie. Weitere Erläuterungen sind in der Begründung des Berichterstatters enthalten.</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28</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16 b (neu) – Artikel 12 b (neu)</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211B52">
            <w:pPr>
              <w:pStyle w:val="Normal6"/>
              <w:jc w:val="center"/>
              <w:rPr>
                <w:szCs w:val="24"/>
              </w:rPr>
            </w:pPr>
            <w:r w:rsidRPr="00993CC0">
              <w:rPr>
                <w:b/>
                <w:i/>
              </w:rPr>
              <w:t>Artikel 12b</w:t>
            </w:r>
          </w:p>
        </w:tc>
      </w:tr>
      <w:tr w:rsidR="0033742E" w:rsidRPr="00993CC0" w:rsidTr="006D69C2">
        <w:trPr>
          <w:jc w:val="center"/>
        </w:trPr>
        <w:tc>
          <w:tcPr>
            <w:tcW w:w="4876" w:type="dxa"/>
          </w:tcPr>
          <w:p w:rsidR="006354F4" w:rsidRPr="00993CC0" w:rsidRDefault="006354F4" w:rsidP="006D69C2">
            <w:pPr>
              <w:pStyle w:val="Normal6"/>
            </w:pPr>
          </w:p>
        </w:tc>
        <w:tc>
          <w:tcPr>
            <w:tcW w:w="4876" w:type="dxa"/>
          </w:tcPr>
          <w:p w:rsidR="006354F4" w:rsidRPr="00993CC0" w:rsidRDefault="00C51CF1" w:rsidP="006354F4">
            <w:pPr>
              <w:pStyle w:val="Normal6"/>
              <w:jc w:val="center"/>
              <w:rPr>
                <w:b/>
                <w:i/>
              </w:rPr>
            </w:pPr>
            <w:r w:rsidRPr="00993CC0">
              <w:rPr>
                <w:b/>
                <w:i/>
              </w:rPr>
              <w:t>Datenspeicherung</w:t>
            </w:r>
          </w:p>
        </w:tc>
      </w:tr>
      <w:tr w:rsidR="0033742E" w:rsidRPr="00993CC0" w:rsidTr="006D69C2">
        <w:trPr>
          <w:jc w:val="center"/>
        </w:trPr>
        <w:tc>
          <w:tcPr>
            <w:tcW w:w="4876" w:type="dxa"/>
          </w:tcPr>
          <w:p w:rsidR="006354F4" w:rsidRPr="00993CC0" w:rsidRDefault="006354F4" w:rsidP="006D69C2">
            <w:pPr>
              <w:pStyle w:val="Normal6"/>
            </w:pPr>
          </w:p>
        </w:tc>
        <w:tc>
          <w:tcPr>
            <w:tcW w:w="4876" w:type="dxa"/>
          </w:tcPr>
          <w:p w:rsidR="006354F4" w:rsidRPr="00993CC0" w:rsidRDefault="00C51CF1" w:rsidP="00211B52">
            <w:pPr>
              <w:pStyle w:val="Normal6"/>
              <w:rPr>
                <w:b/>
                <w:i/>
              </w:rPr>
            </w:pPr>
            <w:r w:rsidRPr="00993CC0">
              <w:rPr>
                <w:b/>
                <w:i/>
              </w:rPr>
              <w:t xml:space="preserve">Im Zentralsystem werden ausschließlich folgende Daten gespeichert: </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(a) </w:t>
            </w:r>
            <w:r w:rsidRPr="00993CC0">
              <w:rPr>
                <w:b/>
                <w:i/>
              </w:rPr>
              <w:tab/>
              <w:t>Fingerabdruckdaten</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(b) </w:t>
            </w:r>
            <w:r w:rsidRPr="00993CC0">
              <w:rPr>
                <w:b/>
                <w:i/>
              </w:rPr>
              <w:tab/>
              <w:t>ein Gesichtsbild;</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(c) </w:t>
            </w:r>
            <w:r w:rsidRPr="00993CC0">
              <w:rPr>
                <w:b/>
                <w:i/>
              </w:rPr>
              <w:tab/>
              <w:t>Nachname(n) und Vorname(n), Geburtsname(n) und frühere(r) Name(n) sowie Aliasnamen, gegebenenfalls in einem anderen Datensatz;</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(d) </w:t>
            </w:r>
            <w:r w:rsidRPr="00993CC0">
              <w:rPr>
                <w:b/>
                <w:i/>
              </w:rPr>
              <w:tab/>
              <w:t>Staatsangehörigkeit(en);</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(e) </w:t>
            </w:r>
            <w:r w:rsidRPr="00993CC0">
              <w:rPr>
                <w:b/>
                <w:i/>
              </w:rPr>
              <w:tab/>
              <w:t>Geburtsort und Geburtsdatum</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(f) </w:t>
            </w:r>
            <w:r w:rsidRPr="00993CC0">
              <w:rPr>
                <w:b/>
                <w:i/>
              </w:rPr>
              <w:tab/>
              <w:t>Mitgliedstaat der Neuansiedlung, Ort und Zeitpunkt, zu dem die Person registriert wurde;</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(g) </w:t>
            </w:r>
            <w:r w:rsidRPr="00993CC0">
              <w:rPr>
                <w:b/>
                <w:i/>
              </w:rPr>
              <w:tab/>
              <w:t>Geschlecht;</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(h) </w:t>
            </w:r>
            <w:r w:rsidRPr="00993CC0">
              <w:rPr>
                <w:b/>
                <w:i/>
              </w:rPr>
              <w:tab/>
              <w:t>gegebenenfalls Art und Nummer des Identitäts- oder Reisedokuments; aus drei Buchstaben bestehender Code des ausstellenden Staates und Gültigkeitsdauer des Dokuments</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(i) </w:t>
            </w:r>
            <w:r w:rsidRPr="00993CC0">
              <w:rPr>
                <w:b/>
                <w:i/>
              </w:rPr>
              <w:tab/>
              <w:t>vom Herkunftsmitgliedstaat verwendete Kennnummer</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(j) </w:t>
            </w:r>
            <w:r w:rsidRPr="00993CC0">
              <w:rPr>
                <w:b/>
                <w:i/>
              </w:rPr>
              <w:tab/>
              <w:t>Zeitpunkt der Erfassung der Fingerabdrücke und/oder des Gesichtsbilds</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(k) </w:t>
            </w:r>
            <w:r w:rsidRPr="00993CC0">
              <w:rPr>
                <w:b/>
                <w:i/>
              </w:rPr>
              <w:tab/>
              <w:t>Zeitpunkt der Übermittlung der Daten an das Zentralsystem</w:t>
            </w:r>
          </w:p>
        </w:tc>
      </w:tr>
      <w:tr w:rsidR="0033742E" w:rsidRPr="00993CC0" w:rsidTr="006D69C2">
        <w:trPr>
          <w:jc w:val="center"/>
        </w:trPr>
        <w:tc>
          <w:tcPr>
            <w:tcW w:w="4876" w:type="dxa"/>
          </w:tcPr>
          <w:p w:rsidR="006C1CE1" w:rsidRPr="00993CC0" w:rsidRDefault="006C1CE1" w:rsidP="006D69C2">
            <w:pPr>
              <w:pStyle w:val="Normal6"/>
            </w:pPr>
          </w:p>
        </w:tc>
        <w:tc>
          <w:tcPr>
            <w:tcW w:w="4876" w:type="dxa"/>
          </w:tcPr>
          <w:p w:rsidR="006C1CE1" w:rsidRPr="00993CC0" w:rsidRDefault="00C51CF1" w:rsidP="006D69C2">
            <w:pPr>
              <w:pStyle w:val="Normal6"/>
              <w:rPr>
                <w:szCs w:val="24"/>
              </w:rPr>
            </w:pPr>
            <w:r w:rsidRPr="00993CC0">
              <w:rPr>
                <w:b/>
                <w:i/>
              </w:rPr>
              <w:t xml:space="preserve">(l) </w:t>
            </w:r>
            <w:r w:rsidRPr="00993CC0">
              <w:rPr>
                <w:b/>
                <w:i/>
              </w:rPr>
              <w:tab/>
              <w:t>Benutzerkennwort</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r w:rsidRPr="00993CC0">
        <w:rPr>
          <w:rStyle w:val="HideTWBExt"/>
          <w:noProof w:val="0"/>
        </w:rPr>
        <w:t>&lt;/Amend&gt;</w:t>
      </w:r>
    </w:p>
    <w:p w:rsidR="006C1CE1" w:rsidRPr="00993CC0" w:rsidRDefault="00C51CF1" w:rsidP="006C1CE1">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29</w:t>
      </w:r>
      <w:r w:rsidRPr="00993CC0">
        <w:rPr>
          <w:rStyle w:val="HideTWBExt"/>
          <w:b w:val="0"/>
          <w:noProof w:val="0"/>
        </w:rPr>
        <w:t>&lt;/NumAm&gt;</w:t>
      </w:r>
    </w:p>
    <w:p w:rsidR="006C1CE1" w:rsidRPr="00993CC0" w:rsidRDefault="00C51CF1" w:rsidP="006C1CE1">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6C1CE1" w:rsidRPr="00993CC0" w:rsidRDefault="00C51CF1" w:rsidP="006C1CE1">
      <w:r w:rsidRPr="00993CC0">
        <w:rPr>
          <w:rStyle w:val="HideTWBExt"/>
          <w:noProof w:val="0"/>
        </w:rPr>
        <w:t>&lt;/RepeatBlock-By&gt;</w:t>
      </w:r>
    </w:p>
    <w:p w:rsidR="006C1CE1" w:rsidRPr="00993CC0" w:rsidRDefault="00C51CF1" w:rsidP="006C1CE1">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6C1CE1" w:rsidRPr="00993CC0" w:rsidRDefault="00C51CF1" w:rsidP="006C1CE1">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17 – Artikel 13 – Absatz 2 – </w:t>
      </w:r>
      <w:r w:rsidR="00384480" w:rsidRPr="00993CC0">
        <w:t>Einleitung</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6D69C2">
        <w:trPr>
          <w:jc w:val="center"/>
        </w:trPr>
        <w:tc>
          <w:tcPr>
            <w:tcW w:w="9752" w:type="dxa"/>
            <w:gridSpan w:val="2"/>
          </w:tcPr>
          <w:p w:rsidR="006C1CE1" w:rsidRPr="00993CC0" w:rsidRDefault="006C1CE1" w:rsidP="006D69C2">
            <w:pPr>
              <w:keepNext/>
            </w:pPr>
          </w:p>
        </w:tc>
      </w:tr>
      <w:tr w:rsidR="0033742E" w:rsidRPr="00993CC0" w:rsidTr="006D69C2">
        <w:trPr>
          <w:jc w:val="center"/>
        </w:trPr>
        <w:tc>
          <w:tcPr>
            <w:tcW w:w="4876" w:type="dxa"/>
          </w:tcPr>
          <w:p w:rsidR="006C1CE1" w:rsidRPr="00993CC0" w:rsidRDefault="00C51CF1" w:rsidP="006D69C2">
            <w:pPr>
              <w:pStyle w:val="ColumnHeading"/>
              <w:keepNext/>
            </w:pPr>
            <w:r w:rsidRPr="00993CC0">
              <w:t>Vorschlag der Kommission</w:t>
            </w:r>
          </w:p>
        </w:tc>
        <w:tc>
          <w:tcPr>
            <w:tcW w:w="4876" w:type="dxa"/>
          </w:tcPr>
          <w:p w:rsidR="006C1CE1" w:rsidRPr="00993CC0" w:rsidRDefault="00C51CF1" w:rsidP="00C51CF1">
            <w:pPr>
              <w:pStyle w:val="ColumnHeading"/>
              <w:keepNext/>
            </w:pPr>
            <w:r w:rsidRPr="00993CC0">
              <w:t>Geänderter Text</w:t>
            </w:r>
          </w:p>
        </w:tc>
      </w:tr>
      <w:tr w:rsidR="0033742E" w:rsidRPr="00993CC0" w:rsidTr="006D69C2">
        <w:trPr>
          <w:jc w:val="center"/>
        </w:trPr>
        <w:tc>
          <w:tcPr>
            <w:tcW w:w="4876" w:type="dxa"/>
          </w:tcPr>
          <w:p w:rsidR="006C1CE1" w:rsidRPr="00993CC0" w:rsidRDefault="00C51CF1" w:rsidP="006D69C2">
            <w:pPr>
              <w:pStyle w:val="Normal6"/>
            </w:pPr>
            <w:r w:rsidRPr="00993CC0">
              <w:t>2.</w:t>
            </w:r>
            <w:r w:rsidRPr="00993CC0">
              <w:tab/>
              <w:t>Der betreffende Mitgliedstaat übermittelt so bald wie möglich, spätestens jedoch 72 Stunden nach dem Datum des Aufgreifens, an das Zentralsystem sowie gegebenenfalls an den CIR die folgenden Daten zu Drittstaatsangehörigen oder Staatenlosen gemäß Absatz 1, die nicht zurückgewiesen wurden:</w:t>
            </w:r>
          </w:p>
        </w:tc>
        <w:tc>
          <w:tcPr>
            <w:tcW w:w="4876" w:type="dxa"/>
          </w:tcPr>
          <w:p w:rsidR="006C1CE1" w:rsidRPr="00993CC0" w:rsidRDefault="00C51CF1" w:rsidP="006D69C2">
            <w:pPr>
              <w:pStyle w:val="Normal6"/>
              <w:rPr>
                <w:szCs w:val="24"/>
              </w:rPr>
            </w:pPr>
            <w:r w:rsidRPr="00993CC0">
              <w:t>2.</w:t>
            </w:r>
            <w:r w:rsidRPr="00993CC0">
              <w:tab/>
              <w:t xml:space="preserve">Der betreffende Mitgliedstaat übermittelt so bald wie möglich, spätestens jedoch 72 Stunden nach dem Datum des Aufgreifens, an das Zentralsystem sowie gegebenenfalls </w:t>
            </w:r>
            <w:r w:rsidRPr="00993CC0">
              <w:rPr>
                <w:b/>
                <w:i/>
              </w:rPr>
              <w:t xml:space="preserve">in Übereinstimmung mit Artikel 4 Absatz 2 </w:t>
            </w:r>
            <w:r w:rsidRPr="00993CC0">
              <w:t>an den CIR die folgenden Daten zu Drittstaatsangehörigen oder Staatenlosen gemäß Absatz 1, die nicht zurückgewiesen wurden:</w:t>
            </w:r>
          </w:p>
        </w:tc>
      </w:tr>
    </w:tbl>
    <w:p w:rsidR="006C1CE1" w:rsidRPr="00993CC0" w:rsidRDefault="00C51CF1" w:rsidP="006C1CE1">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6C1CE1" w:rsidRPr="00993CC0" w:rsidRDefault="00C51CF1" w:rsidP="006C1CE1">
      <w:pPr>
        <w:rPr>
          <w:rStyle w:val="HideTWBExt"/>
          <w:noProof w:val="0"/>
        </w:rPr>
      </w:pPr>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30</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pPr>
      <w:r w:rsidRPr="00993CC0">
        <w:rPr>
          <w:rStyle w:val="HideTWBExt"/>
          <w:b w:val="0"/>
          <w:noProof w:val="0"/>
        </w:rPr>
        <w:t>&lt;Article&gt;</w:t>
      </w:r>
      <w:r w:rsidRPr="00993CC0">
        <w:t xml:space="preserve"> Verfügender Teil - </w:t>
      </w:r>
      <w:r w:rsidR="00384480" w:rsidRPr="00993CC0">
        <w:t>Nummer</w:t>
      </w:r>
      <w:r w:rsidRPr="00993CC0">
        <w:t> 17 - Artikel 13 – Absatz 7</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64C57">
        <w:trPr>
          <w:jc w:val="center"/>
        </w:trPr>
        <w:tc>
          <w:tcPr>
            <w:tcW w:w="9752" w:type="dxa"/>
            <w:gridSpan w:val="2"/>
          </w:tcPr>
          <w:p w:rsidR="00460CB0" w:rsidRPr="00993CC0" w:rsidRDefault="00460CB0" w:rsidP="00264C57">
            <w:pPr>
              <w:keepNext/>
            </w:pPr>
          </w:p>
        </w:tc>
      </w:tr>
      <w:tr w:rsidR="0033742E" w:rsidRPr="00993CC0" w:rsidTr="00264C57">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264C57">
        <w:trPr>
          <w:jc w:val="center"/>
        </w:trPr>
        <w:tc>
          <w:tcPr>
            <w:tcW w:w="4876" w:type="dxa"/>
          </w:tcPr>
          <w:p w:rsidR="00460CB0" w:rsidRPr="00993CC0" w:rsidRDefault="00C51CF1" w:rsidP="00264C57">
            <w:pPr>
              <w:pStyle w:val="Normal6"/>
            </w:pPr>
            <w:r w:rsidRPr="00993CC0">
              <w:t>7.</w:t>
            </w:r>
            <w:r w:rsidRPr="00993CC0">
              <w:tab/>
              <w:t>Die biometrischen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tcPr>
          <w:p w:rsidR="00460CB0" w:rsidRPr="00993CC0" w:rsidRDefault="00C51CF1" w:rsidP="00264C57">
            <w:pPr>
              <w:pStyle w:val="Normal6"/>
              <w:rPr>
                <w:szCs w:val="24"/>
              </w:rPr>
            </w:pPr>
            <w:r w:rsidRPr="00993CC0">
              <w:t>7.</w:t>
            </w:r>
            <w:r w:rsidRPr="00993CC0">
              <w:tab/>
              <w:t xml:space="preserve">Die biometrischen </w:t>
            </w:r>
            <w:r w:rsidRPr="00993CC0">
              <w:rPr>
                <w:b/>
                <w:i/>
              </w:rPr>
              <w:t>und alphanumerischen</w:t>
            </w:r>
            <w:r w:rsidRPr="00993CC0">
              <w:t xml:space="preserve">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r>
    </w:tbl>
    <w:p w:rsidR="00460CB0" w:rsidRPr="00993CC0" w:rsidRDefault="00C51CF1" w:rsidP="00460CB0">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460CB0" w:rsidRPr="00993CC0" w:rsidRDefault="00C51CF1" w:rsidP="00460CB0">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460CB0" w:rsidRPr="00993CC0" w:rsidRDefault="00C51CF1" w:rsidP="00460CB0">
      <w:pPr>
        <w:pStyle w:val="Normal12Italic"/>
        <w:rPr>
          <w:noProof w:val="0"/>
        </w:rPr>
      </w:pPr>
      <w:r w:rsidRPr="00993CC0">
        <w:rPr>
          <w:noProof w:val="0"/>
        </w:rPr>
        <w:t xml:space="preserve">Dieser Vorschlag enthält eine wichtige Ergänzung, nämlich die Übermittlung relevanter alphanumerischer Daten der Asylbewerber oder illegalen Einwanderer an Eurodac. </w:t>
      </w:r>
      <w:r w:rsidR="00384480" w:rsidRPr="00993CC0">
        <w:rPr>
          <w:noProof w:val="0"/>
        </w:rPr>
        <w:t>Dieser Änderungsantrag</w:t>
      </w:r>
      <w:r w:rsidRPr="00993CC0">
        <w:rPr>
          <w:noProof w:val="0"/>
        </w:rPr>
        <w:t xml:space="preserve"> würde den Aufnahmemitgliedstaat in Zukunft besser unterstützen, indem er im Namen der zuständigen Behörde nicht nur die biometrischen, sondern auch die alphanumerischen Daten übermittelt, die im Rahmen desselben TCN-Screening-Prozesses erhoben werden sollten.</w:t>
      </w:r>
    </w:p>
    <w:p w:rsidR="00460CB0" w:rsidRPr="00993CC0" w:rsidRDefault="00C51CF1" w:rsidP="00460CB0">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31</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18 – Artikel 14 – Absatz 2 – </w:t>
      </w:r>
      <w:r w:rsidR="00384480" w:rsidRPr="00993CC0">
        <w:t>Einleitung</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64C57">
        <w:trPr>
          <w:jc w:val="center"/>
        </w:trPr>
        <w:tc>
          <w:tcPr>
            <w:tcW w:w="9752" w:type="dxa"/>
            <w:gridSpan w:val="2"/>
          </w:tcPr>
          <w:p w:rsidR="00460CB0" w:rsidRPr="00993CC0" w:rsidRDefault="00460CB0" w:rsidP="00264C57">
            <w:pPr>
              <w:keepNext/>
            </w:pPr>
          </w:p>
        </w:tc>
      </w:tr>
      <w:tr w:rsidR="0033742E" w:rsidRPr="00993CC0" w:rsidTr="00264C57">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264C57">
        <w:trPr>
          <w:jc w:val="center"/>
        </w:trPr>
        <w:tc>
          <w:tcPr>
            <w:tcW w:w="4876" w:type="dxa"/>
          </w:tcPr>
          <w:p w:rsidR="00460CB0" w:rsidRPr="00993CC0" w:rsidRDefault="00C51CF1" w:rsidP="00264C57">
            <w:pPr>
              <w:pStyle w:val="Normal6"/>
            </w:pPr>
            <w:r w:rsidRPr="00993CC0">
              <w:t>2.</w:t>
            </w:r>
            <w:r w:rsidRPr="00993CC0">
              <w:tab/>
              <w:t>Der betreffende Mitgliedstaat übermittelt so bald wie möglich, spätestens jedoch 72 Stunden, nachdem festgestellt wurde, dass sich der betreffende Drittstaatsangehörige oder Staatenlose illegal aufhält, an das Zentralsystem sowie gegebenenfalls an den CIR die folgenden Daten zu allen Drittstaatsangehörigen oder Staatenlosen gemäß Absatz 1:</w:t>
            </w:r>
          </w:p>
        </w:tc>
        <w:tc>
          <w:tcPr>
            <w:tcW w:w="4876" w:type="dxa"/>
          </w:tcPr>
          <w:p w:rsidR="00460CB0" w:rsidRPr="00993CC0" w:rsidRDefault="00C51CF1" w:rsidP="00264C57">
            <w:pPr>
              <w:pStyle w:val="Normal6"/>
              <w:rPr>
                <w:szCs w:val="24"/>
              </w:rPr>
            </w:pPr>
            <w:r w:rsidRPr="00993CC0">
              <w:t>2.</w:t>
            </w:r>
            <w:r w:rsidRPr="00993CC0">
              <w:tab/>
              <w:t xml:space="preserve">Der betreffende Mitgliedstaat übermittelt so bald wie möglich, spätestens jedoch 72 Stunden, nachdem festgestellt wurde, dass sich der betreffende Drittstaatsangehörige oder Staatenlose illegal aufhält, an das Zentralsystem sowie gegebenenfalls an den CIR </w:t>
            </w:r>
            <w:r w:rsidRPr="00993CC0">
              <w:rPr>
                <w:b/>
                <w:i/>
              </w:rPr>
              <w:t>in Übereinstimmung mit Artikel 4 Absatz</w:t>
            </w:r>
            <w:r w:rsidRPr="00993CC0">
              <w:t xml:space="preserve"> </w:t>
            </w:r>
            <w:r w:rsidRPr="00993CC0">
              <w:rPr>
                <w:b/>
                <w:i/>
              </w:rPr>
              <w:t>2</w:t>
            </w:r>
            <w:r w:rsidRPr="00993CC0">
              <w:rPr>
                <w:b/>
              </w:rPr>
              <w:t xml:space="preserve"> </w:t>
            </w:r>
            <w:r w:rsidRPr="00993CC0">
              <w:t>die folgenden Daten zu allen Drittstaatsangehörigen oder Staatenlosen gemäß Absatz 1:</w:t>
            </w:r>
          </w:p>
        </w:tc>
      </w:tr>
    </w:tbl>
    <w:p w:rsidR="00460CB0" w:rsidRPr="00993CC0" w:rsidRDefault="00C51CF1" w:rsidP="00460CB0">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460CB0" w:rsidRPr="00993CC0" w:rsidRDefault="00C51CF1" w:rsidP="00460CB0">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32</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rPr>
          <w:lang w:val="fr-FR"/>
        </w:rPr>
      </w:pPr>
      <w:r w:rsidRPr="00993CC0">
        <w:rPr>
          <w:rStyle w:val="HideTWBExt"/>
          <w:b w:val="0"/>
          <w:noProof w:val="0"/>
          <w:lang w:val="fr-FR"/>
        </w:rPr>
        <w:t>&lt;Article&gt;</w:t>
      </w:r>
      <w:r w:rsidR="00384480" w:rsidRPr="00993CC0">
        <w:rPr>
          <w:lang w:val="fr-FR"/>
        </w:rPr>
        <w:t>Nummer</w:t>
      </w:r>
      <w:r w:rsidRPr="00993CC0">
        <w:rPr>
          <w:lang w:val="fr-FR"/>
        </w:rPr>
        <w:t xml:space="preserve"> 19 – Kapitel IVa</w:t>
      </w:r>
      <w:r w:rsidRPr="00993CC0">
        <w:rPr>
          <w:rStyle w:val="HideTWBExt"/>
          <w:b w:val="0"/>
          <w:noProof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1E753B">
        <w:trPr>
          <w:jc w:val="center"/>
        </w:trPr>
        <w:tc>
          <w:tcPr>
            <w:tcW w:w="9752" w:type="dxa"/>
            <w:gridSpan w:val="2"/>
          </w:tcPr>
          <w:p w:rsidR="00460CB0" w:rsidRPr="00993CC0" w:rsidRDefault="00460CB0" w:rsidP="00264C57">
            <w:pPr>
              <w:keepNext/>
              <w:rPr>
                <w:lang w:val="fr-FR"/>
              </w:rPr>
            </w:pPr>
          </w:p>
        </w:tc>
      </w:tr>
      <w:tr w:rsidR="0033742E" w:rsidRPr="00993CC0" w:rsidTr="001E753B">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1E753B">
        <w:trPr>
          <w:jc w:val="center"/>
        </w:trPr>
        <w:tc>
          <w:tcPr>
            <w:tcW w:w="4876" w:type="dxa"/>
          </w:tcPr>
          <w:p w:rsidR="00460CB0" w:rsidRPr="00993CC0" w:rsidRDefault="00C51CF1" w:rsidP="00983807">
            <w:pPr>
              <w:pStyle w:val="Normal6"/>
              <w:rPr>
                <w:b/>
                <w:i/>
              </w:rPr>
            </w:pPr>
            <w:r w:rsidRPr="00993CC0">
              <w:rPr>
                <w:b/>
                <w:i/>
              </w:rPr>
              <w:t xml:space="preserve">(19) </w:t>
            </w:r>
            <w:r w:rsidRPr="00993CC0">
              <w:rPr>
                <w:b/>
                <w:i/>
              </w:rPr>
              <w:tab/>
              <w:t>Nach Artikel 14 wird das folgende Kapitel eingefügt:</w:t>
            </w:r>
          </w:p>
        </w:tc>
        <w:tc>
          <w:tcPr>
            <w:tcW w:w="4876" w:type="dxa"/>
          </w:tcPr>
          <w:p w:rsidR="00460CB0" w:rsidRPr="00993CC0" w:rsidRDefault="00C51CF1" w:rsidP="006354F4">
            <w:pPr>
              <w:pStyle w:val="Normal6"/>
              <w:rPr>
                <w:szCs w:val="24"/>
              </w:rPr>
            </w:pPr>
            <w:r w:rsidRPr="00993CC0">
              <w:rPr>
                <w:b/>
                <w:i/>
              </w:rPr>
              <w:t>entfällt</w:t>
            </w:r>
            <w:r w:rsidRPr="00993CC0">
              <w:rPr>
                <w:i/>
              </w:rPr>
              <w:t xml:space="preserve"> </w:t>
            </w:r>
          </w:p>
        </w:tc>
      </w:tr>
      <w:tr w:rsidR="0033742E" w:rsidRPr="00993CC0" w:rsidTr="001E753B">
        <w:trPr>
          <w:jc w:val="center"/>
        </w:trPr>
        <w:tc>
          <w:tcPr>
            <w:tcW w:w="4876" w:type="dxa"/>
          </w:tcPr>
          <w:p w:rsidR="00983807" w:rsidRPr="00993CC0" w:rsidRDefault="00C51CF1" w:rsidP="0014715B">
            <w:pPr>
              <w:pStyle w:val="Normal6"/>
              <w:jc w:val="center"/>
              <w:rPr>
                <w:b/>
                <w:i/>
              </w:rPr>
            </w:pPr>
            <w:r w:rsidRPr="00993CC0">
              <w:rPr>
                <w:b/>
                <w:i/>
              </w:rPr>
              <w:t>„KAPITEL IVa</w:t>
            </w:r>
          </w:p>
        </w:tc>
        <w:tc>
          <w:tcPr>
            <w:tcW w:w="4876" w:type="dxa"/>
          </w:tcPr>
          <w:p w:rsidR="00983807" w:rsidRPr="00993CC0" w:rsidRDefault="00C51CF1" w:rsidP="00264C57">
            <w:pPr>
              <w:pStyle w:val="Normal6"/>
              <w:rPr>
                <w:i/>
              </w:rPr>
            </w:pPr>
            <w:r w:rsidRPr="00993CC0">
              <w:rPr>
                <w:i/>
              </w:rPr>
              <w:t>(Dieser Änderungsantrag betrifft den gesamten Text. Seine Annahme würde entsprechende Abänderungen im gesamten Text erforderlich machen.)</w:t>
            </w:r>
          </w:p>
        </w:tc>
      </w:tr>
      <w:tr w:rsidR="0033742E" w:rsidRPr="00993CC0" w:rsidTr="001E753B">
        <w:trPr>
          <w:jc w:val="center"/>
        </w:trPr>
        <w:tc>
          <w:tcPr>
            <w:tcW w:w="4876" w:type="dxa"/>
          </w:tcPr>
          <w:p w:rsidR="00983807" w:rsidRPr="00993CC0" w:rsidRDefault="00C51CF1" w:rsidP="0014715B">
            <w:pPr>
              <w:pStyle w:val="Normal6"/>
              <w:jc w:val="center"/>
              <w:rPr>
                <w:b/>
                <w:i/>
              </w:rPr>
            </w:pPr>
            <w:r w:rsidRPr="00993CC0">
              <w:rPr>
                <w:b/>
                <w:i/>
              </w:rPr>
              <w:t>Drittstaatsangehörige oder Staatenlose, die nach einer Such- und Rettungsaktion ausgeschifft werden</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14715B">
            <w:pPr>
              <w:pStyle w:val="Normal6"/>
              <w:jc w:val="center"/>
              <w:rPr>
                <w:b/>
                <w:i/>
              </w:rPr>
            </w:pPr>
            <w:r w:rsidRPr="00993CC0">
              <w:rPr>
                <w:b/>
                <w:i/>
              </w:rPr>
              <w:t>Artikel 14a</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14715B">
            <w:pPr>
              <w:pStyle w:val="Normal6"/>
              <w:jc w:val="center"/>
              <w:rPr>
                <w:b/>
                <w:i/>
              </w:rPr>
            </w:pPr>
            <w:r w:rsidRPr="00993CC0">
              <w:rPr>
                <w:b/>
                <w:i/>
              </w:rPr>
              <w:t>Erfassung und Übermittlung biometrischer Daten</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1. </w:t>
            </w:r>
            <w:r w:rsidRPr="00993CC0">
              <w:rPr>
                <w:b/>
                <w:i/>
              </w:rPr>
              <w:tab/>
              <w:t>Jeder Mitgliedstaat erfasst unverzüglich die biometrischen Daten jedes mindestens sechs Jahre alten Drittstaatsangehörigen oder Staatenlosen, der gemäß der Verordnung (EU) XXX/XXX [Verordnung über Asyl- und Migrationsmanagement] nach einer Such- und Rettungsaktion ausgeschifft wurde.</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2. </w:t>
            </w:r>
            <w:r w:rsidRPr="00993CC0">
              <w:rPr>
                <w:b/>
                <w:i/>
              </w:rPr>
              <w:tab/>
              <w:t>Der betreffende Mitgliedstaat übermittelt so bald wie möglich, spätestens jedoch 72 Stunden nach dem Zeitpunkt der Ausschiffung, die folgenden Daten zu Drittstaatsangehörigen oder Staatenlosen gemäß Absatz 1 an das Zentralsystem und gegebenenfalls an den CIR:</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(a)</w:t>
            </w:r>
            <w:r w:rsidRPr="00993CC0">
              <w:rPr>
                <w:b/>
                <w:i/>
              </w:rPr>
              <w:tab/>
              <w:t>Fingerabdruckdaten</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(b)</w:t>
            </w:r>
            <w:r w:rsidRPr="00993CC0">
              <w:rPr>
                <w:b/>
                <w:i/>
              </w:rPr>
              <w:tab/>
              <w:t>ein Gesichtsbild;</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(c)</w:t>
            </w:r>
            <w:r w:rsidRPr="00993CC0">
              <w:rPr>
                <w:b/>
                <w:i/>
              </w:rPr>
              <w:tab/>
              <w:t>Nachname(n) und Vorname(n), Geburtsname(n) und frühere(r) Name(n) sowie Aliasnamen, gegebenenfalls in einem anderen Datensatz;</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(d)</w:t>
            </w:r>
            <w:r w:rsidRPr="00993CC0">
              <w:rPr>
                <w:b/>
                <w:i/>
              </w:rPr>
              <w:tab/>
              <w:t>Staatsangehörigkeit(en);</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(e)</w:t>
            </w:r>
            <w:r w:rsidRPr="00993CC0">
              <w:rPr>
                <w:b/>
                <w:i/>
              </w:rPr>
              <w:tab/>
              <w:t>Geburtsdatum;</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(f)</w:t>
            </w:r>
            <w:r w:rsidRPr="00993CC0">
              <w:rPr>
                <w:b/>
                <w:i/>
              </w:rPr>
              <w:tab/>
              <w:t>Geburtsort;</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(g)</w:t>
            </w:r>
            <w:r w:rsidRPr="00993CC0">
              <w:rPr>
                <w:b/>
                <w:i/>
              </w:rPr>
              <w:tab/>
              <w:t>Herkunftsmitgliedstaat sowie Ort und Datum der Ausschiffung;</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(h)</w:t>
            </w:r>
            <w:r w:rsidRPr="00993CC0">
              <w:rPr>
                <w:b/>
                <w:i/>
              </w:rPr>
              <w:tab/>
              <w:t>Geschlecht;</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(i)</w:t>
            </w:r>
            <w:r w:rsidRPr="00993CC0">
              <w:rPr>
                <w:b/>
                <w:i/>
              </w:rPr>
              <w:tab/>
              <w:t>Art und Nummer des Identitäts- oder Reisedokuments (soweit bekannt); aus drei Buchstaben bestehender Code des ausstellenden Staates und des Dokuments;</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(j)</w:t>
            </w:r>
            <w:r w:rsidRPr="00993CC0">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(k)</w:t>
            </w:r>
            <w:r w:rsidRPr="00993CC0">
              <w:rPr>
                <w:b/>
                <w:i/>
              </w:rPr>
              <w:tab/>
              <w:t>vom Herkunftsmitgliedstaat verwendete Kennnummer</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(l)</w:t>
            </w:r>
            <w:r w:rsidRPr="00993CC0">
              <w:rPr>
                <w:b/>
                <w:i/>
              </w:rPr>
              <w:tab/>
              <w:t>Datum der Erfassung der biometrischen Daten;</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(m)</w:t>
            </w:r>
            <w:r w:rsidRPr="00993CC0">
              <w:rPr>
                <w:b/>
                <w:i/>
              </w:rPr>
              <w:tab/>
              <w:t>Datum der Übermittlung der Daten an das Zentralsystem sowie gegebenenfalls an den CIR;</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(n)</w:t>
            </w:r>
            <w:r w:rsidRPr="00993CC0">
              <w:rPr>
                <w:b/>
                <w:i/>
              </w:rPr>
              <w:tab/>
              <w:t>Benutzerkennwort</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(o)</w:t>
            </w:r>
            <w:r w:rsidRPr="00993CC0">
              <w:rPr>
                <w:b/>
                <w:i/>
              </w:rPr>
              <w:tab/>
              <w:t>gegebenenfalls gemäß Absatz 6 das Datum, an dem die betroffene Person das Hoheitsgebiet der Mitgliedstaaten verlassen hat oder abgeschoben wurde;</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(p)</w:t>
            </w:r>
            <w:r w:rsidRPr="00993CC0">
              <w:rPr>
                <w:b/>
                <w:i/>
              </w:rPr>
              <w:tab/>
              <w:t>Übernahmemitgliedstaat gemäß Artikel 14b Absatz 1;</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(q)</w:t>
            </w:r>
            <w:r w:rsidRPr="00993CC0">
              <w:rPr>
                <w:b/>
                <w:i/>
              </w:rPr>
              <w:tab/>
              <w:t>gegebenenfalls die Tatsache, dass Unterstützung für die freiwillige Rückkehr und Wiedereingliederung gewährt wurde;</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(r)</w:t>
            </w:r>
            <w:r w:rsidRPr="00993CC0">
              <w:rPr>
                <w:b/>
                <w:i/>
              </w:rPr>
              <w:tab/>
              <w:t>die Tatsache, dass die betroffene Person als Ergebnis des in der Verordnung (EU) XXX/XXX [Screening-Verordnung] genannten Screenings eine Gefahr für die innere Sicherheit darstellen könnte.</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4. </w:t>
            </w:r>
            <w:r w:rsidRPr="00993CC0">
              <w:rPr>
                <w:b/>
                <w:i/>
              </w:rPr>
              <w:tab/>
              <w:t>Die Nichteinhaltung der in Absatz 2 genannten Frist von 72 Stunden entbindet die Mitgliedstaaten nicht von der Pflicht, die biometrischen Daten zu erfassen und an den CIR zu übermitteln. Können aufgrund des Zustands der Fingerkuppen keine Fingerabdrücke in einer Qualität abgenommen werden, die einen angemessenen Abgleich nach Artikel 26 gewährleistet, nimmt der Herkunftsmitgliedstaat erneut die Fingerabdrücke der in Absatz 1 genannten ausgeschifften Personen ab und übermittelt diese so bald wie möglich, spätestens jedoch 48 Stunden nach erfolgreicher Abnahme.</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5. </w:t>
            </w:r>
            <w:r w:rsidRPr="00993CC0">
              <w:rPr>
                <w:b/>
                <w:i/>
              </w:rPr>
              <w:tab/>
              <w:t>Abweichend von Absatz 1 werden in Fällen, in denen aufgrund von Maßnahmen zum Schutz der Gesundheit der aufgegriffenen Person oder zum Schutz der öffentlichen Gesundheit keine biometrischen Daten dieser Person erfasst werden können, von dem betroffenen Mitgliedstaat so bald wie möglich, spätestens jedoch 48 Stunden, nachdem diese gesundheitlichen Gründe nicht mehr vorliegen, diese biometrischen Daten erfasst und übermittelt.</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Bei gravierenden technischen Problemen können die Mitgliedstaaten die Frist von 72 Stunden in Absatz 2 um maximal weitere 48 Stunden verlängern, um ihre nationalen Notfallpläne durchzuführen.</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6. </w:t>
            </w:r>
            <w:r w:rsidRPr="00993CC0">
              <w:rPr>
                <w:b/>
                <w:i/>
              </w:rPr>
              <w:tab/>
              <w:t>Sobald der Herkunftsmitgliedstaat sichergestellt hat, dass die betroffene Person, deren Daten gemäß Absatz 1 in Eurodac gespeichert wurden, das Hoheitsgebiet der Mitgliedstaaten aufgrund einer Rückkehrentscheidung oder Abschiebungsanordnung verlassen hat, aktualisiert er den gemäß Absatz 2 gespeicherten Datensatz zu der betroffenen Person durch Hinzufügung des Datums ihrer Abschiebung oder des Datums, an dem sie das Hoheitsgebiet verlassen hat.</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7. </w:t>
            </w:r>
            <w:r w:rsidRPr="00993CC0">
              <w:rPr>
                <w:b/>
                <w:i/>
              </w:rPr>
              <w:tab/>
              <w:t>Die biometrischen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8. </w:t>
            </w:r>
            <w:r w:rsidRPr="00993CC0">
              <w:rPr>
                <w:b/>
                <w:i/>
              </w:rPr>
              <w:tab/>
              <w:t>Jeder gemäß Absatz 1 erfasste und übermittelte Datensatz wird mit anderen Datensätzen, die denselben Drittstaatsangehörigen oder Staatenlosen betreffen, in einer Sequenz gemäß Artikel 4 Absatz 6 verknüpft.</w:t>
            </w:r>
          </w:p>
        </w:tc>
        <w:tc>
          <w:tcPr>
            <w:tcW w:w="4876" w:type="dxa"/>
          </w:tcPr>
          <w:p w:rsidR="00983807" w:rsidRPr="00993CC0" w:rsidRDefault="00983807" w:rsidP="00264C57">
            <w:pPr>
              <w:pStyle w:val="Normal6"/>
              <w:rPr>
                <w:i/>
              </w:rPr>
            </w:pPr>
          </w:p>
        </w:tc>
      </w:tr>
      <w:tr w:rsidR="0033742E" w:rsidRPr="00993CC0" w:rsidTr="001E753B">
        <w:trPr>
          <w:jc w:val="center"/>
        </w:trPr>
        <w:tc>
          <w:tcPr>
            <w:tcW w:w="4876" w:type="dxa"/>
          </w:tcPr>
          <w:p w:rsidR="00983807" w:rsidRPr="00993CC0" w:rsidRDefault="00C51CF1" w:rsidP="00983807">
            <w:pPr>
              <w:pStyle w:val="Normal6"/>
              <w:rPr>
                <w:b/>
                <w:i/>
              </w:rPr>
            </w:pPr>
            <w:r w:rsidRPr="00993CC0">
              <w:rPr>
                <w:b/>
                <w:i/>
              </w:rPr>
              <w:t xml:space="preserve">9. </w:t>
            </w:r>
            <w:r w:rsidRPr="00993CC0">
              <w:rPr>
                <w:b/>
                <w:i/>
              </w:rPr>
              <w:tab/>
              <w:t>Ein Datensatz nach Absatz 1 gilt als für die Zwecke von Artikel 27 Absatz 1 der Verordnung (EU) 818/2019 erstellt, sobald alle in den Buchstaben a bis f und h genannten Daten erfasst worden sind.“</w:t>
            </w:r>
          </w:p>
        </w:tc>
        <w:tc>
          <w:tcPr>
            <w:tcW w:w="4876" w:type="dxa"/>
          </w:tcPr>
          <w:p w:rsidR="00983807" w:rsidRPr="00993CC0" w:rsidRDefault="00983807" w:rsidP="00264C57">
            <w:pPr>
              <w:pStyle w:val="Normal6"/>
              <w:rPr>
                <w:i/>
              </w:rPr>
            </w:pPr>
          </w:p>
        </w:tc>
      </w:tr>
    </w:tbl>
    <w:p w:rsidR="001E753B" w:rsidRPr="00993CC0" w:rsidRDefault="00C51CF1" w:rsidP="001E753B">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1E753B" w:rsidRPr="00993CC0" w:rsidRDefault="00C51CF1" w:rsidP="001E753B">
      <w:pPr>
        <w:pStyle w:val="JustificationTitle"/>
        <w:rPr>
          <w:noProof w:val="0"/>
        </w:rPr>
      </w:pPr>
      <w:r w:rsidRPr="00993CC0">
        <w:rPr>
          <w:rStyle w:val="HideTWBExt"/>
          <w:i w:val="0"/>
          <w:noProof w:val="0"/>
        </w:rPr>
        <w:t>&lt;TitreJust&gt;</w:t>
      </w:r>
      <w:r w:rsidRPr="00993CC0">
        <w:rPr>
          <w:noProof w:val="0"/>
        </w:rPr>
        <w:t>Begründung</w:t>
      </w:r>
      <w:r w:rsidRPr="00993CC0">
        <w:rPr>
          <w:rStyle w:val="HideTWBExt"/>
          <w:i w:val="0"/>
          <w:noProof w:val="0"/>
        </w:rPr>
        <w:t>&lt;/TitreJust&gt;</w:t>
      </w:r>
    </w:p>
    <w:p w:rsidR="001E753B" w:rsidRPr="00993CC0" w:rsidRDefault="00C51CF1" w:rsidP="001E753B">
      <w:pPr>
        <w:rPr>
          <w:i/>
        </w:rPr>
      </w:pPr>
      <w:r w:rsidRPr="00993CC0">
        <w:rPr>
          <w:i/>
        </w:rPr>
        <w:t>Das Einfügen dieses Kapitels würde eine neue Kategorie schaffen, der es an substanzieller Begründung mangelt und die letztlich einen Anreiz schaffen würde. Personen, die nach einer Such- und Rettungsaktion aufgegriffen werden, sollten, wie es derzeit der Fall ist, als Personen registriert werden, die illegal die Grenze überqueren.</w:t>
      </w:r>
    </w:p>
    <w:p w:rsidR="001E753B" w:rsidRPr="00993CC0" w:rsidRDefault="00C51CF1" w:rsidP="001E753B">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33</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21 Buchstabe -a (neu) - Artikel 17 – Absatz 1 a (neu)</w:t>
      </w:r>
      <w:r w:rsidRPr="00993CC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460CB0">
        <w:trPr>
          <w:jc w:val="center"/>
        </w:trPr>
        <w:tc>
          <w:tcPr>
            <w:tcW w:w="9752" w:type="dxa"/>
            <w:gridSpan w:val="2"/>
          </w:tcPr>
          <w:p w:rsidR="00460CB0" w:rsidRPr="00993CC0" w:rsidRDefault="00460CB0" w:rsidP="00264C57">
            <w:pPr>
              <w:keepNext/>
            </w:pPr>
          </w:p>
        </w:tc>
      </w:tr>
      <w:tr w:rsidR="0033742E" w:rsidRPr="00993CC0" w:rsidTr="00460CB0">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460CB0">
        <w:trPr>
          <w:jc w:val="center"/>
        </w:trPr>
        <w:tc>
          <w:tcPr>
            <w:tcW w:w="4876" w:type="dxa"/>
          </w:tcPr>
          <w:p w:rsidR="00460CB0" w:rsidRPr="00993CC0" w:rsidRDefault="00460CB0" w:rsidP="00264C57">
            <w:pPr>
              <w:pStyle w:val="Normal6"/>
            </w:pPr>
          </w:p>
        </w:tc>
        <w:tc>
          <w:tcPr>
            <w:tcW w:w="4876" w:type="dxa"/>
          </w:tcPr>
          <w:p w:rsidR="00460CB0" w:rsidRPr="00993CC0" w:rsidRDefault="00384480" w:rsidP="00264C57">
            <w:pPr>
              <w:pStyle w:val="Normal6"/>
              <w:rPr>
                <w:szCs w:val="24"/>
              </w:rPr>
            </w:pPr>
            <w:r w:rsidRPr="00993CC0">
              <w:rPr>
                <w:b/>
                <w:i/>
              </w:rPr>
              <w:t>1</w:t>
            </w:r>
            <w:r w:rsidR="00C51CF1" w:rsidRPr="00993CC0">
              <w:rPr>
                <w:b/>
                <w:i/>
              </w:rPr>
              <w:t>a.</w:t>
            </w:r>
            <w:r w:rsidR="00C51CF1" w:rsidRPr="00993CC0">
              <w:rPr>
                <w:b/>
                <w:i/>
              </w:rPr>
              <w:tab/>
              <w:t>Für die Zwecke gemäß Artikel 12a wird jeder Datensatz zu einem neu angesiedelten Drittstaatsangehörigen oder Staatenlosen ab dem Zeitpunkt der Abnahme der Fingerabdrücke fünf Jahre im Zentralsystem aufbewahrt.</w:t>
            </w:r>
          </w:p>
        </w:tc>
      </w:tr>
    </w:tbl>
    <w:p w:rsidR="00460CB0" w:rsidRPr="00993CC0" w:rsidRDefault="00C51CF1" w:rsidP="00460CB0">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460CB0" w:rsidRPr="00993CC0" w:rsidRDefault="00C51CF1" w:rsidP="00460CB0">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34</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21 Buchstabe b – Artikel 17 – Absatz 4</w:t>
      </w:r>
      <w:r w:rsidRPr="00993CC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460CB0">
        <w:trPr>
          <w:jc w:val="center"/>
        </w:trPr>
        <w:tc>
          <w:tcPr>
            <w:tcW w:w="9752" w:type="dxa"/>
            <w:gridSpan w:val="2"/>
          </w:tcPr>
          <w:p w:rsidR="00460CB0" w:rsidRPr="00993CC0" w:rsidRDefault="00460CB0" w:rsidP="00264C57">
            <w:pPr>
              <w:keepNext/>
            </w:pPr>
          </w:p>
        </w:tc>
      </w:tr>
      <w:tr w:rsidR="0033742E" w:rsidRPr="00993CC0" w:rsidTr="00460CB0">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460CB0">
        <w:trPr>
          <w:jc w:val="center"/>
        </w:trPr>
        <w:tc>
          <w:tcPr>
            <w:tcW w:w="4876" w:type="dxa"/>
          </w:tcPr>
          <w:p w:rsidR="00460CB0" w:rsidRPr="00993CC0" w:rsidRDefault="00C51CF1" w:rsidP="00264C57">
            <w:pPr>
              <w:pStyle w:val="Normal6"/>
            </w:pPr>
            <w:r w:rsidRPr="00993CC0">
              <w:t>4.</w:t>
            </w:r>
            <w:r w:rsidRPr="00993CC0">
              <w:tab/>
              <w:t>Nach Ablauf der in den Absätzen 1 bis 3a genannten Aufbewahrungsfristen werden die Daten der betroffenen Personen aus dem Zentralsystem sowie gegebenenfalls dem CIR gelöscht.;</w:t>
            </w:r>
          </w:p>
        </w:tc>
        <w:tc>
          <w:tcPr>
            <w:tcW w:w="4876" w:type="dxa"/>
          </w:tcPr>
          <w:p w:rsidR="00460CB0" w:rsidRPr="00993CC0" w:rsidRDefault="00C51CF1" w:rsidP="00264C57">
            <w:pPr>
              <w:pStyle w:val="Normal6"/>
              <w:rPr>
                <w:szCs w:val="24"/>
              </w:rPr>
            </w:pPr>
            <w:r w:rsidRPr="00993CC0">
              <w:t>4.</w:t>
            </w:r>
            <w:r w:rsidRPr="00993CC0">
              <w:tab/>
              <w:t xml:space="preserve">Nach Ablauf der in den Absätzen 1 bis 3a genannten Aufbewahrungsfristen werden die Daten der betroffenen Personen </w:t>
            </w:r>
            <w:r w:rsidRPr="00993CC0">
              <w:rPr>
                <w:b/>
                <w:i/>
              </w:rPr>
              <w:t>automatisch</w:t>
            </w:r>
            <w:r w:rsidRPr="00993CC0">
              <w:t xml:space="preserve"> aus dem Zentralsystem sowie gegebenenfalls dem CIR gelöscht.;</w:t>
            </w:r>
          </w:p>
        </w:tc>
      </w:tr>
    </w:tbl>
    <w:p w:rsidR="00460CB0" w:rsidRPr="00993CC0" w:rsidRDefault="00C51CF1" w:rsidP="00460CB0">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460CB0" w:rsidRPr="00993CC0" w:rsidRDefault="00C51CF1" w:rsidP="00460CB0">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35</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pPr>
      <w:r w:rsidRPr="00993CC0">
        <w:rPr>
          <w:rStyle w:val="HideTWBExt"/>
          <w:b w:val="0"/>
          <w:noProof w:val="0"/>
        </w:rPr>
        <w:t>&lt;Article&gt;</w:t>
      </w:r>
      <w:r w:rsidRPr="00993CC0">
        <w:t xml:space="preserve">Verfügender Teil – </w:t>
      </w:r>
      <w:r w:rsidR="00384480" w:rsidRPr="00993CC0">
        <w:t>Nummer</w:t>
      </w:r>
      <w:r w:rsidRPr="00993CC0">
        <w:t xml:space="preserve"> 22 – Artikel 19 – Einleitender Titel</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64C57">
        <w:trPr>
          <w:jc w:val="center"/>
        </w:trPr>
        <w:tc>
          <w:tcPr>
            <w:tcW w:w="9752" w:type="dxa"/>
            <w:gridSpan w:val="2"/>
          </w:tcPr>
          <w:p w:rsidR="00460CB0" w:rsidRPr="00993CC0" w:rsidRDefault="00460CB0" w:rsidP="00264C57">
            <w:pPr>
              <w:keepNext/>
            </w:pPr>
          </w:p>
        </w:tc>
      </w:tr>
      <w:tr w:rsidR="0033742E" w:rsidRPr="00993CC0" w:rsidTr="00264C57">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264C57">
        <w:trPr>
          <w:jc w:val="center"/>
        </w:trPr>
        <w:tc>
          <w:tcPr>
            <w:tcW w:w="4876" w:type="dxa"/>
          </w:tcPr>
          <w:p w:rsidR="00460CB0" w:rsidRPr="00993CC0" w:rsidRDefault="00C51CF1" w:rsidP="00264C57">
            <w:pPr>
              <w:pStyle w:val="Normal6"/>
            </w:pPr>
            <w:r w:rsidRPr="00993CC0">
              <w:t>Markierung und Sperrung von Daten</w:t>
            </w:r>
          </w:p>
        </w:tc>
        <w:tc>
          <w:tcPr>
            <w:tcW w:w="4876" w:type="dxa"/>
          </w:tcPr>
          <w:p w:rsidR="00460CB0" w:rsidRPr="00993CC0" w:rsidRDefault="00C51CF1" w:rsidP="00264C57">
            <w:pPr>
              <w:pStyle w:val="Normal6"/>
              <w:rPr>
                <w:szCs w:val="24"/>
              </w:rPr>
            </w:pPr>
            <w:r w:rsidRPr="00993CC0">
              <w:t>Datenmarkierung</w:t>
            </w:r>
          </w:p>
        </w:tc>
      </w:tr>
    </w:tbl>
    <w:p w:rsidR="00460CB0" w:rsidRPr="00993CC0" w:rsidRDefault="00C51CF1" w:rsidP="00460CB0">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460CB0" w:rsidRPr="00993CC0" w:rsidRDefault="00C51CF1" w:rsidP="00460CB0">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36</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pPr>
      <w:r w:rsidRPr="00993CC0">
        <w:rPr>
          <w:rStyle w:val="HideTWBExt"/>
          <w:b w:val="0"/>
          <w:noProof w:val="0"/>
        </w:rPr>
        <w:t>&lt;Article&gt;</w:t>
      </w:r>
      <w:r w:rsidRPr="00993CC0">
        <w:t xml:space="preserve">Verfügender Teil - </w:t>
      </w:r>
      <w:r w:rsidR="00384480" w:rsidRPr="00993CC0">
        <w:t>Nummer</w:t>
      </w:r>
      <w:r w:rsidRPr="00993CC0">
        <w:t> 22 - Artikel 19 – Absatz 1</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64C57">
        <w:trPr>
          <w:jc w:val="center"/>
        </w:trPr>
        <w:tc>
          <w:tcPr>
            <w:tcW w:w="9752" w:type="dxa"/>
            <w:gridSpan w:val="2"/>
          </w:tcPr>
          <w:p w:rsidR="00460CB0" w:rsidRPr="00993CC0" w:rsidRDefault="00460CB0" w:rsidP="00264C57">
            <w:pPr>
              <w:keepNext/>
            </w:pPr>
          </w:p>
        </w:tc>
      </w:tr>
      <w:tr w:rsidR="0033742E" w:rsidRPr="00993CC0" w:rsidTr="00264C57">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264C57">
        <w:trPr>
          <w:jc w:val="center"/>
        </w:trPr>
        <w:tc>
          <w:tcPr>
            <w:tcW w:w="4876" w:type="dxa"/>
          </w:tcPr>
          <w:p w:rsidR="00460CB0" w:rsidRPr="00993CC0" w:rsidRDefault="00C51CF1" w:rsidP="00264C57">
            <w:pPr>
              <w:pStyle w:val="Normal6"/>
            </w:pPr>
            <w:r w:rsidRPr="00993CC0">
              <w:t>1.</w:t>
            </w:r>
            <w:r w:rsidRPr="00993CC0">
              <w:tab/>
              <w:t>Für die Zwecke von Artikel 1 Absatz 1 Buchstabe a markiert der Herkunftsmitgliedstaat, der einer Person, deren Daten gemäß Artikel 12 zuvor im Zentralsystem sowie gegebenenfalls im CIR gespeichert wurden, internationalen Schutz gewährt hat, die einschlägigen Daten im Einklang mit den von eu-LISA festgelegten Bestimmungen für die elektronische Kommunikation mit dem Zentralsystem. Diese Markierung wird gemäß Artikel 17 Absatz 1 für Datenübermittlungszwecke nach den Artikeln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 Artikel 14 Absatz 1 oder Artikel 14a Absatz 1 übermittelt hatte, einen Treffer erzielt hat. Diese Herkunftsmitgliedstaaten markieren ferner die entsprechenden Datensätze.</w:t>
            </w:r>
          </w:p>
        </w:tc>
        <w:tc>
          <w:tcPr>
            <w:tcW w:w="4876" w:type="dxa"/>
          </w:tcPr>
          <w:p w:rsidR="00460CB0" w:rsidRPr="00993CC0" w:rsidRDefault="00C51CF1" w:rsidP="00B82DF1">
            <w:pPr>
              <w:pStyle w:val="Normal6"/>
              <w:rPr>
                <w:szCs w:val="24"/>
              </w:rPr>
            </w:pPr>
            <w:r w:rsidRPr="00993CC0">
              <w:t>1.</w:t>
            </w:r>
            <w:r w:rsidRPr="00993CC0">
              <w:tab/>
              <w:t xml:space="preserve">Für die Zwecke von Artikel 1 Absatz 1 Buchstabe a markiert der Herkunftsmitgliedstaat, der einer Person, deren Daten gemäß Artikel 12 zuvor im Zentralsystem sowie gegebenenfalls </w:t>
            </w:r>
            <w:r w:rsidRPr="00993CC0">
              <w:rPr>
                <w:b/>
                <w:i/>
              </w:rPr>
              <w:t xml:space="preserve">in Übereinstimmung mit Artikel 4 Absatz 2 </w:t>
            </w:r>
            <w:r w:rsidRPr="00993CC0">
              <w:t>im CIR gespeichert wurden, internationalen Schutz gewährt hat, die einschlägigen Daten im Einklang mit den von eu-LISA festgelegten Bestimmungen für die elektronische Kommunikation mit dem Zentralsystem. Diese Markierung wird gemäß Artikel 17 Absatz 1 für Datenübermittlungszwecke nach den Artikeln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 oder Artikel 14 Absatz 1 übermittelt hatte, einen Treffer erzielt hat. Diese Herkunftsmitgliedstaaten markieren ferner die entsprechenden Datensätze.</w:t>
            </w:r>
          </w:p>
        </w:tc>
      </w:tr>
    </w:tbl>
    <w:p w:rsidR="00460CB0" w:rsidRPr="00993CC0" w:rsidRDefault="00C51CF1" w:rsidP="00460CB0">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460CB0" w:rsidRPr="00993CC0" w:rsidRDefault="00C51CF1" w:rsidP="00460CB0">
      <w:r w:rsidRPr="00993CC0">
        <w:rPr>
          <w:rStyle w:val="HideTWBExt"/>
          <w:noProof w:val="0"/>
        </w:rPr>
        <w:t>&lt;/Amend&gt;</w:t>
      </w:r>
    </w:p>
    <w:p w:rsidR="00460CB0" w:rsidRPr="00993CC0" w:rsidRDefault="00C51CF1" w:rsidP="00460CB0">
      <w:pPr>
        <w:pStyle w:val="AMNumberTabs0"/>
        <w:keepNext/>
      </w:pPr>
      <w:r w:rsidRPr="00993CC0">
        <w:rPr>
          <w:rStyle w:val="HideTWBExt"/>
          <w:b w:val="0"/>
          <w:noProof w:val="0"/>
        </w:rPr>
        <w:t>&lt;Amend&gt;</w:t>
      </w:r>
      <w:r w:rsidRPr="00993CC0">
        <w:t>Änderungsantrag</w:t>
      </w:r>
      <w:r w:rsidRPr="00993CC0">
        <w:tab/>
      </w:r>
      <w:r w:rsidRPr="00993CC0">
        <w:tab/>
      </w:r>
      <w:r w:rsidRPr="00993CC0">
        <w:rPr>
          <w:rStyle w:val="HideTWBExt"/>
          <w:b w:val="0"/>
          <w:noProof w:val="0"/>
        </w:rPr>
        <w:t>&lt;NumAm&gt;</w:t>
      </w:r>
      <w:r w:rsidRPr="00993CC0">
        <w:t>37</w:t>
      </w:r>
      <w:r w:rsidRPr="00993CC0">
        <w:rPr>
          <w:rStyle w:val="HideTWBExt"/>
          <w:b w:val="0"/>
          <w:noProof w:val="0"/>
        </w:rPr>
        <w:t>&lt;/NumAm&gt;</w:t>
      </w:r>
    </w:p>
    <w:p w:rsidR="00460CB0" w:rsidRPr="00993CC0" w:rsidRDefault="00C51CF1" w:rsidP="00460CB0">
      <w:pPr>
        <w:pStyle w:val="NormalBold"/>
      </w:pPr>
      <w:r w:rsidRPr="00993CC0">
        <w:rPr>
          <w:rStyle w:val="HideTWBExt"/>
          <w:b w:val="0"/>
          <w:noProof w:val="0"/>
        </w:rPr>
        <w:t>&lt;RepeatBlock-By&gt;&lt;Members&gt;</w:t>
      </w:r>
      <w:r w:rsidRPr="00993CC0">
        <w:t>Jorge Buxadé Villalba</w:t>
      </w:r>
      <w:r w:rsidRPr="00993CC0">
        <w:rPr>
          <w:rStyle w:val="HideTWBExt"/>
          <w:b w:val="0"/>
          <w:noProof w:val="0"/>
        </w:rPr>
        <w:t>&lt;/Members&gt;</w:t>
      </w:r>
    </w:p>
    <w:p w:rsidR="00460CB0" w:rsidRPr="00993CC0" w:rsidRDefault="00C51CF1" w:rsidP="00460CB0">
      <w:r w:rsidRPr="00993CC0">
        <w:rPr>
          <w:rStyle w:val="HideTWBExt"/>
          <w:noProof w:val="0"/>
        </w:rPr>
        <w:t>&lt;/RepeatBlock-By&gt;</w:t>
      </w:r>
    </w:p>
    <w:p w:rsidR="00460CB0" w:rsidRPr="00993CC0" w:rsidRDefault="00C51CF1" w:rsidP="00460CB0">
      <w:pPr>
        <w:pStyle w:val="NormalBold"/>
        <w:keepNext/>
      </w:pPr>
      <w:r w:rsidRPr="00993CC0">
        <w:rPr>
          <w:rStyle w:val="HideTWBExt"/>
          <w:b w:val="0"/>
          <w:noProof w:val="0"/>
        </w:rPr>
        <w:t>&lt;DocAmend&gt;</w:t>
      </w:r>
      <w:r w:rsidRPr="00993CC0">
        <w:t>Vorschlag für eine Verordnung</w:t>
      </w:r>
      <w:r w:rsidRPr="00993CC0">
        <w:rPr>
          <w:rStyle w:val="HideTWBExt"/>
          <w:b w:val="0"/>
          <w:noProof w:val="0"/>
        </w:rPr>
        <w:t>&lt;/DocAmend&gt;</w:t>
      </w:r>
    </w:p>
    <w:p w:rsidR="00460CB0" w:rsidRPr="00993CC0" w:rsidRDefault="00C51CF1" w:rsidP="00460CB0">
      <w:pPr>
        <w:pStyle w:val="NormalBold"/>
      </w:pPr>
      <w:r w:rsidRPr="00993CC0">
        <w:rPr>
          <w:rStyle w:val="HideTWBExt"/>
          <w:b w:val="0"/>
          <w:noProof w:val="0"/>
        </w:rPr>
        <w:t>&lt;Article&gt;</w:t>
      </w:r>
      <w:r w:rsidRPr="00993CC0">
        <w:t xml:space="preserve">Verfügender Teil - </w:t>
      </w:r>
      <w:r w:rsidR="00384480" w:rsidRPr="00993CC0">
        <w:t>Nummer</w:t>
      </w:r>
      <w:r w:rsidRPr="00993CC0">
        <w:t> 22 - Artikel 19 – Absatz 2</w:t>
      </w:r>
      <w:r w:rsidRPr="00993CC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42E" w:rsidRPr="00993CC0" w:rsidTr="00264C57">
        <w:trPr>
          <w:jc w:val="center"/>
        </w:trPr>
        <w:tc>
          <w:tcPr>
            <w:tcW w:w="9752" w:type="dxa"/>
            <w:gridSpan w:val="2"/>
          </w:tcPr>
          <w:p w:rsidR="00460CB0" w:rsidRPr="00993CC0" w:rsidRDefault="00460CB0" w:rsidP="00264C57">
            <w:pPr>
              <w:keepNext/>
            </w:pPr>
          </w:p>
        </w:tc>
      </w:tr>
      <w:tr w:rsidR="0033742E" w:rsidRPr="00993CC0" w:rsidTr="00264C57">
        <w:trPr>
          <w:jc w:val="center"/>
        </w:trPr>
        <w:tc>
          <w:tcPr>
            <w:tcW w:w="4876" w:type="dxa"/>
          </w:tcPr>
          <w:p w:rsidR="00460CB0" w:rsidRPr="00993CC0" w:rsidRDefault="00C51CF1" w:rsidP="00264C57">
            <w:pPr>
              <w:pStyle w:val="ColumnHeading"/>
              <w:keepNext/>
            </w:pPr>
            <w:r w:rsidRPr="00993CC0">
              <w:t>Vorschlag der Kommission</w:t>
            </w:r>
          </w:p>
        </w:tc>
        <w:tc>
          <w:tcPr>
            <w:tcW w:w="4876" w:type="dxa"/>
          </w:tcPr>
          <w:p w:rsidR="00460CB0" w:rsidRPr="00993CC0" w:rsidRDefault="00C51CF1" w:rsidP="00C51CF1">
            <w:pPr>
              <w:pStyle w:val="ColumnHeading"/>
              <w:keepNext/>
            </w:pPr>
            <w:r w:rsidRPr="00993CC0">
              <w:t>Geänderter Text</w:t>
            </w:r>
          </w:p>
        </w:tc>
      </w:tr>
      <w:tr w:rsidR="0033742E" w:rsidRPr="00993CC0" w:rsidTr="00264C57">
        <w:trPr>
          <w:jc w:val="center"/>
        </w:trPr>
        <w:tc>
          <w:tcPr>
            <w:tcW w:w="4876" w:type="dxa"/>
          </w:tcPr>
          <w:p w:rsidR="00460CB0" w:rsidRPr="00993CC0" w:rsidRDefault="00C51CF1" w:rsidP="00264C57">
            <w:pPr>
              <w:pStyle w:val="Normal6"/>
            </w:pPr>
            <w:r w:rsidRPr="00993CC0">
              <w:t>2.</w:t>
            </w:r>
            <w:r w:rsidRPr="00993CC0">
              <w:tab/>
              <w:t>Die Daten von Personen, denen internationaler Schutz gewährt wird, die im Zentralsystem und gegebenenfalls im CIR erfasst und gemäß Absatz 1 markiert wurden, werden für die Zwecke von Artikel 1 Absatz 1 Buchstabe d solange für einen Abgleich verfügbar gehalten, bis sie automatisch aus dem Zentralsystem und gegebenenfalls dem CIR gemäß Artikel 17 Absatz 4 gelöscht werden.</w:t>
            </w:r>
          </w:p>
        </w:tc>
        <w:tc>
          <w:tcPr>
            <w:tcW w:w="4876" w:type="dxa"/>
          </w:tcPr>
          <w:p w:rsidR="00460CB0" w:rsidRPr="00993CC0" w:rsidRDefault="00C51CF1" w:rsidP="00264C57">
            <w:pPr>
              <w:pStyle w:val="Normal6"/>
              <w:rPr>
                <w:szCs w:val="24"/>
              </w:rPr>
            </w:pPr>
            <w:r w:rsidRPr="00993CC0">
              <w:t>2.</w:t>
            </w:r>
            <w:r w:rsidRPr="00993CC0">
              <w:tab/>
              <w:t xml:space="preserve">Die Daten von Personen, denen internationaler Schutz gewährt wird, die im Zentralsystem und gegebenenfalls </w:t>
            </w:r>
            <w:r w:rsidRPr="00993CC0">
              <w:rPr>
                <w:b/>
                <w:i/>
              </w:rPr>
              <w:t xml:space="preserve">in Übereinstimmung mit Artikel 4 Absatz 2 </w:t>
            </w:r>
            <w:r w:rsidRPr="00993CC0">
              <w:t>im CIR erfasst und gemäß Absatz 1 markiert wurden, werden für die Zwecke von Artikel 1 Absatz 1 Buchstabe d solange für einen Abgleich verfügbar gehalten, bis sie automatisch aus dem Zentralsystem und gegebenenfalls dem CIR gemäß Artikel 17 Absatz 4 gelöscht werden.</w:t>
            </w:r>
          </w:p>
        </w:tc>
      </w:tr>
    </w:tbl>
    <w:p w:rsidR="00460CB0" w:rsidRPr="00993CC0" w:rsidRDefault="00C51CF1" w:rsidP="00460CB0">
      <w:pPr>
        <w:pStyle w:val="Olang"/>
        <w:rPr>
          <w:noProof w:val="0"/>
        </w:rPr>
      </w:pPr>
      <w:r w:rsidRPr="00993CC0">
        <w:rPr>
          <w:noProof w:val="0"/>
        </w:rPr>
        <w:t xml:space="preserve">Or. </w:t>
      </w:r>
      <w:r w:rsidRPr="00993CC0">
        <w:rPr>
          <w:rStyle w:val="HideTWBExt"/>
          <w:noProof w:val="0"/>
        </w:rPr>
        <w:t>&lt;Original&gt;</w:t>
      </w:r>
      <w:r w:rsidRPr="00993CC0">
        <w:rPr>
          <w:rStyle w:val="HideTWBInt"/>
          <w:noProof w:val="0"/>
        </w:rPr>
        <w:t>{EN}</w:t>
      </w:r>
      <w:r w:rsidRPr="00993CC0">
        <w:rPr>
          <w:noProof w:val="0"/>
        </w:rPr>
        <w:t>en</w:t>
      </w:r>
      <w:r w:rsidRPr="00993CC0">
        <w:rPr>
          <w:rStyle w:val="HideTWBExt"/>
          <w:noProof w:val="0"/>
        </w:rPr>
        <w:t>&lt;/Original&gt;</w:t>
      </w:r>
    </w:p>
    <w:p w:rsidR="00460CB0" w:rsidRPr="00993CC0" w:rsidRDefault="00C51CF1" w:rsidP="00460CB0">
      <w:r w:rsidRPr="00993CC0">
        <w:rPr>
          <w:rStyle w:val="HideTWBExt"/>
          <w:noProof w:val="0"/>
        </w:rPr>
        <w:t>&lt;/Amend&gt;&lt;/RepeatBlock-Amend&gt;</w:t>
      </w:r>
    </w:p>
    <w:p w:rsidR="00460CB0" w:rsidRPr="00993CC0" w:rsidRDefault="00460CB0" w:rsidP="006C1CE1">
      <w:pPr>
        <w:rPr>
          <w:rStyle w:val="HideTWBExt"/>
          <w:noProof w:val="0"/>
        </w:rPr>
      </w:pPr>
    </w:p>
    <w:p w:rsidR="00460CB0" w:rsidRPr="00993CC0" w:rsidRDefault="00460CB0" w:rsidP="006C1CE1">
      <w:pPr>
        <w:rPr>
          <w:rStyle w:val="HideTWBExt"/>
          <w:noProof w:val="0"/>
        </w:rPr>
      </w:pPr>
    </w:p>
    <w:bookmarkEnd w:id="0"/>
    <w:p w:rsidR="00460CB0" w:rsidRPr="00993CC0" w:rsidRDefault="00460CB0" w:rsidP="006C1CE1">
      <w:pPr>
        <w:rPr>
          <w:rStyle w:val="HideTWBExt"/>
          <w:noProof w:val="0"/>
        </w:rPr>
      </w:pPr>
    </w:p>
    <w:sectPr w:rsidR="00460CB0" w:rsidRPr="00993CC0" w:rsidSect="008636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CF1" w:rsidRPr="008636E5" w:rsidRDefault="00C51CF1">
      <w:r w:rsidRPr="008636E5">
        <w:separator/>
      </w:r>
    </w:p>
  </w:endnote>
  <w:endnote w:type="continuationSeparator" w:id="0">
    <w:p w:rsidR="00C51CF1" w:rsidRPr="008636E5" w:rsidRDefault="00C51CF1">
      <w:r w:rsidRPr="008636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F1" w:rsidRPr="008636E5" w:rsidRDefault="00C51CF1" w:rsidP="008636E5">
    <w:pPr>
      <w:pStyle w:val="EPFooter"/>
    </w:pPr>
    <w:r w:rsidRPr="008636E5">
      <w:t>PE</w:t>
    </w:r>
    <w:r w:rsidRPr="008636E5">
      <w:rPr>
        <w:rStyle w:val="HideTWBExt"/>
        <w:noProof w:val="0"/>
      </w:rPr>
      <w:t>&lt;NoPE&gt;</w:t>
    </w:r>
    <w:r w:rsidRPr="008636E5">
      <w:t>661.979</w:t>
    </w:r>
    <w:r w:rsidRPr="008636E5">
      <w:rPr>
        <w:rStyle w:val="HideTWBExt"/>
        <w:noProof w:val="0"/>
      </w:rPr>
      <w:t>&lt;/NoPE&gt;&lt;Version&gt;</w:t>
    </w:r>
    <w:r w:rsidRPr="008636E5">
      <w:t>v01-00</w:t>
    </w:r>
    <w:r w:rsidRPr="008636E5">
      <w:rPr>
        <w:rStyle w:val="HideTWBExt"/>
        <w:noProof w:val="0"/>
      </w:rPr>
      <w:t>&lt;/Version&gt;</w:t>
    </w:r>
    <w:r w:rsidRPr="008636E5">
      <w:tab/>
    </w:r>
    <w:r w:rsidRPr="008636E5">
      <w:fldChar w:fldCharType="begin"/>
    </w:r>
    <w:r w:rsidRPr="008636E5">
      <w:instrText xml:space="preserve"> PAGE  \* MERGEFORMAT </w:instrText>
    </w:r>
    <w:r w:rsidRPr="008636E5">
      <w:fldChar w:fldCharType="separate"/>
    </w:r>
    <w:r w:rsidR="00993CC0">
      <w:rPr>
        <w:noProof/>
      </w:rPr>
      <w:t>6</w:t>
    </w:r>
    <w:r w:rsidRPr="008636E5">
      <w:fldChar w:fldCharType="end"/>
    </w:r>
    <w:r w:rsidRPr="008636E5">
      <w:t>/</w:t>
    </w:r>
    <w:fldSimple w:instr=" NUMPAGES  \* MERGEFORMAT ">
      <w:r w:rsidR="00993CC0">
        <w:rPr>
          <w:noProof/>
        </w:rPr>
        <w:t>29</w:t>
      </w:r>
    </w:fldSimple>
    <w:r w:rsidRPr="008636E5">
      <w:tab/>
    </w:r>
    <w:r w:rsidRPr="008636E5">
      <w:rPr>
        <w:rStyle w:val="HideTWBExt"/>
        <w:noProof w:val="0"/>
      </w:rPr>
      <w:t>&lt;PathFdR&gt;</w:t>
    </w:r>
    <w:r w:rsidRPr="008636E5">
      <w:t>AM\1220068DE.docx</w:t>
    </w:r>
    <w:r w:rsidRPr="008636E5">
      <w:rPr>
        <w:rStyle w:val="HideTWBExt"/>
        <w:noProof w:val="0"/>
      </w:rPr>
      <w:t>&lt;/PathFdR&gt;</w:t>
    </w:r>
  </w:p>
  <w:p w:rsidR="00C51CF1" w:rsidRPr="008636E5" w:rsidRDefault="00C51CF1" w:rsidP="008636E5">
    <w:pPr>
      <w:pStyle w:val="EPFooter2"/>
    </w:pPr>
    <w:r w:rsidRPr="008636E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F1" w:rsidRPr="008636E5" w:rsidRDefault="00C51CF1" w:rsidP="008636E5">
    <w:pPr>
      <w:pStyle w:val="EPFooter"/>
    </w:pPr>
    <w:r w:rsidRPr="008636E5">
      <w:rPr>
        <w:rStyle w:val="HideTWBExt"/>
        <w:noProof w:val="0"/>
      </w:rPr>
      <w:t>&lt;PathFdR&gt;</w:t>
    </w:r>
    <w:r w:rsidRPr="008636E5">
      <w:t>AM\1220068DE.docx</w:t>
    </w:r>
    <w:r w:rsidRPr="008636E5">
      <w:rPr>
        <w:rStyle w:val="HideTWBExt"/>
        <w:noProof w:val="0"/>
      </w:rPr>
      <w:t>&lt;/PathFdR&gt;</w:t>
    </w:r>
    <w:r w:rsidRPr="008636E5">
      <w:tab/>
    </w:r>
    <w:r w:rsidRPr="008636E5">
      <w:fldChar w:fldCharType="begin"/>
    </w:r>
    <w:r w:rsidRPr="008636E5">
      <w:instrText xml:space="preserve"> PAGE  \* MERGEFORMAT </w:instrText>
    </w:r>
    <w:r w:rsidRPr="008636E5">
      <w:fldChar w:fldCharType="separate"/>
    </w:r>
    <w:r w:rsidR="00993CC0">
      <w:rPr>
        <w:noProof/>
      </w:rPr>
      <w:t>7</w:t>
    </w:r>
    <w:r w:rsidRPr="008636E5">
      <w:fldChar w:fldCharType="end"/>
    </w:r>
    <w:r w:rsidRPr="008636E5">
      <w:t>/</w:t>
    </w:r>
    <w:fldSimple w:instr=" NUMPAGES  \* MERGEFORMAT ">
      <w:r w:rsidR="00993CC0">
        <w:rPr>
          <w:noProof/>
        </w:rPr>
        <w:t>29</w:t>
      </w:r>
    </w:fldSimple>
    <w:r w:rsidRPr="008636E5">
      <w:tab/>
      <w:t>PE</w:t>
    </w:r>
    <w:r w:rsidRPr="008636E5">
      <w:rPr>
        <w:rStyle w:val="HideTWBExt"/>
        <w:noProof w:val="0"/>
      </w:rPr>
      <w:t>&lt;NoPE&gt;</w:t>
    </w:r>
    <w:r w:rsidRPr="008636E5">
      <w:t>661.979</w:t>
    </w:r>
    <w:r w:rsidRPr="008636E5">
      <w:rPr>
        <w:rStyle w:val="HideTWBExt"/>
        <w:noProof w:val="0"/>
      </w:rPr>
      <w:t>&lt;/NoPE&gt;&lt;Version&gt;</w:t>
    </w:r>
    <w:r w:rsidRPr="008636E5">
      <w:t>v01-00</w:t>
    </w:r>
    <w:r w:rsidRPr="008636E5">
      <w:rPr>
        <w:rStyle w:val="HideTWBExt"/>
        <w:noProof w:val="0"/>
      </w:rPr>
      <w:t>&lt;/Version&gt;</w:t>
    </w:r>
  </w:p>
  <w:p w:rsidR="00C51CF1" w:rsidRPr="008636E5" w:rsidRDefault="00C51CF1" w:rsidP="008636E5">
    <w:pPr>
      <w:pStyle w:val="EPFooter2"/>
    </w:pPr>
    <w:r w:rsidRPr="008636E5">
      <w:tab/>
    </w:r>
    <w:r w:rsidRPr="008636E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F1" w:rsidRPr="008636E5" w:rsidRDefault="00C51CF1" w:rsidP="008636E5">
    <w:pPr>
      <w:pStyle w:val="EPFooter"/>
    </w:pPr>
    <w:r w:rsidRPr="008636E5">
      <w:rPr>
        <w:rStyle w:val="HideTWBExt"/>
        <w:noProof w:val="0"/>
      </w:rPr>
      <w:t>&lt;PathFdR&gt;</w:t>
    </w:r>
    <w:r w:rsidRPr="008636E5">
      <w:t>AM\1220068DE.docx</w:t>
    </w:r>
    <w:r w:rsidRPr="008636E5">
      <w:rPr>
        <w:rStyle w:val="HideTWBExt"/>
        <w:noProof w:val="0"/>
      </w:rPr>
      <w:t>&lt;/PathFdR&gt;</w:t>
    </w:r>
    <w:r w:rsidRPr="008636E5">
      <w:tab/>
    </w:r>
    <w:r w:rsidRPr="008636E5">
      <w:tab/>
      <w:t>PE</w:t>
    </w:r>
    <w:r w:rsidRPr="008636E5">
      <w:rPr>
        <w:rStyle w:val="HideTWBExt"/>
        <w:noProof w:val="0"/>
      </w:rPr>
      <w:t>&lt;NoPE&gt;</w:t>
    </w:r>
    <w:r w:rsidRPr="008636E5">
      <w:t>661.979</w:t>
    </w:r>
    <w:r w:rsidRPr="008636E5">
      <w:rPr>
        <w:rStyle w:val="HideTWBExt"/>
        <w:noProof w:val="0"/>
      </w:rPr>
      <w:t>&lt;/NoPE&gt;&lt;Version&gt;</w:t>
    </w:r>
    <w:r w:rsidRPr="008636E5">
      <w:t>v01-00</w:t>
    </w:r>
    <w:r w:rsidRPr="008636E5">
      <w:rPr>
        <w:rStyle w:val="HideTWBExt"/>
        <w:noProof w:val="0"/>
      </w:rPr>
      <w:t>&lt;/Version&gt;</w:t>
    </w:r>
  </w:p>
  <w:p w:rsidR="00C51CF1" w:rsidRPr="008636E5" w:rsidRDefault="00C51CF1" w:rsidP="008636E5">
    <w:pPr>
      <w:pStyle w:val="EPFooter2"/>
    </w:pPr>
    <w:r w:rsidRPr="008636E5">
      <w:t>DE</w:t>
    </w:r>
    <w:r w:rsidRPr="008636E5">
      <w:tab/>
    </w:r>
    <w:r w:rsidRPr="008636E5">
      <w:rPr>
        <w:b w:val="0"/>
        <w:i/>
        <w:color w:val="C0C0C0"/>
        <w:sz w:val="22"/>
      </w:rPr>
      <w:t>In Vielfalt geeint</w:t>
    </w:r>
    <w:r w:rsidRPr="008636E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CF1" w:rsidRPr="008636E5" w:rsidRDefault="00C51CF1">
      <w:r w:rsidRPr="008636E5">
        <w:separator/>
      </w:r>
    </w:p>
  </w:footnote>
  <w:footnote w:type="continuationSeparator" w:id="0">
    <w:p w:rsidR="00C51CF1" w:rsidRPr="008636E5" w:rsidRDefault="00C51CF1">
      <w:r w:rsidRPr="008636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480" w:rsidRDefault="00384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480" w:rsidRDefault="003844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480" w:rsidRDefault="00384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2"/>
    <w:docVar w:name="CODEMNU" w:val=" 1"/>
    <w:docVar w:name="COMKEY" w:val="LIBE"/>
    <w:docVar w:name="CopyToNetwork" w:val="-1"/>
    <w:docVar w:name="CVA" w:val="10"/>
    <w:docVar w:name="DOCCODMNU" w:val=" 1"/>
    <w:docVar w:name="DOCDT" w:val="07/12/2020"/>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591030 HideTWBInt;}}{\*\rsidtbl \rsid24658\rsid213448\rsid223860\rsid735077\rsid1718133\rsid2892074_x000d__x000a_\rsid3565327\rsid4666813\rsid6641733\rsid7823322\rsid9636012\rsid10377208\rsid11215221\rsid11549030\rsid12154954\rsid12591030\rsid14382809\rsid14424199\rsid15204470\rsid15285974\rsid15950462\rsid16324206\rsid16662270}{\mmathPr\mmathFont34\mbrkBin0_x000d__x000a_\mbrkBinSub0\msmallFrac0\mdispDef1\mlMargin0\mrMargin0\mdefJc1\mwrapIndent1440\mintLim0\mnaryLim1}{\info{\author CONIAC Cristina Elena}{\operator CONIAC Cristina Elena}{\creatim\yr2020\mo12\dy7\hr17\min7}{\revtim\yr2020\mo12\dy7\hr17\min7}{\version1}_x000d__x000a_{\edmins0}{\nofpages1}{\nofwords2}{\nofchars16}{\nofcharsws17}{\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91030\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213448 \chftnsep _x000d__x000a_\par }}{\*\ftnsepc \ltrpar \pard\plain \ltrpar\ql \li0\ri0\widctlpar\wrapdefault\aspalpha\aspnum\faauto\adjustright\rin0\lin0\itap0 \rtlch\fcs1 \af0\afs20\alang1025 \ltrch\fcs0 \fs24\lang2057\langfe2057\cgrid\langnp2057\langfenp2057 {\rtlch\fcs1 \af0 _x000d__x000a_\ltrch\fcs0 \insrsid213448 \chftnsepc _x000d__x000a_\par }}{\*\aftnsep \ltrpar \pard\plain \ltrpar\ql \li0\ri0\widctlpar\wrapdefault\aspalpha\aspnum\faauto\adjustright\rin0\lin0\itap0 \rtlch\fcs1 \af0\afs20\alang1025 \ltrch\fcs0 \fs24\lang2057\langfe2057\cgrid\langnp2057\langfenp2057 {\rtlch\fcs1 \af0 _x000d__x000a_\ltrch\fcs0 \insrsid213448 \chftnsep _x000d__x000a_\par }}{\*\aftnsepc \ltrpar \pard\plain \ltrpar\ql \li0\ri0\widctlpar\wrapdefault\aspalpha\aspnum\faauto\adjustright\rin0\lin0\itap0 \rtlch\fcs1 \af0\afs20\alang1025 \ltrch\fcs0 \fs24\lang2057\langfe2057\cgrid\langnp2057\langfenp2057 {\rtlch\fcs1 \af0 _x000d__x000a_\ltrch\fcs0 \insrsid213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591030\charrsid2957979 {\*\bkmkstart ReplaceBookmark}#}{\rtlch\fcs1 \af1 \ltrch\fcs0 _x000d__x000a_\cs17\v\f1\fs20\cf15\insrsid12591030\charrsid2957979 &gt;&gt;&gt;CVAR@@AmendA}{\rtlch\fcs1 \af0 \ltrch\fcs0 \insrsid12591030\charrsid295797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3446 HideTWBExt;}{\*\cs18 \additive \v\f1\fs20\cf15 _x000d__x000a_\spriority0 \styrsid2243446 HideTWBInt;}{\s19\ql \li0\ri0\sa120\nowidctlpar\wrapdefault\aspalpha\aspnum\faauto\adjustright\rin0\lin0\itap0 \rtlch\fcs1 \af0\afs20\alang1025 \ltrch\fcs0 \fs24\lang2057\langfe2057\cgrid\langnp2057\langfenp2057 _x000d__x000a_\sbasedon0 \snext19 \spriority0 \styrsid2243446 Normal6a;}{\s20\ql \li0\ri0\nowidctlpar\wrapdefault\aspalpha\aspnum\faauto\adjustright\rin0\lin0\itap0 \rtlch\fcs1 \af0\afs20\alang1025 \ltrch\fcs0 \b\fs24\lang2057\langfe2057\cgrid\langnp2057\langfenp2057 _x000d__x000a_\sbasedon0 \snext20 \spriority0 \styrsid2243446 NormalBold;}{\s21\qr \li0\ri0\sb240\sa240\nowidctlpar\wrapdefault\aspalpha\aspnum\faauto\adjustright\rin0\lin0\itap0 \rtlch\fcs1 \af0\afs20\alang1025 \ltrch\fcs0 _x000d__x000a_\fs24\lang2057\langfe2057\cgrid\langnp2057\langfenp2057 \sbasedon0 \snext21 \spriority0 \styrsid2243446 AmOrLang;}{\s22\qc \li0\ri0\sa240\nowidctlpar\wrapdefault\aspalpha\aspnum\faauto\adjustright\rin0\lin0\itap0 \rtlch\fcs1 \af0\afs20\alang1025 _x000d__x000a_\ltrch\fcs0 \i\fs24\lang2057\langfe2057\cgrid\langnp2057\langfenp2057 \sbasedon0 \snext22 \spriority0 \styrsid2243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3446 AmNumberTabs;}}{\*\rsidtbl \rsid24658\rsid223860\rsid735077\rsid1718133\rsid2243446\rsid2892074\rsid3565327\rsid4666813\rsid6641733_x000d__x000a_\rsid7823322\rsid9636012\rsid10035709\rsid10377208\rsid11215221\rsid11549030\rsid12154954\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70}_x000d__x000a_{\nofchars404}{\nofcharsws473}{\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243446\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10035709 \chftnsep _x000d__x000a_\par }}{\*\ftnsepc \ltrpar \pard\plain \ltrpar\ql \li0\ri0\widctlpar\wrapdefault\aspalpha\aspnum\faauto\adjustright\rin0\lin0\itap0 \rtlch\fcs1 \af0\afs20\alang1025 \ltrch\fcs0 \fs24\lang2057\langfe2057\cgrid\langnp2057\langfenp2057 {\rtlch\fcs1 \af0 _x000d__x000a_\ltrch\fcs0 \insrsid10035709 \chftnsepc _x000d__x000a_\par }}{\*\aftnsep \ltrpar \pard\plain \ltrpar\ql \li0\ri0\widctlpar\wrapdefault\aspalpha\aspnum\faauto\adjustright\rin0\lin0\itap0 \rtlch\fcs1 \af0\afs20\alang1025 \ltrch\fcs0 \fs24\lang2057\langfe2057\cgrid\langnp2057\langfenp2057 {\rtlch\fcs1 \af0 _x000d__x000a_\ltrch\fcs0 \insrsid10035709 \chftnsep _x000d__x000a_\par }}{\*\aftnsepc \ltrpar \pard\plain \ltrpar\ql \li0\ri0\widctlpar\wrapdefault\aspalpha\aspnum\faauto\adjustright\rin0\lin0\itap0 \rtlch\fcs1 \af0\afs20\alang1025 \ltrch\fcs0 \fs24\lang2057\langfe2057\cgrid\langnp2057\langfenp2057 {\rtlch\fcs1 \af0 _x000d__x000a_\ltrch\fcs0 \insrsid1003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3446 \rtlch\fcs1 _x000d__x000a_\af0\afs20\alang1025 \ltrch\fcs0 \b\fs24\lang2057\langfe2057\cgrid\langnp2057\langfenp2057 {\rtlch\fcs1 \af0 \ltrch\fcs0 \cs17\b0\v\fs20\cf9\loch\af1\hich\af1\dbch\af31501\insrsid2243446\charrsid2957979 {\*\bkmkstart restartA}_x000d__x000a_\hich\af1\dbch\af31501\loch\f1 &lt;AmendA&gt;}{\rtlch\fcs1 \af0 \ltrch\fcs0 \insrsid2243446\charrsid2957979 Amendment\tab \tab }{\rtlch\fcs1 \af0 \ltrch\fcs0 \cs17\b0\v\fs20\cf9\loch\af1\hich\af1\dbch\af31501\insrsid2243446\charrsid2957979 _x000d__x000a_\hich\af1\dbch\af31501\loch\f1 &lt;NumAmA&gt;}{\rtlch\fcs1 \af0 \ltrch\fcs0 \insrsid2243446\charrsid2957979 #}{\rtlch\fcs1 \af1 \ltrch\fcs0 \cs18\v\f1\fs20\cf15\insrsid2243446\charrsid2957979 ENMIENDA@NRAM@}{\rtlch\fcs1 \af0 \ltrch\fcs0 _x000d__x000a_\insrsid2243446\charrsid2957979 #}{\rtlch\fcs1 \af0 \ltrch\fcs0 \cs17\b0\v\fs20\cf9\loch\af1\hich\af1\dbch\af31501\insrsid2243446\charrsid2957979 \hich\af1\dbch\af31501\loch\f1 &lt;/NumAmA&gt;}{\rtlch\fcs1 \af0 \ltrch\fcs0 \insrsid2243446\charrsid2957979 _x000d__x000a_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RepeatBlock-By&gt;}{\rtlch\fcs1 \af0 \ltrch\fcs0 \insrsid2243446\charrsid2957979 #}{\rtlch\fcs1 \af1 \ltrch\fcs0 _x000d__x000a_\cs18\v\f1\fs20\cf15\insrsid2243446\charrsid2957979 (MOD@InsideLoop()}{\rtlch\fcs1 \af0 \ltrch\fcs0 \insrsid2243446\charrsid2957979 ##}{\rtlch\fcs1 \af1 \ltrch\fcs0 \cs18\v\f1\fs20\cf15\insrsid2243446\charrsid2957979 &gt;&gt;&gt;@[ZMEMBERSMSG]@}{\rtlch\fcs1 \af0 _x000d__x000a_\ltrch\fcs0 \insrsid2243446\charrsid2957979 #}{\rtlch\fcs1 \af0 \ltrch\fcs0 \cs17\b0\v\fs20\cf9\loch\af1\hich\af1\dbch\af31501\insrsid2243446\charrsid2957979 \hich\af1\dbch\af31501\loch\f1 &lt;Members&gt;}{\rtlch\fcs1 \af0 \ltrch\fcs0 _x000d__x000a_\insrsid2243446\charrsid2957979 #}{\rtlch\fcs1 \af1 \ltrch\fcs0 \cs18\v\f1\fs20\cf15\insrsid2243446\charrsid2957979 (MOD@InsideLoop(\'a7)}{\rtlch\fcs1 \af0 \ltrch\fcs0 \insrsid2243446\charrsid2957979 #}{\rtlch\fcs1 \af0 \ltrch\fcs0 _x000d__x000a_\cf10\insrsid2243446\charrsid2957979 \u9668\'3f}{\rtlch\fcs1 \af0 \ltrch\fcs0 \insrsid2243446\charrsid2957979 #}{\rtlch\fcs1 \af1 \ltrch\fcs0 \cs18\v\f1\fs20\cf15\insrsid2243446\charrsid2957979 TVTMEMBERS\'a7@MEMBERS@}{\rtlch\fcs1 \af0 \ltrch\fcs0 _x000d__x000a_\insrsid2243446\charrsid2957979 #}{\rtlch\fcs1 \af0 \ltrch\fcs0 \cf10\insrsid2243446\charrsid2957979 \u9658\'3f}{\rtlch\fcs1 \af0 \ltrch\fcs0 \cs17\b0\v\fs20\cf9\loch\af1\hich\af1\dbch\af31501\insrsid2243446\charrsid2957979 \hich\af1\dbch\af31501\loch\f1 _x000d__x000a_&lt;/Members&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uNomDe&gt;&lt;OptDel&gt;}{\rtlch\fcs1 \af0 \ltrch\fcs0 \insrsid2243446\charrsid2957979 #}{\rtlch\fcs1 \af1 \ltrch\fcs0 _x000d__x000a_\cs18\v\f1\fs20\cf15\insrsid2243446\charrsid2957979 MNU[ONBEHALFYES][NOTAPP]@CHOICE@}{\rtlch\fcs1 \af0 \ltrch\fcs0 \insrsid2243446\charrsid2957979 #}{\rtlch\fcs1 \af0 \ltrch\fcs0 _x000d__x000a_\cs17\v\fs20\cf9\loch\af1\hich\af1\dbch\af31501\insrsid2243446\charrsid2957979 \hich\af1\dbch\af31501\loch\f1 &lt;/OptDel&gt;&lt;/AuNomDe&gt;}{\rtlch\fcs1 \af0 \ltrch\fcs0 \insrsid2243446\charrsid2957979 _x000d__x000a_\par &lt;&lt;&lt;}{\rtlch\fcs1 \af0 \ltrch\fcs0 \cs17\v\fs20\cf9\loch\af1\hich\af1\dbch\af31501\insrsid2243446\charrsid2957979 \hich\af1\dbch\af31501\loch\f1 &lt;/RepeatBlock-By&gt;}{\rtlch\fcs1 \af0 \ltrch\fcs0 \insrsid2243446\charrsid2957979 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DocAmend&gt;}{\rtlch\fcs1 \af0 \ltrch\fcs0 \insrsid2243446\charrsid2957979 Draft legislative resolution}{\rtlch\fcs1 \af0 _x000d__x000a_\ltrch\fcs0 \cs17\b0\v\fs20\cf9\loch\af1\hich\af1\dbch\af31501\insrsid2243446\charrsid2957979 \hich\af1\dbch\af31501\loch\f1 &lt;/DocAmend&gt;}{\rtlch\fcs1 \af0 \ltrch\fcs0 \insrsid2243446\charrsid2957979 _x000d__x000a_\par }{\rtlch\fcs1 \af0 \ltrch\fcs0 \cs17\b0\v\fs20\cf9\loch\af1\hich\af1\dbch\af31501\insrsid2243446\charrsid2957979 \hich\af1\dbch\af31501\loch\f1 &lt;Article&gt;}{\rtlch\fcs1 \af0 \ltrch\fcs0 \cf10\insrsid2243446\charrsid2957979 \u9668\'3f}{\rtlch\fcs1 \af0 _x000d__x000a_\ltrch\fcs0 \insrsid2243446\charrsid2957979 #}{\rtlch\fcs1 \af1 \ltrch\fcs0 \cs18\v\f1\fs20\cf15\insrsid2243446\charrsid2957979 TVTRESPART@RESPART@}{\rtlch\fcs1 \af0 \ltrch\fcs0 \insrsid2243446\charrsid2957979 #}{\rtlch\fcs1 \af0 \ltrch\fcs0 _x000d__x000a_\cf10\insrsid2243446\charrsid2957979 \u9658\'3f}{\rtlch\fcs1 \af0 \ltrch\fcs0 \cs17\b0\v\fs20\cf9\loch\af1\hich\af1\dbch\af31501\insrsid2243446\charrsid2957979 \hich\af1\dbch\af31501\loch\f1 &lt;/Article&gt;}{\rtlch\fcs1 \af0 \ltrch\fcs0 _x000d__x000a_\insrsid2243446\charrsid2957979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2243446\charrsid2957979 Draft legislative resolution\cell Amendment\cell }\pard\plain \ltrpar\ql \li0\ri0\widctlpar\intbl\wrapdefault\aspalpha\aspnum\faauto\adjustright\rin0\lin0 \rtlch\fcs1 \af0\afs20\alang1025 _x000d__x000a_\ltrch\fcs0 \fs24\lang2057\langfe2057\cgrid\langnp2057\langfenp2057 {\rtlch\fcs1 \af0 \ltrch\fcs0 \insrsid2243446\charrsid2957979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2243446\charrsid2957979 ##\cell ##}{\rtlch\fcs1 \af0\afs24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243446 \rtlch\fcs1 \af0\afs20\alang1025 \ltrch\fcs0 \fs24\lang2057\langfe2057\cgrid\langnp2057\langfenp2057 {\rtlch\fcs1 \af0 \ltrch\fcs0 _x000d__x000a_\insrsid2243446\charrsid2957979 Or. }{\rtlch\fcs1 \af0 \ltrch\fcs0 \cs17\v\fs20\cf9\loch\af1\hich\af1\dbch\af31501\insrsid2243446\charrsid2957979 \hich\af1\dbch\af31501\loch\f1 &lt;Original&gt;}{\rtlch\fcs1 \af0 \ltrch\fcs0 \insrsid2243446\charrsid2957979 #}{_x000d__x000a_\rtlch\fcs1 \af1 \ltrch\fcs0 \cs18\v\f1\fs20\cf15\insrsid2243446\charrsid2957979 KEY(MAIN/LANGMIN)sh@ORLANGMSG@}{\rtlch\fcs1 \af0 \ltrch\fcs0 \insrsid2243446\charrsid2957979 #}{\rtlch\fcs1 \af0 \ltrch\fcs0 _x000d__x000a_\cs17\v\fs20\cf9\loch\af1\hich\af1\dbch\af31501\insrsid2243446\charrsid2957979 \hich\af1\dbch\af31501\loch\f1 &lt;/Original&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4077 HideTWBExt;}{\*\cs18 \additive \v\f1\fs20\cf15 _x000d__x000a_\spriority0 \styrsid13784077 HideTWBInt;}{\s19\ql \li0\ri0\sa120\nowidctlpar\wrapdefault\aspalpha\aspnum\faauto\adjustright\rin0\lin0\itap0 \rtlch\fcs1 \af0\afs20\alang1025 \ltrch\fcs0 \fs24\lang2057\langfe2057\cgrid\langnp2057\langfenp2057 _x000d__x000a_\sbasedon0 \snext19 \spriority0 \styrsid13784077 Normal6a;}{\s20\ql \li0\ri0\nowidctlpar\wrapdefault\aspalpha\aspnum\faauto\adjustright\rin0\lin0\itap0 \rtlch\fcs1 \af0\afs20\alang1025 \ltrch\fcs0 \b\fs24\lang2057\langfe2057\cgrid\langnp2057\langfenp2057 _x000d__x000a_\sbasedon0 \snext20 \spriority0 \styrsid13784077 NormalBold;}{\s21\ql \li0\ri0\sa240\nowidctlpar\wrapdefault\aspalpha\aspnum\faauto\adjustright\rin0\lin0\itap0 \rtlch\fcs1 \af0\afs20\alang1025 \ltrch\fcs0 _x000d__x000a_\i\fs24\lang2057\langfe2057\cgrid\langnp2057\langfenp2057 \sbasedon0 \snext21 \spriority0 \styrsid13784077 AmJustText;}{\s22\qc \li0\ri0\sb240\sa240\nowidctlpar\wrapdefault\aspalpha\aspnum\faauto\adjustright\rin0\lin0\itap0 \rtlch\fcs1 _x000d__x000a_\af0\afs20\alang1025 \ltrch\fcs0 \i\fs24\lang2057\langfe2057\cgrid\langnp2057\langfenp2057 \sbasedon0 \snext22 \spriority0 \styrsid13784077 AmCrossRef;}{_x000d__x000a_\s23\qc \li0\ri0\sb240\sa240\keepn\nowidctlpar\wrapdefault\aspalpha\aspnum\faauto\adjustright\rin0\lin0\itap0 \rtlch\fcs1 \af0\afs20\alang1025 \ltrch\fcs0 \i\fs24\lang2057\langfe2057\cgrid\langnp2057\langfenp2057 _x000d__x000a_\sbasedon0 \snext21 \spriority0 \styrsid13784077 AmJustTitle;}{\s24\qr \li0\ri0\sb240\sa240\nowidctlpar\wrapdefault\aspalpha\aspnum\faauto\adjustright\rin0\lin0\itap0 \rtlch\fcs1 \af0\afs20\alang1025 \ltrch\fcs0 _x000d__x000a_\fs24\lang2057\langfe2057\cgrid\langnp2057\langfenp2057 \sbasedon0 \snext24 \spriority0 \styrsid13784077 AmOrLang;}{\s25\qc \li0\ri0\sa240\nowidctlpar\wrapdefault\aspalpha\aspnum\faauto\adjustright\rin0\lin0\itap0 \rtlch\fcs1 \af0\afs20\alang1025 _x000d__x000a_\ltrch\fcs0 \i\fs24\lang2057\langfe2057\cgrid\langnp2057\langfenp2057 \sbasedon0 \snext25 \spriority0 \styrsid137840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84077 AmNumberTabs;}}{\*\rsidtbl \rsid24658\rsid223860\rsid735077\rsid1718133\rsid2892074\rsid3565327\rsid4666813\rsid6641733\rsid7605314_x000d__x000a_\rsid7823322\rsid9636012\rsid10377208\rsid11215221\rsid11549030\rsid12154954\rsid13784077\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131}_x000d__x000a_{\nofchars748}{\nofcharsws878}{\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4077\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7605314 \chftnsep _x000d__x000a_\par }}{\*\ftnsepc \ltrpar \pard\plain \ltrpar\ql \li0\ri0\widctlpar\wrapdefault\aspalpha\aspnum\faauto\adjustright\rin0\lin0\itap0 \rtlch\fcs1 \af0\afs20\alang1025 \ltrch\fcs0 \fs24\lang2057\langfe2057\cgrid\langnp2057\langfenp2057 {\rtlch\fcs1 \af0 _x000d__x000a_\ltrch\fcs0 \insrsid7605314 \chftnsepc _x000d__x000a_\par }}{\*\aftnsep \ltrpar \pard\plain \ltrpar\ql \li0\ri0\widctlpar\wrapdefault\aspalpha\aspnum\faauto\adjustright\rin0\lin0\itap0 \rtlch\fcs1 \af0\afs20\alang1025 \ltrch\fcs0 \fs24\lang2057\langfe2057\cgrid\langnp2057\langfenp2057 {\rtlch\fcs1 \af0 _x000d__x000a_\ltrch\fcs0 \insrsid7605314 \chftnsep _x000d__x000a_\par }}{\*\aftnsepc \ltrpar \pard\plain \ltrpar\ql \li0\ri0\widctlpar\wrapdefault\aspalpha\aspnum\faauto\adjustright\rin0\lin0\itap0 \rtlch\fcs1 \af0\afs20\alang1025 \ltrch\fcs0 \fs24\lang2057\langfe2057\cgrid\langnp2057\langfenp2057 {\rtlch\fcs1 \af0 _x000d__x000a_\ltrch\fcs0 \insrsid76053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84077 \rtlch\fcs1 _x000d__x000a_\af0\afs20\alang1025 \ltrch\fcs0 \b\fs24\lang2057\langfe2057\cgrid\langnp2057\langfenp2057 {\rtlch\fcs1 \af0 \ltrch\fcs0 \cs17\b0\v\fs20\cf9\loch\af1\hich\af1\dbch\af31501\insrsid13784077\charrsid2957979 {\*\bkmkstart restartB}_x000d__x000a_\hich\af1\dbch\af31501\loch\f1 &lt;AmendB&gt;}{\rtlch\fcs1 \af0 \ltrch\fcs0 \insrsid13784077\charrsid2957979 Amendment\tab \tab }{\rtlch\fcs1 \af0 \ltrch\fcs0 \cs17\b0\v\fs20\cf9\loch\af1\hich\af1\dbch\af31501\insrsid13784077\charrsid2957979 _x000d__x000a_\hich\af1\dbch\af31501\loch\f1 &lt;NumAmB&gt;}{\rtlch\fcs1 \af0 \ltrch\fcs0 \insrsid13784077\charrsid2957979 #}{\rtlch\fcs1 \af1 \ltrch\fcs0 \cs18\v\f1\fs20\cf15\insrsid13784077\charrsid2957979 ENMIENDA@NRAM@}{\rtlch\fcs1 \af0 \ltrch\fcs0 _x000d__x000a_\insrsid13784077\charrsid2957979 #}{\rtlch\fcs1 \af0 \ltrch\fcs0 \cs17\b0\v\fs20\cf9\loch\af1\hich\af1\dbch\af31501\insrsid13784077\charrsid2957979 \hich\af1\dbch\af31501\loch\f1 &lt;/NumAmB&gt;}{\rtlch\fcs1 \af0 \ltrch\fcs0 \insrsid13784077\charrsid2957979 _x000d__x000a_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RepeatBlock-By&gt;}{\rtlch\fcs1 \af0 \ltrch\fcs0 \insrsid13784077\charrsid2957979 #}{\rtlch\fcs1 \af1 \ltrch\fcs0 _x000d__x000a_\cs18\v\f1\fs20\cf15\insrsid13784077\charrsid2957979 (MOD@InsideLoop()}{\rtlch\fcs1 \af0 \ltrch\fcs0 \insrsid13784077\charrsid2957979 ##}{\rtlch\fcs1 \af1 \ltrch\fcs0 \cs18\v\f1\fs20\cf15\insrsid13784077\charrsid2957979 &gt;&gt;&gt;@[ZMEMBERSMSG]@}{\rtlch\fcs1 _x000d__x000a_\af0 \ltrch\fcs0 \insrsid13784077\charrsid2957979 #}{\rtlch\fcs1 \af0 \ltrch\fcs0 \cs17\b0\v\fs20\cf9\loch\af1\hich\af1\dbch\af31501\insrsid13784077\charrsid2957979 \hich\af1\dbch\af31501\loch\f1 &lt;Members&gt;}{\rtlch\fcs1 \af0 \ltrch\fcs0 _x000d__x000a_\insrsid13784077\charrsid2957979 #}{\rtlch\fcs1 \af1 \ltrch\fcs0 \cs18\v\f1\fs20\cf15\insrsid13784077\charrsid2957979 (MOD@InsideLoop(\'a7)}{\rtlch\fcs1 \af0 \ltrch\fcs0 \insrsid13784077\charrsid2957979 #}{\rtlch\fcs1 \af0 \ltrch\fcs0 _x000d__x000a_\cf10\insrsid13784077\charrsid2957979 \u9668\'3f}{\rtlch\fcs1 \af0 \ltrch\fcs0 \insrsid13784077\charrsid2957979 #}{\rtlch\fcs1 \af1 \ltrch\fcs0 \cs18\v\f1\fs20\cf15\insrsid13784077\charrsid2957979 TVTMEMBERS\'a7@MEMBERS@}{\rtlch\fcs1 \af0 \ltrch\fcs0 _x000d__x000a_\insrsid13784077\charrsid2957979 #}{\rtlch\fcs1 \af0 \ltrch\fcs0 \cf10\insrsid13784077\charrsid2957979 \u9658\'3f}{\rtlch\fcs1 \af0 \ltrch\fcs0 \cs17\b0\v\fs20\cf9\loch\af1\hich\af1\dbch\af31501\insrsid13784077\charrsid2957979 _x000d__x000a_\hich\af1\dbch\af31501\loch\f1 &lt;/Members&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uNomDe&gt;&lt;OptDel&gt;}{\rtlch\fcs1 \af0 \ltrch\fcs0 \insrsid13784077\charrsid2957979 #}{\rtlch\fcs1 \af1 \ltrch\fcs0 _x000d__x000a_\cs18\v\f1\fs20\cf15\insrsid13784077\charrsid2957979 MNU[ONBEHALFYES][NOTAPP]@CHOICE@}{\rtlch\fcs1 \af0 \ltrch\fcs0 \insrsid13784077\charrsid2957979 #}{\rtlch\fcs1 \af0 \ltrch\fcs0 _x000d__x000a_\cs17\v\fs20\cf9\loch\af1\hich\af1\dbch\af31501\insrsid13784077\charrsid2957979 \hich\af1\dbch\af31501\loch\f1 &lt;/OptDel&gt;&lt;/AuNomDe&gt;}{\rtlch\fcs1 \af0 \ltrch\fcs0 \insrsid13784077\charrsid2957979 _x000d__x000a_\par &lt;&lt;&lt;}{\rtlch\fcs1 \af0 \ltrch\fcs0 \cs17\v\fs20\cf9\loch\af1\hich\af1\dbch\af31501\insrsid13784077\charrsid2957979 \hich\af1\dbch\af31501\loch\f1 &lt;/RepeatBlock-By&gt;}{\rtlch\fcs1 \af0 \ltrch\fcs0 \insrsid13784077\charrsid2957979 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DocAmend&gt;}{\rtlch\fcs1 \af0 \ltrch\fcs0 \insrsid13784077\charrsid2957979 #}{\rtlch\fcs1 \af1 \ltrch\fcs0 _x000d__x000a_\cs18\v\f1\fs20\cf15\insrsid13784077\charrsid2957979 MNU[OPTPROPOSALCOD][OPTPROPOSALCNS][OPTPROPOSALNLE]@CHOICE@CODEMNU}{\rtlch\fcs1 \af0 \ltrch\fcs0 \insrsid13784077\charrsid2957979 #}{\rtlch\fcs1 \af0 \ltrch\fcs0 _x000d__x000a_\cs17\b0\v\fs20\cf9\loch\af1\hich\af1\dbch\af31501\insrsid13784077\charrsid2957979 \hich\af1\dbch\af31501\loch\f1 &lt;/DocAmend&gt;}{\rtlch\fcs1 \af0 \ltrch\fcs0 \insrsid13784077\charrsid2957979 _x000d__x000a_\par }\pard \ltrpar\s20\ql \li0\ri0\keepn\nowidctlpar\wrapdefault\aspalpha\aspnum\faauto\adjustright\rin0\lin0\itap0\pararsid13784077 {\rtlch\fcs1 \af0 \ltrch\fcs0 \cs17\b0\v\fs20\cf9\loch\af1\hich\af1\dbch\af31501\insrsid13784077\charrsid2957979 _x000d__x000a_\hich\af1\dbch\af31501\loch\f1 &lt;Article&gt;}{\rtlch\fcs1 \af0 \ltrch\fcs0 \insrsid13784077\charrsid2957979 #}{\rtlch\fcs1 \af1 \ltrch\fcs0 \cs18\v\f1\fs20\cf15\insrsid13784077\charrsid2957979 MNU[AMACTPARTYES][AMACTPARTNO]@CHOICE@AMACTMNU}{\rtlch\fcs1 \af0 _x000d__x000a_\ltrch\fcs0 \insrsid13784077\charrsid2957979 #}{\rtlch\fcs1 \af0 \ltrch\fcs0 \cs17\b0\v\fs20\cf9\loch\af1\hich\af1\dbch\af31501\insrsid13784077\charrsid2957979 \hich\af1\dbch\af31501\loch\f1 &lt;/Article&gt;}{\rtlch\fcs1 \af0 \ltrch\fcs0 _x000d__x000a_\insrsid13784077\charrsid2957979 _x000d__x000a_\par }\pard\plain \ltrpar\ql \li0\ri0\keepn\widctlpar\wrapdefault\aspalpha\aspnum\faauto\adjustright\rin0\lin0\itap0\pararsid13784077 \rtlch\fcs1 \af0\afs20\alang1025 \ltrch\fcs0 \fs24\lang2057\langfe2057\cgrid\langnp2057\langfenp2057 {\rtlch\fcs1 \af0 _x000d__x000a_\ltrch\fcs0 \cs17\v\fs20\cf9\loch\af1\hich\af1\dbch\af31501\insrsid13784077\charrsid2957979 \hich\af1\dbch\af31501\loch\f1 &lt;DocAmend2&gt;&lt;OptDel&gt;}{\rtlch\fcs1 \af0 \ltrch\fcs0 \insrsid13784077\charrsid2957979 #}{\rtlch\fcs1 \af1 \ltrch\fcs0 _x000d__x000a_\cs18\v\f1\fs20\cf15\insrsid13784077\charrsid2957979 MNU[OPTNRACTYES][NOTAPP]@CHOICE@AMACTMNU}{\rtlch\fcs1 \af0 \ltrch\fcs0 \insrsid13784077\charrsid2957979 #}{\rtlch\fcs1 \af0 \ltrch\fcs0 _x000d__x000a_\cs17\v\fs20\cf9\loch\af1\hich\af1\dbch\af31501\insrsid13784077\charrsid2957979 \hich\af1\dbch\af31501\loch\f1 &lt;/OptDel&gt;&lt;/DocAmend2&gt;}{\rtlch\fcs1 \af0 \ltrch\fcs0 \insrsid13784077\charrsid2957979 _x000d__x000a_\par }\pard \ltrpar\ql \li0\ri0\widctlpar\wrapdefault\aspalpha\aspnum\faauto\adjustright\rin0\lin0\itap0\pararsid13784077 {\rtlch\fcs1 \af0 \ltrch\fcs0 \cs17\v\fs20\cf9\loch\af1\hich\af1\dbch\af31501\insrsid13784077\charrsid2957979 _x000d__x000a_\hich\af1\dbch\af31501\loch\f1 &lt;Article2&gt;&lt;OptDel&gt;}{\rtlch\fcs1 \af0 \ltrch\fcs0 \insrsid13784077\charrsid2957979 #}{\rtlch\fcs1 \af1 \ltrch\fcs0 \cs18\v\f1\fs20\cf15\insrsid13784077\charrsid2957979 MNU[OPTACTPARTYES][NOTAPP]@CHOICE@AMACTMNU}{\rtlch\fcs1 _x000d__x000a_\af0 \ltrch\fcs0 \insrsid13784077\charrsid2957979 #}{\rtlch\fcs1 \af0 \ltrch\fcs0 \cs17\v\fs20\cf9\loch\af1\hich\af1\dbch\af31501\insrsid13784077\charrsid2957979 \hich\af1\dbch\af31501\loch\f1 &lt;/OptDel&gt;&lt;/Article2&gt;}{\rtlch\fcs1 \af0 \ltrch\fcs0 _x000d__x000a_\insrsid13784077\charrsid2957979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3784077\charrsid2957979 #}{\rtlch\fcs1 \af1 \ltrch\fcs0 \cs18\v\f1\fs20\cf15\insrsid13784077\charrsid2957979 MNU[OPTLEFTAMACT][LEFTPROP]@CHOICE@AMACTMNU}{_x000d__x000a_\rtlch\fcs1 \af0 \ltrch\fcs0 \insrsid13784077\charrsid2957979 #\cell Amendment\cell }\pard\plain \ltrpar\ql \li0\ri0\widctlpar\intbl\wrapdefault\aspalpha\aspnum\faauto\adjustright\rin0\lin0 \rtlch\fcs1 \af0\afs20\alang1025 \ltrch\fcs0 _x000d__x000a_\fs24\lang2057\langfe2057\cgrid\langnp2057\langfenp2057 {\rtlch\fcs1 \af0 \ltrch\fcs0 \insrsid13784077\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4077\charrsid2957979 ##\cell ##}{\rtlch\fcs1 \af0\afs24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784077 \rtlch\fcs1 \af0\afs20\alang1025 \ltrch\fcs0 \fs24\lang2057\langfe2057\cgrid\langnp2057\langfenp2057 {\rtlch\fcs1 \af0 \ltrch\fcs0 _x000d__x000a_\insrsid13784077\charrsid2957979 Or. }{\rtlch\fcs1 \af0 \ltrch\fcs0 \cs17\v\fs20\cf9\loch\af1\hich\af1\dbch\af31501\insrsid13784077\charrsid2957979 \hich\af1\dbch\af31501\loch\f1 &lt;Original&gt;}{\rtlch\fcs1 \af0 \ltrch\fcs0 \insrsid13784077\charrsid2957979 #}_x000d__x000a_{\rtlch\fcs1 \af1 \ltrch\fcs0 \cs18\v\f1\fs20\cf15\insrsid13784077\charrsid2957979 KEY(MAIN/LANGMIN)sh@ORLANGMSG@}{\rtlch\fcs1 \af0 \ltrch\fcs0 \insrsid13784077\charrsid2957979 #}{\rtlch\fcs1 \af0 \ltrch\fcs0 _x000d__x000a_\cs17\v\fs20\cf9\loch\af1\hich\af1\dbch\af31501\insrsid13784077\charrsid2957979 \hich\af1\dbch\af31501\loch\f1 &lt;/Original&gt;}{\rtlch\fcs1 \af0 \ltrch\fcs0 \insrsid13784077\charrsid2957979 _x000d__x000a_\par }\pard\plain \ltrpar\s22\qc \li0\ri0\sb240\sa240\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OptDel&gt;}{\rtlch\fcs1 \af0 \ltrch\fcs0 \insrsid13784077\charrsid2957979 #}{\rtlch\fcs1 \af1 \ltrch\fcs0 _x000d__x000a_\cs18\v\f1\fs20\cf15\insrsid13784077\charrsid2957979 MNU[CROSSREFNO][CROSSREFYES]@CHOICE@}{\rtlch\fcs1 \af0 \ltrch\fcs0 \insrsid13784077\charrsid2957979 #}{\rtlch\fcs1 \af0 \ltrch\fcs0 _x000d__x000a_\cs17\i0\v\fs20\cf9\loch\af1\hich\af1\dbch\af31501\insrsid13784077\charrsid2957979 \hich\af1\dbch\af31501\loch\f1 &lt;/OptDel&gt;}{\rtlch\fcs1 \af0 \ltrch\fcs0 \insrsid13784077\charrsid2957979 _x000d__x000a_\par }\pard\plain \ltrpar\s23\qc \li0\ri0\sb240\sa240\keepn\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TitreJust&gt;}{\rtlch\fcs1 \af0 \ltrch\fcs0 \insrsid13784077\charrsid2957979 Justification}{\rtlch\fcs1 \af0 _x000d__x000a_\ltrch\fcs0 \cs17\i0\v\fs20\cf9\loch\af1\hich\af1\dbch\af31501\insrsid13784077\charrsid2957979 \hich\af1\dbch\af31501\loch\f1 &lt;/TitreJust&gt;}{\rtlch\fcs1 \af0 \ltrch\fcs0 \insrsid13784077\charrsid2957979 _x000d__x000a_\par }\pard\plain \ltrpar\s21\ql \li0\ri0\sa240\nowidctlpar\wrapdefault\aspalpha\aspnum\faauto\adjustright\rin0\lin0\itap0\pararsid13784077 \rtlch\fcs1 \af0\afs20\alang1025 \ltrch\fcs0 \i\fs24\lang2057\langfe2057\cgrid\langnp2057\langfenp2057 {\rtlch\fcs1 _x000d__x000a_\af0 \ltrch\fcs0 \cs17\i0\v\fs20\cf9\loch\af1\hich\af1\dbch\af31501\insrsid13784077\charrsid2957979 \hich\af1\dbch\af31501\loch\f1 &lt;OptDelPrev&gt;}{\rtlch\fcs1 \af0 \ltrch\fcs0 \insrsid13784077\charrsid2957979 #}{\rtlch\fcs1 \af1 \ltrch\fcs0 _x000d__x000a_\cs18\v\f1\fs20\cf15\insrsid13784077\charrsid2957979 MNU[TEXTJUSTYES][TEXTJUSTNO]@CHOICE@}{\rtlch\fcs1 \af0 \ltrch\fcs0 \insrsid13784077\charrsid2957979 #}{\rtlch\fcs1 \af0 \ltrch\fcs0 _x000d__x000a_\cs17\i0\v\fs20\cf9\loch\af1\hich\af1\dbch\af31501\insrsid13784077\charrsid2957979 \hich\af1\dbch\af31501\loch\f1 &lt;/OptDelPrev&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1982 HideTWBExt;}{\*\cs18 \additive \v\f1\fs20\cf15 _x000d__x000a_\spriority0 \styrsid941982 HideTWBInt;}{\s19\ql \li0\ri0\sa120\nowidctlpar\wrapdefault\aspalpha\aspnum\faauto\adjustright\rin0\lin0\itap0 \rtlch\fcs1 \af0\afs20\alang1025 \ltrch\fcs0 \fs24\lang2057\langfe2057\cgrid\langnp2057\langfenp2057 _x000d__x000a_\sbasedon0 \snext19 \spriority0 \styrsid941982 Normal6a;}{\s20\ql \li0\ri0\nowidctlpar\wrapdefault\aspalpha\aspnum\faauto\adjustright\rin0\lin0\itap0 \rtlch\fcs1 \af0\afs20\alang1025 \ltrch\fcs0 \b\fs24\lang2057\langfe2057\cgrid\langnp2057\langfenp2057 _x000d__x000a_\sbasedon0 \snext20 \spriority0 \styrsid941982 NormalBold;}{\s21\ql \li0\ri0\sa240\nowidctlpar\wrapdefault\aspalpha\aspnum\faauto\adjustright\rin0\lin0\itap0 \rtlch\fcs1 \af0\afs20\alang1025 \ltrch\fcs0 _x000d__x000a_\i\fs24\lang2057\langfe2057\cgrid\langnp2057\langfenp2057 \sbasedon0 \snext21 \spriority0 \styrsid941982 AmJustText;}{\s22\qc \li0\ri0\sb240\sa240\nowidctlpar\wrapdefault\aspalpha\aspnum\faauto\adjustright\rin0\lin0\itap0 \rtlch\fcs1 \af0\afs20\alang1025 _x000d__x000a_\ltrch\fcs0 \i\fs24\lang2057\langfe2057\cgrid\langnp2057\langfenp2057 \sbasedon0 \snext22 \spriority0 \styrsid941982 AmCrossRef;}{\s23\qc \li0\ri0\sb240\sa240\keepn\nowidctlpar\wrapdefault\aspalpha\aspnum\faauto\adjustright\rin0\lin0\itap0 \rtlch\fcs1 _x000d__x000a_\af0\afs20\alang1025 \ltrch\fcs0 \i\fs24\lang2057\langfe2057\cgrid\langnp2057\langfenp2057 \sbasedon0 \snext21 \spriority0 \styrsid941982 AmJustTitle;}{_x000d__x000a_\s24\qr \li0\ri0\sb240\sa240\nowidctlpar\wrapdefault\aspalpha\aspnum\faauto\adjustright\rin0\lin0\itap0 \rtlch\fcs1 \af0\afs20\alang1025 \ltrch\fcs0 \fs24\lang2057\langfe2057\cgrid\langnp2057\langfenp2057 \sbasedon0 \snext24 \spriority0 \styrsid941982 _x000d__x000a_AmOrLang;}{\s25\qc \li0\ri0\sa240\nowidctlpar\wrapdefault\aspalpha\aspnum\faauto\adjustright\rin0\lin0\itap0 \rtlch\fcs1 \af0\afs20\alang1025 \ltrch\fcs0 \i\fs24\lang2057\langfe2057\cgrid\langnp2057\langfenp2057 _x000d__x000a_\sbasedon0 \snext25 \spriority0 \styrsid9419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41982 AmNumberTabs;}}{\*\rsidtbl \rsid24658\rsid223860\rsid735077\rsid941982\rsid1718133\rsid2892074\rsid3565327\rsid4666813\rsid6641733_x000d__x000a_\rsid7823322\rsid9636012\rsid10377208\rsid11215221\rsid11549030\rsid12154954\rsid14382809\rsid14424199\rsid15204470\rsid15273638\rsid15285974\rsid15950462\rsid16324206\rsid16662270}{\mmathPr\mmathFont34\mbrkBin0\mbrkBinSub0\msmallFrac0\mdispDef1\mlMargin0_x000d__x000a_\mrMargin0\mdefJc1\mwrapIndent1440\mintLim0\mnaryLim1}{\info{\author CONIAC Cristina Elena}{\operator CONIAC Cristina Elena}{\creatim\yr2020\mo12\dy7\hr17\min7}{\revtim\yr2020\mo12\dy7\hr17\min7}{\version1}{\edmins0}{\nofpages1}{\nofwords130}_x000d__x000a_{\nofchars745}{\nofcharsws874}{\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41982\newtblstyruls\nogrowautofit\usenormstyforlist\noindnmbrts\felnbrelev\nocxsptable\indrlsweleven\noafcnsttbl\afelev\utinl\hwelev\spltpgpar\notcvasp\notbrkcnstfrctbl\notvatxbx\krnprsnet\cachedcolbal \nouicompat \fet0_x000d__x000a_{\*\wgrffmtfilter 013f}\nofeaturethrottle1\ilfomacatclnup0{\*\template C:\\Users\\CCRIST~1\\AppData\\Local\\Temp\\Blank1.dotx}{\*\ftnsep \ltrpar \pard\plain \ltrpar\ql \li0\ri0\widctlpar\wrapdefault\aspalpha\aspnum\faauto\adjustright\rin0\lin0\itap0 _x000d__x000a_\rtlch\fcs1 \af0\afs20\alang1025 \ltrch\fcs0 \fs24\lang2057\langfe2057\cgrid\langnp2057\langfenp2057 {\rtlch\fcs1 \af0 \ltrch\fcs0 \insrsid15273638 \chftnsep _x000d__x000a_\par }}{\*\ftnsepc \ltrpar \pard\plain \ltrpar\ql \li0\ri0\widctlpar\wrapdefault\aspalpha\aspnum\faauto\adjustright\rin0\lin0\itap0 \rtlch\fcs1 \af0\afs20\alang1025 \ltrch\fcs0 \fs24\lang2057\langfe2057\cgrid\langnp2057\langfenp2057 {\rtlch\fcs1 \af0 _x000d__x000a_\ltrch\fcs0 \insrsid15273638 \chftnsepc _x000d__x000a_\par }}{\*\aftnsep \ltrpar \pard\plain \ltrpar\ql \li0\ri0\widctlpar\wrapdefault\aspalpha\aspnum\faauto\adjustright\rin0\lin0\itap0 \rtlch\fcs1 \af0\afs20\alang1025 \ltrch\fcs0 \fs24\lang2057\langfe2057\cgrid\langnp2057\langfenp2057 {\rtlch\fcs1 \af0 _x000d__x000a_\ltrch\fcs0 \insrsid15273638 \chftnsep _x000d__x000a_\par }}{\*\aftnsepc \ltrpar \pard\plain \ltrpar\ql \li0\ri0\widctlpar\wrapdefault\aspalpha\aspnum\faauto\adjustright\rin0\lin0\itap0 \rtlch\fcs1 \af0\afs20\alang1025 \ltrch\fcs0 \fs24\lang2057\langfe2057\cgrid\langnp2057\langfenp2057 {\rtlch\fcs1 \af0 _x000d__x000a_\ltrch\fcs0 \insrsid15273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41982 \rtlch\fcs1 _x000d__x000a_\af0\afs20\alang1025 \ltrch\fcs0 \b\fs24\lang2057\langfe2057\cgrid\langnp2057\langfenp2057 {\rtlch\fcs1 \af0 \ltrch\fcs0 \cs17\b0\v\fs20\cf9\loch\af1\hich\af1\dbch\af31501\insrsid941982\charrsid2957979 {\*\bkmkstart restart}\hich\af1\dbch\af31501\loch\f1 _x000d__x000a_&lt;}{\rtlch\fcs1 \af0 \ltrch\fcs0 \cs17\b0\v\fs20\cf9\lang1024\langfe1024\loch\af1\hich\af1\dbch\af31501\noproof\insrsid941982 \hich\af1\dbch\af31501\loch\f1 Amend}{\rtlch\fcs1 \af0 \ltrch\fcs0 _x000d__x000a_\cs17\b0\v\fs20\cf9\loch\af1\hich\af1\dbch\af31501\insrsid941982\charrsid2957979 \hich\af1\dbch\af31501\loch\f1 &gt;}{\rtlch\fcs1 \af0 \ltrch\fcs0 \insrsid941982\charrsid2957979 Amendment\tab \tab }{\rtlch\fcs1 \af0 \ltrch\fcs0 _x000d__x000a_\cs17\b0\v\fs20\cf9\loch\af1\hich\af1\dbch\af31501\insrsid941982\charrsid2957979 \hich\af1\dbch\af31501\loch\f1 &lt;}{\rtlch\fcs1 \af0 \ltrch\fcs0 \cs17\b0\v\fs20\cf9\lang1024\langfe1024\loch\af1\hich\af1\dbch\af31501\noproof\insrsid941982 _x000d__x000a_\hich\af1\dbch\af31501\loch\f1 NumAm&gt;}{\rtlch\fcs1 \af0 \ltrch\fcs0 \insrsid941982\charrsid2957979 #}{\rtlch\fcs1 \af1 \ltrch\fcs0 \cs18\v\f1\fs20\cf15\insrsid941982\charrsid2957979 ENMIENDA@NRAM@}{\rtlch\fcs1 \af0 \ltrch\fcs0 _x000d__x000a_\insrsid941982\charrsid2957979 #}{\rtlch\fcs1 \af0 \ltrch\fcs0 \cs17\b0\v\fs20\cf9\loch\af1\hich\af1\dbch\af31501\insrsid941982\charrsid2957979 \hich\af1\dbch\af31501\loch\f1 &lt;/}{\rtlch\fcs1 \af0 \ltrch\fcs0 _x000d__x000a_\cs17\b0\v\fs20\cf9\lang1024\langfe1024\loch\af1\hich\af1\dbch\af31501\noproof\insrsid941982 \hich\af1\dbch\af31501\loch\f1 NumAm&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hich\af1\dbch\af31501\loch\f1 RepeatBlock-By&gt;}{\rtlch\fcs1 \af0 \ltrch\fcs0 \insrsid941982\charrsid2957979 #}{\rtlch\fcs1 \af1 _x000d__x000a_\ltrch\fcs0 \cs18\v\f1\fs20\cf15\insrsid941982\charrsid2957979 (MOD@InsideLoop()}{\rtlch\fcs1 \af0 \ltrch\fcs0 \insrsid941982\charrsid2957979 ##}{\rtlch\fcs1 \af1 \ltrch\fcs0 \cs18\v\f1\fs20\cf15\insrsid941982\charrsid2957979 &gt;&gt;&gt;@[ZMEMBERSMSG]@}{_x000d__x000a_\rtlch\fcs1 \af0 \ltrch\fcs0 \insrsid941982\charrsid2957979 #}{\rtlch\fcs1 \af0 \ltrch\fcs0 \cs17\b0\v\fs20\cf9\loch\af1\hich\af1\dbch\af31501\insrsid941982\charrsid2957979 \hich\af1\dbch\af31501\loch\f1 &lt;Members&gt;}{\rtlch\fcs1 \af0 \ltrch\fcs0 _x000d__x000a_\insrsid941982\charrsid2957979 #}{\rtlch\fcs1 \af1 \ltrch\fcs0 \cs18\v\f1\fs20\cf15\insrsid941982\charrsid2957979 (MOD@InsideLoop(\'a7)}{\rtlch\fcs1 \af0 \ltrch\fcs0 \insrsid941982\charrsid2957979 #}{\rtlch\fcs1 \af0 \ltrch\fcs0 _x000d__x000a_\cf10\insrsid941982\charrsid15485799 \u9668\'3f}{\rtlch\fcs1 \af0 \ltrch\fcs0 \insrsid941982\charrsid2957979 #}{\rtlch\fcs1 \af1 \ltrch\fcs0 \cs18\v\f1\fs20\cf15\insrsid941982\charrsid2957979 TVTMEMBERS\'a7@MEMBERS@}{\rtlch\fcs1 \af0 \ltrch\fcs0 _x000d__x000a_\insrsid941982\charrsid2957979 #}{\rtlch\fcs1 \af0 \ltrch\fcs0 \cf10\insrsid941982\charrsid15485799 \u9658\'3f}{\rtlch\fcs1 \af0 \ltrch\fcs0 \cs17\b0\v\fs20\cf9\loch\af1\hich\af1\dbch\af31501\insrsid941982\charrsid2957979 \hich\af1\dbch\af31501\loch\f1 _x000d__x000a_&lt;/Members&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AuNomDe&gt;&lt;OptDel&gt;}{\rtlch\fcs1 \af0 \ltrch\fcs0 \insrsid941982\charrsid2957979 #}{\rtlch\fcs1 \af1 \ltrch\fcs0 _x000d__x000a_\cs18\v\f1\fs20\cf15\insrsid941982\charrsid2957979 MNU[ONBEHALFYES][NOTAPP]@CHOICE@}{\rtlch\fcs1 \af0 \ltrch\fcs0 \insrsid941982\charrsid2957979 #}{\rtlch\fcs1 \af0 \ltrch\fcs0 \cs17\v\fs20\cf9\loch\af1\hich\af1\dbch\af31501\insrsid941982\charrsid2957979 _x000d__x000a_\hich\af1\dbch\af31501\loch\f1 &lt;/OptDel&gt;&lt;/AuNomDe&gt;}{\rtlch\fcs1 \af0 \ltrch\fcs0 \insrsid941982\charrsid2957979 _x000d__x000a_\par &lt;&lt;&lt;}{\rtlch\fcs1 \af0 \ltrch\fcs0 \cs17\v\fs20\cf9\loch\af1\hich\af1\dbch\af31501\insrsid941982\charrsid2957979 \hich\af1\dbch\af31501\loch\f1 &lt;/RepeatBlock-By&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DocAmend&gt;}{\rtlch\fcs1 \af0 \ltrch\fcs0 \insrsid941982\charrsid2957979 #}{\rtlch\fcs1 \af1 \ltrch\fcs0 _x000d__x000a_\cs18\v\f1\fs20\cf15\insrsid941982\charrsid2957979 MNU[OPTPROPOSALCOD][OPTPROPOSALCNS][OPTPROPOSALNLE]@CHOICE@CODEMNU}{\rtlch\fcs1 \af0 \ltrch\fcs0 \insrsid941982\charrsid2957979 #}{\rtlch\fcs1 \af0 \ltrch\fcs0 _x000d__x000a_\cs17\b0\v\fs20\cf9\loch\af1\hich\af1\dbch\af31501\insrsid941982\charrsid2957979 \hich\af1\dbch\af31501\loch\f1 &lt;/DocAmend&gt;}{\rtlch\fcs1 \af0 \ltrch\fcs0 \insrsid941982\charrsid2957979 _x000d__x000a_\par }\pard \ltrpar\s20\ql \li0\ri0\keepn\nowidctlpar\wrapdefault\aspalpha\aspnum\faauto\adjustright\rin0\lin0\itap0\pararsid941982 {\rtlch\fcs1 \af0 \ltrch\fcs0 \cs17\b0\v\fs20\cf9\loch\af1\hich\af1\dbch\af31501\insrsid941982\charrsid2957979 _x000d__x000a_\hich\af1\dbch\af31501\loch\f1 &lt;Article&gt;}{\rtlch\fcs1 \af0 \ltrch\fcs0 \insrsid941982\charrsid2957979 #}{\rtlch\fcs1 \af1 \ltrch\fcs0 \cs18\v\f1\fs20\cf15\insrsid941982\charrsid2957979 MNU[AMACTPARTYES][AMACTPARTNO]@CHOICE@AMACTMNU}{\rtlch\fcs1 \af0 _x000d__x000a_\ltrch\fcs0 \insrsid941982\charrsid2957979 #}{\rtlch\fcs1 \af0 \ltrch\fcs0 \cs17\b0\v\fs20\cf9\loch\af1\hich\af1\dbch\af31501\insrsid941982\charrsid2957979 \hich\af1\dbch\af31501\loch\f1 &lt;/Article&gt;}{\rtlch\fcs1 \af0 \ltrch\fcs0 _x000d__x000a_\insrsid941982\charrsid2957979 _x000d__x000a_\par }\pard\plain \ltrpar\ql \li0\ri0\keepn\widctlpar\wrapdefault\aspalpha\aspnum\faauto\adjustright\rin0\lin0\itap0\pararsid941982 \rtlch\fcs1 \af0\afs20\alang1025 \ltrch\fcs0 \fs24\lang2057\langfe2057\cgrid\langnp2057\langfenp2057 {\rtlch\fcs1 \af0 _x000d__x000a_\ltrch\fcs0 \cs17\v\fs20\cf9\loch\af1\hich\af1\dbch\af31501\insrsid941982\charrsid2957979 \hich\af1\dbch\af31501\loch\f1 &lt;DocAmend2&gt;&lt;OptDel&gt;}{\rtlch\fcs1 \af0 \ltrch\fcs0 \insrsid941982\charrsid2957979 #}{\rtlch\fcs1 \af1 \ltrch\fcs0 _x000d__x000a_\cs18\v\f1\fs20\cf15\insrsid941982\charrsid2957979 MNU[OPTNRACTYES][NOTAPP]@CHOICE@AMACTMNU}{\rtlch\fcs1 \af0 \ltrch\fcs0 \insrsid941982\charrsid2957979 #}{\rtlch\fcs1 \af0 \ltrch\fcs0 _x000d__x000a_\cs17\v\fs20\cf9\loch\af1\hich\af1\dbch\af31501\insrsid941982\charrsid2957979 \hich\af1\dbch\af31501\loch\f1 &lt;/OptDel&gt;&lt;/DocAmend2&gt;}{\rtlch\fcs1 \af0 \ltrch\fcs0 \insrsid941982\charrsid2957979 _x000d__x000a_\par }\pard \ltrpar\ql \li0\ri0\widctlpar\wrapdefault\aspalpha\aspnum\faauto\adjustright\rin0\lin0\itap0\pararsid941982 {\rtlch\fcs1 \af0 \ltrch\fcs0 \cs17\v\fs20\cf9\loch\af1\hich\af1\dbch\af31501\insrsid941982\charrsid2957979 \hich\af1\dbch\af31501\loch\f1 _x000d__x000a_&lt;Article2&gt;&lt;OptDel&gt;}{\rtlch\fcs1 \af0 \ltrch\fcs0 \insrsid941982\charrsid2957979 #}{\rtlch\fcs1 \af1 \ltrch\fcs0 \cs18\v\f1\fs20\cf15\insrsid941982\charrsid2957979 MNU[OPTACTPARTYES][NOTAPP]@CHOICE@AMACTMNU}{\rtlch\fcs1 \af0 \ltrch\fcs0 _x000d__x000a_\insrsid941982\charrsid2957979 #}{\rtlch\fcs1 \af0 \ltrch\fcs0 \cs17\v\fs20\cf9\loch\af1\hich\af1\dbch\af31501\insrsid941982\charrsid2957979 \hich\af1\dbch\af31501\loch\f1 &lt;/OptDel&gt;&lt;/Article2&gt;}{\rtlch\fcs1 \af0 \ltrch\fcs0 \insrsid941982\charrsid2957979 _x000d__x000a_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941982\charrsid2957979 \cell }\pard\plain \ltrpar\ql \li0\ri0\widctlpar\intbl\wrapdefault\aspalpha\aspnum\faauto\adjustright\rin0\lin0 \rtlch\fcs1 _x000d__x000a_\af0\afs20\alang1025 \ltrch\fcs0 \fs24\lang2057\langfe2057\cgrid\langnp2057\langfenp2057 {\rtlch\fcs1 \af0 \ltrch\fcs0 \insrsid941982\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941982\charrsid2957979 #}{\rtlch\fcs1 \af1 \ltrch\fcs0 \cs18\v\f1\fs20\cf15\insrsid941982\charrsid2957979 MNU[OPTLEFTAMACT][LEFTPROP]@CHOICE@AMACTMNU}{_x000d__x000a_\rtlch\fcs1 \af0 \ltrch\fcs0 \insrsid941982\charrsid2957979 #\cell Amendment\cell }\pard\plain \ltrpar\ql \li0\ri0\widctlpar\intbl\wrapdefault\aspalpha\aspnum\faauto\adjustright\rin0\lin0 \rtlch\fcs1 \af0\afs20\alang1025 \ltrch\fcs0 _x000d__x000a_\fs24\lang2057\langfe2057\cgrid\langnp2057\langfenp2057 {\rtlch\fcs1 \af0 \ltrch\fcs0 \insrsid941982\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941982\charrsid2957979 ##\cell ##}{\rtlch\fcs1 \af0\afs24 \ltrch\fcs0 \insrsid941982\charrsid2957979 \cell }\pard\plain \ltrpar\ql \li0\ri0\widctlpar\intbl\wrapdefault\aspalpha\aspnum\faauto\adjustright\rin0\lin0 \rtlch\fcs1 \af0\afs20\alang1025 _x000d__x000a_\ltrch\fcs0 \fs24\lang2057\langfe2057\cgrid\langnp2057\langfenp2057 {\rtlch\fcs1 \af0 \ltrch\fcs0 \insrsid941982\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41982 \rtlch\fcs1 \af0\afs20\alang1025 \ltrch\fcs0 \fs24\lang2057\langfe2057\cgrid\langnp2057\langfenp2057 {\rtlch\fcs1 \af0 \ltrch\fcs0 _x000d__x000a_\insrsid941982\charrsid2957979 Or. }{\rtlch\fcs1 \af0 \ltrch\fcs0 \cs17\v\fs20\cf9\loch\af1\hich\af1\dbch\af31501\insrsid941982\charrsid2957979 \hich\af1\dbch\af31501\loch\f1 &lt;Original&gt;}{\rtlch\fcs1 \af0 \ltrch\fcs0 \insrsid941982\charrsid2957979 #}{_x000d__x000a_\rtlch\fcs1 \af1 \ltrch\fcs0 \cs18\v\f1\fs20\cf15\insrsid941982\charrsid2957979 KEY(MAIN/LANGMIN)sh@ORLANGMSG@}{\rtlch\fcs1 \af0 \ltrch\fcs0 \insrsid941982\charrsid2957979 #}{\rtlch\fcs1 \af0 \ltrch\fcs0 _x000d__x000a_\cs17\v\fs20\cf9\loch\af1\hich\af1\dbch\af31501\insrsid941982\charrsid2957979 \hich\af1\dbch\af31501\loch\f1 &lt;/Original&gt;}{\rtlch\fcs1 \af0 \ltrch\fcs0 \insrsid941982\charrsid2957979 _x000d__x000a_\par }\pard\plain \ltrpar\s22\qc \li0\ri0\sb240\sa240\nowidctlpar\wrapdefault\aspalpha\aspnum\faauto\adjustright\rin0\lin0\itap0\pararsid941982 \rtlch\fcs1 \af0\afs20\alang1025 \ltrch\fcs0 \i\fs24\lang2057\langfe2057\cgrid\langnp2057\langfenp2057 {\rtlch\fcs1 _x000d__x000a_\af0 \ltrch\fcs0 \cs17\i0\v\fs20\cf9\loch\af1\hich\af1\dbch\af31501\insrsid941982\charrsid2957979 \hich\af1\dbch\af31501\loch\f1 &lt;OptDel&gt;}{\rtlch\fcs1 \af0 \ltrch\fcs0 \insrsid941982\charrsid2957979 #}{\rtlch\fcs1 \af1 \ltrch\fcs0 _x000d__x000a_\cs18\v\f1\fs20\cf15\insrsid941982\charrsid2957979 MNU[CROSSREFNO][CROSSREFYES]@CHOICE@}{\rtlch\fcs1 \af0 \ltrch\fcs0 \insrsid941982\charrsid2957979 #}{\rtlch\fcs1 \af0 \ltrch\fcs0 _x000d__x000a_\cs17\i0\v\fs20\cf9\loch\af1\hich\af1\dbch\af31501\insrsid941982\charrsid2957979 \hich\af1\dbch\af31501\loch\f1 &lt;/OptDel&gt;}{\rtlch\fcs1 \af0 \ltrch\fcs0 \insrsid941982\charrsid2957979 _x000d__x000a_\par }\pard\plain \ltrpar\s23\qc \li0\ri0\sb240\sa240\keepn\nowidctlpar\wrapdefault\aspalpha\aspnum\faauto\adjustright\rin0\lin0\itap0\pararsid941982 \rtlch\fcs1 \af0\afs20\alang1025 \ltrch\fcs0 \i\fs24\lang2057\langfe2057\cgrid\langnp2057\langfenp2057 {_x000d__x000a_\rtlch\fcs1 \af0 \ltrch\fcs0 \cs17\i0\v\fs20\cf9\loch\af1\hich\af1\dbch\af31501\insrsid941982\charrsid2957979 \hich\af1\dbch\af31501\loch\f1 &lt;TitreJust&gt;}{\rtlch\fcs1 \af0 \ltrch\fcs0 \insrsid941982\charrsid2957979 Justification}{\rtlch\fcs1 \af0 _x000d__x000a_\ltrch\fcs0 \cs17\i0\v\fs20\cf9\loch\af1\hich\af1\dbch\af31501\insrsid941982\charrsid2957979 \hich\af1\dbch\af31501\loch\f1 &lt;/TitreJust&gt;}{\rtlch\fcs1 \af0 \ltrch\fcs0 \insrsid941982\charrsid2957979 _x000d__x000a_\par }\pard\plain \ltrpar\s21\ql \li0\ri0\sa240\nowidctlpar\wrapdefault\aspalpha\aspnum\faauto\adjustright\rin0\lin0\itap0\pararsid941982 \rtlch\fcs1 \af0\afs20\alang1025 \ltrch\fcs0 \i\fs24\lang2057\langfe2057\cgrid\langnp2057\langfenp2057 {\rtlch\fcs1 \af0 _x000d__x000a_\ltrch\fcs0 \cs17\i0\v\fs20\cf9\loch\af1\hich\af1\dbch\af31501\insrsid941982\charrsid2957979 \hich\af1\dbch\af31501\loch\f1 &lt;OptDelPrev&gt;}{\rtlch\fcs1 \af0 \ltrch\fcs0 \insrsid941982\charrsid2957979 #}{\rtlch\fcs1 \af1 \ltrch\fcs0 _x000d__x000a_\cs18\v\f1\fs20\cf15\insrsid941982\charrsid2957979 MNU[TEXTJUSTYES][TEXTJUSTNO]@CHOICE@}{\rtlch\fcs1 \af0 \ltrch\fcs0 \insrsid941982\charrsid2957979 #}{\rtlch\fcs1 \af0 \ltrch\fcs0 _x000d__x000a_\cs17\i0\v\fs20\cf9\loch\af1\hich\af1\dbch\af31501\insrsid941982\charrsid2957979 \hich\af1\dbch\af31501\loch\f1 &lt;/OptDelPrev&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rtlch\fcs1 \af0 \ltrch\fcs0 \cs17\v\fs20\cf9\lang1024\langfe1024\loch\af1\hich\af1\dbch\af31501\noproof\insrsid941982 _x000d__x000a_\hich\af1\dbch\af31501\loch\f1 Amend}{\rtlch\fcs1 \af0 \ltrch\fcs0 \cs17\v\fs20\cf9\loch\af1\hich\af1\dbch\af31501\insrsid941982\charrsid295797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VTMEMBERS1" w:val="MEP"/>
    <w:docVar w:name="TXTAUTHOR" w:val="Jorge Buxadé Villalba"/>
    <w:docVar w:name="TXTLANGUE" w:val="EN"/>
    <w:docVar w:name="TXTLANGUEMIN" w:val="en"/>
    <w:docVar w:name="TXTNRC" w:val="01"/>
    <w:docVar w:name="TXTNRCOM" w:val="COM(2016)0272 - COM (2020)0614 – C8-0179/2016 "/>
    <w:docVar w:name="TXTNRFIRSTAM" w:val="1"/>
    <w:docVar w:name="TXTNRLASTAM" w:val="6"/>
    <w:docVar w:name="TXTNRPE" w:val="661.979"/>
    <w:docVar w:name="TXTNRPE2" w:val="597.620"/>
    <w:docVar w:name="TXTNRPROC" w:val="2016/0132"/>
    <w:docVar w:name="TXTPEorAP" w:val="PE"/>
    <w:docVar w:name="TXTROUTE" w:val="AM\1220068EN.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2-00"/>
  </w:docVars>
  <w:rsids>
    <w:rsidRoot w:val="002D229B"/>
    <w:rsid w:val="000111BD"/>
    <w:rsid w:val="00012BE8"/>
    <w:rsid w:val="000212C3"/>
    <w:rsid w:val="00073830"/>
    <w:rsid w:val="00075CA9"/>
    <w:rsid w:val="00075DBE"/>
    <w:rsid w:val="000819E7"/>
    <w:rsid w:val="00085245"/>
    <w:rsid w:val="00085BBD"/>
    <w:rsid w:val="000A0287"/>
    <w:rsid w:val="000B0781"/>
    <w:rsid w:val="000B1AD6"/>
    <w:rsid w:val="000D446F"/>
    <w:rsid w:val="000E4A39"/>
    <w:rsid w:val="000E5D83"/>
    <w:rsid w:val="000E71E6"/>
    <w:rsid w:val="000E7234"/>
    <w:rsid w:val="000F2A80"/>
    <w:rsid w:val="000F7815"/>
    <w:rsid w:val="001176D3"/>
    <w:rsid w:val="00126BC4"/>
    <w:rsid w:val="0014715B"/>
    <w:rsid w:val="00150057"/>
    <w:rsid w:val="00166CCB"/>
    <w:rsid w:val="001754B8"/>
    <w:rsid w:val="001809DD"/>
    <w:rsid w:val="001A4802"/>
    <w:rsid w:val="001A515A"/>
    <w:rsid w:val="001B761C"/>
    <w:rsid w:val="001C2054"/>
    <w:rsid w:val="001C502E"/>
    <w:rsid w:val="001D13C9"/>
    <w:rsid w:val="001D5CC4"/>
    <w:rsid w:val="001D7A49"/>
    <w:rsid w:val="001E539B"/>
    <w:rsid w:val="001E753B"/>
    <w:rsid w:val="001F0FDD"/>
    <w:rsid w:val="001F612D"/>
    <w:rsid w:val="00201C84"/>
    <w:rsid w:val="0020367C"/>
    <w:rsid w:val="00211B52"/>
    <w:rsid w:val="00222325"/>
    <w:rsid w:val="00231EA7"/>
    <w:rsid w:val="00236619"/>
    <w:rsid w:val="002472F6"/>
    <w:rsid w:val="00250308"/>
    <w:rsid w:val="002574CB"/>
    <w:rsid w:val="002618A9"/>
    <w:rsid w:val="002635EC"/>
    <w:rsid w:val="00264C57"/>
    <w:rsid w:val="00277AB3"/>
    <w:rsid w:val="00280EA6"/>
    <w:rsid w:val="002A1C82"/>
    <w:rsid w:val="002B6A7B"/>
    <w:rsid w:val="002C5761"/>
    <w:rsid w:val="002D229B"/>
    <w:rsid w:val="002E3F68"/>
    <w:rsid w:val="002E4311"/>
    <w:rsid w:val="003003A7"/>
    <w:rsid w:val="00302974"/>
    <w:rsid w:val="003113D4"/>
    <w:rsid w:val="00315664"/>
    <w:rsid w:val="00322475"/>
    <w:rsid w:val="0033742E"/>
    <w:rsid w:val="00360F08"/>
    <w:rsid w:val="00363AD3"/>
    <w:rsid w:val="003743DE"/>
    <w:rsid w:val="0037660F"/>
    <w:rsid w:val="00384480"/>
    <w:rsid w:val="00384E84"/>
    <w:rsid w:val="0038706C"/>
    <w:rsid w:val="003923F7"/>
    <w:rsid w:val="003A5102"/>
    <w:rsid w:val="003C6E39"/>
    <w:rsid w:val="003D24AA"/>
    <w:rsid w:val="003D466C"/>
    <w:rsid w:val="003D70F2"/>
    <w:rsid w:val="003E08BF"/>
    <w:rsid w:val="003E43AC"/>
    <w:rsid w:val="003F21EB"/>
    <w:rsid w:val="003F3B0C"/>
    <w:rsid w:val="004206ED"/>
    <w:rsid w:val="00422BB2"/>
    <w:rsid w:val="004367B3"/>
    <w:rsid w:val="00441413"/>
    <w:rsid w:val="00441D7D"/>
    <w:rsid w:val="00460CB0"/>
    <w:rsid w:val="00461E32"/>
    <w:rsid w:val="00464338"/>
    <w:rsid w:val="00495E20"/>
    <w:rsid w:val="004964A2"/>
    <w:rsid w:val="004A67DD"/>
    <w:rsid w:val="004B5B2E"/>
    <w:rsid w:val="004B700C"/>
    <w:rsid w:val="004C210F"/>
    <w:rsid w:val="004C4462"/>
    <w:rsid w:val="004C647A"/>
    <w:rsid w:val="004E0AAC"/>
    <w:rsid w:val="004E1C4C"/>
    <w:rsid w:val="004E4907"/>
    <w:rsid w:val="004F03F0"/>
    <w:rsid w:val="004F2903"/>
    <w:rsid w:val="004F77B3"/>
    <w:rsid w:val="00504B15"/>
    <w:rsid w:val="005246D8"/>
    <w:rsid w:val="005373C9"/>
    <w:rsid w:val="00547F73"/>
    <w:rsid w:val="00555D0D"/>
    <w:rsid w:val="00557617"/>
    <w:rsid w:val="00571479"/>
    <w:rsid w:val="00584170"/>
    <w:rsid w:val="005A0F10"/>
    <w:rsid w:val="005A7205"/>
    <w:rsid w:val="005A77E8"/>
    <w:rsid w:val="005A7EB4"/>
    <w:rsid w:val="005B32E3"/>
    <w:rsid w:val="005E50C2"/>
    <w:rsid w:val="006035F1"/>
    <w:rsid w:val="00607ABE"/>
    <w:rsid w:val="006337D4"/>
    <w:rsid w:val="006354F4"/>
    <w:rsid w:val="00636AAB"/>
    <w:rsid w:val="00637384"/>
    <w:rsid w:val="006516F4"/>
    <w:rsid w:val="0066168A"/>
    <w:rsid w:val="00665DDA"/>
    <w:rsid w:val="00672807"/>
    <w:rsid w:val="006746CD"/>
    <w:rsid w:val="006860DC"/>
    <w:rsid w:val="00687070"/>
    <w:rsid w:val="00695CC1"/>
    <w:rsid w:val="006965BE"/>
    <w:rsid w:val="006A02EE"/>
    <w:rsid w:val="006A2838"/>
    <w:rsid w:val="006B4B58"/>
    <w:rsid w:val="006B6438"/>
    <w:rsid w:val="006C1CE1"/>
    <w:rsid w:val="006C6C5B"/>
    <w:rsid w:val="006D69C2"/>
    <w:rsid w:val="006D6B15"/>
    <w:rsid w:val="006F1261"/>
    <w:rsid w:val="006F3F81"/>
    <w:rsid w:val="006F4B73"/>
    <w:rsid w:val="00702F62"/>
    <w:rsid w:val="007059E9"/>
    <w:rsid w:val="00706049"/>
    <w:rsid w:val="00714DA0"/>
    <w:rsid w:val="007152AF"/>
    <w:rsid w:val="00730ED8"/>
    <w:rsid w:val="00736FBA"/>
    <w:rsid w:val="0074160E"/>
    <w:rsid w:val="007432CA"/>
    <w:rsid w:val="007659AC"/>
    <w:rsid w:val="00771FD7"/>
    <w:rsid w:val="00777FBC"/>
    <w:rsid w:val="0079060C"/>
    <w:rsid w:val="007A42AB"/>
    <w:rsid w:val="007A5844"/>
    <w:rsid w:val="007B459C"/>
    <w:rsid w:val="007C07F4"/>
    <w:rsid w:val="007C71DE"/>
    <w:rsid w:val="00813143"/>
    <w:rsid w:val="00822C94"/>
    <w:rsid w:val="008363E4"/>
    <w:rsid w:val="00851460"/>
    <w:rsid w:val="008636E5"/>
    <w:rsid w:val="00864131"/>
    <w:rsid w:val="0087052C"/>
    <w:rsid w:val="00870CF2"/>
    <w:rsid w:val="00874862"/>
    <w:rsid w:val="00875A9C"/>
    <w:rsid w:val="00887FDC"/>
    <w:rsid w:val="008964C7"/>
    <w:rsid w:val="008A3CDB"/>
    <w:rsid w:val="008B251A"/>
    <w:rsid w:val="008D6D06"/>
    <w:rsid w:val="008F0DDD"/>
    <w:rsid w:val="008F3912"/>
    <w:rsid w:val="008F6F39"/>
    <w:rsid w:val="00900CAE"/>
    <w:rsid w:val="00904AD5"/>
    <w:rsid w:val="00907CCA"/>
    <w:rsid w:val="009154FF"/>
    <w:rsid w:val="00917A85"/>
    <w:rsid w:val="00966038"/>
    <w:rsid w:val="00983807"/>
    <w:rsid w:val="009846C9"/>
    <w:rsid w:val="00993CC0"/>
    <w:rsid w:val="009A65D8"/>
    <w:rsid w:val="009B0305"/>
    <w:rsid w:val="009C1C7A"/>
    <w:rsid w:val="009C3D59"/>
    <w:rsid w:val="009E117F"/>
    <w:rsid w:val="009E5DA0"/>
    <w:rsid w:val="009F230F"/>
    <w:rsid w:val="00A15973"/>
    <w:rsid w:val="00A233E9"/>
    <w:rsid w:val="00A3568E"/>
    <w:rsid w:val="00A46736"/>
    <w:rsid w:val="00A507FC"/>
    <w:rsid w:val="00A5426B"/>
    <w:rsid w:val="00A845EF"/>
    <w:rsid w:val="00A84E16"/>
    <w:rsid w:val="00A93389"/>
    <w:rsid w:val="00A93F8C"/>
    <w:rsid w:val="00AA0426"/>
    <w:rsid w:val="00AB74D6"/>
    <w:rsid w:val="00AC7149"/>
    <w:rsid w:val="00AD730A"/>
    <w:rsid w:val="00AD73D3"/>
    <w:rsid w:val="00AD7945"/>
    <w:rsid w:val="00AE4459"/>
    <w:rsid w:val="00AE4575"/>
    <w:rsid w:val="00AF25FC"/>
    <w:rsid w:val="00AF2819"/>
    <w:rsid w:val="00B0638A"/>
    <w:rsid w:val="00B10564"/>
    <w:rsid w:val="00B41B4D"/>
    <w:rsid w:val="00B53FFA"/>
    <w:rsid w:val="00B77A45"/>
    <w:rsid w:val="00B8066A"/>
    <w:rsid w:val="00B81817"/>
    <w:rsid w:val="00B81EC9"/>
    <w:rsid w:val="00B82DF1"/>
    <w:rsid w:val="00B85286"/>
    <w:rsid w:val="00B87B8E"/>
    <w:rsid w:val="00B90B7F"/>
    <w:rsid w:val="00B9188F"/>
    <w:rsid w:val="00BA48D2"/>
    <w:rsid w:val="00BC1B1F"/>
    <w:rsid w:val="00BE0C84"/>
    <w:rsid w:val="00BE5062"/>
    <w:rsid w:val="00C10F61"/>
    <w:rsid w:val="00C2257C"/>
    <w:rsid w:val="00C22CC4"/>
    <w:rsid w:val="00C2336C"/>
    <w:rsid w:val="00C35E35"/>
    <w:rsid w:val="00C37BC0"/>
    <w:rsid w:val="00C41E32"/>
    <w:rsid w:val="00C51CF1"/>
    <w:rsid w:val="00C735FB"/>
    <w:rsid w:val="00C85317"/>
    <w:rsid w:val="00C92798"/>
    <w:rsid w:val="00CA73CB"/>
    <w:rsid w:val="00CB34F1"/>
    <w:rsid w:val="00CB7B07"/>
    <w:rsid w:val="00CC3983"/>
    <w:rsid w:val="00CD183E"/>
    <w:rsid w:val="00CD280B"/>
    <w:rsid w:val="00CD7BAF"/>
    <w:rsid w:val="00D00CC7"/>
    <w:rsid w:val="00D100D1"/>
    <w:rsid w:val="00D14FCE"/>
    <w:rsid w:val="00D15308"/>
    <w:rsid w:val="00D1583C"/>
    <w:rsid w:val="00D15D1E"/>
    <w:rsid w:val="00D34F90"/>
    <w:rsid w:val="00D42398"/>
    <w:rsid w:val="00D44842"/>
    <w:rsid w:val="00D61CAC"/>
    <w:rsid w:val="00D677D5"/>
    <w:rsid w:val="00D755F1"/>
    <w:rsid w:val="00D767AC"/>
    <w:rsid w:val="00D82FCC"/>
    <w:rsid w:val="00D87B31"/>
    <w:rsid w:val="00DB429F"/>
    <w:rsid w:val="00DB65C2"/>
    <w:rsid w:val="00DC239C"/>
    <w:rsid w:val="00DC4160"/>
    <w:rsid w:val="00DC6A1B"/>
    <w:rsid w:val="00DE672F"/>
    <w:rsid w:val="00DE7DC9"/>
    <w:rsid w:val="00E0793F"/>
    <w:rsid w:val="00E15A86"/>
    <w:rsid w:val="00E25DC5"/>
    <w:rsid w:val="00E44BB0"/>
    <w:rsid w:val="00E471BE"/>
    <w:rsid w:val="00E57F50"/>
    <w:rsid w:val="00E660E2"/>
    <w:rsid w:val="00E733C7"/>
    <w:rsid w:val="00EA25AE"/>
    <w:rsid w:val="00EB0CE3"/>
    <w:rsid w:val="00EB3A71"/>
    <w:rsid w:val="00EB4A63"/>
    <w:rsid w:val="00EB675A"/>
    <w:rsid w:val="00EC4B67"/>
    <w:rsid w:val="00EC5E5B"/>
    <w:rsid w:val="00EE011D"/>
    <w:rsid w:val="00EE05D3"/>
    <w:rsid w:val="00EE2DB4"/>
    <w:rsid w:val="00EE3E0D"/>
    <w:rsid w:val="00EF03A3"/>
    <w:rsid w:val="00EF11AD"/>
    <w:rsid w:val="00EF3617"/>
    <w:rsid w:val="00F27170"/>
    <w:rsid w:val="00F459F7"/>
    <w:rsid w:val="00F5496F"/>
    <w:rsid w:val="00F61969"/>
    <w:rsid w:val="00F92B49"/>
    <w:rsid w:val="00FA192C"/>
    <w:rsid w:val="00FB0587"/>
    <w:rsid w:val="00FB4DDF"/>
    <w:rsid w:val="00FC1B08"/>
    <w:rsid w:val="00FD05BD"/>
    <w:rsid w:val="00FD675F"/>
    <w:rsid w:val="00FE03B4"/>
    <w:rsid w:val="00FF12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19ADA"/>
  <w15:chartTrackingRefBased/>
  <w15:docId w15:val="{08B10F9A-6586-4A86-907A-D5AFC36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6C1CE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Normal6Char">
    <w:name w:val="Normal6 Char"/>
    <w:link w:val="Normal6"/>
    <w:locked/>
    <w:rsid w:val="00EE05D3"/>
    <w:rPr>
      <w:sz w:val="24"/>
    </w:rPr>
  </w:style>
  <w:style w:type="paragraph" w:customStyle="1" w:styleId="Normal6">
    <w:name w:val="Normal6"/>
    <w:basedOn w:val="Normal"/>
    <w:link w:val="Normal6Char"/>
    <w:rsid w:val="00EE05D3"/>
    <w:pPr>
      <w:spacing w:after="120"/>
    </w:pPr>
  </w:style>
  <w:style w:type="paragraph" w:customStyle="1" w:styleId="EntPE">
    <w:name w:val="EntPE"/>
    <w:basedOn w:val="Normal12"/>
    <w:rsid w:val="006C1CE1"/>
    <w:pPr>
      <w:jc w:val="center"/>
    </w:pPr>
    <w:rPr>
      <w:noProof w:val="0"/>
      <w:sz w:val="56"/>
    </w:rPr>
  </w:style>
  <w:style w:type="paragraph" w:customStyle="1" w:styleId="Normal12">
    <w:name w:val="Normal12"/>
    <w:basedOn w:val="Normal"/>
    <w:link w:val="Normal12Char"/>
    <w:rsid w:val="006C1CE1"/>
    <w:pPr>
      <w:spacing w:after="240"/>
    </w:pPr>
    <w:rPr>
      <w:noProof/>
    </w:rPr>
  </w:style>
  <w:style w:type="character" w:customStyle="1" w:styleId="Normal12Char">
    <w:name w:val="Normal12 Char"/>
    <w:basedOn w:val="DefaultParagraphFont"/>
    <w:link w:val="Normal12"/>
    <w:locked/>
    <w:rsid w:val="006C1CE1"/>
    <w:rPr>
      <w:noProof/>
      <w:sz w:val="24"/>
    </w:rPr>
  </w:style>
  <w:style w:type="paragraph" w:customStyle="1" w:styleId="Normal12Italic">
    <w:name w:val="Normal12Italic"/>
    <w:basedOn w:val="Normal12"/>
    <w:rsid w:val="006C1CE1"/>
    <w:rPr>
      <w:i/>
    </w:rPr>
  </w:style>
  <w:style w:type="character" w:customStyle="1" w:styleId="FooterChar">
    <w:name w:val="Footer Char"/>
    <w:basedOn w:val="DefaultParagraphFont"/>
    <w:link w:val="Footer"/>
    <w:rsid w:val="006C1CE1"/>
    <w:rPr>
      <w:sz w:val="22"/>
    </w:rPr>
  </w:style>
  <w:style w:type="paragraph" w:styleId="Footer">
    <w:name w:val="footer"/>
    <w:link w:val="FooterChar"/>
    <w:rsid w:val="006C1CE1"/>
    <w:pPr>
      <w:tabs>
        <w:tab w:val="center" w:pos="4536"/>
        <w:tab w:val="right" w:pos="9072"/>
      </w:tabs>
      <w:spacing w:before="240" w:after="240" w:line="221" w:lineRule="auto"/>
    </w:pPr>
    <w:rPr>
      <w:sz w:val="22"/>
    </w:rPr>
  </w:style>
  <w:style w:type="paragraph" w:customStyle="1" w:styleId="Footer2">
    <w:name w:val="Footer2"/>
    <w:basedOn w:val="Normal12"/>
    <w:rsid w:val="006C1CE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C1C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C1CE1"/>
    <w:pPr>
      <w:spacing w:after="240"/>
      <w:jc w:val="center"/>
    </w:pPr>
    <w:rPr>
      <w:i/>
    </w:rPr>
  </w:style>
  <w:style w:type="paragraph" w:customStyle="1" w:styleId="Olang">
    <w:name w:val="Olang"/>
    <w:basedOn w:val="Normal"/>
    <w:rsid w:val="006C1CE1"/>
    <w:pPr>
      <w:spacing w:before="240" w:after="240"/>
      <w:jc w:val="right"/>
    </w:pPr>
    <w:rPr>
      <w:noProof/>
      <w:szCs w:val="24"/>
    </w:rPr>
  </w:style>
  <w:style w:type="paragraph" w:customStyle="1" w:styleId="JustificationTitle">
    <w:name w:val="JustificationTitle"/>
    <w:basedOn w:val="Normal"/>
    <w:next w:val="Normal12"/>
    <w:rsid w:val="006C1CE1"/>
    <w:pPr>
      <w:keepNext/>
      <w:spacing w:before="240" w:after="240"/>
      <w:jc w:val="center"/>
    </w:pPr>
    <w:rPr>
      <w:i/>
      <w:noProof/>
    </w:rPr>
  </w:style>
  <w:style w:type="paragraph" w:customStyle="1" w:styleId="Corps">
    <w:name w:val="Corps"/>
    <w:rsid w:val="00983807"/>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983807"/>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983807"/>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983807"/>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983807"/>
    <w:rPr>
      <w:lang w:val="de-DE"/>
    </w:rPr>
  </w:style>
  <w:style w:type="character" w:styleId="CommentReference">
    <w:name w:val="annotation reference"/>
    <w:basedOn w:val="DefaultParagraphFont"/>
    <w:rsid w:val="00EB4A63"/>
    <w:rPr>
      <w:sz w:val="16"/>
      <w:szCs w:val="16"/>
    </w:rPr>
  </w:style>
  <w:style w:type="paragraph" w:styleId="CommentText">
    <w:name w:val="annotation text"/>
    <w:basedOn w:val="Normal"/>
    <w:link w:val="CommentTextChar"/>
    <w:rsid w:val="00EB4A63"/>
    <w:rPr>
      <w:sz w:val="20"/>
    </w:rPr>
  </w:style>
  <w:style w:type="character" w:customStyle="1" w:styleId="CommentTextChar">
    <w:name w:val="Comment Text Char"/>
    <w:basedOn w:val="DefaultParagraphFont"/>
    <w:link w:val="CommentText"/>
    <w:rsid w:val="00EB4A63"/>
  </w:style>
  <w:style w:type="paragraph" w:styleId="CommentSubject">
    <w:name w:val="annotation subject"/>
    <w:basedOn w:val="CommentText"/>
    <w:next w:val="CommentText"/>
    <w:link w:val="CommentSubjectChar"/>
    <w:semiHidden/>
    <w:unhideWhenUsed/>
    <w:rsid w:val="00EB4A63"/>
    <w:rPr>
      <w:b/>
      <w:bCs/>
    </w:rPr>
  </w:style>
  <w:style w:type="character" w:customStyle="1" w:styleId="CommentSubjectChar">
    <w:name w:val="Comment Subject Char"/>
    <w:basedOn w:val="CommentTextChar"/>
    <w:link w:val="CommentSubject"/>
    <w:semiHidden/>
    <w:rsid w:val="00EB4A63"/>
    <w:rPr>
      <w:b/>
      <w:bCs/>
    </w:rPr>
  </w:style>
  <w:style w:type="paragraph" w:styleId="BalloonText">
    <w:name w:val="Balloon Text"/>
    <w:basedOn w:val="Normal"/>
    <w:link w:val="BalloonTextChar"/>
    <w:semiHidden/>
    <w:unhideWhenUsed/>
    <w:rsid w:val="00EB4A63"/>
    <w:rPr>
      <w:rFonts w:ascii="Segoe UI" w:hAnsi="Segoe UI" w:cs="Segoe UI"/>
      <w:sz w:val="18"/>
      <w:szCs w:val="18"/>
    </w:rPr>
  </w:style>
  <w:style w:type="character" w:customStyle="1" w:styleId="BalloonTextChar">
    <w:name w:val="Balloon Text Char"/>
    <w:basedOn w:val="DefaultParagraphFont"/>
    <w:link w:val="BalloonText"/>
    <w:semiHidden/>
    <w:rsid w:val="00EB4A63"/>
    <w:rPr>
      <w:rFonts w:ascii="Segoe UI" w:hAnsi="Segoe UI" w:cs="Segoe UI"/>
      <w:sz w:val="18"/>
      <w:szCs w:val="18"/>
    </w:rPr>
  </w:style>
  <w:style w:type="character" w:styleId="Emphasis">
    <w:name w:val="Emphasis"/>
    <w:basedOn w:val="DefaultParagraphFont"/>
    <w:uiPriority w:val="20"/>
    <w:qFormat/>
    <w:rsid w:val="00636AAB"/>
    <w:rPr>
      <w:i/>
      <w:iCs/>
    </w:rPr>
  </w:style>
  <w:style w:type="character" w:styleId="Hyperlink">
    <w:name w:val="Hyperlink"/>
    <w:basedOn w:val="DefaultParagraphFont"/>
    <w:rsid w:val="00636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RIST~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22EA2-8543-4277-8302-DD83B8529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29</Pages>
  <Words>6637</Words>
  <Characters>43341</Characters>
  <Application>Microsoft Office Word</Application>
  <DocSecurity>0</DocSecurity>
  <Lines>1733</Lines>
  <Paragraphs>543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2021-04-08T15:06:00Z</dcterms:created>
  <dcterms:modified xsi:type="dcterms:W3CDTF">2021-04-08T15:06:00Z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AM\1220068DE.docx</vt:lpwstr>
  </property>
  <property fmtid="{D5CDD505-2E9C-101B-9397-08002B2CF9AE}" pid="10" name="LastEdited with">
    <vt:lpwstr>9.9.1 Build [20200705]</vt:lpwstr>
  </property>
  <property fmtid="{D5CDD505-2E9C-101B-9397-08002B2CF9AE}" pid="11" name="PE number">
    <vt:lpwstr>661.979</vt:lpwstr>
  </property>
  <property fmtid="{D5CDD505-2E9C-101B-9397-08002B2CF9AE}" pid="12" name="SDLStudio">
    <vt:lpwstr/>
  </property>
  <property fmtid="{D5CDD505-2E9C-101B-9397-08002B2CF9AE}" pid="13" name="SendToEpades">
    <vt:lpwstr>OK - 2021/03/19 12:30</vt:lpwstr>
  </property>
  <property fmtid="{D5CDD505-2E9C-101B-9397-08002B2CF9AE}" pid="14" name="Bookout">
    <vt:lpwstr>OK - 2021/04/08 17:05</vt:lpwstr>
  </property>
</Properties>
</file>