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C07BC" w:rsidRPr="000B347F" w:rsidTr="006D69C2">
        <w:trPr>
          <w:trHeight w:hRule="exact" w:val="1418"/>
        </w:trPr>
        <w:tc>
          <w:tcPr>
            <w:tcW w:w="6804" w:type="dxa"/>
            <w:shd w:val="clear" w:color="auto" w:fill="auto"/>
            <w:vAlign w:val="center"/>
          </w:tcPr>
          <w:p w:rsidR="00BE5062" w:rsidRPr="000B347F" w:rsidRDefault="000B347F" w:rsidP="006D69C2">
            <w:pPr>
              <w:pStyle w:val="EPName"/>
            </w:pPr>
            <w:bookmarkStart w:id="0" w:name="_GoBack"/>
            <w:bookmarkEnd w:id="0"/>
            <w:r w:rsidRPr="000B347F">
              <w:t>Parlement européen</w:t>
            </w:r>
          </w:p>
          <w:p w:rsidR="00BE5062" w:rsidRPr="000B347F" w:rsidRDefault="000B347F" w:rsidP="004B700C">
            <w:pPr>
              <w:pStyle w:val="EPTerm"/>
            </w:pPr>
            <w:r w:rsidRPr="000B347F">
              <w:t>2019-2024</w:t>
            </w:r>
          </w:p>
        </w:tc>
        <w:tc>
          <w:tcPr>
            <w:tcW w:w="2268" w:type="dxa"/>
            <w:shd w:val="clear" w:color="auto" w:fill="auto"/>
          </w:tcPr>
          <w:p w:rsidR="00BE5062" w:rsidRPr="000B347F" w:rsidRDefault="000B347F" w:rsidP="006D69C2">
            <w:pPr>
              <w:pStyle w:val="EPLogo"/>
            </w:pPr>
            <w:r w:rsidRPr="000B347F">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67231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0B347F" w:rsidRDefault="000E7234" w:rsidP="000E7234">
      <w:pPr>
        <w:pStyle w:val="LineTop"/>
      </w:pPr>
    </w:p>
    <w:p w:rsidR="000E7234" w:rsidRPr="000B347F" w:rsidRDefault="000B347F" w:rsidP="000E7234">
      <w:pPr>
        <w:pStyle w:val="EPBody"/>
      </w:pPr>
      <w:r w:rsidRPr="000B347F">
        <w:rPr>
          <w:rStyle w:val="HideTWBExt"/>
          <w:noProof w:val="0"/>
        </w:rPr>
        <w:t>&lt;</w:t>
      </w:r>
      <w:r w:rsidRPr="000B347F">
        <w:rPr>
          <w:rStyle w:val="HideTWBExt"/>
          <w:i w:val="0"/>
          <w:noProof w:val="0"/>
        </w:rPr>
        <w:t>Commission</w:t>
      </w:r>
      <w:r w:rsidRPr="000B347F">
        <w:rPr>
          <w:rStyle w:val="HideTWBExt"/>
          <w:noProof w:val="0"/>
        </w:rPr>
        <w:t>&gt;</w:t>
      </w:r>
      <w:r w:rsidRPr="000B347F">
        <w:rPr>
          <w:rStyle w:val="HideTWBInt"/>
          <w:color w:val="auto"/>
        </w:rPr>
        <w:t>{LIBE}</w:t>
      </w:r>
      <w:r w:rsidRPr="000B347F">
        <w:t>Commission des libertés civiles, de la justice et des affaires intérieures</w:t>
      </w:r>
      <w:r w:rsidRPr="000B347F">
        <w:rPr>
          <w:rStyle w:val="HideTWBExt"/>
          <w:noProof w:val="0"/>
        </w:rPr>
        <w:t>&lt;/</w:t>
      </w:r>
      <w:r w:rsidRPr="000B347F">
        <w:rPr>
          <w:rStyle w:val="HideTWBExt"/>
          <w:i w:val="0"/>
          <w:noProof w:val="0"/>
        </w:rPr>
        <w:t>Commission</w:t>
      </w:r>
      <w:r w:rsidRPr="000B347F">
        <w:rPr>
          <w:rStyle w:val="HideTWBExt"/>
          <w:noProof w:val="0"/>
        </w:rPr>
        <w:t>&gt;</w:t>
      </w:r>
    </w:p>
    <w:p w:rsidR="000E7234" w:rsidRPr="000B347F" w:rsidRDefault="000E7234" w:rsidP="000E7234">
      <w:pPr>
        <w:pStyle w:val="LineBottom"/>
      </w:pPr>
    </w:p>
    <w:p w:rsidR="00B85286" w:rsidRPr="000B347F" w:rsidRDefault="000B347F">
      <w:pPr>
        <w:pStyle w:val="CoverReference"/>
      </w:pPr>
      <w:r w:rsidRPr="000B347F">
        <w:rPr>
          <w:rStyle w:val="HideTWBExt"/>
          <w:b w:val="0"/>
          <w:noProof w:val="0"/>
        </w:rPr>
        <w:t>&lt;RefProc&gt;</w:t>
      </w:r>
      <w:r w:rsidRPr="000B347F">
        <w:t>2016/0132</w:t>
      </w:r>
      <w:r w:rsidRPr="000B347F">
        <w:rPr>
          <w:rStyle w:val="HideTWBExt"/>
          <w:b w:val="0"/>
          <w:noProof w:val="0"/>
        </w:rPr>
        <w:t>&lt;/RefProc&gt;&lt;RefTypeProc&gt;</w:t>
      </w:r>
      <w:r w:rsidRPr="000B347F">
        <w:t>(COD)</w:t>
      </w:r>
      <w:r w:rsidRPr="000B347F">
        <w:rPr>
          <w:rStyle w:val="HideTWBExt"/>
          <w:b w:val="0"/>
          <w:noProof w:val="0"/>
        </w:rPr>
        <w:t>&lt;/RefTypeProc&gt;</w:t>
      </w:r>
    </w:p>
    <w:p w:rsidR="00B85286" w:rsidRPr="000B347F" w:rsidRDefault="000B347F">
      <w:pPr>
        <w:pStyle w:val="CoverDate"/>
      </w:pPr>
      <w:r w:rsidRPr="000B347F">
        <w:rPr>
          <w:rStyle w:val="HideTWBExt"/>
          <w:noProof w:val="0"/>
        </w:rPr>
        <w:t>&lt;Date&gt;</w:t>
      </w:r>
      <w:r w:rsidRPr="000B347F">
        <w:rPr>
          <w:rStyle w:val="HideTWBInt"/>
          <w:color w:val="auto"/>
        </w:rPr>
        <w:t>{19/03/2021}</w:t>
      </w:r>
      <w:r w:rsidRPr="000B347F">
        <w:t>19.03.2021</w:t>
      </w:r>
      <w:r w:rsidRPr="000B347F">
        <w:rPr>
          <w:rStyle w:val="HideTWBExt"/>
          <w:noProof w:val="0"/>
        </w:rPr>
        <w:t>&lt;/Date&gt;</w:t>
      </w:r>
    </w:p>
    <w:p w:rsidR="009B0305" w:rsidRPr="000B347F" w:rsidRDefault="000B347F" w:rsidP="009B0305">
      <w:pPr>
        <w:pStyle w:val="CoverDocType"/>
      </w:pPr>
      <w:r w:rsidRPr="000B347F">
        <w:rPr>
          <w:rStyle w:val="HideTWBExt"/>
          <w:b w:val="0"/>
          <w:noProof w:val="0"/>
        </w:rPr>
        <w:t>&lt;TypeAM&gt;</w:t>
      </w:r>
      <w:r w:rsidRPr="000B347F">
        <w:t>AMENDEMENTS</w:t>
      </w:r>
      <w:r w:rsidRPr="000B347F">
        <w:rPr>
          <w:rStyle w:val="HideTWBExt"/>
          <w:b w:val="0"/>
          <w:noProof w:val="0"/>
        </w:rPr>
        <w:t>&lt;/TypeAM&gt;</w:t>
      </w:r>
    </w:p>
    <w:p w:rsidR="00B85286" w:rsidRPr="000B347F" w:rsidRDefault="000B347F" w:rsidP="001C2054">
      <w:pPr>
        <w:pStyle w:val="CoverDocType24a"/>
      </w:pPr>
      <w:r w:rsidRPr="000B347F">
        <w:rPr>
          <w:rStyle w:val="HideTWBExt"/>
          <w:b w:val="0"/>
          <w:noProof w:val="0"/>
        </w:rPr>
        <w:t>&lt;RangeAM&gt;</w:t>
      </w:r>
      <w:r w:rsidRPr="000B347F">
        <w:t>1 – 37</w:t>
      </w:r>
      <w:r w:rsidRPr="000B347F">
        <w:rPr>
          <w:rStyle w:val="HideTWBExt"/>
          <w:b w:val="0"/>
          <w:noProof w:val="0"/>
        </w:rPr>
        <w:t>&lt;/RangeAM&gt;</w:t>
      </w:r>
    </w:p>
    <w:p w:rsidR="001C2054" w:rsidRPr="000B347F" w:rsidRDefault="000B347F" w:rsidP="00A93F8C">
      <w:pPr>
        <w:pStyle w:val="CoverBold"/>
      </w:pPr>
      <w:r w:rsidRPr="000B347F">
        <w:rPr>
          <w:rStyle w:val="HideTWBExt"/>
          <w:b w:val="0"/>
          <w:noProof w:val="0"/>
        </w:rPr>
        <w:t>&lt;TitreType&gt;</w:t>
      </w:r>
      <w:r w:rsidRPr="000B347F">
        <w:t>Projet de mandat mis à jour</w:t>
      </w:r>
      <w:r w:rsidRPr="000B347F">
        <w:rPr>
          <w:rStyle w:val="HideTWBExt"/>
          <w:b w:val="0"/>
          <w:noProof w:val="0"/>
        </w:rPr>
        <w:t>&lt;/TitreType&gt;</w:t>
      </w:r>
    </w:p>
    <w:p w:rsidR="00B85286" w:rsidRPr="000B347F" w:rsidRDefault="000B347F" w:rsidP="00A93F8C">
      <w:pPr>
        <w:pStyle w:val="CoverBold"/>
      </w:pPr>
      <w:r w:rsidRPr="000B347F">
        <w:rPr>
          <w:rStyle w:val="HideTWBExt"/>
          <w:b w:val="0"/>
          <w:noProof w:val="0"/>
        </w:rPr>
        <w:t>&lt;Rapporteur&gt;</w:t>
      </w:r>
      <w:r w:rsidRPr="000B347F">
        <w:t>Jorge Buxadé Villalba</w:t>
      </w:r>
      <w:r w:rsidRPr="000B347F">
        <w:rPr>
          <w:rStyle w:val="HideTWBExt"/>
          <w:b w:val="0"/>
          <w:noProof w:val="0"/>
        </w:rPr>
        <w:t>&lt;/Rapporteur&gt;</w:t>
      </w:r>
    </w:p>
    <w:p w:rsidR="00B85286" w:rsidRPr="000B347F" w:rsidRDefault="000B347F">
      <w:pPr>
        <w:pStyle w:val="CoverNormal24a"/>
      </w:pPr>
      <w:r w:rsidRPr="000B347F">
        <w:rPr>
          <w:rStyle w:val="HideTWBExt"/>
          <w:noProof w:val="0"/>
        </w:rPr>
        <w:t>&lt;DocRefPE&gt;</w:t>
      </w:r>
      <w:r w:rsidRPr="000B347F">
        <w:t>(PE597.620v02-00)</w:t>
      </w:r>
      <w:r w:rsidRPr="000B347F">
        <w:rPr>
          <w:rStyle w:val="HideTWBExt"/>
          <w:noProof w:val="0"/>
        </w:rPr>
        <w:t>&lt;/DocRefPE&gt;</w:t>
      </w:r>
    </w:p>
    <w:p w:rsidR="00B85286" w:rsidRPr="000B347F" w:rsidRDefault="000B347F">
      <w:pPr>
        <w:pStyle w:val="CoverNormal24a"/>
      </w:pPr>
      <w:r w:rsidRPr="000B347F">
        <w:rPr>
          <w:rStyle w:val="HideTWBExt"/>
          <w:noProof w:val="0"/>
        </w:rPr>
        <w:t>&lt;Titre&gt;</w:t>
      </w:r>
      <w:r w:rsidRPr="000B347F">
        <w:t xml:space="preserve">sur la proposition de règlement du Parlement européen et du </w:t>
      </w:r>
      <w:r w:rsidRPr="000B347F">
        <w:t>Conseil relatif à la création d’«Eurodac» pour la comparaison des données biométriques aux fins de l’application efficace du règlement (UE) XXX/XXX [règlement relatif à la gestion de l’asile et de la migration] et du règlement (UE) XXX/XXX [règlement relat</w:t>
      </w:r>
      <w:r w:rsidRPr="000B347F">
        <w:t>if à la réinstallation], pour l’identification des ressortissants de pays tiers ou apatrides en séjour irrégulier, et relatif aux demandes de comparaison avec les données d’Eurodac présentées par les autorités répressives des États membres et par Europol à</w:t>
      </w:r>
      <w:r w:rsidRPr="000B347F">
        <w:t xml:space="preserve"> des fins répressives et modifiant les règlements (UE) 2018/1240 et (UE) 2019/818 </w:t>
      </w:r>
      <w:r w:rsidRPr="000B347F">
        <w:rPr>
          <w:rStyle w:val="HideTWBExt"/>
          <w:noProof w:val="0"/>
        </w:rPr>
        <w:t>&lt;/Titre&gt;</w:t>
      </w:r>
    </w:p>
    <w:p w:rsidR="006337D4" w:rsidRPr="000B347F" w:rsidRDefault="000B347F" w:rsidP="006337D4">
      <w:pPr>
        <w:pStyle w:val="CoverNormal"/>
      </w:pPr>
      <w:r w:rsidRPr="000B347F">
        <w:rPr>
          <w:rStyle w:val="HideTWBExt"/>
          <w:noProof w:val="0"/>
        </w:rPr>
        <w:t>&lt;DocAmend&gt;</w:t>
      </w:r>
      <w:r w:rsidRPr="000B347F">
        <w:t>Proposition modifiée de règlement</w:t>
      </w:r>
      <w:r w:rsidRPr="000B347F">
        <w:rPr>
          <w:rStyle w:val="HideTWBExt"/>
          <w:noProof w:val="0"/>
        </w:rPr>
        <w:t>&lt;/DocAmend&gt;</w:t>
      </w:r>
    </w:p>
    <w:p w:rsidR="00B85286" w:rsidRPr="000B347F" w:rsidRDefault="000B347F">
      <w:pPr>
        <w:pStyle w:val="CoverNormal24a"/>
      </w:pPr>
      <w:r w:rsidRPr="000B347F">
        <w:rPr>
          <w:rStyle w:val="HideTWBExt"/>
          <w:noProof w:val="0"/>
        </w:rPr>
        <w:t>&lt;DocRef&gt;</w:t>
      </w:r>
      <w:r w:rsidRPr="000B347F">
        <w:t>COM(2020)0614 – C8-0179/2016 – 2016/0132 ((COD))</w:t>
      </w:r>
      <w:r w:rsidRPr="000B347F">
        <w:rPr>
          <w:rStyle w:val="HideTWBExt"/>
          <w:noProof w:val="0"/>
        </w:rPr>
        <w:t>&lt;/DocRef&gt;</w:t>
      </w:r>
    </w:p>
    <w:p w:rsidR="00B85286" w:rsidRPr="000B347F" w:rsidRDefault="000B347F" w:rsidP="00E660E2">
      <w:pPr>
        <w:widowControl/>
        <w:tabs>
          <w:tab w:val="center" w:pos="4677"/>
        </w:tabs>
      </w:pPr>
      <w:r w:rsidRPr="000B347F">
        <w:br w:type="page"/>
      </w:r>
      <w:r w:rsidRPr="000B347F">
        <w:lastRenderedPageBreak/>
        <w:t>AM_Com_LegReport</w:t>
      </w:r>
    </w:p>
    <w:p w:rsidR="006C1CE1" w:rsidRPr="000B347F" w:rsidRDefault="000B347F" w:rsidP="00EC4B67">
      <w:pPr>
        <w:pStyle w:val="AmNumberTabs"/>
        <w:keepNext/>
      </w:pPr>
      <w:r w:rsidRPr="000B347F">
        <w:br w:type="page"/>
      </w:r>
      <w:bookmarkStart w:id="1" w:name="IntroB"/>
    </w:p>
    <w:p w:rsidR="006C1CE1" w:rsidRPr="000B347F" w:rsidRDefault="006C1CE1" w:rsidP="006C1CE1"/>
    <w:p w:rsidR="006C1CE1" w:rsidRPr="000B347F" w:rsidRDefault="000B347F" w:rsidP="006C1CE1">
      <w:pPr>
        <w:pStyle w:val="AMNumberTabs0"/>
        <w:keepNext/>
      </w:pPr>
      <w:r w:rsidRPr="000B347F">
        <w:rPr>
          <w:rStyle w:val="HideTWBExt"/>
          <w:b w:val="0"/>
          <w:noProof w:val="0"/>
        </w:rPr>
        <w:t>&lt;RepeatBlock-Amend&gt;&lt;Amend&gt;</w:t>
      </w:r>
      <w:r w:rsidRPr="000B347F">
        <w:t>Amendement</w:t>
      </w:r>
      <w:r w:rsidRPr="000B347F">
        <w:tab/>
      </w:r>
      <w:r w:rsidRPr="000B347F">
        <w:tab/>
      </w:r>
      <w:r w:rsidRPr="000B347F">
        <w:rPr>
          <w:rStyle w:val="HideTWBExt"/>
          <w:b w:val="0"/>
          <w:noProof w:val="0"/>
        </w:rPr>
        <w:t>&lt;NumAm&gt;</w:t>
      </w:r>
      <w:r w:rsidRPr="000B347F">
        <w:t>1</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Visa 1</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 xml:space="preserve">vu le traité sur le fonctionnement de l’Union européenne, et notamment son article 78, paragraphe 2, points d), e) et g), son article 79, paragraphe 2, point c), son article 87, paragraphe 2, </w:t>
            </w:r>
            <w:r w:rsidRPr="000B347F">
              <w:rPr>
                <w:b/>
                <w:i/>
              </w:rPr>
              <w:t>point</w:t>
            </w:r>
            <w:r w:rsidRPr="000B347F">
              <w:t> c), et son article 88, paragraphe 2, point a),</w:t>
            </w:r>
          </w:p>
        </w:tc>
        <w:tc>
          <w:tcPr>
            <w:tcW w:w="4876" w:type="dxa"/>
          </w:tcPr>
          <w:p w:rsidR="006C1CE1" w:rsidRPr="000B347F" w:rsidRDefault="000B347F" w:rsidP="006D69C2">
            <w:pPr>
              <w:pStyle w:val="Normal6"/>
              <w:rPr>
                <w:szCs w:val="24"/>
              </w:rPr>
            </w:pPr>
            <w:r w:rsidRPr="000B347F">
              <w:t>vu le trait</w:t>
            </w:r>
            <w:r w:rsidRPr="000B347F">
              <w:t xml:space="preserve">é sur le fonctionnement de l’Union européenne, et notamment son article 78, paragraphe 2, points d), e) et g), son article 79, paragraphe 2, point c), son article 87, paragraphe 2, </w:t>
            </w:r>
            <w:r w:rsidRPr="000B347F">
              <w:rPr>
                <w:b/>
                <w:i/>
              </w:rPr>
              <w:t>points a) et</w:t>
            </w:r>
            <w:r w:rsidRPr="000B347F">
              <w:t> c), et son article 88, paragraphe 2, point a),</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pPr>
        <w:pStyle w:val="JustificationTitle"/>
        <w:rPr>
          <w:noProof w:val="0"/>
        </w:rPr>
      </w:pPr>
      <w:r w:rsidRPr="000B347F">
        <w:rPr>
          <w:rStyle w:val="HideTWBExt"/>
          <w:i w:val="0"/>
          <w:noProof w:val="0"/>
        </w:rPr>
        <w:t>&lt;TitreJust&gt;</w:t>
      </w:r>
      <w:r w:rsidRPr="000B347F">
        <w:rPr>
          <w:noProof w:val="0"/>
        </w:rPr>
        <w:t>Justification</w:t>
      </w:r>
      <w:r w:rsidRPr="000B347F">
        <w:rPr>
          <w:rStyle w:val="HideTWBExt"/>
          <w:i w:val="0"/>
          <w:noProof w:val="0"/>
        </w:rPr>
        <w:t>&lt;/TitreJust&gt;</w:t>
      </w:r>
    </w:p>
    <w:p w:rsidR="006C1CE1" w:rsidRPr="000B347F" w:rsidRDefault="000B347F" w:rsidP="006C1CE1">
      <w:pPr>
        <w:pStyle w:val="Normal12Italic"/>
        <w:rPr>
          <w:noProof w:val="0"/>
        </w:rPr>
      </w:pPr>
      <w:r w:rsidRPr="000B347F">
        <w:rPr>
          <w:noProof w:val="0"/>
        </w:rPr>
        <w:t>Base juridique pour ce qui est des éléments se rapportant à la collecte, au stockage, au traitement, à l’analyse et à l’échange d’informations pertinentes à des fins répressives (accord ad referendum –</w:t>
      </w:r>
      <w:r w:rsidRPr="000B347F">
        <w:rPr>
          <w:noProof w:val="0"/>
        </w:rPr>
        <w:t xml:space="preserve"> partie jaune)</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2</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Préambule – point 2 – considérant 5 ter bis (nouveau)</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4E4907">
            <w:pPr>
              <w:pStyle w:val="Normal6"/>
              <w:rPr>
                <w:szCs w:val="24"/>
              </w:rPr>
            </w:pPr>
            <w:r w:rsidRPr="000B347F">
              <w:rPr>
                <w:b/>
                <w:i/>
              </w:rPr>
              <w:t>(5 ter bis)</w:t>
            </w:r>
            <w:r w:rsidRPr="000B347F">
              <w:rPr>
                <w:b/>
                <w:i/>
              </w:rPr>
              <w:tab/>
              <w:t>Aux fins de l’accomplissement des tâches prévues dans le règlement (UE) 2019/1896 du Parlement européen et du Conseil </w:t>
            </w:r>
            <w:r w:rsidRPr="000B347F">
              <w:rPr>
                <w:b/>
                <w:i/>
                <w:vertAlign w:val="superscript"/>
              </w:rPr>
              <w:t>1 bis</w:t>
            </w:r>
            <w:r w:rsidRPr="000B347F">
              <w:rPr>
                <w:b/>
                <w:i/>
              </w:rPr>
              <w:t xml:space="preserve">, il est également nécessaire que le contingent permanent du corps européen </w:t>
            </w:r>
            <w:r w:rsidRPr="000B347F">
              <w:rPr>
                <w:b/>
                <w:i/>
              </w:rPr>
              <w:t>de garde-frontières et de garde-côtes ait accès à Eurodac afin de rechercher des données au moyen de sa propre interface technique, qui devrait être conçue et gérée par l’Agence de l’Union européenne pour la gestion opérationnelle des systèmes d’informatio</w:t>
            </w:r>
            <w:r w:rsidRPr="000B347F">
              <w:rPr>
                <w:b/>
                <w:i/>
              </w:rPr>
              <w:t xml:space="preserve">n à grande échelle au sein de l’espace de liberté, de sécurité et de justice </w:t>
            </w:r>
            <w:r w:rsidRPr="000B347F">
              <w:rPr>
                <w:b/>
                <w:i/>
              </w:rPr>
              <w:lastRenderedPageBreak/>
              <w:t>(eu-LISA) en coopération avec l’Agence européenne de garde-frontières et de garde-côtes. L’expérience opérationnelle acquise lors du déploiement passé du personnel de l’Agence eur</w:t>
            </w:r>
            <w:r w:rsidRPr="000B347F">
              <w:rPr>
                <w:b/>
                <w:i/>
              </w:rPr>
              <w:t>opéenne de garde-frontières et de garde-côtes témoigne des difficultés que les membres des équipes ont rencontrées, d’un point de vue juridique, technique et pratique, lors de l’utilisation des systèmes et des interfaces informatiques nationaux pour accéde</w:t>
            </w:r>
            <w:r w:rsidRPr="000B347F">
              <w:rPr>
                <w:b/>
                <w:i/>
              </w:rPr>
              <w:t>r à Eurodac. Afin d’optimiser son soutien et sa capacité opérationnels, l’Agence européenne de garde-frontières et de garde-côtes devrait pouvoir compter sur ses propres capacités, y compris des systèmes informatiques efficaces.</w:t>
            </w:r>
          </w:p>
        </w:tc>
      </w:tr>
      <w:tr w:rsidR="005C07BC" w:rsidRPr="000B347F" w:rsidTr="006D69C2">
        <w:trPr>
          <w:jc w:val="center"/>
        </w:trPr>
        <w:tc>
          <w:tcPr>
            <w:tcW w:w="4876" w:type="dxa"/>
          </w:tcPr>
          <w:p w:rsidR="00636AAB" w:rsidRPr="000B347F" w:rsidRDefault="00636AAB" w:rsidP="006D69C2">
            <w:pPr>
              <w:pStyle w:val="Normal6"/>
            </w:pPr>
          </w:p>
        </w:tc>
        <w:tc>
          <w:tcPr>
            <w:tcW w:w="4876" w:type="dxa"/>
          </w:tcPr>
          <w:p w:rsidR="00636AAB" w:rsidRPr="000B347F" w:rsidRDefault="000B347F" w:rsidP="00636AAB">
            <w:pPr>
              <w:pStyle w:val="Normal6"/>
              <w:rPr>
                <w:b/>
                <w:i/>
              </w:rPr>
            </w:pPr>
            <w:r w:rsidRPr="000B347F">
              <w:rPr>
                <w:b/>
                <w:i/>
              </w:rPr>
              <w:t>______________</w:t>
            </w:r>
          </w:p>
        </w:tc>
      </w:tr>
      <w:tr w:rsidR="005C07BC" w:rsidRPr="000B347F" w:rsidTr="006D69C2">
        <w:trPr>
          <w:jc w:val="center"/>
        </w:trPr>
        <w:tc>
          <w:tcPr>
            <w:tcW w:w="4876" w:type="dxa"/>
          </w:tcPr>
          <w:p w:rsidR="00636AAB" w:rsidRPr="000B347F" w:rsidRDefault="00636AAB" w:rsidP="006D69C2">
            <w:pPr>
              <w:pStyle w:val="Normal6"/>
            </w:pPr>
          </w:p>
        </w:tc>
        <w:tc>
          <w:tcPr>
            <w:tcW w:w="4876" w:type="dxa"/>
          </w:tcPr>
          <w:p w:rsidR="00636AAB" w:rsidRPr="000B347F" w:rsidRDefault="000B347F" w:rsidP="00636AAB">
            <w:pPr>
              <w:pStyle w:val="Normal6"/>
              <w:rPr>
                <w:b/>
                <w:i/>
              </w:rPr>
            </w:pPr>
            <w:r w:rsidRPr="000B347F">
              <w:rPr>
                <w:b/>
                <w:i/>
                <w:vertAlign w:val="superscript"/>
              </w:rPr>
              <w:t>1 bis</w:t>
            </w:r>
            <w:r w:rsidRPr="000B347F">
              <w:rPr>
                <w:b/>
                <w:i/>
              </w:rPr>
              <w:tab/>
              <w:t>Rè</w:t>
            </w:r>
            <w:r w:rsidRPr="000B347F">
              <w:rPr>
                <w:b/>
                <w:i/>
              </w:rPr>
              <w:t>glement (UE) 2019/1896 du Parlement européen et du Conseil du 13 novembre 2019 relatif au corps européen de garde-frontières et de garde-côtes et abrogeant les règlements (UE) nº 1052/2013 et (UE) 2016/1624 (</w:t>
            </w:r>
            <w:r w:rsidRPr="000B347F">
              <w:rPr>
                <w:rStyle w:val="Emphasis"/>
                <w:b/>
              </w:rPr>
              <w:t>JO L 295 du 14.11.2019, p. 1</w:t>
            </w:r>
            <w:r w:rsidRPr="000B347F">
              <w:rPr>
                <w:b/>
                <w:i/>
              </w:rPr>
              <w:t>).</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3</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Préambule – point 2 – considérant 5 quater</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 xml:space="preserve">Texte </w:t>
            </w:r>
            <w:r w:rsidRPr="000B347F">
              <w:t>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CD7BAF">
            <w:pPr>
              <w:pStyle w:val="Normal6"/>
            </w:pPr>
            <w:r w:rsidRPr="000B347F">
              <w:t>(5 quater)</w:t>
            </w:r>
            <w:r w:rsidRPr="000B347F">
              <w:tab/>
              <w:t xml:space="preserve">De même, aux fins de </w:t>
            </w:r>
            <w:r w:rsidRPr="000B347F">
              <w:rPr>
                <w:b/>
                <w:i/>
              </w:rPr>
              <w:t>la gestion de la migration irrégulière</w:t>
            </w:r>
            <w:r w:rsidRPr="000B347F">
              <w:t>, il est nécessaire de permettre à l’eu-LISA de produire des statistiques intersystèmes à partir des données d’Eurodac, du système d’information sur</w:t>
            </w:r>
            <w:r w:rsidRPr="000B347F">
              <w:t xml:space="preserve"> les visas, d’ETIAS</w:t>
            </w:r>
            <w:r w:rsidRPr="000B347F">
              <w:rPr>
                <w:b/>
                <w:i/>
              </w:rPr>
              <w:t xml:space="preserve"> et</w:t>
            </w:r>
            <w:r w:rsidRPr="000B347F">
              <w:t xml:space="preserve"> du système d’entrée/sortie. Afin de préciser le contenu de ces statistiques intersystèmes, il convient de conférer des compétences </w:t>
            </w:r>
            <w:r w:rsidRPr="000B347F">
              <w:lastRenderedPageBreak/>
              <w:t>d’exécution à la Commission. Il convient que ces compétences soient exercées conformément au règlement</w:t>
            </w:r>
            <w:r w:rsidRPr="000B347F">
              <w:t xml:space="preserve"> (UE) nº 182/2011 du Parlement européen et du Conseil du 16 février 2011 établissant les règles et principes généraux relatifs aux modalités de contrôle par les États membres de l’exercice des compétences d’exécution par la Commission.»;</w:t>
            </w:r>
          </w:p>
        </w:tc>
        <w:tc>
          <w:tcPr>
            <w:tcW w:w="4876" w:type="dxa"/>
          </w:tcPr>
          <w:p w:rsidR="006C1CE1" w:rsidRPr="000B347F" w:rsidRDefault="000B347F" w:rsidP="00CD7BAF">
            <w:pPr>
              <w:pStyle w:val="Normal6"/>
              <w:rPr>
                <w:szCs w:val="24"/>
              </w:rPr>
            </w:pPr>
            <w:r w:rsidRPr="000B347F">
              <w:lastRenderedPageBreak/>
              <w:t>(5 quater)</w:t>
            </w:r>
            <w:r w:rsidRPr="000B347F">
              <w:tab/>
              <w:t>De même</w:t>
            </w:r>
            <w:r w:rsidRPr="000B347F">
              <w:t xml:space="preserve">, aux fins de </w:t>
            </w:r>
            <w:r w:rsidRPr="000B347F">
              <w:rPr>
                <w:b/>
                <w:i/>
              </w:rPr>
              <w:t>l’assistance aux États membres dans le contrôle de l’immigration illégale</w:t>
            </w:r>
            <w:r w:rsidRPr="000B347F">
              <w:t>, il est nécessaire de permettre à l’eu-LISA de produire des statistiques intersystèmes à partir des données</w:t>
            </w:r>
            <w:r w:rsidRPr="000B347F">
              <w:rPr>
                <w:b/>
                <w:i/>
              </w:rPr>
              <w:t xml:space="preserve"> provenant de bases de données pertinentes de l’Union, notamm</w:t>
            </w:r>
            <w:r w:rsidRPr="000B347F">
              <w:rPr>
                <w:b/>
                <w:i/>
              </w:rPr>
              <w:t>ent</w:t>
            </w:r>
            <w:r w:rsidRPr="000B347F">
              <w:t xml:space="preserve"> d’Eurodac, du système d’information sur les visas, d’ETIAS</w:t>
            </w:r>
            <w:r w:rsidRPr="000B347F">
              <w:rPr>
                <w:b/>
                <w:i/>
              </w:rPr>
              <w:t>,</w:t>
            </w:r>
            <w:r w:rsidRPr="000B347F">
              <w:t xml:space="preserve"> du </w:t>
            </w:r>
            <w:r w:rsidRPr="000B347F">
              <w:lastRenderedPageBreak/>
              <w:t>système d’entrée/sortie</w:t>
            </w:r>
            <w:r w:rsidRPr="000B347F">
              <w:rPr>
                <w:b/>
                <w:i/>
              </w:rPr>
              <w:t xml:space="preserve"> et du système d’information Schengen</w:t>
            </w:r>
            <w:r w:rsidRPr="000B347F">
              <w:t>. Afin de préciser le contenu de ces statistiques intersystèmes, il convient de conférer des compétences d’exécution à la Commiss</w:t>
            </w:r>
            <w:r w:rsidRPr="000B347F">
              <w:t xml:space="preserve">ion. Il convient que ces compétences soient exercées conformément au règlement (UE) nº 182/2011 du Parlement européen et du Conseil du 16 février 2011 établissant les règles et principes généraux relatifs aux modalités de contrôle par les États membres de </w:t>
            </w:r>
            <w:r w:rsidRPr="000B347F">
              <w:t>l’exercice des compétences d’exécution par la Commission.»;</w:t>
            </w:r>
          </w:p>
        </w:tc>
      </w:tr>
    </w:tbl>
    <w:p w:rsidR="006C1CE1" w:rsidRPr="000B347F" w:rsidRDefault="000B347F" w:rsidP="006C1CE1">
      <w:pPr>
        <w:pStyle w:val="Olang"/>
        <w:rPr>
          <w:noProof w:val="0"/>
        </w:rPr>
      </w:pPr>
      <w:r w:rsidRPr="000B347F">
        <w:rPr>
          <w:noProof w:val="0"/>
        </w:rPr>
        <w:lastRenderedPageBreak/>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4</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Préambule – point 3 – considérant 6</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(6)</w:t>
            </w:r>
            <w:r w:rsidRPr="000B347F">
              <w:tab/>
              <w:t xml:space="preserve">«À ces fins, il est nécessaire de créer un système dénommé “Eurodac”, composé d’un système central et du répertoire commun de données </w:t>
            </w:r>
            <w:r w:rsidRPr="000B347F">
              <w:t xml:space="preserve">d’identité établi par le règlement (UE) 2019/818, qui gérera une base de données biométriques, centrale et informatisée, ainsi que des moyens de transmission électroniques entre les États membres et ces systèmes [le système central et le répertoire commun </w:t>
            </w:r>
            <w:r w:rsidRPr="000B347F">
              <w:t>de données d’identité], ci-après dénommés l’“infrastructure de communication”.»;</w:t>
            </w:r>
          </w:p>
        </w:tc>
        <w:tc>
          <w:tcPr>
            <w:tcW w:w="4876" w:type="dxa"/>
          </w:tcPr>
          <w:p w:rsidR="006C1CE1" w:rsidRPr="000B347F" w:rsidRDefault="000B347F" w:rsidP="006D69C2">
            <w:pPr>
              <w:pStyle w:val="Normal6"/>
              <w:rPr>
                <w:szCs w:val="24"/>
              </w:rPr>
            </w:pPr>
            <w:r w:rsidRPr="000B347F">
              <w:t>(6)</w:t>
            </w:r>
            <w:r w:rsidRPr="000B347F">
              <w:tab/>
              <w:t>«À ces fins, il est nécessaire de créer un système dénommé “Eurodac”, composé d’un système central et du répertoire commun de données d’identité établi par le règlement (U</w:t>
            </w:r>
            <w:r w:rsidRPr="000B347F">
              <w:t>E) 2019/818, qui gérera une base de données biométriques</w:t>
            </w:r>
            <w:r w:rsidRPr="000B347F">
              <w:rPr>
                <w:b/>
                <w:i/>
              </w:rPr>
              <w:t xml:space="preserve"> et alphanumériques</w:t>
            </w:r>
            <w:r w:rsidRPr="000B347F">
              <w:t>, centrale et informatisée, ainsi que des moyens de transmission électroniques entre les États membres et ces systèmes [le système central et le répertoire commun de données d’ident</w:t>
            </w:r>
            <w:r w:rsidRPr="000B347F">
              <w:t>ité], ci-après dénommés l’“infrastructure de communication”.»;</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5</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lastRenderedPageBreak/>
        <w:t>&lt;DocAmend&gt;</w:t>
      </w:r>
      <w:r w:rsidRPr="000B347F">
        <w:t>Proposition de règlement</w:t>
      </w:r>
      <w:r w:rsidRPr="000B347F">
        <w:rPr>
          <w:rStyle w:val="HideTWBExt"/>
          <w:b w:val="0"/>
          <w:noProof w:val="0"/>
        </w:rPr>
        <w:t>&lt;/DocA</w:t>
      </w:r>
      <w:r w:rsidRPr="000B347F">
        <w:rPr>
          <w:rStyle w:val="HideTWBExt"/>
          <w:b w:val="0"/>
          <w:noProof w:val="0"/>
        </w:rPr>
        <w:t>mend&gt;</w:t>
      </w:r>
    </w:p>
    <w:p w:rsidR="006C1CE1" w:rsidRPr="000B347F" w:rsidRDefault="000B347F" w:rsidP="006C1CE1">
      <w:pPr>
        <w:pStyle w:val="NormalBold"/>
      </w:pPr>
      <w:r w:rsidRPr="000B347F">
        <w:rPr>
          <w:rStyle w:val="HideTWBExt"/>
          <w:b w:val="0"/>
          <w:noProof w:val="0"/>
        </w:rPr>
        <w:t>&lt;Article&gt;</w:t>
      </w:r>
      <w:r w:rsidRPr="000B347F">
        <w:t>Préambule – point 5 – considérant 14</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(14)</w:t>
            </w:r>
            <w:r w:rsidRPr="000B347F">
              <w:tab/>
              <w:t xml:space="preserve">«En outre, pour qu’Eurodac puisse contribuer efficacement au contrôle de </w:t>
            </w:r>
            <w:r w:rsidRPr="000B347F">
              <w:rPr>
                <w:b/>
                <w:i/>
              </w:rPr>
              <w:t>la migration irrégulière</w:t>
            </w:r>
            <w:r w:rsidRPr="000B347F">
              <w:t xml:space="preserve"> et à la détection des mouvements secondaires au sein de </w:t>
            </w:r>
            <w:r w:rsidRPr="000B347F">
              <w:rPr>
                <w:b/>
                <w:i/>
              </w:rPr>
              <w:t>l’UE</w:t>
            </w:r>
            <w:r w:rsidRPr="000B347F">
              <w:t>, il est nécessaire de permettre au système de comptabiliser les demandeurs en plus des demandes en reliant tous les ensembles de données correspondant à une même personne, quelle que soit la cat</w:t>
            </w:r>
            <w:r w:rsidRPr="000B347F">
              <w:t>égorie dont ils relèvent, dans une seule séquence.»;</w:t>
            </w:r>
          </w:p>
        </w:tc>
        <w:tc>
          <w:tcPr>
            <w:tcW w:w="4876" w:type="dxa"/>
          </w:tcPr>
          <w:p w:rsidR="006C1CE1" w:rsidRPr="000B347F" w:rsidRDefault="000B347F" w:rsidP="00CD7BAF">
            <w:pPr>
              <w:pStyle w:val="Normal6"/>
              <w:rPr>
                <w:szCs w:val="24"/>
              </w:rPr>
            </w:pPr>
            <w:r w:rsidRPr="000B347F">
              <w:t>(14)</w:t>
            </w:r>
            <w:r w:rsidRPr="000B347F">
              <w:tab/>
              <w:t xml:space="preserve">«En outre, pour qu’Eurodac puisse contribuer efficacement au contrôle de </w:t>
            </w:r>
            <w:r w:rsidRPr="000B347F">
              <w:rPr>
                <w:b/>
                <w:i/>
              </w:rPr>
              <w:t>l’immigration illégale vers l’Union</w:t>
            </w:r>
            <w:r w:rsidRPr="000B347F">
              <w:t xml:space="preserve"> et à la détection des mouvements secondaires au sein de </w:t>
            </w:r>
            <w:r w:rsidRPr="000B347F">
              <w:rPr>
                <w:b/>
                <w:i/>
              </w:rPr>
              <w:t>l’Union</w:t>
            </w:r>
            <w:r w:rsidRPr="000B347F">
              <w:t xml:space="preserve">, il est nécessaire de </w:t>
            </w:r>
            <w:r w:rsidRPr="000B347F">
              <w:t>permettre au système de comptabiliser les demandeurs en plus des demandes en reliant tous les ensembles de données correspondant à une même personne, quelle que soit la catégorie dont ils relèvent, dans une seule séquence.»;</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w:t>
      </w:r>
      <w:r w:rsidRPr="000B347F">
        <w:rPr>
          <w:rStyle w:val="HideTWBExt"/>
          <w:noProof w:val="0"/>
        </w:rPr>
        <w:t>&gt;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6</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9 – article 1 – paragraphe 1– point c</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 xml:space="preserve">Texte </w:t>
            </w:r>
            <w:r w:rsidRPr="000B347F">
              <w:t>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c)</w:t>
            </w:r>
            <w:r w:rsidRPr="000B347F">
              <w:tab/>
              <w:t xml:space="preserve">contribuer au contrôle de l’immigration </w:t>
            </w:r>
            <w:r w:rsidRPr="000B347F">
              <w:rPr>
                <w:b/>
                <w:i/>
              </w:rPr>
              <w:t>irrégulière</w:t>
            </w:r>
            <w:r w:rsidRPr="000B347F">
              <w:t xml:space="preserve"> vers l’Union et à la détection des mouvements secondaires au sein de celle-ci ainsi qu’à l’identification des ressortissants de pays tiers et des apatrides en séjo</w:t>
            </w:r>
            <w:r w:rsidRPr="000B347F">
              <w:t>ur irrégulier, afin de définir les mesures appropriées qui doivent être prises par les États membres;</w:t>
            </w:r>
          </w:p>
        </w:tc>
        <w:tc>
          <w:tcPr>
            <w:tcW w:w="4876" w:type="dxa"/>
          </w:tcPr>
          <w:p w:rsidR="006C1CE1" w:rsidRPr="000B347F" w:rsidRDefault="000B347F" w:rsidP="006D69C2">
            <w:pPr>
              <w:pStyle w:val="Normal6"/>
              <w:rPr>
                <w:szCs w:val="24"/>
              </w:rPr>
            </w:pPr>
            <w:r w:rsidRPr="000B347F">
              <w:t>c)</w:t>
            </w:r>
            <w:r w:rsidRPr="000B347F">
              <w:tab/>
              <w:t xml:space="preserve">contribuer au contrôle de l’immigration </w:t>
            </w:r>
            <w:r w:rsidRPr="000B347F">
              <w:rPr>
                <w:b/>
                <w:i/>
              </w:rPr>
              <w:t>illégale</w:t>
            </w:r>
            <w:r w:rsidRPr="000B347F">
              <w:t xml:space="preserve"> vers l’Union et à la détection des mouvements secondaires au sein de celle-ci ainsi qu’à l’identificat</w:t>
            </w:r>
            <w:r w:rsidRPr="000B347F">
              <w:t>ion des ressortissants de pays tiers et des apatrides en séjour irrégulier, afin de définir les mesures appropriées qui doivent être prises par les États membres;</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7</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9 – article 1 – paragraphe 1– point d</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d)</w:t>
            </w:r>
            <w:r w:rsidRPr="000B347F">
              <w:tab/>
              <w:t xml:space="preserve">définir </w:t>
            </w:r>
            <w:r w:rsidRPr="000B347F">
              <w:t>les conditions dans lesquelles les autorités désignées des États membres et l’Office européen de police (Europol) peuvent demander la comparaison de données biométriques ou alphanumériques avec celles conservées dans le système central à des fins répressiv</w:t>
            </w:r>
            <w:r w:rsidRPr="000B347F">
              <w:t>es, en vue de la prévention et de la détection d’infractions terroristes ou d’autres infractions pénales graves, ou en vue des enquêtes en la matière;</w:t>
            </w:r>
          </w:p>
        </w:tc>
        <w:tc>
          <w:tcPr>
            <w:tcW w:w="4876" w:type="dxa"/>
          </w:tcPr>
          <w:p w:rsidR="006C1CE1" w:rsidRPr="000B347F" w:rsidRDefault="000B347F" w:rsidP="00813143">
            <w:pPr>
              <w:pStyle w:val="Normal6"/>
              <w:rPr>
                <w:szCs w:val="24"/>
              </w:rPr>
            </w:pPr>
            <w:r w:rsidRPr="000B347F">
              <w:t>d)</w:t>
            </w:r>
            <w:r w:rsidRPr="000B347F">
              <w:tab/>
              <w:t xml:space="preserve">définir les conditions dans lesquelles les autorités désignées des États membres et l’Office européen </w:t>
            </w:r>
            <w:r w:rsidRPr="000B347F">
              <w:t>de police (Europol) peuvent demander la comparaison de données biométriques ou alphanumériques avec celles conservées dans le système central</w:t>
            </w:r>
            <w:r w:rsidRPr="000B347F">
              <w:rPr>
                <w:b/>
                <w:i/>
              </w:rPr>
              <w:t xml:space="preserve"> et dans le répertoire commun de données d’identité (CIR),</w:t>
            </w:r>
            <w:r w:rsidRPr="000B347F">
              <w:t xml:space="preserve"> à des fins répressives, en vue de la prévention et de la</w:t>
            </w:r>
            <w:r w:rsidRPr="000B347F">
              <w:t xml:space="preserve"> détection d’infractions terroristes ou d’autres infractions pénales graves, ou en vue des enquêtes en la matière;</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8</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w:t>
      </w:r>
      <w:r w:rsidRPr="000B347F">
        <w:rPr>
          <w:rStyle w:val="HideTWBExt"/>
          <w:noProof w:val="0"/>
        </w:rPr>
        <w:t>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9 – article 1 – paragraphe 2</w:t>
      </w:r>
      <w:r w:rsidRPr="000B347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211B52">
        <w:trPr>
          <w:jc w:val="center"/>
        </w:trPr>
        <w:tc>
          <w:tcPr>
            <w:tcW w:w="9752" w:type="dxa"/>
            <w:gridSpan w:val="2"/>
          </w:tcPr>
          <w:p w:rsidR="006C1CE1" w:rsidRPr="000B347F" w:rsidRDefault="006C1CE1" w:rsidP="006D69C2">
            <w:pPr>
              <w:keepNext/>
            </w:pPr>
          </w:p>
        </w:tc>
      </w:tr>
      <w:tr w:rsidR="005C07BC" w:rsidRPr="000B347F" w:rsidTr="00211B5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211B52">
        <w:trPr>
          <w:jc w:val="center"/>
        </w:trPr>
        <w:tc>
          <w:tcPr>
            <w:tcW w:w="4876" w:type="dxa"/>
          </w:tcPr>
          <w:p w:rsidR="006C1CE1" w:rsidRPr="000B347F" w:rsidRDefault="000B347F" w:rsidP="006D69C2">
            <w:pPr>
              <w:pStyle w:val="Normal6"/>
            </w:pPr>
            <w:r w:rsidRPr="000B347F">
              <w:t>2.</w:t>
            </w:r>
            <w:r w:rsidRPr="000B347F">
              <w:tab/>
            </w:r>
            <w:r w:rsidRPr="000B347F">
              <w:t xml:space="preserve">Sans préjudice du traitement des données destinées à Eurodac par l’État membre d’origine dans des fichiers institués en vertu de son droit national, les données biométriques et les autres données à caractère personnel ne peuvent être traitées dans Eurodac </w:t>
            </w:r>
            <w:r w:rsidRPr="000B347F">
              <w:t>qu’aux fins prévues dans le présent règlement</w:t>
            </w:r>
            <w:r w:rsidRPr="000B347F">
              <w:rPr>
                <w:b/>
                <w:i/>
              </w:rPr>
              <w:t>,</w:t>
            </w:r>
            <w:r w:rsidRPr="000B347F">
              <w:t xml:space="preserve"> dans </w:t>
            </w:r>
            <w:r w:rsidRPr="000B347F">
              <w:rPr>
                <w:b/>
                <w:i/>
              </w:rPr>
              <w:t>le règlement</w:t>
            </w:r>
            <w:r w:rsidRPr="000B347F">
              <w:t xml:space="preserve"> (UE) XXX/XXX [règlement relatif à la gestion de l’asile et de la migration]</w:t>
            </w:r>
            <w:r w:rsidRPr="000B347F">
              <w:rPr>
                <w:b/>
                <w:i/>
              </w:rPr>
              <w:t xml:space="preserve"> et</w:t>
            </w:r>
            <w:r w:rsidRPr="000B347F">
              <w:t xml:space="preserve"> </w:t>
            </w:r>
            <w:r w:rsidRPr="000B347F">
              <w:rPr>
                <w:b/>
                <w:i/>
              </w:rPr>
              <w:t>dans le règlement</w:t>
            </w:r>
            <w:r w:rsidRPr="000B347F">
              <w:t xml:space="preserve"> (UE) XXX/XXX [règlement sur la réinstallation].»;</w:t>
            </w:r>
          </w:p>
        </w:tc>
        <w:tc>
          <w:tcPr>
            <w:tcW w:w="4876" w:type="dxa"/>
          </w:tcPr>
          <w:p w:rsidR="006C1CE1" w:rsidRPr="000B347F" w:rsidRDefault="000B347F" w:rsidP="00813143">
            <w:pPr>
              <w:pStyle w:val="Normal6"/>
              <w:rPr>
                <w:szCs w:val="24"/>
              </w:rPr>
            </w:pPr>
            <w:r w:rsidRPr="000B347F">
              <w:t>2.</w:t>
            </w:r>
            <w:r w:rsidRPr="000B347F">
              <w:tab/>
            </w:r>
            <w:r w:rsidRPr="000B347F">
              <w:t xml:space="preserve">Sans préjudice du traitement des données destinées à Eurodac par l’État membre d’origine dans des fichiers institués en vertu de son droit national, les données biométriques et les autres données à caractère personnel ne peuvent être traitées dans Eurodac </w:t>
            </w:r>
            <w:r w:rsidRPr="000B347F">
              <w:t>qu’aux fins prévues dans le présent règlement</w:t>
            </w:r>
            <w:r w:rsidRPr="000B347F">
              <w:rPr>
                <w:b/>
                <w:i/>
              </w:rPr>
              <w:t xml:space="preserve"> et</w:t>
            </w:r>
            <w:r w:rsidRPr="000B347F">
              <w:t xml:space="preserve"> dans </w:t>
            </w:r>
            <w:r w:rsidRPr="000B347F">
              <w:rPr>
                <w:b/>
                <w:i/>
              </w:rPr>
              <w:t>les règlements</w:t>
            </w:r>
            <w:r w:rsidRPr="000B347F">
              <w:t xml:space="preserve"> (UE) XXX/XXX [règlement relatif à la gestion de l’asile et de la migration]</w:t>
            </w:r>
            <w:r w:rsidRPr="000B347F">
              <w:rPr>
                <w:b/>
                <w:i/>
              </w:rPr>
              <w:t>,</w:t>
            </w:r>
            <w:r w:rsidRPr="000B347F">
              <w:t xml:space="preserve"> (UE) XXX/XXX [règlement sur la réinstallation]</w:t>
            </w:r>
            <w:r w:rsidRPr="000B347F">
              <w:rPr>
                <w:b/>
                <w:i/>
              </w:rPr>
              <w:t>, (UE) 2019/818, (UE) XXX/XXX [règlement VIS] et (UE) 2018/1240</w:t>
            </w:r>
            <w:r w:rsidRPr="000B347F">
              <w:t>.</w:t>
            </w:r>
            <w:r w:rsidRPr="000B347F">
              <w:t>»;</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lastRenderedPageBreak/>
        <w:t>&lt;Amend&gt;</w:t>
      </w:r>
      <w:r w:rsidRPr="000B347F">
        <w:t>Amendement</w:t>
      </w:r>
      <w:r w:rsidRPr="000B347F">
        <w:tab/>
      </w:r>
      <w:r w:rsidRPr="000B347F">
        <w:tab/>
      </w:r>
      <w:r w:rsidRPr="000B347F">
        <w:rPr>
          <w:rStyle w:val="HideTWBExt"/>
          <w:b w:val="0"/>
          <w:noProof w:val="0"/>
        </w:rPr>
        <w:t>&lt;NumAm&gt;</w:t>
      </w:r>
      <w:r w:rsidRPr="000B347F">
        <w:t>9</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10 – sous-point a (nouveau</w:t>
      </w:r>
      <w:r w:rsidRPr="000B347F">
        <w:t>) – article 3 – paragraphe 1 – point a bis (nouveau)</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813143">
            <w:pPr>
              <w:pStyle w:val="Normal6"/>
              <w:rPr>
                <w:szCs w:val="24"/>
              </w:rPr>
            </w:pPr>
            <w:r w:rsidRPr="000B347F">
              <w:rPr>
                <w:b/>
                <w:i/>
              </w:rPr>
              <w:t>a bis)</w:t>
            </w:r>
            <w:r w:rsidRPr="000B347F">
              <w:rPr>
                <w:b/>
                <w:i/>
              </w:rPr>
              <w:tab/>
              <w:t xml:space="preserve">«ressortissant de pays tiers ou apatride réinstallé»: un ressortissant d’un pays tiers ou un apatride qui arrive sur le territoire de </w:t>
            </w:r>
            <w:r w:rsidRPr="000B347F">
              <w:rPr>
                <w:b/>
                <w:i/>
              </w:rPr>
              <w:t>l’État membre de réinstallation à la suite d’une procédure de réinstallation conforme au droit national ou au [règlement (UE) XXX/XXX]</w:t>
            </w:r>
            <w:r w:rsidRPr="000B347F">
              <w:t xml:space="preserve"> </w:t>
            </w:r>
            <w:r w:rsidRPr="000B347F">
              <w:rPr>
                <w:b/>
                <w:i/>
              </w:rPr>
              <w:t>[règlement sur la réinstallation];</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10</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11 – article 4 – paragraphe 6</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6.</w:t>
            </w:r>
            <w:r w:rsidRPr="000B347F">
              <w:tab/>
              <w:t>Tous les ensembles</w:t>
            </w:r>
            <w:r w:rsidRPr="000B347F">
              <w:t xml:space="preserve"> de données enregistrés dans Eurodac correspondant au même ressortissant de pays tiers ou apatride sont reliés dans une séquence. Lorsqu’une </w:t>
            </w:r>
            <w:r w:rsidRPr="000B347F">
              <w:rPr>
                <w:b/>
                <w:i/>
              </w:rPr>
              <w:t xml:space="preserve">recherche est lancée à partir des empreintes digitales dans l’ensemble de données d’un ressortissant de pays tiers </w:t>
            </w:r>
            <w:r w:rsidRPr="000B347F">
              <w:rPr>
                <w:b/>
                <w:i/>
              </w:rPr>
              <w:t>ou apatride</w:t>
            </w:r>
            <w:r w:rsidRPr="000B347F">
              <w:t xml:space="preserve"> et qu’un résultat positif est obtenu au regard d’au moins une autre série </w:t>
            </w:r>
            <w:r w:rsidRPr="000B347F">
              <w:rPr>
                <w:b/>
                <w:i/>
              </w:rPr>
              <w:t>d’empreintes digitales</w:t>
            </w:r>
            <w:r w:rsidRPr="000B347F">
              <w:t xml:space="preserve"> dans un autre ensemble de données correspondant à ce même ressortissant de pays tiers ou apatride, Eurodac relie automatiquement ces ensembles de d</w:t>
            </w:r>
            <w:r w:rsidRPr="000B347F">
              <w:t>onnées sur la base de la comparaison</w:t>
            </w:r>
            <w:r w:rsidRPr="000B347F">
              <w:rPr>
                <w:b/>
                <w:i/>
              </w:rPr>
              <w:t xml:space="preserve"> des empreintes digitales</w:t>
            </w:r>
            <w:r w:rsidRPr="000B347F">
              <w:t xml:space="preserve">. </w:t>
            </w:r>
            <w:r w:rsidRPr="000B347F">
              <w:rPr>
                <w:b/>
                <w:i/>
              </w:rPr>
              <w:t>Si nécessaire,</w:t>
            </w:r>
            <w:r w:rsidRPr="000B347F">
              <w:t xml:space="preserve"> la comparaison</w:t>
            </w:r>
            <w:r w:rsidRPr="000B347F">
              <w:rPr>
                <w:b/>
                <w:i/>
              </w:rPr>
              <w:t xml:space="preserve"> des empreintes digitales</w:t>
            </w:r>
            <w:r w:rsidRPr="000B347F">
              <w:t xml:space="preserve"> est </w:t>
            </w:r>
            <w:r w:rsidRPr="000B347F">
              <w:rPr>
                <w:b/>
                <w:i/>
              </w:rPr>
              <w:t>vérifiée</w:t>
            </w:r>
            <w:r w:rsidRPr="000B347F">
              <w:t xml:space="preserve"> et </w:t>
            </w:r>
            <w:r w:rsidRPr="000B347F">
              <w:rPr>
                <w:b/>
                <w:i/>
              </w:rPr>
              <w:t>confirmée</w:t>
            </w:r>
            <w:r w:rsidRPr="000B347F">
              <w:t xml:space="preserve"> par un </w:t>
            </w:r>
            <w:r w:rsidRPr="000B347F">
              <w:lastRenderedPageBreak/>
              <w:t>expert</w:t>
            </w:r>
            <w:r w:rsidRPr="000B347F">
              <w:rPr>
                <w:b/>
                <w:i/>
              </w:rPr>
              <w:t xml:space="preserve"> en empreintes digitales</w:t>
            </w:r>
            <w:r w:rsidRPr="000B347F">
              <w:t xml:space="preserve"> conformément à l’article 26. Lorsque l’État membre de réception confirme l</w:t>
            </w:r>
            <w:r w:rsidRPr="000B347F">
              <w:t>e résultat positif, il envoie une notification à l’eu-LISA qui confirmera la mise en relation.</w:t>
            </w:r>
          </w:p>
        </w:tc>
        <w:tc>
          <w:tcPr>
            <w:tcW w:w="4876" w:type="dxa"/>
          </w:tcPr>
          <w:p w:rsidR="006C1CE1" w:rsidRPr="000B347F" w:rsidRDefault="000B347F" w:rsidP="00813143">
            <w:pPr>
              <w:pStyle w:val="Normal6"/>
              <w:rPr>
                <w:szCs w:val="24"/>
              </w:rPr>
            </w:pPr>
            <w:r w:rsidRPr="000B347F">
              <w:lastRenderedPageBreak/>
              <w:t>6.</w:t>
            </w:r>
            <w:r w:rsidRPr="000B347F">
              <w:tab/>
              <w:t>Tous les ensembles de données enregistrés dans Eurodac correspondant au même ressortissant de pays tiers ou apatride sont reliés dans une séquence. Lorsqu’une</w:t>
            </w:r>
            <w:r w:rsidRPr="000B347F">
              <w:t xml:space="preserve"> </w:t>
            </w:r>
            <w:r w:rsidRPr="000B347F">
              <w:rPr>
                <w:b/>
                <w:i/>
              </w:rPr>
              <w:t>comparaison automatique est effectuée conformément à l’article 15 et 16</w:t>
            </w:r>
            <w:r w:rsidRPr="000B347F">
              <w:t xml:space="preserve"> et qu’un résultat positif est obtenu au regard d’au moins une autre série </w:t>
            </w:r>
            <w:r w:rsidRPr="000B347F">
              <w:rPr>
                <w:b/>
                <w:i/>
              </w:rPr>
              <w:t>de données dactyloscopiques et d’images faciales, ou de données d’images faciales uniquement,</w:t>
            </w:r>
            <w:r w:rsidRPr="000B347F">
              <w:t xml:space="preserve"> dans un autre e</w:t>
            </w:r>
            <w:r w:rsidRPr="000B347F">
              <w:t xml:space="preserve">nsemble de données correspondant à ce même ressortissant de pays tiers ou apatride, Eurodac relie automatiquement ces ensembles de données sur la base de la comparaison. </w:t>
            </w:r>
            <w:r w:rsidRPr="000B347F">
              <w:rPr>
                <w:b/>
                <w:i/>
              </w:rPr>
              <w:t>Le résultat de</w:t>
            </w:r>
            <w:r w:rsidRPr="000B347F">
              <w:t xml:space="preserve"> la comparaison est </w:t>
            </w:r>
            <w:r w:rsidRPr="000B347F">
              <w:rPr>
                <w:b/>
                <w:i/>
              </w:rPr>
              <w:t>vérifié</w:t>
            </w:r>
            <w:r w:rsidRPr="000B347F">
              <w:t xml:space="preserve"> et </w:t>
            </w:r>
            <w:r w:rsidRPr="000B347F">
              <w:rPr>
                <w:b/>
                <w:i/>
              </w:rPr>
              <w:t>confirmé</w:t>
            </w:r>
            <w:r w:rsidRPr="000B347F">
              <w:t xml:space="preserve"> par un </w:t>
            </w:r>
            <w:r w:rsidRPr="000B347F">
              <w:lastRenderedPageBreak/>
              <w:t>expert conformément à l’a</w:t>
            </w:r>
            <w:r w:rsidRPr="000B347F">
              <w:t>rticle 26</w:t>
            </w:r>
            <w:r w:rsidRPr="000B347F">
              <w:rPr>
                <w:b/>
                <w:i/>
              </w:rPr>
              <w:t>, paragraphes 4 et 5</w:t>
            </w:r>
            <w:r w:rsidRPr="000B347F">
              <w:t>. Lorsque l’État membre de réception confirme le résultat positif, il envoie une notification à l’eu-LISA qui confirmera la mise en relation.</w:t>
            </w:r>
          </w:p>
        </w:tc>
      </w:tr>
    </w:tbl>
    <w:p w:rsidR="006C1CE1" w:rsidRPr="000B347F" w:rsidRDefault="000B347F" w:rsidP="006C1CE1">
      <w:pPr>
        <w:pStyle w:val="Olang"/>
        <w:rPr>
          <w:noProof w:val="0"/>
        </w:rPr>
      </w:pPr>
      <w:r w:rsidRPr="000B347F">
        <w:rPr>
          <w:noProof w:val="0"/>
        </w:rPr>
        <w:lastRenderedPageBreak/>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11</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D69C2">
      <w:pPr>
        <w:pStyle w:val="NormalBold"/>
      </w:pPr>
      <w:r w:rsidRPr="000B347F">
        <w:rPr>
          <w:rStyle w:val="HideTWBExt"/>
          <w:b w:val="0"/>
          <w:noProof w:val="0"/>
        </w:rPr>
        <w:t>&lt;Article&gt;</w:t>
      </w:r>
      <w:r w:rsidRPr="000B347F">
        <w:t>Dispositif – point 12 – article 8 quater bis (nouveau)</w:t>
      </w:r>
      <w:r w:rsidRPr="000B347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211B52">
        <w:trPr>
          <w:jc w:val="center"/>
        </w:trPr>
        <w:tc>
          <w:tcPr>
            <w:tcW w:w="9752" w:type="dxa"/>
            <w:gridSpan w:val="2"/>
          </w:tcPr>
          <w:p w:rsidR="006C1CE1" w:rsidRPr="000B347F" w:rsidRDefault="006C1CE1" w:rsidP="006D69C2">
            <w:pPr>
              <w:keepNext/>
            </w:pPr>
          </w:p>
        </w:tc>
      </w:tr>
      <w:tr w:rsidR="005C07BC" w:rsidRPr="000B347F" w:rsidTr="00211B5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211B5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Article 8 quater bis</w:t>
            </w:r>
          </w:p>
        </w:tc>
      </w:tr>
      <w:tr w:rsidR="005C07BC" w:rsidRPr="000B347F" w:rsidTr="00211B52">
        <w:trPr>
          <w:jc w:val="center"/>
        </w:trPr>
        <w:tc>
          <w:tcPr>
            <w:tcW w:w="4876" w:type="dxa"/>
          </w:tcPr>
          <w:p w:rsidR="006C1CE1" w:rsidRPr="000B347F" w:rsidRDefault="006C1CE1" w:rsidP="006D69C2">
            <w:pPr>
              <w:pStyle w:val="Normal6"/>
            </w:pPr>
          </w:p>
        </w:tc>
        <w:tc>
          <w:tcPr>
            <w:tcW w:w="4876" w:type="dxa"/>
          </w:tcPr>
          <w:p w:rsidR="006C1CE1" w:rsidRPr="000B347F" w:rsidRDefault="000B347F" w:rsidP="00B81EC9">
            <w:pPr>
              <w:pStyle w:val="Normal6"/>
              <w:rPr>
                <w:szCs w:val="24"/>
              </w:rPr>
            </w:pPr>
            <w:r w:rsidRPr="000B347F">
              <w:rPr>
                <w:b/>
                <w:i/>
              </w:rPr>
              <w:t>Accès à Eurodac par le contingent permanent du corps européen de garde-frontières et de garde-côtes</w:t>
            </w:r>
          </w:p>
        </w:tc>
      </w:tr>
      <w:tr w:rsidR="005C07BC" w:rsidRPr="000B347F" w:rsidTr="00211B52">
        <w:trPr>
          <w:jc w:val="center"/>
        </w:trPr>
        <w:tc>
          <w:tcPr>
            <w:tcW w:w="4876" w:type="dxa"/>
          </w:tcPr>
          <w:p w:rsidR="006C1CE1" w:rsidRPr="000B347F" w:rsidRDefault="006C1CE1" w:rsidP="006D69C2">
            <w:pPr>
              <w:pStyle w:val="Normal6"/>
            </w:pPr>
          </w:p>
        </w:tc>
        <w:tc>
          <w:tcPr>
            <w:tcW w:w="4876" w:type="dxa"/>
          </w:tcPr>
          <w:p w:rsidR="006C1CE1" w:rsidRPr="000B347F" w:rsidRDefault="000B347F" w:rsidP="006860DC">
            <w:pPr>
              <w:pStyle w:val="Normal6"/>
              <w:rPr>
                <w:szCs w:val="24"/>
              </w:rPr>
            </w:pPr>
            <w:r w:rsidRPr="000B347F">
              <w:rPr>
                <w:b/>
                <w:i/>
              </w:rPr>
              <w:t>Aux fins de l’accomplissement des tâches prévues dans le règlement (UE) 2019/1896, en particulier les tâches nécessitant les pouvoi</w:t>
            </w:r>
            <w:r w:rsidRPr="000B347F">
              <w:rPr>
                <w:b/>
                <w:i/>
              </w:rPr>
              <w:t>rs d’exécution définis à l’article 55, paragraphe 7, points a) et g), dudit règlement et la fourniture d’un soutien opérationnel à la mise en œuvre du [règlement (UE) XXX/XXX]</w:t>
            </w:r>
            <w:r w:rsidRPr="000B347F">
              <w:t xml:space="preserve"> </w:t>
            </w:r>
            <w:r w:rsidRPr="000B347F">
              <w:rPr>
                <w:b/>
                <w:i/>
              </w:rPr>
              <w:t xml:space="preserve">[règlement visant à mettre en place une procédure de filtrage], les membres des </w:t>
            </w:r>
            <w:r w:rsidRPr="000B347F">
              <w:rPr>
                <w:b/>
                <w:i/>
              </w:rPr>
              <w:t>équipes tels qu’ils sont définis à l’article 2, point 17), du règlement (UE) 2019/1896 ont accès à Eurodac.</w:t>
            </w:r>
          </w:p>
        </w:tc>
      </w:tr>
      <w:tr w:rsidR="005C07BC" w:rsidRPr="000B347F" w:rsidTr="00211B52">
        <w:trPr>
          <w:jc w:val="center"/>
        </w:trPr>
        <w:tc>
          <w:tcPr>
            <w:tcW w:w="4876" w:type="dxa"/>
          </w:tcPr>
          <w:p w:rsidR="006C1CE1" w:rsidRPr="000B347F" w:rsidRDefault="006C1CE1" w:rsidP="006D69C2">
            <w:pPr>
              <w:pStyle w:val="Normal6"/>
            </w:pPr>
          </w:p>
        </w:tc>
        <w:tc>
          <w:tcPr>
            <w:tcW w:w="4876" w:type="dxa"/>
          </w:tcPr>
          <w:p w:rsidR="006C1CE1" w:rsidRPr="000B347F" w:rsidRDefault="000B347F" w:rsidP="00813143">
            <w:pPr>
              <w:pStyle w:val="Normal6"/>
              <w:rPr>
                <w:szCs w:val="24"/>
              </w:rPr>
            </w:pPr>
            <w:r w:rsidRPr="000B347F">
              <w:rPr>
                <w:b/>
                <w:i/>
              </w:rPr>
              <w:t>Les membres des équipes ont accès à Eurodac et peuvent le consulter au moyen de leur propre interface technique qui est conçue et gérée par eu-LIS</w:t>
            </w:r>
            <w:r w:rsidRPr="000B347F">
              <w:rPr>
                <w:b/>
                <w:i/>
              </w:rPr>
              <w:t>A en coopération avec l’Agence européenne de garde-frontières et de garde-côtes. Cette interface technique est dotée d’un mécanisme d’auto-surveillance et de collecte des données afin de garantir la licéité du traitement des données et le respect des exige</w:t>
            </w:r>
            <w:r w:rsidRPr="000B347F">
              <w:rPr>
                <w:b/>
                <w:i/>
              </w:rPr>
              <w:t xml:space="preserve">nces en matière de </w:t>
            </w:r>
            <w:r w:rsidRPr="000B347F">
              <w:rPr>
                <w:b/>
                <w:i/>
              </w:rPr>
              <w:lastRenderedPageBreak/>
              <w:t>protection des données telles que prévues dans le règlement (UE) 2018/1725.</w:t>
            </w:r>
          </w:p>
        </w:tc>
      </w:tr>
    </w:tbl>
    <w:p w:rsidR="006C1CE1" w:rsidRPr="000B347F" w:rsidRDefault="000B347F" w:rsidP="006C1CE1">
      <w:pPr>
        <w:pStyle w:val="Olang"/>
        <w:rPr>
          <w:noProof w:val="0"/>
        </w:rPr>
      </w:pPr>
      <w:r w:rsidRPr="000B347F">
        <w:rPr>
          <w:noProof w:val="0"/>
        </w:rPr>
        <w:lastRenderedPageBreak/>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pPr>
        <w:pStyle w:val="JustificationTitle"/>
        <w:rPr>
          <w:noProof w:val="0"/>
        </w:rPr>
      </w:pPr>
      <w:r w:rsidRPr="000B347F">
        <w:rPr>
          <w:rStyle w:val="HideTWBExt"/>
          <w:i w:val="0"/>
          <w:noProof w:val="0"/>
        </w:rPr>
        <w:t>&lt;TitreJust&gt;</w:t>
      </w:r>
      <w:r w:rsidRPr="000B347F">
        <w:rPr>
          <w:noProof w:val="0"/>
        </w:rPr>
        <w:t>Justification</w:t>
      </w:r>
      <w:r w:rsidRPr="000B347F">
        <w:rPr>
          <w:rStyle w:val="HideTWBExt"/>
          <w:i w:val="0"/>
          <w:noProof w:val="0"/>
        </w:rPr>
        <w:t>&lt;/TitreJust&gt;</w:t>
      </w:r>
    </w:p>
    <w:p w:rsidR="006C1CE1" w:rsidRPr="000B347F" w:rsidRDefault="000B347F" w:rsidP="006C1CE1">
      <w:pPr>
        <w:pStyle w:val="Normal12Italic"/>
        <w:rPr>
          <w:noProof w:val="0"/>
        </w:rPr>
      </w:pPr>
      <w:r w:rsidRPr="000B347F">
        <w:rPr>
          <w:noProof w:val="0"/>
        </w:rPr>
        <w:t xml:space="preserve">Ce nouvel article précise les modalités selon lesquelles l’Agence européenne de </w:t>
      </w:r>
      <w:r w:rsidRPr="000B347F">
        <w:rPr>
          <w:noProof w:val="0"/>
        </w:rPr>
        <w:t>garde-frontières et de garde-côtes (Frontex) peut accéder à Eurodac, qui n’est accessible qu’aux membres des équipes (du contingent permanent) du corps européen de garde-frontières et de garde-côtes aux fins de l’exécution des tâches qui leur sont confiées</w:t>
      </w:r>
      <w:r w:rsidRPr="000B347F">
        <w:rPr>
          <w:noProof w:val="0"/>
        </w:rPr>
        <w:t xml:space="preserve"> par le législateur de l’Union. Il se fonde sur l’approche adoptée par le législateur de l’Union pour ce qui est de l’accès des équipes du corps européen de garde-frontières et de garde-côtes au système d’information Schengen (SIS) [voir article 36 du règl</w:t>
      </w:r>
      <w:r w:rsidRPr="000B347F">
        <w:rPr>
          <w:noProof w:val="0"/>
        </w:rPr>
        <w:t>ement (UE) 2018/1861] et au système d’information sur les visas (VIS) (voir texte de compromis sur le nouveau règlement VIS, article 45 quinquies et article 45 sexies), qui exige que Frontex mette en place sa propre infrastructure, sa propre interface et s</w:t>
      </w:r>
      <w:r w:rsidRPr="000B347F">
        <w:rPr>
          <w:noProof w:val="0"/>
        </w:rPr>
        <w:t>on propre point d’accès au système d’information de l’Union.</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12</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 xml:space="preserve">Dispositif – </w:t>
      </w:r>
      <w:r w:rsidRPr="000B347F">
        <w:t>point 13 – article 9 – paragraphe 1– partie introductive</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1.</w:t>
            </w:r>
            <w:r w:rsidRPr="000B347F">
              <w:tab/>
              <w:t>L’eu-LISA établit des statistiques mensuelles sur les travaux du système central, faisant apparaître notamment:</w:t>
            </w:r>
          </w:p>
        </w:tc>
        <w:tc>
          <w:tcPr>
            <w:tcW w:w="4876" w:type="dxa"/>
          </w:tcPr>
          <w:p w:rsidR="006C1CE1" w:rsidRPr="000B347F" w:rsidRDefault="000B347F" w:rsidP="006D69C2">
            <w:pPr>
              <w:pStyle w:val="Normal6"/>
              <w:rPr>
                <w:szCs w:val="24"/>
              </w:rPr>
            </w:pPr>
            <w:r w:rsidRPr="000B347F">
              <w:t>1.</w:t>
            </w:r>
            <w:r w:rsidRPr="000B347F">
              <w:tab/>
              <w:t>L’eu-LISA établit des sta</w:t>
            </w:r>
            <w:r w:rsidRPr="000B347F">
              <w:t>tistiques mensuelles sur les travaux du système central</w:t>
            </w:r>
            <w:r w:rsidRPr="000B347F">
              <w:rPr>
                <w:b/>
                <w:i/>
              </w:rPr>
              <w:t xml:space="preserve"> et du CIR</w:t>
            </w:r>
            <w:r w:rsidRPr="000B347F">
              <w:t>, faisant apparaître notamment:</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13</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13 – article 9 – paragraphe 1– point b</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b)</w:t>
            </w:r>
            <w:r w:rsidRPr="000B347F">
              <w:tab/>
            </w:r>
            <w:r w:rsidRPr="000B347F">
              <w:t xml:space="preserve">le nombre de demandeurs rejetés résultant du processus de mise en relation visé à l’article 4, paragraphe 6, et </w:t>
            </w:r>
            <w:r w:rsidRPr="000B347F">
              <w:lastRenderedPageBreak/>
              <w:t xml:space="preserve">conformément à l’article 12, </w:t>
            </w:r>
            <w:r w:rsidRPr="000B347F">
              <w:rPr>
                <w:b/>
                <w:i/>
              </w:rPr>
              <w:t>point za)</w:t>
            </w:r>
            <w:r w:rsidRPr="000B347F">
              <w:t>;</w:t>
            </w:r>
          </w:p>
        </w:tc>
        <w:tc>
          <w:tcPr>
            <w:tcW w:w="4876" w:type="dxa"/>
          </w:tcPr>
          <w:p w:rsidR="006C1CE1" w:rsidRPr="000B347F" w:rsidRDefault="000B347F" w:rsidP="006D69C2">
            <w:pPr>
              <w:pStyle w:val="Normal6"/>
              <w:rPr>
                <w:szCs w:val="24"/>
              </w:rPr>
            </w:pPr>
            <w:r w:rsidRPr="000B347F">
              <w:lastRenderedPageBreak/>
              <w:t>b)</w:t>
            </w:r>
            <w:r w:rsidRPr="000B347F">
              <w:tab/>
              <w:t>le nombre de demandeurs rejetés résultant du processus de mise en relation visé à l’article 4, paragr</w:t>
            </w:r>
            <w:r w:rsidRPr="000B347F">
              <w:t xml:space="preserve">aphe 6, et </w:t>
            </w:r>
            <w:r w:rsidRPr="000B347F">
              <w:lastRenderedPageBreak/>
              <w:t xml:space="preserve">conformément à l’article 12, </w:t>
            </w:r>
            <w:r w:rsidRPr="000B347F">
              <w:rPr>
                <w:b/>
                <w:i/>
              </w:rPr>
              <w:t>point x)</w:t>
            </w:r>
            <w:r w:rsidRPr="000B347F">
              <w:t>;</w:t>
            </w:r>
          </w:p>
        </w:tc>
      </w:tr>
    </w:tbl>
    <w:p w:rsidR="006C1CE1" w:rsidRPr="000B347F" w:rsidRDefault="000B347F" w:rsidP="006C1CE1">
      <w:pPr>
        <w:pStyle w:val="Olang"/>
        <w:rPr>
          <w:noProof w:val="0"/>
        </w:rPr>
      </w:pPr>
      <w:r w:rsidRPr="000B347F">
        <w:rPr>
          <w:noProof w:val="0"/>
        </w:rPr>
        <w:lastRenderedPageBreak/>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14</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w:t>
      </w:r>
      <w:r w:rsidRPr="000B347F">
        <w:rPr>
          <w:rStyle w:val="HideTWBExt"/>
          <w:b w:val="0"/>
          <w:noProof w:val="0"/>
        </w:rPr>
        <w:t>le&gt;</w:t>
      </w:r>
      <w:r w:rsidRPr="000B347F">
        <w:t>Dispositif – point 13 – article 9 – paragraphe 3– alinéa 1</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3.</w:t>
            </w:r>
            <w:r w:rsidRPr="000B347F">
              <w:tab/>
              <w:t>Aux fins de soutenir l’objectif visé à l’article 1</w:t>
            </w:r>
            <w:r w:rsidRPr="000B347F">
              <w:rPr>
                <w:vertAlign w:val="superscript"/>
              </w:rPr>
              <w:t>er</w:t>
            </w:r>
            <w:r w:rsidRPr="000B347F">
              <w:t xml:space="preserve">, point c), l’eu-LISA produit des statistiques intersystèmes mensuelles. Ces </w:t>
            </w:r>
            <w:r w:rsidRPr="000B347F">
              <w:t>statistiques ne permettent pas l’identification des personnes et seront établies à partir des données d’Eurodac, du système d’information sur les visas, d’ETIAS</w:t>
            </w:r>
            <w:r w:rsidRPr="000B347F">
              <w:rPr>
                <w:b/>
                <w:i/>
              </w:rPr>
              <w:t xml:space="preserve"> et</w:t>
            </w:r>
            <w:r w:rsidRPr="000B347F">
              <w:t xml:space="preserve"> du système d’entrée/sortie.</w:t>
            </w:r>
          </w:p>
        </w:tc>
        <w:tc>
          <w:tcPr>
            <w:tcW w:w="4876" w:type="dxa"/>
          </w:tcPr>
          <w:p w:rsidR="006C1CE1" w:rsidRPr="000B347F" w:rsidRDefault="000B347F" w:rsidP="006D69C2">
            <w:pPr>
              <w:pStyle w:val="Normal6"/>
              <w:rPr>
                <w:szCs w:val="24"/>
              </w:rPr>
            </w:pPr>
            <w:r w:rsidRPr="000B347F">
              <w:t>3.</w:t>
            </w:r>
            <w:r w:rsidRPr="000B347F">
              <w:tab/>
              <w:t>Aux fins de soutenir l’objectif visé à l’article 1</w:t>
            </w:r>
            <w:r w:rsidRPr="000B347F">
              <w:rPr>
                <w:vertAlign w:val="superscript"/>
              </w:rPr>
              <w:t>er</w:t>
            </w:r>
            <w:r w:rsidRPr="000B347F">
              <w:t>, point c</w:t>
            </w:r>
            <w:r w:rsidRPr="000B347F">
              <w:t>), l’eu-LISA produit des statistiques intersystèmes mensuelles. Ces statistiques ne permettent pas l’identification des personnes et seront établies à partir des données d’Eurodac, du système d’information sur les visas, d’ETIAS</w:t>
            </w:r>
            <w:r w:rsidRPr="000B347F">
              <w:rPr>
                <w:b/>
                <w:i/>
              </w:rPr>
              <w:t>,</w:t>
            </w:r>
            <w:r w:rsidRPr="000B347F">
              <w:t xml:space="preserve"> du système d’entrée/sortie</w:t>
            </w:r>
            <w:r w:rsidRPr="000B347F">
              <w:rPr>
                <w:b/>
                <w:i/>
              </w:rPr>
              <w:t xml:space="preserve"> et du système d’information Schengen</w:t>
            </w:r>
            <w:r w:rsidRPr="000B347F">
              <w:t>.</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pPr>
        <w:pStyle w:val="JustificationTitle"/>
        <w:rPr>
          <w:noProof w:val="0"/>
        </w:rPr>
      </w:pPr>
      <w:r w:rsidRPr="000B347F">
        <w:rPr>
          <w:rStyle w:val="HideTWBExt"/>
          <w:i w:val="0"/>
          <w:noProof w:val="0"/>
        </w:rPr>
        <w:t>&lt;TitreJust&gt;</w:t>
      </w:r>
      <w:r w:rsidRPr="000B347F">
        <w:rPr>
          <w:noProof w:val="0"/>
        </w:rPr>
        <w:t>Justification</w:t>
      </w:r>
      <w:r w:rsidRPr="000B347F">
        <w:rPr>
          <w:rStyle w:val="HideTWBExt"/>
          <w:i w:val="0"/>
          <w:noProof w:val="0"/>
        </w:rPr>
        <w:t>&lt;/TitreJust&gt;</w:t>
      </w:r>
    </w:p>
    <w:p w:rsidR="006C1CE1" w:rsidRPr="000B347F" w:rsidRDefault="000B347F" w:rsidP="006C1CE1">
      <w:pPr>
        <w:pStyle w:val="Normal12Italic"/>
        <w:rPr>
          <w:noProof w:val="0"/>
        </w:rPr>
      </w:pPr>
      <w:r w:rsidRPr="000B347F">
        <w:rPr>
          <w:noProof w:val="0"/>
        </w:rPr>
        <w:t>L’analyse intersystèmes constituera une fonctionnalité essentielle du répertoire central des rapports et statistiques (CRRS) prévu dans les règleme</w:t>
      </w:r>
      <w:r w:rsidRPr="000B347F">
        <w:rPr>
          <w:noProof w:val="0"/>
        </w:rPr>
        <w:t>nts sur l’interopérabilité. Cette analyse ne sera complète que si les données statistiques pertinentes du SIS sont prises en considération, en particulier les signalements dans le SIS effectués sur la base des décisions de retour. Tous ces éléments devraie</w:t>
      </w:r>
      <w:r w:rsidRPr="000B347F">
        <w:rPr>
          <w:noProof w:val="0"/>
        </w:rPr>
        <w:t>nt conduire à une analyse plus précise qui permettra de prendre des décisions opérationnelles et stratégiques davantage fondées sur des données probantes.</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15</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w:t>
      </w:r>
      <w:r w:rsidRPr="000B347F">
        <w:rPr>
          <w:rStyle w:val="HideTWBExt"/>
          <w:b w:val="0"/>
          <w:noProof w:val="0"/>
        </w:rPr>
        <w:t>&gt;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13 – article 9 – paragraphe 3– alinéa 2</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 xml:space="preserve">Ces statistiques sont mises à la disposition de la Commission, </w:t>
            </w:r>
            <w:r w:rsidRPr="000B347F">
              <w:rPr>
                <w:b/>
                <w:i/>
              </w:rPr>
              <w:t>de</w:t>
            </w:r>
            <w:r w:rsidRPr="000B347F">
              <w:t xml:space="preserve"> l’[Agence de l’Union européenne pour l’asile],</w:t>
            </w:r>
            <w:r w:rsidRPr="000B347F">
              <w:rPr>
                <w:b/>
                <w:i/>
              </w:rPr>
              <w:t xml:space="preserve"> de</w:t>
            </w:r>
            <w:r w:rsidRPr="000B347F">
              <w:t xml:space="preserve"> l’Agence </w:t>
            </w:r>
            <w:r w:rsidRPr="000B347F">
              <w:lastRenderedPageBreak/>
              <w:t xml:space="preserve">européenne de garde-frontières et de garde-côtes et </w:t>
            </w:r>
            <w:r w:rsidRPr="000B347F">
              <w:rPr>
                <w:b/>
                <w:i/>
              </w:rPr>
              <w:t>des États membres</w:t>
            </w:r>
            <w:r w:rsidRPr="000B347F">
              <w:t>. La Commission précise, par voie d’actes d’exécution, le contenu des statistiques intersystèmes mensuelles. Ces actes d’exécut</w:t>
            </w:r>
            <w:r w:rsidRPr="000B347F">
              <w:t>ion sont adoptés conformément à la procédure d’examen visée à l’article 41 bis, paragraphe 2.</w:t>
            </w:r>
          </w:p>
        </w:tc>
        <w:tc>
          <w:tcPr>
            <w:tcW w:w="4876" w:type="dxa"/>
          </w:tcPr>
          <w:p w:rsidR="006C1CE1" w:rsidRPr="000B347F" w:rsidRDefault="000B347F" w:rsidP="00813143">
            <w:pPr>
              <w:pStyle w:val="Normal6"/>
              <w:rPr>
                <w:szCs w:val="24"/>
              </w:rPr>
            </w:pPr>
            <w:r w:rsidRPr="000B347F">
              <w:lastRenderedPageBreak/>
              <w:t xml:space="preserve">Ces statistiques sont mises à la disposition de la Commission, </w:t>
            </w:r>
            <w:r w:rsidRPr="000B347F">
              <w:rPr>
                <w:b/>
                <w:i/>
              </w:rPr>
              <w:t xml:space="preserve">des États membres et des agences concernées de l’Union, </w:t>
            </w:r>
            <w:r w:rsidRPr="000B347F">
              <w:rPr>
                <w:b/>
                <w:i/>
              </w:rPr>
              <w:lastRenderedPageBreak/>
              <w:t>notamment</w:t>
            </w:r>
            <w:r w:rsidRPr="000B347F">
              <w:t xml:space="preserve"> l’[Agence de l’Union européenne p</w:t>
            </w:r>
            <w:r w:rsidRPr="000B347F">
              <w:t xml:space="preserve">our l’asile], l’Agence européenne de garde-frontières et de garde-côtes et </w:t>
            </w:r>
            <w:r w:rsidRPr="000B347F">
              <w:rPr>
                <w:b/>
                <w:i/>
              </w:rPr>
              <w:t>Europol</w:t>
            </w:r>
            <w:r w:rsidRPr="000B347F">
              <w:t>. La Commission précise, par voie d’actes d’exécution, le contenu des statistiques intersystèmes mensuelles. Ces actes d’exécution sont adoptés conformément à la procédure d’</w:t>
            </w:r>
            <w:r w:rsidRPr="000B347F">
              <w:t>examen visée à l’article 41 bis, paragraphe 2.</w:t>
            </w:r>
          </w:p>
        </w:tc>
      </w:tr>
    </w:tbl>
    <w:p w:rsidR="006C1CE1" w:rsidRPr="000B347F" w:rsidRDefault="000B347F" w:rsidP="006C1CE1">
      <w:pPr>
        <w:pStyle w:val="Olang"/>
        <w:rPr>
          <w:noProof w:val="0"/>
        </w:rPr>
      </w:pPr>
      <w:r w:rsidRPr="000B347F">
        <w:rPr>
          <w:noProof w:val="0"/>
        </w:rPr>
        <w:lastRenderedPageBreak/>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pPr>
        <w:pStyle w:val="JustificationTitle"/>
        <w:rPr>
          <w:noProof w:val="0"/>
        </w:rPr>
      </w:pPr>
      <w:r w:rsidRPr="000B347F">
        <w:rPr>
          <w:rStyle w:val="HideTWBExt"/>
          <w:i w:val="0"/>
          <w:noProof w:val="0"/>
        </w:rPr>
        <w:t>&lt;TitreJust&gt;</w:t>
      </w:r>
      <w:r w:rsidRPr="000B347F">
        <w:rPr>
          <w:noProof w:val="0"/>
        </w:rPr>
        <w:t>Justification</w:t>
      </w:r>
      <w:r w:rsidRPr="000B347F">
        <w:rPr>
          <w:rStyle w:val="HideTWBExt"/>
          <w:i w:val="0"/>
          <w:noProof w:val="0"/>
        </w:rPr>
        <w:t>&lt;/TitreJust&gt;</w:t>
      </w:r>
    </w:p>
    <w:p w:rsidR="006C1CE1" w:rsidRPr="000B347F" w:rsidRDefault="000B347F" w:rsidP="006C1CE1">
      <w:pPr>
        <w:pStyle w:val="Normal12Italic"/>
        <w:rPr>
          <w:noProof w:val="0"/>
        </w:rPr>
      </w:pPr>
      <w:r w:rsidRPr="000B347F">
        <w:rPr>
          <w:noProof w:val="0"/>
        </w:rPr>
        <w:t>Les données statistiques intersystèmes devraient être mises à la disposition des agences «Justice et affaires intérieures» compétentes, y c</w:t>
      </w:r>
      <w:r w:rsidRPr="000B347F">
        <w:rPr>
          <w:noProof w:val="0"/>
        </w:rPr>
        <w:t>ompris Europol. Ces données statistiques pourraient notamment fournir des informations précieuses à Europol et servir à cibler et à démanteler les réseaux criminels qui participent au trafic de migrants et à la traite des êtres humains.</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16</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13 – article 9 – paragraphe 4</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4.</w:t>
            </w:r>
            <w:r w:rsidRPr="000B347F">
              <w:tab/>
              <w:t>À la demande de la Commission, l’eu-LISA lui fournit des statistiques sur des aspects déterminés ayant trait à l’application du présent règlement, ainsi que les statistiques visées au paragraphe 1, et les met, sur demande, à la disposition d</w:t>
            </w:r>
            <w:r w:rsidRPr="000B347F">
              <w:t xml:space="preserve">es États membres et </w:t>
            </w:r>
            <w:r w:rsidRPr="000B347F">
              <w:rPr>
                <w:b/>
                <w:i/>
              </w:rPr>
              <w:t>de</w:t>
            </w:r>
            <w:r w:rsidRPr="000B347F">
              <w:t xml:space="preserve"> l’[Agence de l’Union européenne pour l’asile].</w:t>
            </w:r>
          </w:p>
        </w:tc>
        <w:tc>
          <w:tcPr>
            <w:tcW w:w="4876" w:type="dxa"/>
          </w:tcPr>
          <w:p w:rsidR="006C1CE1" w:rsidRPr="000B347F" w:rsidRDefault="000B347F" w:rsidP="00813143">
            <w:pPr>
              <w:pStyle w:val="Normal6"/>
              <w:rPr>
                <w:szCs w:val="24"/>
              </w:rPr>
            </w:pPr>
            <w:r w:rsidRPr="000B347F">
              <w:t>4.</w:t>
            </w:r>
            <w:r w:rsidRPr="000B347F">
              <w:tab/>
              <w:t>À la demande de la Commission, l’eu-LISA lui fournit des statistiques sur des aspects déterminés ayant trait à l’application du présent règlement, ainsi que les statistiques visées au</w:t>
            </w:r>
            <w:r w:rsidRPr="000B347F">
              <w:t xml:space="preserve"> paragraphe 1, et les met, sur demande, à la disposition des États membres et </w:t>
            </w:r>
            <w:r w:rsidRPr="000B347F">
              <w:rPr>
                <w:b/>
                <w:i/>
              </w:rPr>
              <w:t>des agences concernées de l’Union, notamment</w:t>
            </w:r>
            <w:r w:rsidRPr="000B347F">
              <w:t xml:space="preserve"> l’[Agence de l’Union européenne pour l’asile]</w:t>
            </w:r>
            <w:r w:rsidRPr="000B347F">
              <w:rPr>
                <w:b/>
                <w:i/>
              </w:rPr>
              <w:t>, l’Agence européenne de garde-frontières et de garde-côtes et Europol</w:t>
            </w:r>
            <w:r w:rsidRPr="000B347F">
              <w:t>.</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17</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lastRenderedPageBreak/>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13 – article 9 – paragraphe 5</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w:t>
            </w:r>
            <w:r w:rsidRPr="000B347F">
              <w:t>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5.</w:t>
            </w:r>
            <w:r w:rsidRPr="000B347F">
              <w:tab/>
              <w:t>L’eu-LISA conserve les données visées aux paragraphes 1 à 4 du présent article, qui ne permettent pas l’identification des personnes, à des fins de recherche et d’analyse</w:t>
            </w:r>
            <w:r w:rsidRPr="000B347F">
              <w:rPr>
                <w:b/>
                <w:i/>
              </w:rPr>
              <w:t>, ce qui permet aux autorités visées au paragraphe 3 du présent article d’obtenir des rapports et des statistiques personnalisables dans le répertoire central des rapports et statistiques visé à l’article 39 du règlement (UE) 2019/818</w:t>
            </w:r>
            <w:r w:rsidRPr="000B347F">
              <w:t>.</w:t>
            </w:r>
          </w:p>
        </w:tc>
        <w:tc>
          <w:tcPr>
            <w:tcW w:w="4876" w:type="dxa"/>
          </w:tcPr>
          <w:p w:rsidR="006C1CE1" w:rsidRPr="000B347F" w:rsidRDefault="000B347F" w:rsidP="006D69C2">
            <w:pPr>
              <w:pStyle w:val="Normal6"/>
              <w:rPr>
                <w:szCs w:val="24"/>
              </w:rPr>
            </w:pPr>
            <w:r w:rsidRPr="000B347F">
              <w:t>5.</w:t>
            </w:r>
            <w:r w:rsidRPr="000B347F">
              <w:tab/>
              <w:t xml:space="preserve">L’eu-LISA </w:t>
            </w:r>
            <w:r w:rsidRPr="000B347F">
              <w:t>conserve les données visées aux paragraphes 1 à 4 du présent article, qui ne permettent pas l’identification des personnes, à des fins de recherche et d’analyse.</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pPr>
        <w:pStyle w:val="JustificationTitle"/>
        <w:rPr>
          <w:noProof w:val="0"/>
        </w:rPr>
      </w:pPr>
      <w:r w:rsidRPr="000B347F">
        <w:rPr>
          <w:rStyle w:val="HideTWBExt"/>
          <w:i w:val="0"/>
          <w:noProof w:val="0"/>
        </w:rPr>
        <w:t>&lt;TitreJust&gt;</w:t>
      </w:r>
      <w:r w:rsidRPr="000B347F">
        <w:rPr>
          <w:noProof w:val="0"/>
        </w:rPr>
        <w:t>Justification</w:t>
      </w:r>
      <w:r w:rsidRPr="000B347F">
        <w:rPr>
          <w:rStyle w:val="HideTWBExt"/>
          <w:i w:val="0"/>
          <w:noProof w:val="0"/>
        </w:rPr>
        <w:t>&lt;/TitreJust&gt;</w:t>
      </w:r>
    </w:p>
    <w:p w:rsidR="006C1CE1" w:rsidRPr="000B347F" w:rsidRDefault="000B347F" w:rsidP="006C1CE1">
      <w:pPr>
        <w:pStyle w:val="Normal12Italic"/>
        <w:rPr>
          <w:noProof w:val="0"/>
        </w:rPr>
      </w:pPr>
      <w:r w:rsidRPr="000B347F">
        <w:rPr>
          <w:noProof w:val="0"/>
        </w:rPr>
        <w:t>Point traité à l’article</w:t>
      </w:r>
      <w:r w:rsidRPr="000B347F">
        <w:rPr>
          <w:noProof w:val="0"/>
        </w:rPr>
        <w:t> 9, paragraphe 6.</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18</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13 – article 9 – paragraphe 6</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6.</w:t>
            </w:r>
            <w:r w:rsidRPr="000B347F">
              <w:tab/>
              <w:t>L’accès au répertoire central des rapports et statistiques visé à l’article 39 du règlement (UE) 2019/818 est accordé à l’eu-LISA, à la Commission</w:t>
            </w:r>
            <w:r w:rsidRPr="000B347F">
              <w:rPr>
                <w:b/>
                <w:i/>
              </w:rPr>
              <w:t>, à l’[Agence de l’Union européenne pour l’asile]</w:t>
            </w:r>
            <w:r w:rsidRPr="000B347F">
              <w:t xml:space="preserve"> et aux autori</w:t>
            </w:r>
            <w:r w:rsidRPr="000B347F">
              <w:t xml:space="preserve">tés désignées par chaque État membre conformément à l’article 28, paragraphe 2. L’accès peut également être accordé aux utilisateurs autorisés </w:t>
            </w:r>
            <w:r w:rsidRPr="000B347F">
              <w:rPr>
                <w:b/>
                <w:i/>
              </w:rPr>
              <w:t>d’autres agences</w:t>
            </w:r>
            <w:r w:rsidRPr="000B347F">
              <w:t xml:space="preserve"> relevant du domaine “Justice et affaires intérieures” si cet accès est utile pour l’exécution de</w:t>
            </w:r>
            <w:r w:rsidRPr="000B347F">
              <w:t xml:space="preserve"> leurs missions.</w:t>
            </w:r>
            <w:r w:rsidRPr="000B347F">
              <w:rPr>
                <w:b/>
                <w:i/>
              </w:rPr>
              <w:t>»;</w:t>
            </w:r>
          </w:p>
        </w:tc>
        <w:tc>
          <w:tcPr>
            <w:tcW w:w="4876" w:type="dxa"/>
          </w:tcPr>
          <w:p w:rsidR="006C1CE1" w:rsidRPr="000B347F" w:rsidRDefault="000B347F" w:rsidP="006D69C2">
            <w:pPr>
              <w:pStyle w:val="Normal6"/>
              <w:rPr>
                <w:szCs w:val="24"/>
              </w:rPr>
            </w:pPr>
            <w:r w:rsidRPr="000B347F">
              <w:t>6.</w:t>
            </w:r>
            <w:r w:rsidRPr="000B347F">
              <w:tab/>
              <w:t>L’accès au répertoire central des rapports et statistiques visé à l’article 39 du règlement (UE) 2019/818 est accordé à l’eu-LISA, à la Commission et aux autorités désignées par chaque État membre conformément à l’article 28, paragrap</w:t>
            </w:r>
            <w:r w:rsidRPr="000B347F">
              <w:t xml:space="preserve">he 2. L’accès peut également être accordé aux utilisateurs autorisés </w:t>
            </w:r>
            <w:r w:rsidRPr="000B347F">
              <w:rPr>
                <w:b/>
                <w:i/>
              </w:rPr>
              <w:t>des agences concernées</w:t>
            </w:r>
            <w:r w:rsidRPr="000B347F">
              <w:t xml:space="preserve"> relevant du domaine “Justice et affaires intérieures”</w:t>
            </w:r>
            <w:r w:rsidRPr="000B347F">
              <w:rPr>
                <w:b/>
                <w:i/>
              </w:rPr>
              <w:t>, notamment à l’[Agence de l’Union européenne pour l’asile], à l’Agence européenne de garde-frontières et de ga</w:t>
            </w:r>
            <w:r w:rsidRPr="000B347F">
              <w:rPr>
                <w:b/>
                <w:i/>
              </w:rPr>
              <w:t>rde-côtes et à Europol,</w:t>
            </w:r>
            <w:r w:rsidRPr="000B347F">
              <w:t xml:space="preserve"> si cet accès est utile pour l’exécution de leurs missions.</w:t>
            </w:r>
          </w:p>
        </w:tc>
      </w:tr>
    </w:tbl>
    <w:p w:rsidR="006C1CE1" w:rsidRPr="000B347F" w:rsidRDefault="000B347F" w:rsidP="006C1CE1">
      <w:pPr>
        <w:pStyle w:val="Olang"/>
        <w:rPr>
          <w:noProof w:val="0"/>
        </w:rPr>
      </w:pPr>
      <w:r w:rsidRPr="000B347F">
        <w:rPr>
          <w:noProof w:val="0"/>
        </w:rPr>
        <w:lastRenderedPageBreak/>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19</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14 – article 10 – paragraphe 1– alinéa 1</w:t>
      </w:r>
      <w:r w:rsidRPr="000B347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211B52">
        <w:trPr>
          <w:jc w:val="center"/>
        </w:trPr>
        <w:tc>
          <w:tcPr>
            <w:tcW w:w="9752" w:type="dxa"/>
            <w:gridSpan w:val="2"/>
          </w:tcPr>
          <w:p w:rsidR="006C1CE1" w:rsidRPr="000B347F" w:rsidRDefault="006C1CE1" w:rsidP="006D69C2">
            <w:pPr>
              <w:keepNext/>
            </w:pPr>
          </w:p>
        </w:tc>
      </w:tr>
      <w:tr w:rsidR="005C07BC" w:rsidRPr="000B347F" w:rsidTr="00211B5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211B52">
        <w:trPr>
          <w:jc w:val="center"/>
        </w:trPr>
        <w:tc>
          <w:tcPr>
            <w:tcW w:w="4876" w:type="dxa"/>
          </w:tcPr>
          <w:p w:rsidR="006C1CE1" w:rsidRPr="000B347F" w:rsidRDefault="000B347F" w:rsidP="00CD280B">
            <w:pPr>
              <w:pStyle w:val="Normal6"/>
            </w:pPr>
            <w:r w:rsidRPr="000B347F">
              <w:t>1.</w:t>
            </w:r>
            <w:r w:rsidRPr="000B347F">
              <w:tab/>
              <w:t xml:space="preserve">Chaque État membre relève les données biométriques de chaque demandeur d’une protection </w:t>
            </w:r>
            <w:r w:rsidRPr="000B347F">
              <w:t>internationale âgé de six ans au moins</w:t>
            </w:r>
            <w:r w:rsidRPr="000B347F">
              <w:rPr>
                <w:b/>
                <w:i/>
              </w:rPr>
              <w:t xml:space="preserve"> au cours du filtrage visé dans le règlement (UE) XXX/XXX [règlement visant à mettre en place une procédure de filtrage] ou, lorsque les données biométriques n’ont pas pu être relevées au cours du filtrage ou lorsque l</w:t>
            </w:r>
            <w:r w:rsidRPr="000B347F">
              <w:rPr>
                <w:b/>
                <w:i/>
              </w:rPr>
              <w:t>e demandeur n’a pas fait l’objet d’un filtrage,</w:t>
            </w:r>
            <w:r w:rsidRPr="000B347F">
              <w:t xml:space="preserve"> lors de l’enregistrement de la demande de protection internationale visée à l’article 27 du règlement (UE) XXX/XXX [règlement sur la procédure d’asile]</w:t>
            </w:r>
            <w:r w:rsidRPr="000B347F">
              <w:rPr>
                <w:b/>
                <w:i/>
              </w:rPr>
              <w:t>, et</w:t>
            </w:r>
            <w:r w:rsidRPr="000B347F">
              <w:t xml:space="preserve"> les transmet, dès que possible</w:t>
            </w:r>
            <w:r w:rsidRPr="000B347F">
              <w:rPr>
                <w:b/>
                <w:i/>
              </w:rPr>
              <w:t xml:space="preserve"> et</w:t>
            </w:r>
            <w:r w:rsidRPr="000B347F">
              <w:t xml:space="preserve"> au plus tard 72 he</w:t>
            </w:r>
            <w:r w:rsidRPr="000B347F">
              <w:t xml:space="preserve">ures après le relevé des données biométriques, accompagnées des données visées à l’article 12, </w:t>
            </w:r>
            <w:r w:rsidRPr="000B347F">
              <w:rPr>
                <w:b/>
                <w:i/>
              </w:rPr>
              <w:t>points c) à p), du présent règlement</w:t>
            </w:r>
            <w:r w:rsidRPr="000B347F">
              <w:t>, au système central et au CIR, selon le cas, conformément à l’article 4, paragraphe 2.</w:t>
            </w:r>
          </w:p>
        </w:tc>
        <w:tc>
          <w:tcPr>
            <w:tcW w:w="4876" w:type="dxa"/>
          </w:tcPr>
          <w:p w:rsidR="006C1CE1" w:rsidRPr="000B347F" w:rsidRDefault="000B347F" w:rsidP="006D69C2">
            <w:pPr>
              <w:pStyle w:val="Normal6"/>
              <w:rPr>
                <w:szCs w:val="24"/>
              </w:rPr>
            </w:pPr>
            <w:r w:rsidRPr="000B347F">
              <w:t>1.</w:t>
            </w:r>
            <w:r w:rsidRPr="000B347F">
              <w:tab/>
              <w:t>Chaque État membre relève les donn</w:t>
            </w:r>
            <w:r w:rsidRPr="000B347F">
              <w:t>ées biométriques de chaque demandeur d’une protection internationale âgé de six ans au moins</w:t>
            </w:r>
            <w:r w:rsidRPr="000B347F">
              <w:rPr>
                <w:b/>
                <w:i/>
              </w:rPr>
              <w:t>:</w:t>
            </w:r>
          </w:p>
        </w:tc>
      </w:tr>
      <w:tr w:rsidR="005C07BC" w:rsidRPr="000B347F" w:rsidTr="00211B52">
        <w:trPr>
          <w:jc w:val="center"/>
        </w:trPr>
        <w:tc>
          <w:tcPr>
            <w:tcW w:w="4876" w:type="dxa"/>
          </w:tcPr>
          <w:p w:rsidR="006C1CE1" w:rsidRPr="000B347F" w:rsidRDefault="006C1CE1" w:rsidP="006D69C2">
            <w:pPr>
              <w:pStyle w:val="Normal6"/>
            </w:pPr>
          </w:p>
        </w:tc>
        <w:tc>
          <w:tcPr>
            <w:tcW w:w="4876" w:type="dxa"/>
          </w:tcPr>
          <w:p w:rsidR="006C1CE1" w:rsidRPr="000B347F" w:rsidRDefault="000B347F" w:rsidP="004B5B2E">
            <w:pPr>
              <w:pStyle w:val="Normal6"/>
              <w:rPr>
                <w:szCs w:val="24"/>
              </w:rPr>
            </w:pPr>
            <w:r w:rsidRPr="000B347F">
              <w:rPr>
                <w:b/>
                <w:i/>
              </w:rPr>
              <w:t>a)</w:t>
            </w:r>
            <w:r w:rsidRPr="000B347F">
              <w:t xml:space="preserve"> lors de l’enregistrement de la demande de protection internationale visée à l’article 27 du règlement (UE) XXX/XXX [règlement sur la procédure d’asile]</w:t>
            </w:r>
            <w:r w:rsidRPr="000B347F">
              <w:rPr>
                <w:b/>
                <w:i/>
              </w:rPr>
              <w:t>; ou</w:t>
            </w:r>
          </w:p>
        </w:tc>
      </w:tr>
      <w:tr w:rsidR="005C07BC" w:rsidRPr="000B347F" w:rsidTr="00211B52">
        <w:trPr>
          <w:jc w:val="center"/>
        </w:trPr>
        <w:tc>
          <w:tcPr>
            <w:tcW w:w="4876" w:type="dxa"/>
          </w:tcPr>
          <w:p w:rsidR="006C1CE1" w:rsidRPr="000B347F" w:rsidRDefault="006C1CE1" w:rsidP="006D69C2">
            <w:pPr>
              <w:pStyle w:val="Normal6"/>
            </w:pPr>
          </w:p>
        </w:tc>
        <w:tc>
          <w:tcPr>
            <w:tcW w:w="4876" w:type="dxa"/>
          </w:tcPr>
          <w:p w:rsidR="006C1CE1" w:rsidRPr="000B347F" w:rsidRDefault="000B347F" w:rsidP="004B5B2E">
            <w:pPr>
              <w:pStyle w:val="Normal6"/>
              <w:rPr>
                <w:szCs w:val="24"/>
              </w:rPr>
            </w:pPr>
            <w:r w:rsidRPr="000B347F">
              <w:rPr>
                <w:b/>
                <w:i/>
              </w:rPr>
              <w:t xml:space="preserve">b) lors de l’introduction de la demande de protection internationale, lorsque celle-ci est introduite à un point de passage frontalier ou dans une zone de transit par une personne qui ne remplit pas les conditions d’entrée établies dans l’article 6 du </w:t>
            </w:r>
            <w:r w:rsidRPr="000B347F">
              <w:rPr>
                <w:b/>
                <w:i/>
              </w:rPr>
              <w:t>règlement (UE) 2016/399.</w:t>
            </w:r>
          </w:p>
        </w:tc>
      </w:tr>
      <w:tr w:rsidR="005C07BC" w:rsidRPr="000B347F" w:rsidTr="00211B52">
        <w:trPr>
          <w:jc w:val="center"/>
        </w:trPr>
        <w:tc>
          <w:tcPr>
            <w:tcW w:w="4876" w:type="dxa"/>
          </w:tcPr>
          <w:p w:rsidR="004B5B2E" w:rsidRPr="000B347F" w:rsidRDefault="004B5B2E" w:rsidP="006D69C2">
            <w:pPr>
              <w:pStyle w:val="Normal6"/>
            </w:pPr>
          </w:p>
        </w:tc>
        <w:tc>
          <w:tcPr>
            <w:tcW w:w="4876" w:type="dxa"/>
          </w:tcPr>
          <w:p w:rsidR="004B5B2E" w:rsidRPr="000B347F" w:rsidRDefault="000B347F" w:rsidP="004B5B2E">
            <w:pPr>
              <w:pStyle w:val="Normal6"/>
              <w:rPr>
                <w:b/>
                <w:i/>
              </w:rPr>
            </w:pPr>
            <w:r w:rsidRPr="000B347F">
              <w:rPr>
                <w:b/>
                <w:i/>
              </w:rPr>
              <w:t>Chaque État membre</w:t>
            </w:r>
            <w:r w:rsidRPr="000B347F">
              <w:t xml:space="preserve"> les transmet, dès que possible</w:t>
            </w:r>
            <w:r w:rsidRPr="000B347F">
              <w:rPr>
                <w:b/>
                <w:i/>
              </w:rPr>
              <w:t>, mais</w:t>
            </w:r>
            <w:r w:rsidRPr="000B347F">
              <w:t xml:space="preserve"> au plus tard 72 heures après </w:t>
            </w:r>
            <w:r w:rsidRPr="000B347F">
              <w:lastRenderedPageBreak/>
              <w:t>le relevé des données biométriques</w:t>
            </w:r>
            <w:r w:rsidRPr="000B347F">
              <w:rPr>
                <w:b/>
                <w:i/>
              </w:rPr>
              <w:t xml:space="preserve"> du demandeur d’une protection internationale</w:t>
            </w:r>
            <w:r w:rsidRPr="000B347F">
              <w:t xml:space="preserve">, accompagnées des données visées à l’article 12, </w:t>
            </w:r>
            <w:r w:rsidRPr="000B347F">
              <w:rPr>
                <w:b/>
                <w:i/>
              </w:rPr>
              <w:t>paragraphe 1</w:t>
            </w:r>
            <w:r w:rsidRPr="000B347F">
              <w:t>, a</w:t>
            </w:r>
            <w:r w:rsidRPr="000B347F">
              <w:t>u système central et au CIR, selon le cas, conformément à l’article 4, paragraphe 2.</w:t>
            </w:r>
          </w:p>
        </w:tc>
      </w:tr>
    </w:tbl>
    <w:p w:rsidR="006C1CE1" w:rsidRPr="000B347F" w:rsidRDefault="000B347F" w:rsidP="006C1CE1">
      <w:pPr>
        <w:pStyle w:val="Olang"/>
        <w:rPr>
          <w:noProof w:val="0"/>
        </w:rPr>
      </w:pPr>
      <w:r w:rsidRPr="000B347F">
        <w:rPr>
          <w:noProof w:val="0"/>
        </w:rPr>
        <w:lastRenderedPageBreak/>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20</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w:t>
      </w:r>
      <w:r w:rsidRPr="000B347F">
        <w:t>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14 – article 10 – paragraphe 1– alinéa 2</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rPr>
                <w:b/>
                <w:i/>
              </w:rPr>
              <w:t xml:space="preserve">Lorsque l’article 3, paragraphe 1, du règlement (UE) XXX/XXX [règlement visant à mettre en place une </w:t>
            </w:r>
            <w:r w:rsidRPr="000B347F">
              <w:rPr>
                <w:b/>
                <w:i/>
              </w:rPr>
              <w:t>procédure de filtrage] s’applique et que la personne demande une protection internationale au cours du filtrage, pour chaque demandeur d’une protection internationale âgé d’au moins six ans, chaque État membre utilise les données biométriques relevées au c</w:t>
            </w:r>
            <w:r w:rsidRPr="000B347F">
              <w:rPr>
                <w:b/>
                <w:i/>
              </w:rPr>
              <w:t xml:space="preserve">ours du filtrage et les transmet, accompagnées des données visées à l’article 12, points c) à p), du présent règlement, au système central et au CIR, selon le cas, conformément à l’article 4, paragraphe 2, dans les 72 heures suivant l’enregistrement de la </w:t>
            </w:r>
            <w:r w:rsidRPr="000B347F">
              <w:rPr>
                <w:b/>
                <w:i/>
              </w:rPr>
              <w:t>demande visée à l’article 27 du règlement (UE) XXX/XXX [règlement sur la procédure d’asile].</w:t>
            </w:r>
          </w:p>
        </w:tc>
        <w:tc>
          <w:tcPr>
            <w:tcW w:w="4876" w:type="dxa"/>
          </w:tcPr>
          <w:p w:rsidR="006C1CE1" w:rsidRPr="000B347F" w:rsidRDefault="000B347F" w:rsidP="006D69C2">
            <w:pPr>
              <w:pStyle w:val="Normal6"/>
              <w:rPr>
                <w:szCs w:val="24"/>
              </w:rPr>
            </w:pPr>
            <w:r w:rsidRPr="000B347F">
              <w:rPr>
                <w:b/>
                <w:i/>
              </w:rPr>
              <w:t>supprimé</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21</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14 – article 10 – paragraphe 3</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3.</w:t>
            </w:r>
            <w:r w:rsidRPr="000B347F">
              <w:tab/>
            </w:r>
            <w:r w:rsidRPr="000B347F">
              <w:t>Lorsque l’État membre concerné le demande, les données biométriques peuvent également être relevées et transmises au nom de cet État membre par les membres des équipes européennes de garde-frontières et de garde-côtes ou par les experts des équipes d’appui</w:t>
            </w:r>
            <w:r w:rsidRPr="000B347F">
              <w:t xml:space="preserve"> «asile» lorsqu’ils exercent des compétences et exécutent leurs tâches conformément au règlement (UE) 2019/1896 et au règlement (UE) XXX/XXX [règlement relatif à l’Agence de l’Union européenne pour l’asile].</w:t>
            </w:r>
          </w:p>
        </w:tc>
        <w:tc>
          <w:tcPr>
            <w:tcW w:w="4876" w:type="dxa"/>
          </w:tcPr>
          <w:p w:rsidR="006C1CE1" w:rsidRPr="000B347F" w:rsidRDefault="000B347F" w:rsidP="006D69C2">
            <w:pPr>
              <w:pStyle w:val="Normal6"/>
              <w:rPr>
                <w:szCs w:val="24"/>
              </w:rPr>
            </w:pPr>
            <w:r w:rsidRPr="000B347F">
              <w:t>3.</w:t>
            </w:r>
            <w:r w:rsidRPr="000B347F">
              <w:tab/>
              <w:t>Lorsque l’État membre concerné le demande, le</w:t>
            </w:r>
            <w:r w:rsidRPr="000B347F">
              <w:t>s données biométriques</w:t>
            </w:r>
            <w:r w:rsidRPr="000B347F">
              <w:rPr>
                <w:b/>
                <w:i/>
              </w:rPr>
              <w:t xml:space="preserve"> et alphanumériques</w:t>
            </w:r>
            <w:r w:rsidRPr="000B347F">
              <w:t xml:space="preserve"> peuvent également être relevées et transmises au nom de cet État membre par les membres des équipes européennes de garde-frontières et de garde-côtes ou par les experts des équipes d’appui «asile» lorsqu’ils exerce</w:t>
            </w:r>
            <w:r w:rsidRPr="000B347F">
              <w:t>nt des compétences et exécutent leurs tâches conformément au règlement (UE) 2019/1896 et au règlement (UE) XXX/XXX [règlement relatif à l’Agence de l’Union européenne pour l’asile].</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pPr>
        <w:pStyle w:val="JustificationTitle"/>
        <w:rPr>
          <w:noProof w:val="0"/>
        </w:rPr>
      </w:pPr>
      <w:r w:rsidRPr="000B347F">
        <w:rPr>
          <w:rStyle w:val="HideTWBExt"/>
          <w:i w:val="0"/>
          <w:noProof w:val="0"/>
        </w:rPr>
        <w:t>&lt;TitreJust&gt;</w:t>
      </w:r>
      <w:r w:rsidRPr="000B347F">
        <w:rPr>
          <w:noProof w:val="0"/>
        </w:rPr>
        <w:t>Justification</w:t>
      </w:r>
      <w:r w:rsidRPr="000B347F">
        <w:rPr>
          <w:rStyle w:val="HideTWBExt"/>
          <w:i w:val="0"/>
          <w:noProof w:val="0"/>
        </w:rPr>
        <w:t>&lt;/TitreJust&gt;</w:t>
      </w:r>
    </w:p>
    <w:p w:rsidR="006C1CE1" w:rsidRPr="000B347F" w:rsidRDefault="000B347F" w:rsidP="006C1CE1">
      <w:pPr>
        <w:pStyle w:val="Normal12Italic"/>
        <w:rPr>
          <w:noProof w:val="0"/>
        </w:rPr>
      </w:pPr>
      <w:r w:rsidRPr="000B347F">
        <w:rPr>
          <w:noProof w:val="0"/>
        </w:rPr>
        <w:t>Cette proposition comprend un ajout important, qui consiste à transmettre à Eurodac les données alphanumériques pertinentes des demandeurs d’asile ou des migrants en situation irrégulière. Cet amendement permettrait, à l’avenir, de mieux soutenir l’État me</w:t>
      </w:r>
      <w:r w:rsidRPr="000B347F">
        <w:rPr>
          <w:noProof w:val="0"/>
        </w:rPr>
        <w:t>mbre d’accueil en lui transmettant, au nom de l’organe compétent, non seulement les données biométriques, mais également les données alphanumériques qui devraient être collectées au cours du même processus d’examen analytique des ressortissants d’un pays t</w:t>
      </w:r>
      <w:r w:rsidRPr="000B347F">
        <w:rPr>
          <w:noProof w:val="0"/>
        </w:rPr>
        <w:t>iers.</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22</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5A0F10">
      <w:pPr>
        <w:pStyle w:val="NormalBold"/>
      </w:pPr>
      <w:r w:rsidRPr="000B347F">
        <w:rPr>
          <w:rStyle w:val="HideTWBExt"/>
          <w:b w:val="0"/>
          <w:noProof w:val="0"/>
        </w:rPr>
        <w:t>&lt;Article&gt;</w:t>
      </w:r>
      <w:r w:rsidRPr="000B347F">
        <w:t>Dispositif – point 14 – article 10 – paragraphe 4 bis (nouveau)</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E733C7">
            <w:pPr>
              <w:pStyle w:val="Normal6"/>
              <w:rPr>
                <w:szCs w:val="24"/>
              </w:rPr>
            </w:pPr>
            <w:r w:rsidRPr="000B347F">
              <w:rPr>
                <w:b/>
                <w:i/>
              </w:rPr>
              <w:t>4 bis.</w:t>
            </w:r>
            <w:r w:rsidRPr="000B347F">
              <w:rPr>
                <w:b/>
                <w:i/>
              </w:rPr>
              <w:tab/>
              <w:t>Lorsqu’un ressortissant de pays tiers ou un apatride en séjour irrégulier dans un État membre présente une demande de protection internationale au moment de son interpellation ou à la suite de celle-ci,</w:t>
            </w:r>
            <w:r w:rsidRPr="000B347F">
              <w:rPr>
                <w:b/>
                <w:i/>
              </w:rPr>
              <w:t xml:space="preserve"> cet État membre n’est pas dispensé de l’obligation de relever et d’enregistrer les données biométriques de ce ressortissant de pays tiers ou de cet apatride conformément à l’article 14. </w:t>
            </w:r>
          </w:p>
        </w:tc>
      </w:tr>
    </w:tbl>
    <w:p w:rsidR="006C1CE1" w:rsidRPr="000B347F" w:rsidRDefault="000B347F" w:rsidP="006C1CE1">
      <w:pPr>
        <w:pStyle w:val="Olang"/>
        <w:rPr>
          <w:noProof w:val="0"/>
        </w:rPr>
      </w:pPr>
      <w:r w:rsidRPr="000B347F">
        <w:rPr>
          <w:noProof w:val="0"/>
        </w:rPr>
        <w:lastRenderedPageBreak/>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23</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5A0F10">
      <w:pPr>
        <w:pStyle w:val="NormalBold"/>
      </w:pPr>
      <w:r w:rsidRPr="000B347F">
        <w:rPr>
          <w:rStyle w:val="HideTWBExt"/>
          <w:b w:val="0"/>
          <w:noProof w:val="0"/>
        </w:rPr>
        <w:t>&lt;Article&gt;</w:t>
      </w:r>
      <w:r w:rsidRPr="000B347F">
        <w:t>Dispositif – point 14 – article 10 – paragraphe 4 ter (nouveau)</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E733C7">
            <w:pPr>
              <w:pStyle w:val="Normal6"/>
              <w:rPr>
                <w:szCs w:val="24"/>
              </w:rPr>
            </w:pPr>
            <w:r w:rsidRPr="000B347F">
              <w:rPr>
                <w:b/>
                <w:i/>
              </w:rPr>
              <w:t>4 ter.</w:t>
            </w:r>
            <w:r w:rsidRPr="000B347F">
              <w:rPr>
                <w:b/>
                <w:i/>
              </w:rPr>
              <w:tab/>
              <w:t>Lorsqu’un ressortissant de pays tiers ou un apatride interpellé à l’occasion du franchissement irrégulier d’une frontière extérieure présente une demande de protection internationale au moment de son interpellation ou à la suite de cell</w:t>
            </w:r>
            <w:r w:rsidRPr="000B347F">
              <w:rPr>
                <w:b/>
                <w:i/>
              </w:rPr>
              <w:t>e-ci, l’État membre qui procède à l’interpellation n’est pas dispensé de l’obligation de relever et d’enregistrer les données biométriques de ce ressortissant de pays tiers ou de cet apatride conformément à l’article 13.</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w:t>
      </w:r>
      <w:r w:rsidRPr="000B347F">
        <w:rPr>
          <w:rStyle w:val="HideTWBExt"/>
          <w:noProof w:val="0"/>
        </w:rPr>
        <w: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24</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5A0F10">
      <w:pPr>
        <w:pStyle w:val="NormalBold"/>
      </w:pPr>
      <w:r w:rsidRPr="000B347F">
        <w:rPr>
          <w:rStyle w:val="HideTWBExt"/>
          <w:b w:val="0"/>
          <w:noProof w:val="0"/>
        </w:rPr>
        <w:t>&lt;Article&gt;</w:t>
      </w:r>
      <w:r w:rsidRPr="000B347F">
        <w:t>Dispositif – point 14 – article 10 – paragraphe 4 quater (nouveau)</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EF3617">
            <w:pPr>
              <w:pStyle w:val="Normal6"/>
              <w:rPr>
                <w:szCs w:val="24"/>
              </w:rPr>
            </w:pPr>
            <w:r w:rsidRPr="000B347F">
              <w:rPr>
                <w:b/>
                <w:i/>
              </w:rPr>
              <w:t>4 quater.</w:t>
            </w:r>
            <w:r w:rsidRPr="000B347F">
              <w:rPr>
                <w:b/>
                <w:i/>
              </w:rPr>
              <w:tab/>
              <w:t>Dans les cas visés aux paragraphes 4 bis et 4 ter du présent article, les États membres réutilisent les données biométriques relevées en application des articles 13 et 14, pour les transmettre au systè</w:t>
            </w:r>
            <w:r w:rsidRPr="000B347F">
              <w:rPr>
                <w:b/>
                <w:i/>
              </w:rPr>
              <w:t>me central et au CIR conformément au paragraphe 1 du présent article.</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lastRenderedPageBreak/>
        <w:t>&lt;Amend&gt;</w:t>
      </w:r>
      <w:r w:rsidRPr="000B347F">
        <w:t>Amendement</w:t>
      </w:r>
      <w:r w:rsidRPr="000B347F">
        <w:tab/>
      </w:r>
      <w:r w:rsidRPr="000B347F">
        <w:tab/>
      </w:r>
      <w:r w:rsidRPr="000B347F">
        <w:rPr>
          <w:rStyle w:val="HideTWBExt"/>
          <w:b w:val="0"/>
          <w:noProof w:val="0"/>
        </w:rPr>
        <w:t>&lt;NumAm&gt;</w:t>
      </w:r>
      <w:r w:rsidRPr="000B347F">
        <w:t>25</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 xml:space="preserve">Proposition de </w:t>
      </w:r>
      <w:r w:rsidRPr="000B347F">
        <w:t>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16 – article 12 – partie introductive</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Seules les données suivantes sont enregistrées dans le système central et dans le CIR selon le cas:</w:t>
            </w:r>
          </w:p>
        </w:tc>
        <w:tc>
          <w:tcPr>
            <w:tcW w:w="4876" w:type="dxa"/>
          </w:tcPr>
          <w:p w:rsidR="006C1CE1" w:rsidRPr="000B347F" w:rsidRDefault="000B347F" w:rsidP="006D69C2">
            <w:pPr>
              <w:pStyle w:val="Normal6"/>
              <w:rPr>
                <w:szCs w:val="24"/>
              </w:rPr>
            </w:pPr>
            <w:r w:rsidRPr="000B347F">
              <w:t>Seules les do</w:t>
            </w:r>
            <w:r w:rsidRPr="000B347F">
              <w:t>nnées suivantes sont enregistrées dans le système central et dans le CIR</w:t>
            </w:r>
            <w:r w:rsidRPr="000B347F">
              <w:rPr>
                <w:b/>
                <w:i/>
              </w:rPr>
              <w:t>,</w:t>
            </w:r>
            <w:r w:rsidRPr="000B347F">
              <w:t xml:space="preserve"> selon le cas</w:t>
            </w:r>
            <w:r w:rsidRPr="000B347F">
              <w:rPr>
                <w:b/>
                <w:i/>
              </w:rPr>
              <w:t>, conformément à l’article 4, paragraphe 2</w:t>
            </w:r>
            <w:r w:rsidRPr="000B347F">
              <w:t>:</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26</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16 – article 12 – point o</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(o)</w:t>
            </w:r>
            <w:r w:rsidRPr="000B347F">
              <w:tab/>
              <w:t xml:space="preserve">la date à laquelle les données ont été transmises au système </w:t>
            </w:r>
            <w:r w:rsidRPr="000B347F">
              <w:t>central et au CIR, selon le cas;</w:t>
            </w:r>
          </w:p>
        </w:tc>
        <w:tc>
          <w:tcPr>
            <w:tcW w:w="4876" w:type="dxa"/>
          </w:tcPr>
          <w:p w:rsidR="006C1CE1" w:rsidRPr="000B347F" w:rsidRDefault="000B347F" w:rsidP="006D69C2">
            <w:pPr>
              <w:pStyle w:val="Normal6"/>
              <w:rPr>
                <w:szCs w:val="24"/>
              </w:rPr>
            </w:pPr>
            <w:r w:rsidRPr="000B347F">
              <w:t>(o)</w:t>
            </w:r>
            <w:r w:rsidRPr="000B347F">
              <w:tab/>
              <w:t>la date à laquelle les données ont été transmises au système central et au CIR, selon le cas</w:t>
            </w:r>
            <w:r w:rsidRPr="000B347F">
              <w:rPr>
                <w:b/>
                <w:i/>
              </w:rPr>
              <w:t>, conformément à l’article 4, paragraphe 2</w:t>
            </w:r>
            <w:r w:rsidRPr="000B347F">
              <w:t>;</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27</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16 bis (nouveau) – article 12 bis (nouveau)</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211B52">
            <w:pPr>
              <w:pStyle w:val="Normal6"/>
              <w:jc w:val="center"/>
              <w:rPr>
                <w:szCs w:val="24"/>
              </w:rPr>
            </w:pPr>
            <w:r w:rsidRPr="000B347F">
              <w:rPr>
                <w:b/>
                <w:i/>
              </w:rPr>
              <w:t>Article 12 bis</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211B52">
            <w:pPr>
              <w:pStyle w:val="Normal6"/>
              <w:jc w:val="center"/>
              <w:rPr>
                <w:szCs w:val="24"/>
              </w:rPr>
            </w:pPr>
            <w:r w:rsidRPr="000B347F">
              <w:rPr>
                <w:b/>
                <w:i/>
              </w:rPr>
              <w:t>Collecte et transmission des empreintes digitales et des données d’images faciales</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1. </w:t>
            </w:r>
            <w:r w:rsidRPr="000B347F">
              <w:rPr>
                <w:b/>
                <w:i/>
              </w:rPr>
              <w:tab/>
              <w:t xml:space="preserve">Chaque État membre relève sans tarder l’empreinte digitale de tous les doigts et capture l’image faciale de </w:t>
            </w:r>
            <w:r w:rsidRPr="000B347F">
              <w:rPr>
                <w:b/>
                <w:i/>
              </w:rPr>
              <w:lastRenderedPageBreak/>
              <w:t>chaque ressortissant de pays tiers ou apat</w:t>
            </w:r>
            <w:r w:rsidRPr="000B347F">
              <w:rPr>
                <w:b/>
                <w:i/>
              </w:rPr>
              <w:t>ride réinstallé âgé de six ans au moins, dès que celui-ci arrive sur son territoire, et les transmet au système central accompagnées des autres données visées à l’article 10 du règlement (UE) .../....</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Le non-respect de l’obligation de relevé de l’emprein</w:t>
            </w:r>
            <w:r w:rsidRPr="000B347F">
              <w:rPr>
                <w:b/>
                <w:i/>
              </w:rPr>
              <w:t>te digitale de tous les doigts et de la capture de l’image faciale sans délai n’exonère pas les États membres de l’obligation de relever et de transmettre les empreintes digitales et l’image faciale au système central. Lorsque l’état des doigts ne permet p</w:t>
            </w:r>
            <w:r w:rsidRPr="000B347F">
              <w:rPr>
                <w:b/>
                <w:i/>
              </w:rPr>
              <w:t>as de relever des empreintes digitales d’une qualité suffisante pour une comparaison appropriée au titre de l’article 26, l’État membre de réinstallation procède à un nouveau relevé des empreintes digitales du demandeur et le retransmet dès que possible et</w:t>
            </w:r>
            <w:r w:rsidRPr="000B347F">
              <w:rPr>
                <w:b/>
                <w:i/>
              </w:rPr>
              <w:t xml:space="preserve"> au plus tard 48 heures suivant ledit relevé de bonne qualité.</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2. </w:t>
            </w:r>
            <w:r w:rsidRPr="000B347F">
              <w:rPr>
                <w:b/>
                <w:i/>
              </w:rPr>
              <w:tab/>
              <w:t>Par dérogation au paragraphe 1, lorsqu’il n’est pas possible de relever les empreintes digitales et/ou de capturer l’image faciale d’un ressortissant de pays tiers ou d’un apatride réinst</w:t>
            </w:r>
            <w:r w:rsidRPr="000B347F">
              <w:rPr>
                <w:b/>
                <w:i/>
              </w:rPr>
              <w:t>allé en raison de mesures arrêtées pour sauvegarder sa santé ou de mesures de santé publique, les États membres procèdent au relevé et à la capture et transmettent ceux-ci dès que possible et au plus tard 48 heures après la disparition desdits motifs de sa</w:t>
            </w:r>
            <w:r w:rsidRPr="000B347F">
              <w:rPr>
                <w:b/>
                <w:i/>
              </w:rPr>
              <w:t>nté.</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075CA9" w:rsidRPr="000B347F" w:rsidRDefault="000B347F" w:rsidP="00075CA9">
      <w:pPr>
        <w:pStyle w:val="JustificationTitle"/>
        <w:rPr>
          <w:noProof w:val="0"/>
        </w:rPr>
      </w:pPr>
      <w:r w:rsidRPr="000B347F">
        <w:rPr>
          <w:rStyle w:val="HideTWBExt"/>
          <w:i w:val="0"/>
          <w:noProof w:val="0"/>
        </w:rPr>
        <w:t>&lt;TitreJust&gt;</w:t>
      </w:r>
      <w:r w:rsidRPr="000B347F">
        <w:rPr>
          <w:noProof w:val="0"/>
        </w:rPr>
        <w:t>Justification</w:t>
      </w:r>
      <w:r w:rsidRPr="000B347F">
        <w:rPr>
          <w:rStyle w:val="HideTWBExt"/>
          <w:i w:val="0"/>
          <w:noProof w:val="0"/>
        </w:rPr>
        <w:t>&lt;/TitreJust&gt;</w:t>
      </w:r>
    </w:p>
    <w:p w:rsidR="00075CA9" w:rsidRPr="000B347F" w:rsidRDefault="000B347F" w:rsidP="006C1CE1">
      <w:pPr>
        <w:rPr>
          <w:i/>
        </w:rPr>
      </w:pPr>
      <w:r w:rsidRPr="000B347F">
        <w:rPr>
          <w:i/>
        </w:rPr>
        <w:t xml:space="preserve">Rétablissement de la position du Parlement en ce qui concerne cette catégorie de personnes à enregistrer dans Eurodac. Des explications complémentaires figurent dans l’exposé des </w:t>
      </w:r>
      <w:r w:rsidRPr="000B347F">
        <w:rPr>
          <w:i/>
        </w:rPr>
        <w:t>motifs du rapporteur.</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28</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lastRenderedPageBreak/>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 xml:space="preserve">Dispositif – point 16 ter (nouveau) – article 12 ter </w:t>
      </w:r>
      <w:r w:rsidRPr="000B347F">
        <w:t>(nouveau)</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211B52">
            <w:pPr>
              <w:pStyle w:val="Normal6"/>
              <w:jc w:val="center"/>
              <w:rPr>
                <w:szCs w:val="24"/>
              </w:rPr>
            </w:pPr>
            <w:r w:rsidRPr="000B347F">
              <w:rPr>
                <w:b/>
                <w:i/>
              </w:rPr>
              <w:t>Article 12 ter</w:t>
            </w:r>
          </w:p>
        </w:tc>
      </w:tr>
      <w:tr w:rsidR="005C07BC" w:rsidRPr="000B347F" w:rsidTr="006D69C2">
        <w:trPr>
          <w:jc w:val="center"/>
        </w:trPr>
        <w:tc>
          <w:tcPr>
            <w:tcW w:w="4876" w:type="dxa"/>
          </w:tcPr>
          <w:p w:rsidR="006354F4" w:rsidRPr="000B347F" w:rsidRDefault="006354F4" w:rsidP="006D69C2">
            <w:pPr>
              <w:pStyle w:val="Normal6"/>
            </w:pPr>
          </w:p>
        </w:tc>
        <w:tc>
          <w:tcPr>
            <w:tcW w:w="4876" w:type="dxa"/>
          </w:tcPr>
          <w:p w:rsidR="006354F4" w:rsidRPr="000B347F" w:rsidRDefault="000B347F" w:rsidP="006354F4">
            <w:pPr>
              <w:pStyle w:val="Normal6"/>
              <w:jc w:val="center"/>
              <w:rPr>
                <w:b/>
                <w:i/>
              </w:rPr>
            </w:pPr>
            <w:r w:rsidRPr="000B347F">
              <w:rPr>
                <w:b/>
                <w:i/>
              </w:rPr>
              <w:t>Enregistrement des données</w:t>
            </w:r>
          </w:p>
        </w:tc>
      </w:tr>
      <w:tr w:rsidR="005C07BC" w:rsidRPr="000B347F" w:rsidTr="006D69C2">
        <w:trPr>
          <w:jc w:val="center"/>
        </w:trPr>
        <w:tc>
          <w:tcPr>
            <w:tcW w:w="4876" w:type="dxa"/>
          </w:tcPr>
          <w:p w:rsidR="006354F4" w:rsidRPr="000B347F" w:rsidRDefault="006354F4" w:rsidP="006D69C2">
            <w:pPr>
              <w:pStyle w:val="Normal6"/>
            </w:pPr>
          </w:p>
        </w:tc>
        <w:tc>
          <w:tcPr>
            <w:tcW w:w="4876" w:type="dxa"/>
          </w:tcPr>
          <w:p w:rsidR="006354F4" w:rsidRPr="000B347F" w:rsidRDefault="000B347F" w:rsidP="00211B52">
            <w:pPr>
              <w:pStyle w:val="Normal6"/>
              <w:rPr>
                <w:b/>
                <w:i/>
              </w:rPr>
            </w:pPr>
            <w:r w:rsidRPr="000B347F">
              <w:rPr>
                <w:b/>
                <w:i/>
              </w:rPr>
              <w:t xml:space="preserve">Seules sont enregistrées dans le système central les données suivantes: </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a) </w:t>
            </w:r>
            <w:r w:rsidRPr="000B347F">
              <w:rPr>
                <w:b/>
                <w:i/>
              </w:rPr>
              <w:tab/>
              <w:t>données dactyloscopiques;</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b) </w:t>
            </w:r>
            <w:r w:rsidRPr="000B347F">
              <w:rPr>
                <w:b/>
                <w:i/>
              </w:rPr>
              <w:tab/>
              <w:t>image faciale;</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c) </w:t>
            </w:r>
            <w:r w:rsidRPr="000B347F">
              <w:rPr>
                <w:b/>
                <w:i/>
              </w:rPr>
              <w:tab/>
              <w:t xml:space="preserve">nom(s) et </w:t>
            </w:r>
            <w:r w:rsidRPr="000B347F">
              <w:rPr>
                <w:b/>
                <w:i/>
              </w:rPr>
              <w:t>prénom(s), nom(s) de naissance, noms utilisés antérieurement et pseudonymes, qui peuvent être entrés séparément;</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d) </w:t>
            </w:r>
            <w:r w:rsidRPr="000B347F">
              <w:rPr>
                <w:b/>
                <w:i/>
              </w:rPr>
              <w:tab/>
              <w:t>nationalité(s);</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e) </w:t>
            </w:r>
            <w:r w:rsidRPr="000B347F">
              <w:rPr>
                <w:b/>
                <w:i/>
              </w:rPr>
              <w:tab/>
              <w:t>lieu et date de naissance;</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f) </w:t>
            </w:r>
            <w:r w:rsidRPr="000B347F">
              <w:rPr>
                <w:b/>
                <w:i/>
              </w:rPr>
              <w:tab/>
              <w:t>État membre de réinstallation, lieu et date de l’enregistrement;</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g) </w:t>
            </w:r>
            <w:r w:rsidRPr="000B347F">
              <w:rPr>
                <w:b/>
                <w:i/>
              </w:rPr>
              <w:tab/>
              <w:t>sexe;</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h) </w:t>
            </w:r>
            <w:r w:rsidRPr="000B347F">
              <w:rPr>
                <w:b/>
                <w:i/>
              </w:rPr>
              <w:tab/>
              <w:t>le cas échéant, type et numéro du document d’identité ou de voyage; code en trois lettres du pays de délivrance et durée de validité;</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i) </w:t>
            </w:r>
            <w:r w:rsidRPr="000B347F">
              <w:rPr>
                <w:b/>
                <w:i/>
              </w:rPr>
              <w:tab/>
              <w:t>numéro de référence attribué par l’État membre d’origine;</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j) </w:t>
            </w:r>
            <w:r w:rsidRPr="000B347F">
              <w:rPr>
                <w:b/>
                <w:i/>
              </w:rPr>
              <w:tab/>
              <w:t>date à laquelle les empreintes ont été relevées et/</w:t>
            </w:r>
            <w:r w:rsidRPr="000B347F">
              <w:rPr>
                <w:b/>
                <w:i/>
              </w:rPr>
              <w:t>ou l’image faciale a été capturée;</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k) </w:t>
            </w:r>
            <w:r w:rsidRPr="000B347F">
              <w:rPr>
                <w:b/>
                <w:i/>
              </w:rPr>
              <w:tab/>
              <w:t>date à laquelle les données ont été transmises au système central;</w:t>
            </w:r>
          </w:p>
        </w:tc>
      </w:tr>
      <w:tr w:rsidR="005C07BC" w:rsidRPr="000B347F" w:rsidTr="006D69C2">
        <w:trPr>
          <w:jc w:val="center"/>
        </w:trPr>
        <w:tc>
          <w:tcPr>
            <w:tcW w:w="4876" w:type="dxa"/>
          </w:tcPr>
          <w:p w:rsidR="006C1CE1" w:rsidRPr="000B347F" w:rsidRDefault="006C1CE1" w:rsidP="006D69C2">
            <w:pPr>
              <w:pStyle w:val="Normal6"/>
            </w:pPr>
          </w:p>
        </w:tc>
        <w:tc>
          <w:tcPr>
            <w:tcW w:w="4876" w:type="dxa"/>
          </w:tcPr>
          <w:p w:rsidR="006C1CE1" w:rsidRPr="000B347F" w:rsidRDefault="000B347F" w:rsidP="006D69C2">
            <w:pPr>
              <w:pStyle w:val="Normal6"/>
              <w:rPr>
                <w:szCs w:val="24"/>
              </w:rPr>
            </w:pPr>
            <w:r w:rsidRPr="000B347F">
              <w:rPr>
                <w:b/>
                <w:i/>
              </w:rPr>
              <w:t xml:space="preserve">l) </w:t>
            </w:r>
            <w:r w:rsidRPr="000B347F">
              <w:rPr>
                <w:b/>
                <w:i/>
              </w:rPr>
              <w:tab/>
              <w:t>code d’identification de l’opérateur.</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r w:rsidRPr="000B347F">
        <w:rPr>
          <w:rStyle w:val="HideTWBExt"/>
          <w:noProof w:val="0"/>
        </w:rPr>
        <w:t>&lt;/Amend&gt;</w:t>
      </w:r>
    </w:p>
    <w:p w:rsidR="006C1CE1" w:rsidRPr="000B347F" w:rsidRDefault="000B347F" w:rsidP="006C1CE1">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29</w:t>
      </w:r>
      <w:r w:rsidRPr="000B347F">
        <w:rPr>
          <w:rStyle w:val="HideTWBExt"/>
          <w:b w:val="0"/>
          <w:noProof w:val="0"/>
        </w:rPr>
        <w:t>&lt;/NumAm&gt;</w:t>
      </w:r>
    </w:p>
    <w:p w:rsidR="006C1CE1" w:rsidRPr="000B347F" w:rsidRDefault="000B347F" w:rsidP="006C1CE1">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6C1CE1" w:rsidRPr="000B347F" w:rsidRDefault="000B347F" w:rsidP="006C1CE1">
      <w:r w:rsidRPr="000B347F">
        <w:rPr>
          <w:rStyle w:val="HideTWBExt"/>
          <w:noProof w:val="0"/>
        </w:rPr>
        <w:t>&lt;/RepeatBlock-By&gt;</w:t>
      </w:r>
    </w:p>
    <w:p w:rsidR="006C1CE1" w:rsidRPr="000B347F" w:rsidRDefault="000B347F" w:rsidP="006C1CE1">
      <w:pPr>
        <w:pStyle w:val="NormalBold"/>
        <w:keepNext/>
      </w:pPr>
      <w:r w:rsidRPr="000B347F">
        <w:rPr>
          <w:rStyle w:val="HideTWBExt"/>
          <w:b w:val="0"/>
          <w:noProof w:val="0"/>
        </w:rPr>
        <w:lastRenderedPageBreak/>
        <w:t>&lt;DocAmend&gt;</w:t>
      </w:r>
      <w:r w:rsidRPr="000B347F">
        <w:t>Proposition de règlement</w:t>
      </w:r>
      <w:r w:rsidRPr="000B347F">
        <w:rPr>
          <w:rStyle w:val="HideTWBExt"/>
          <w:b w:val="0"/>
          <w:noProof w:val="0"/>
        </w:rPr>
        <w:t>&lt;/DocAmend&gt;</w:t>
      </w:r>
    </w:p>
    <w:p w:rsidR="006C1CE1" w:rsidRPr="000B347F" w:rsidRDefault="000B347F" w:rsidP="006C1CE1">
      <w:pPr>
        <w:pStyle w:val="NormalBold"/>
      </w:pPr>
      <w:r w:rsidRPr="000B347F">
        <w:rPr>
          <w:rStyle w:val="HideTWBExt"/>
          <w:b w:val="0"/>
          <w:noProof w:val="0"/>
        </w:rPr>
        <w:t>&lt;Article&gt;</w:t>
      </w:r>
      <w:r w:rsidRPr="000B347F">
        <w:t>Dispositif – point 17 – article 13 – paragraphe 2– partie introductive</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6D69C2">
        <w:trPr>
          <w:jc w:val="center"/>
        </w:trPr>
        <w:tc>
          <w:tcPr>
            <w:tcW w:w="9752" w:type="dxa"/>
            <w:gridSpan w:val="2"/>
          </w:tcPr>
          <w:p w:rsidR="006C1CE1" w:rsidRPr="000B347F" w:rsidRDefault="006C1CE1" w:rsidP="006D69C2">
            <w:pPr>
              <w:keepNext/>
            </w:pPr>
          </w:p>
        </w:tc>
      </w:tr>
      <w:tr w:rsidR="005C07BC" w:rsidRPr="000B347F" w:rsidTr="006D69C2">
        <w:trPr>
          <w:jc w:val="center"/>
        </w:trPr>
        <w:tc>
          <w:tcPr>
            <w:tcW w:w="4876" w:type="dxa"/>
          </w:tcPr>
          <w:p w:rsidR="006C1CE1" w:rsidRPr="000B347F" w:rsidRDefault="000B347F" w:rsidP="006D69C2">
            <w:pPr>
              <w:pStyle w:val="ColumnHeading"/>
              <w:keepNext/>
            </w:pPr>
            <w:r w:rsidRPr="000B347F">
              <w:t>Texte proposé par la Commission</w:t>
            </w:r>
          </w:p>
        </w:tc>
        <w:tc>
          <w:tcPr>
            <w:tcW w:w="4876" w:type="dxa"/>
          </w:tcPr>
          <w:p w:rsidR="006C1CE1" w:rsidRPr="000B347F" w:rsidRDefault="000B347F" w:rsidP="006D69C2">
            <w:pPr>
              <w:pStyle w:val="ColumnHeading"/>
              <w:keepNext/>
            </w:pPr>
            <w:r w:rsidRPr="000B347F">
              <w:t>Amendement</w:t>
            </w:r>
          </w:p>
        </w:tc>
      </w:tr>
      <w:tr w:rsidR="005C07BC" w:rsidRPr="000B347F" w:rsidTr="006D69C2">
        <w:trPr>
          <w:jc w:val="center"/>
        </w:trPr>
        <w:tc>
          <w:tcPr>
            <w:tcW w:w="4876" w:type="dxa"/>
          </w:tcPr>
          <w:p w:rsidR="006C1CE1" w:rsidRPr="000B347F" w:rsidRDefault="000B347F" w:rsidP="006D69C2">
            <w:pPr>
              <w:pStyle w:val="Normal6"/>
            </w:pPr>
            <w:r w:rsidRPr="000B347F">
              <w:t>2.</w:t>
            </w:r>
            <w:r w:rsidRPr="000B347F">
              <w:tab/>
              <w:t xml:space="preserve">L’État membre </w:t>
            </w:r>
            <w:r w:rsidRPr="000B347F">
              <w:t>concerné transmet, dès que possible et au plus tard 72 heures après son interpellation, au système central et au CIR, selon le cas, les données suivantes relatives à tout ressortissant de pays tiers ou apatride se trouvant dans la situation décrite au para</w:t>
            </w:r>
            <w:r w:rsidRPr="000B347F">
              <w:t>graphe 1 et qui n’a pas été refoulé:</w:t>
            </w:r>
          </w:p>
        </w:tc>
        <w:tc>
          <w:tcPr>
            <w:tcW w:w="4876" w:type="dxa"/>
          </w:tcPr>
          <w:p w:rsidR="006C1CE1" w:rsidRPr="000B347F" w:rsidRDefault="000B347F" w:rsidP="006D69C2">
            <w:pPr>
              <w:pStyle w:val="Normal6"/>
              <w:rPr>
                <w:szCs w:val="24"/>
              </w:rPr>
            </w:pPr>
            <w:r w:rsidRPr="000B347F">
              <w:t>2.</w:t>
            </w:r>
            <w:r w:rsidRPr="000B347F">
              <w:tab/>
              <w:t>L’État membre concerné transmet, dès que possible et au plus tard 72 heures après son interpellation, au système central et au CIR, selon le cas</w:t>
            </w:r>
            <w:r w:rsidRPr="000B347F">
              <w:rPr>
                <w:b/>
                <w:i/>
              </w:rPr>
              <w:t>, conformément à l’article 4, paragraphe 2</w:t>
            </w:r>
            <w:r w:rsidRPr="000B347F">
              <w:t>, les données suivantes relati</w:t>
            </w:r>
            <w:r w:rsidRPr="000B347F">
              <w:t>ves à tout ressortissant de pays tiers ou apatride se trouvant dans la situation décrite au paragraphe 1 et qui n’a pas été refoulé:</w:t>
            </w:r>
          </w:p>
        </w:tc>
      </w:tr>
    </w:tbl>
    <w:p w:rsidR="006C1CE1" w:rsidRPr="000B347F" w:rsidRDefault="000B347F" w:rsidP="006C1CE1">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6C1CE1" w:rsidRPr="000B347F" w:rsidRDefault="000B347F" w:rsidP="006C1CE1">
      <w:pPr>
        <w:rPr>
          <w:rStyle w:val="HideTWBExt"/>
          <w:noProof w:val="0"/>
        </w:rPr>
      </w:pPr>
      <w:r w:rsidRPr="000B347F">
        <w:rPr>
          <w:rStyle w:val="HideTWBExt"/>
          <w:noProof w:val="0"/>
        </w:rPr>
        <w:t>&lt;/Amend&gt;</w:t>
      </w:r>
    </w:p>
    <w:p w:rsidR="00460CB0" w:rsidRPr="000B347F" w:rsidRDefault="000B347F" w:rsidP="00460CB0">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30</w:t>
      </w:r>
      <w:r w:rsidRPr="000B347F">
        <w:rPr>
          <w:rStyle w:val="HideTWBExt"/>
          <w:b w:val="0"/>
          <w:noProof w:val="0"/>
        </w:rPr>
        <w:t>&lt;/NumAm&gt;</w:t>
      </w:r>
    </w:p>
    <w:p w:rsidR="00460CB0" w:rsidRPr="000B347F" w:rsidRDefault="000B347F" w:rsidP="00460CB0">
      <w:pPr>
        <w:pStyle w:val="NormalBold"/>
      </w:pPr>
      <w:r w:rsidRPr="000B347F">
        <w:rPr>
          <w:rStyle w:val="HideTWBExt"/>
          <w:b w:val="0"/>
          <w:noProof w:val="0"/>
        </w:rPr>
        <w:t>&lt;RepeatBlock-By&gt;&lt;Members&gt;</w:t>
      </w:r>
      <w:r w:rsidRPr="000B347F">
        <w:t>Jorge Buxadé Villal</w:t>
      </w:r>
      <w:r w:rsidRPr="000B347F">
        <w:t>ba</w:t>
      </w:r>
      <w:r w:rsidRPr="000B347F">
        <w:rPr>
          <w:rStyle w:val="HideTWBExt"/>
          <w:b w:val="0"/>
          <w:noProof w:val="0"/>
        </w:rPr>
        <w:t>&lt;/Members&gt;</w:t>
      </w:r>
    </w:p>
    <w:p w:rsidR="00460CB0" w:rsidRPr="000B347F" w:rsidRDefault="000B347F" w:rsidP="00460CB0">
      <w:r w:rsidRPr="000B347F">
        <w:rPr>
          <w:rStyle w:val="HideTWBExt"/>
          <w:noProof w:val="0"/>
        </w:rPr>
        <w:t>&lt;/RepeatBlock-By&gt;</w:t>
      </w:r>
    </w:p>
    <w:p w:rsidR="00460CB0" w:rsidRPr="000B347F" w:rsidRDefault="000B347F" w:rsidP="00460CB0">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460CB0" w:rsidRPr="000B347F" w:rsidRDefault="000B347F" w:rsidP="00460CB0">
      <w:pPr>
        <w:pStyle w:val="NormalBold"/>
      </w:pPr>
      <w:r w:rsidRPr="000B347F">
        <w:rPr>
          <w:rStyle w:val="HideTWBExt"/>
          <w:b w:val="0"/>
          <w:noProof w:val="0"/>
        </w:rPr>
        <w:t>&lt;Article&gt;</w:t>
      </w:r>
      <w:r w:rsidRPr="000B347F">
        <w:t xml:space="preserve"> Dispositif – point 17 – article 13 – paragraphe 7</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264C57">
        <w:trPr>
          <w:jc w:val="center"/>
        </w:trPr>
        <w:tc>
          <w:tcPr>
            <w:tcW w:w="9752" w:type="dxa"/>
            <w:gridSpan w:val="2"/>
          </w:tcPr>
          <w:p w:rsidR="00460CB0" w:rsidRPr="000B347F" w:rsidRDefault="00460CB0" w:rsidP="00264C57">
            <w:pPr>
              <w:keepNext/>
            </w:pPr>
          </w:p>
        </w:tc>
      </w:tr>
      <w:tr w:rsidR="005C07BC" w:rsidRPr="000B347F" w:rsidTr="00264C57">
        <w:trPr>
          <w:jc w:val="center"/>
        </w:trPr>
        <w:tc>
          <w:tcPr>
            <w:tcW w:w="4876" w:type="dxa"/>
          </w:tcPr>
          <w:p w:rsidR="00460CB0" w:rsidRPr="000B347F" w:rsidRDefault="000B347F" w:rsidP="00264C57">
            <w:pPr>
              <w:pStyle w:val="ColumnHeading"/>
              <w:keepNext/>
            </w:pPr>
            <w:r w:rsidRPr="000B347F">
              <w:t>Texte proposé par la Commission</w:t>
            </w:r>
          </w:p>
        </w:tc>
        <w:tc>
          <w:tcPr>
            <w:tcW w:w="4876" w:type="dxa"/>
          </w:tcPr>
          <w:p w:rsidR="00460CB0" w:rsidRPr="000B347F" w:rsidRDefault="000B347F" w:rsidP="00264C57">
            <w:pPr>
              <w:pStyle w:val="ColumnHeading"/>
              <w:keepNext/>
            </w:pPr>
            <w:r w:rsidRPr="000B347F">
              <w:t>Amendement</w:t>
            </w:r>
          </w:p>
        </w:tc>
      </w:tr>
      <w:tr w:rsidR="005C07BC" w:rsidRPr="000B347F" w:rsidTr="00264C57">
        <w:trPr>
          <w:jc w:val="center"/>
        </w:trPr>
        <w:tc>
          <w:tcPr>
            <w:tcW w:w="4876" w:type="dxa"/>
          </w:tcPr>
          <w:p w:rsidR="00460CB0" w:rsidRPr="000B347F" w:rsidRDefault="000B347F" w:rsidP="00264C57">
            <w:pPr>
              <w:pStyle w:val="Normal6"/>
            </w:pPr>
            <w:r w:rsidRPr="000B347F">
              <w:t>7.</w:t>
            </w:r>
            <w:r w:rsidRPr="000B347F">
              <w:tab/>
              <w:t xml:space="preserve">Lorsque l’État membre concerné le demande, les données </w:t>
            </w:r>
            <w:r w:rsidRPr="000B347F">
              <w:t>biométriques peuvent également être relevées et transmises au nom de cet État membre par les membres des équipes européennes de garde-frontières et de garde-côtes ou par les experts des équipes d’appui «asile» lorsqu’ils exercent des compétences et exécute</w:t>
            </w:r>
            <w:r w:rsidRPr="000B347F">
              <w:t>nt leurs tâches conformément au règlement (UE) 2019/1896 et au règlement (UE) XXX/XXX [règlement relatif à l’Agence de l’Union européenne pour l’asile].</w:t>
            </w:r>
          </w:p>
        </w:tc>
        <w:tc>
          <w:tcPr>
            <w:tcW w:w="4876" w:type="dxa"/>
          </w:tcPr>
          <w:p w:rsidR="00460CB0" w:rsidRPr="000B347F" w:rsidRDefault="000B347F" w:rsidP="00264C57">
            <w:pPr>
              <w:pStyle w:val="Normal6"/>
              <w:rPr>
                <w:szCs w:val="24"/>
              </w:rPr>
            </w:pPr>
            <w:r w:rsidRPr="000B347F">
              <w:t>7.</w:t>
            </w:r>
            <w:r w:rsidRPr="000B347F">
              <w:tab/>
              <w:t>Lorsque l’État membre concerné le demande, les données biométriques</w:t>
            </w:r>
            <w:r w:rsidRPr="000B347F">
              <w:rPr>
                <w:b/>
                <w:i/>
              </w:rPr>
              <w:t xml:space="preserve"> et alphanumériques</w:t>
            </w:r>
            <w:r w:rsidRPr="000B347F">
              <w:t xml:space="preserve"> peuvent égale</w:t>
            </w:r>
            <w:r w:rsidRPr="000B347F">
              <w:t>ment être relevées et transmises au nom de cet État membre par les membres des équipes européennes de garde-frontières et de garde-côtes ou par les experts des équipes d’appui «asile» lorsqu’ils exercent des compétences et exécutent leurs tâches conforméme</w:t>
            </w:r>
            <w:r w:rsidRPr="000B347F">
              <w:t>nt au règlement (UE) 2019/1896 et au règlement (UE) XXX/XXX [règlement relatif à l’Agence de l’Union européenne pour l’asile].</w:t>
            </w:r>
          </w:p>
        </w:tc>
      </w:tr>
    </w:tbl>
    <w:p w:rsidR="00460CB0" w:rsidRPr="000B347F" w:rsidRDefault="000B347F" w:rsidP="00460CB0">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460CB0" w:rsidRPr="000B347F" w:rsidRDefault="000B347F" w:rsidP="00460CB0">
      <w:pPr>
        <w:pStyle w:val="JustificationTitle"/>
        <w:rPr>
          <w:noProof w:val="0"/>
        </w:rPr>
      </w:pPr>
      <w:r w:rsidRPr="000B347F">
        <w:rPr>
          <w:rStyle w:val="HideTWBExt"/>
          <w:i w:val="0"/>
          <w:noProof w:val="0"/>
        </w:rPr>
        <w:t>&lt;TitreJust&gt;</w:t>
      </w:r>
      <w:r w:rsidRPr="000B347F">
        <w:rPr>
          <w:noProof w:val="0"/>
        </w:rPr>
        <w:t>Justification</w:t>
      </w:r>
      <w:r w:rsidRPr="000B347F">
        <w:rPr>
          <w:rStyle w:val="HideTWBExt"/>
          <w:i w:val="0"/>
          <w:noProof w:val="0"/>
        </w:rPr>
        <w:t>&lt;/TitreJust&gt;</w:t>
      </w:r>
    </w:p>
    <w:p w:rsidR="00460CB0" w:rsidRPr="000B347F" w:rsidRDefault="000B347F" w:rsidP="00460CB0">
      <w:pPr>
        <w:pStyle w:val="Normal12Italic"/>
        <w:rPr>
          <w:noProof w:val="0"/>
        </w:rPr>
      </w:pPr>
      <w:r w:rsidRPr="000B347F">
        <w:rPr>
          <w:noProof w:val="0"/>
        </w:rPr>
        <w:t>Cette proposition comprend un ajout important, qui consiste</w:t>
      </w:r>
      <w:r w:rsidRPr="000B347F">
        <w:rPr>
          <w:noProof w:val="0"/>
        </w:rPr>
        <w:t xml:space="preserve"> à transmettre à Eurodac les données alphanumériques pertinentes des demandeurs d’asile ou des migrants en situation irrégulière. Cet amendement permettrait, à l’avenir, de mieux soutenir l’État membre </w:t>
      </w:r>
      <w:r w:rsidRPr="000B347F">
        <w:rPr>
          <w:noProof w:val="0"/>
        </w:rPr>
        <w:lastRenderedPageBreak/>
        <w:t>d’accueil en lui transmettant, au nom de l’organe comp</w:t>
      </w:r>
      <w:r w:rsidRPr="000B347F">
        <w:rPr>
          <w:noProof w:val="0"/>
        </w:rPr>
        <w:t>étent, non seulement les données biométriques, mais également les données alphanumériques qui devraient être collectées au cours du même processus d’examen analytique des ressortissants d’un pays tiers.</w:t>
      </w:r>
    </w:p>
    <w:p w:rsidR="00460CB0" w:rsidRPr="000B347F" w:rsidRDefault="000B347F" w:rsidP="00460CB0">
      <w:r w:rsidRPr="000B347F">
        <w:rPr>
          <w:rStyle w:val="HideTWBExt"/>
          <w:noProof w:val="0"/>
        </w:rPr>
        <w:t>&lt;/Amend&gt;</w:t>
      </w:r>
    </w:p>
    <w:p w:rsidR="00460CB0" w:rsidRPr="000B347F" w:rsidRDefault="000B347F" w:rsidP="00460CB0">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31</w:t>
      </w:r>
      <w:r w:rsidRPr="000B347F">
        <w:rPr>
          <w:rStyle w:val="HideTWBExt"/>
          <w:b w:val="0"/>
          <w:noProof w:val="0"/>
        </w:rPr>
        <w:t>&lt;/NumAm&gt;</w:t>
      </w:r>
    </w:p>
    <w:p w:rsidR="00460CB0" w:rsidRPr="000B347F" w:rsidRDefault="000B347F" w:rsidP="00460CB0">
      <w:pPr>
        <w:pStyle w:val="NormalBold"/>
      </w:pPr>
      <w:r w:rsidRPr="000B347F">
        <w:rPr>
          <w:rStyle w:val="HideTWBExt"/>
          <w:b w:val="0"/>
          <w:noProof w:val="0"/>
        </w:rPr>
        <w:t>&lt;Repeat</w:t>
      </w:r>
      <w:r w:rsidRPr="000B347F">
        <w:rPr>
          <w:rStyle w:val="HideTWBExt"/>
          <w:b w:val="0"/>
          <w:noProof w:val="0"/>
        </w:rPr>
        <w:t>Block-By&gt;&lt;Members&gt;</w:t>
      </w:r>
      <w:r w:rsidRPr="000B347F">
        <w:t>Jorge Buxadé Villalba</w:t>
      </w:r>
      <w:r w:rsidRPr="000B347F">
        <w:rPr>
          <w:rStyle w:val="HideTWBExt"/>
          <w:b w:val="0"/>
          <w:noProof w:val="0"/>
        </w:rPr>
        <w:t>&lt;/Members&gt;</w:t>
      </w:r>
    </w:p>
    <w:p w:rsidR="00460CB0" w:rsidRPr="000B347F" w:rsidRDefault="000B347F" w:rsidP="00460CB0">
      <w:r w:rsidRPr="000B347F">
        <w:rPr>
          <w:rStyle w:val="HideTWBExt"/>
          <w:noProof w:val="0"/>
        </w:rPr>
        <w:t>&lt;/RepeatBlock-By&gt;</w:t>
      </w:r>
    </w:p>
    <w:p w:rsidR="00460CB0" w:rsidRPr="000B347F" w:rsidRDefault="000B347F" w:rsidP="00460CB0">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460CB0" w:rsidRPr="000B347F" w:rsidRDefault="000B347F" w:rsidP="00460CB0">
      <w:pPr>
        <w:pStyle w:val="NormalBold"/>
      </w:pPr>
      <w:r w:rsidRPr="000B347F">
        <w:rPr>
          <w:rStyle w:val="HideTWBExt"/>
          <w:b w:val="0"/>
          <w:noProof w:val="0"/>
        </w:rPr>
        <w:t>&lt;Article&gt;</w:t>
      </w:r>
      <w:r w:rsidRPr="000B347F">
        <w:t>Dispositif – point 18 – article 14 – paragraphe 2– partie introductive</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264C57">
        <w:trPr>
          <w:jc w:val="center"/>
        </w:trPr>
        <w:tc>
          <w:tcPr>
            <w:tcW w:w="9752" w:type="dxa"/>
            <w:gridSpan w:val="2"/>
          </w:tcPr>
          <w:p w:rsidR="00460CB0" w:rsidRPr="000B347F" w:rsidRDefault="00460CB0" w:rsidP="00264C57">
            <w:pPr>
              <w:keepNext/>
            </w:pPr>
          </w:p>
        </w:tc>
      </w:tr>
      <w:tr w:rsidR="005C07BC" w:rsidRPr="000B347F" w:rsidTr="00264C57">
        <w:trPr>
          <w:jc w:val="center"/>
        </w:trPr>
        <w:tc>
          <w:tcPr>
            <w:tcW w:w="4876" w:type="dxa"/>
          </w:tcPr>
          <w:p w:rsidR="00460CB0" w:rsidRPr="000B347F" w:rsidRDefault="000B347F" w:rsidP="00264C57">
            <w:pPr>
              <w:pStyle w:val="ColumnHeading"/>
              <w:keepNext/>
            </w:pPr>
            <w:r w:rsidRPr="000B347F">
              <w:t>Texte proposé par la Commission</w:t>
            </w:r>
          </w:p>
        </w:tc>
        <w:tc>
          <w:tcPr>
            <w:tcW w:w="4876" w:type="dxa"/>
          </w:tcPr>
          <w:p w:rsidR="00460CB0" w:rsidRPr="000B347F" w:rsidRDefault="000B347F" w:rsidP="00264C57">
            <w:pPr>
              <w:pStyle w:val="ColumnHeading"/>
              <w:keepNext/>
            </w:pPr>
            <w:r w:rsidRPr="000B347F">
              <w:t>Amendement</w:t>
            </w:r>
          </w:p>
        </w:tc>
      </w:tr>
      <w:tr w:rsidR="005C07BC" w:rsidRPr="000B347F" w:rsidTr="00264C57">
        <w:trPr>
          <w:jc w:val="center"/>
        </w:trPr>
        <w:tc>
          <w:tcPr>
            <w:tcW w:w="4876" w:type="dxa"/>
          </w:tcPr>
          <w:p w:rsidR="00460CB0" w:rsidRPr="000B347F" w:rsidRDefault="000B347F" w:rsidP="00264C57">
            <w:pPr>
              <w:pStyle w:val="Normal6"/>
            </w:pPr>
            <w:r w:rsidRPr="000B347F">
              <w:t>2.</w:t>
            </w:r>
            <w:r w:rsidRPr="000B347F">
              <w:tab/>
            </w:r>
            <w:r w:rsidRPr="000B347F">
              <w:t>L’État membre concerné transmet au système central et au CIR, selon le cas, dès que possible et au plus tard 72 heures après que le ressortissant de pays tiers ou apatride a été trouvé en situation irrégulière, les données suivantes relatives à tout ressor</w:t>
            </w:r>
            <w:r w:rsidRPr="000B347F">
              <w:t>tissant de pays tiers ou apatride se trouvant dans la situation décrite au paragraphe 1:</w:t>
            </w:r>
          </w:p>
        </w:tc>
        <w:tc>
          <w:tcPr>
            <w:tcW w:w="4876" w:type="dxa"/>
          </w:tcPr>
          <w:p w:rsidR="00460CB0" w:rsidRPr="000B347F" w:rsidRDefault="000B347F" w:rsidP="00264C57">
            <w:pPr>
              <w:pStyle w:val="Normal6"/>
              <w:rPr>
                <w:szCs w:val="24"/>
              </w:rPr>
            </w:pPr>
            <w:r w:rsidRPr="000B347F">
              <w:t>2.</w:t>
            </w:r>
            <w:r w:rsidRPr="000B347F">
              <w:tab/>
              <w:t>L’État membre concerné transmet au système central et au CIR, selon le cas</w:t>
            </w:r>
            <w:r w:rsidRPr="000B347F">
              <w:rPr>
                <w:b/>
                <w:i/>
              </w:rPr>
              <w:t>, conformément à l’article 4, paragraphe 2</w:t>
            </w:r>
            <w:r w:rsidRPr="000B347F">
              <w:t xml:space="preserve">, dès que possible et au plus tard 72 heures </w:t>
            </w:r>
            <w:r w:rsidRPr="000B347F">
              <w:t>après que le ressortissant de pays tiers ou apatride a été trouvé en situation irrégulière, les données suivantes relatives à tout ressortissant de pays tiers ou apatride se trouvant dans la situation décrite au paragraphe 1:</w:t>
            </w:r>
          </w:p>
        </w:tc>
      </w:tr>
    </w:tbl>
    <w:p w:rsidR="00460CB0" w:rsidRPr="000B347F" w:rsidRDefault="000B347F" w:rsidP="00460CB0">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w:t>
      </w:r>
      <w:r w:rsidRPr="000B347F">
        <w:rPr>
          <w:rStyle w:val="HideTWBExt"/>
          <w:noProof w:val="0"/>
        </w:rPr>
        <w:t>l&gt;</w:t>
      </w:r>
    </w:p>
    <w:p w:rsidR="00460CB0" w:rsidRPr="000B347F" w:rsidRDefault="000B347F" w:rsidP="00460CB0">
      <w:r w:rsidRPr="000B347F">
        <w:rPr>
          <w:rStyle w:val="HideTWBExt"/>
          <w:noProof w:val="0"/>
        </w:rPr>
        <w:t>&lt;/Amend&gt;</w:t>
      </w:r>
    </w:p>
    <w:p w:rsidR="00460CB0" w:rsidRPr="000B347F" w:rsidRDefault="000B347F" w:rsidP="00460CB0">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32</w:t>
      </w:r>
      <w:r w:rsidRPr="000B347F">
        <w:rPr>
          <w:rStyle w:val="HideTWBExt"/>
          <w:b w:val="0"/>
          <w:noProof w:val="0"/>
        </w:rPr>
        <w:t>&lt;/NumAm&gt;</w:t>
      </w:r>
    </w:p>
    <w:p w:rsidR="00460CB0" w:rsidRPr="000B347F" w:rsidRDefault="000B347F" w:rsidP="00460CB0">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460CB0" w:rsidRPr="000B347F" w:rsidRDefault="000B347F" w:rsidP="00460CB0">
      <w:r w:rsidRPr="000B347F">
        <w:rPr>
          <w:rStyle w:val="HideTWBExt"/>
          <w:noProof w:val="0"/>
        </w:rPr>
        <w:t>&lt;/RepeatBlock-By&gt;</w:t>
      </w:r>
    </w:p>
    <w:p w:rsidR="00460CB0" w:rsidRPr="000B347F" w:rsidRDefault="000B347F" w:rsidP="00460CB0">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460CB0" w:rsidRPr="000B347F" w:rsidRDefault="000B347F" w:rsidP="00460CB0">
      <w:pPr>
        <w:pStyle w:val="NormalBold"/>
      </w:pPr>
      <w:r w:rsidRPr="000B347F">
        <w:rPr>
          <w:rStyle w:val="HideTWBExt"/>
          <w:b w:val="0"/>
          <w:noProof w:val="0"/>
        </w:rPr>
        <w:t>&lt;Article&gt;</w:t>
      </w:r>
      <w:r w:rsidRPr="000B347F">
        <w:t>Point 19 – chapitre IV bis</w:t>
      </w:r>
      <w:r w:rsidRPr="000B347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1E753B">
        <w:trPr>
          <w:jc w:val="center"/>
        </w:trPr>
        <w:tc>
          <w:tcPr>
            <w:tcW w:w="9752" w:type="dxa"/>
            <w:gridSpan w:val="2"/>
          </w:tcPr>
          <w:p w:rsidR="00460CB0" w:rsidRPr="000B347F" w:rsidRDefault="00460CB0" w:rsidP="00264C57">
            <w:pPr>
              <w:keepNext/>
            </w:pPr>
          </w:p>
        </w:tc>
      </w:tr>
      <w:tr w:rsidR="005C07BC" w:rsidRPr="000B347F" w:rsidTr="001E753B">
        <w:trPr>
          <w:jc w:val="center"/>
        </w:trPr>
        <w:tc>
          <w:tcPr>
            <w:tcW w:w="4876" w:type="dxa"/>
          </w:tcPr>
          <w:p w:rsidR="00460CB0" w:rsidRPr="000B347F" w:rsidRDefault="000B347F" w:rsidP="00264C57">
            <w:pPr>
              <w:pStyle w:val="ColumnHeading"/>
              <w:keepNext/>
            </w:pPr>
            <w:r w:rsidRPr="000B347F">
              <w:t>Texte proposé par la Commission</w:t>
            </w:r>
          </w:p>
        </w:tc>
        <w:tc>
          <w:tcPr>
            <w:tcW w:w="4876" w:type="dxa"/>
          </w:tcPr>
          <w:p w:rsidR="00460CB0" w:rsidRPr="000B347F" w:rsidRDefault="000B347F" w:rsidP="00264C57">
            <w:pPr>
              <w:pStyle w:val="ColumnHeading"/>
              <w:keepNext/>
            </w:pPr>
            <w:r w:rsidRPr="000B347F">
              <w:t>Amendement</w:t>
            </w:r>
          </w:p>
        </w:tc>
      </w:tr>
      <w:tr w:rsidR="005C07BC" w:rsidRPr="000B347F" w:rsidTr="001E753B">
        <w:trPr>
          <w:jc w:val="center"/>
        </w:trPr>
        <w:tc>
          <w:tcPr>
            <w:tcW w:w="4876" w:type="dxa"/>
          </w:tcPr>
          <w:p w:rsidR="00460CB0" w:rsidRPr="000B347F" w:rsidRDefault="000B347F" w:rsidP="00983807">
            <w:pPr>
              <w:pStyle w:val="Normal6"/>
              <w:rPr>
                <w:b/>
                <w:i/>
              </w:rPr>
            </w:pPr>
            <w:r w:rsidRPr="000B347F">
              <w:rPr>
                <w:b/>
                <w:i/>
              </w:rPr>
              <w:t xml:space="preserve">(19) </w:t>
            </w:r>
            <w:r w:rsidRPr="000B347F">
              <w:rPr>
                <w:b/>
                <w:i/>
              </w:rPr>
              <w:tab/>
              <w:t>Le chapitre suivant est inséré après l’article 14:</w:t>
            </w:r>
          </w:p>
        </w:tc>
        <w:tc>
          <w:tcPr>
            <w:tcW w:w="4876" w:type="dxa"/>
          </w:tcPr>
          <w:p w:rsidR="00460CB0" w:rsidRPr="000B347F" w:rsidRDefault="000B347F" w:rsidP="006354F4">
            <w:pPr>
              <w:pStyle w:val="Normal6"/>
              <w:rPr>
                <w:szCs w:val="24"/>
              </w:rPr>
            </w:pPr>
            <w:r w:rsidRPr="000B347F">
              <w:rPr>
                <w:b/>
                <w:i/>
              </w:rPr>
              <w:t>supprimé</w:t>
            </w:r>
            <w:r w:rsidRPr="000B347F">
              <w:rPr>
                <w:i/>
              </w:rPr>
              <w:t xml:space="preserve"> </w:t>
            </w:r>
          </w:p>
        </w:tc>
      </w:tr>
      <w:tr w:rsidR="005C07BC" w:rsidRPr="000B347F" w:rsidTr="001E753B">
        <w:trPr>
          <w:jc w:val="center"/>
        </w:trPr>
        <w:tc>
          <w:tcPr>
            <w:tcW w:w="4876" w:type="dxa"/>
          </w:tcPr>
          <w:p w:rsidR="00983807" w:rsidRPr="000B347F" w:rsidRDefault="000B347F" w:rsidP="0014715B">
            <w:pPr>
              <w:pStyle w:val="Normal6"/>
              <w:jc w:val="center"/>
              <w:rPr>
                <w:b/>
                <w:i/>
              </w:rPr>
            </w:pPr>
            <w:r w:rsidRPr="000B347F">
              <w:rPr>
                <w:b/>
                <w:i/>
              </w:rPr>
              <w:t>CHAPITRE IV</w:t>
            </w:r>
          </w:p>
        </w:tc>
        <w:tc>
          <w:tcPr>
            <w:tcW w:w="4876" w:type="dxa"/>
          </w:tcPr>
          <w:p w:rsidR="00983807" w:rsidRPr="000B347F" w:rsidRDefault="000B347F" w:rsidP="00264C57">
            <w:pPr>
              <w:pStyle w:val="Normal6"/>
              <w:rPr>
                <w:i/>
              </w:rPr>
            </w:pPr>
            <w:r w:rsidRPr="000B347F">
              <w:rPr>
                <w:i/>
              </w:rPr>
              <w:t>(Cette modification s’applique à l’ensemble du texte législatif à l’examen;</w:t>
            </w:r>
            <w:r w:rsidRPr="000B347F">
              <w:rPr>
                <w:b/>
                <w:i/>
              </w:rPr>
              <w:t xml:space="preserve"> </w:t>
            </w:r>
            <w:r w:rsidRPr="000B347F">
              <w:rPr>
                <w:i/>
              </w:rPr>
              <w:t>son adoption impose des adaptations techniques dans tout le texte.)</w:t>
            </w:r>
          </w:p>
        </w:tc>
      </w:tr>
      <w:tr w:rsidR="005C07BC" w:rsidRPr="000B347F" w:rsidTr="001E753B">
        <w:trPr>
          <w:jc w:val="center"/>
        </w:trPr>
        <w:tc>
          <w:tcPr>
            <w:tcW w:w="4876" w:type="dxa"/>
          </w:tcPr>
          <w:p w:rsidR="00983807" w:rsidRPr="000B347F" w:rsidRDefault="000B347F" w:rsidP="0014715B">
            <w:pPr>
              <w:pStyle w:val="Normal6"/>
              <w:jc w:val="center"/>
              <w:rPr>
                <w:b/>
                <w:i/>
              </w:rPr>
            </w:pPr>
            <w:r w:rsidRPr="000B347F">
              <w:rPr>
                <w:b/>
                <w:i/>
              </w:rPr>
              <w:t xml:space="preserve">débarquement de </w:t>
            </w:r>
            <w:r w:rsidRPr="000B347F">
              <w:rPr>
                <w:b/>
                <w:i/>
              </w:rPr>
              <w:t>ressortissants de pays tiers ou d’apatrides à la suite d’une opération de recherche et de sauvetage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14715B">
            <w:pPr>
              <w:pStyle w:val="Normal6"/>
              <w:jc w:val="center"/>
              <w:rPr>
                <w:b/>
                <w:i/>
              </w:rPr>
            </w:pPr>
            <w:r w:rsidRPr="000B347F">
              <w:rPr>
                <w:b/>
                <w:i/>
              </w:rPr>
              <w:t>Article 14 bis</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14715B">
            <w:pPr>
              <w:pStyle w:val="Normal6"/>
              <w:jc w:val="center"/>
              <w:rPr>
                <w:b/>
                <w:i/>
              </w:rPr>
            </w:pPr>
            <w:r w:rsidRPr="000B347F">
              <w:rPr>
                <w:b/>
                <w:i/>
              </w:rPr>
              <w:lastRenderedPageBreak/>
              <w:t>Collecte et transmission des données biométriques</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 xml:space="preserve">1. </w:t>
            </w:r>
            <w:r w:rsidRPr="000B347F">
              <w:rPr>
                <w:b/>
                <w:i/>
              </w:rPr>
              <w:tab/>
              <w:t>Chaque État membre relève rapidement les données biométriques de tout ressortissa</w:t>
            </w:r>
            <w:r w:rsidRPr="000B347F">
              <w:rPr>
                <w:b/>
                <w:i/>
              </w:rPr>
              <w:t>nt de pays tiers ou apatride âgé d’au moins six ans débarqué à la suite d’une opération de recherche et de sauvetage telle que définie dans le règlement (UE) XXX/XXX [règlement relatif à la gestion de l’asile et de la migration].</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 xml:space="preserve">2. </w:t>
            </w:r>
            <w:r w:rsidRPr="000B347F">
              <w:rPr>
                <w:b/>
                <w:i/>
              </w:rPr>
              <w:tab/>
              <w:t>L’État membre concer</w:t>
            </w:r>
            <w:r w:rsidRPr="000B347F">
              <w:rPr>
                <w:b/>
                <w:i/>
              </w:rPr>
              <w:t>né transmet, dès que possible et au plus tard 72 heures après la date de débarquement, au système central et au CIR, selon le cas, les données suivantes relatives à tout ressortissant de pays tiers ou apatride se trouvant dans la situation décrite au parag</w:t>
            </w:r>
            <w:r w:rsidRPr="000B347F">
              <w:rPr>
                <w:b/>
                <w:i/>
              </w:rPr>
              <w:t>raphe 1:</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a)</w:t>
            </w:r>
            <w:r w:rsidRPr="000B347F">
              <w:rPr>
                <w:b/>
                <w:i/>
              </w:rPr>
              <w:tab/>
              <w:t>les données dactyloscopiques;</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b)</w:t>
            </w:r>
            <w:r w:rsidRPr="000B347F">
              <w:rPr>
                <w:b/>
                <w:i/>
              </w:rPr>
              <w:tab/>
              <w:t>une image faciale;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c)</w:t>
            </w:r>
            <w:r w:rsidRPr="000B347F">
              <w:rPr>
                <w:b/>
                <w:i/>
              </w:rPr>
              <w:tab/>
              <w:t>les nom(s) et prénom(s), nom(s) à la naissance, noms utilisés antérieurement et pseudonymes, éventuellement enregistrés séparément;</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d)</w:t>
            </w:r>
            <w:r w:rsidRPr="000B347F">
              <w:rPr>
                <w:b/>
                <w:i/>
              </w:rPr>
              <w:tab/>
              <w:t>la ou les nationalités;</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e)</w:t>
            </w:r>
            <w:r w:rsidRPr="000B347F">
              <w:rPr>
                <w:b/>
                <w:i/>
              </w:rPr>
              <w:tab/>
              <w:t xml:space="preserve">la date de </w:t>
            </w:r>
            <w:r w:rsidRPr="000B347F">
              <w:rPr>
                <w:b/>
                <w:i/>
              </w:rPr>
              <w:t>naissance;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f)</w:t>
            </w:r>
            <w:r w:rsidRPr="000B347F">
              <w:rPr>
                <w:b/>
                <w:i/>
              </w:rPr>
              <w:tab/>
              <w:t>le lieu de naissance;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g)</w:t>
            </w:r>
            <w:r w:rsidRPr="000B347F">
              <w:rPr>
                <w:b/>
                <w:i/>
              </w:rPr>
              <w:tab/>
              <w:t>l’État membre d’origine, le lieu où l’intéressé a été débarqué et la date;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h)</w:t>
            </w:r>
            <w:r w:rsidRPr="000B347F">
              <w:rPr>
                <w:b/>
                <w:i/>
              </w:rPr>
              <w:tab/>
              <w:t>le sexe;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i)</w:t>
            </w:r>
            <w:r w:rsidRPr="000B347F">
              <w:rPr>
                <w:b/>
                <w:i/>
              </w:rPr>
              <w:tab/>
              <w:t xml:space="preserve">si possible, le type et le numéro du document d’identité ou de voyage; le code en trois lettres du pays de délivrance </w:t>
            </w:r>
            <w:r w:rsidRPr="000B347F">
              <w:rPr>
                <w:b/>
                <w:i/>
              </w:rPr>
              <w:t>et la date d’expiration;</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j)</w:t>
            </w:r>
            <w:r w:rsidRPr="000B347F">
              <w:rPr>
                <w:b/>
                <w:i/>
              </w:rPr>
              <w:tab/>
              <w:t>lorsqu’elles sont disponibles, une copie scannée en couleur d’un document d’identité ou de voyage accompagnée d’une indication de son authenticité ou, si elle n’est pas disponible, d’un autre document facilitant l’identificati</w:t>
            </w:r>
            <w:r w:rsidRPr="000B347F">
              <w:rPr>
                <w:b/>
                <w:i/>
              </w:rPr>
              <w:t xml:space="preserve">on du ressortissant de pays tiers ou de l’apatride, </w:t>
            </w:r>
            <w:r w:rsidRPr="000B347F">
              <w:rPr>
                <w:b/>
                <w:i/>
              </w:rPr>
              <w:lastRenderedPageBreak/>
              <w:t>ainsi que l’indication de son authenticité;</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k)</w:t>
            </w:r>
            <w:r w:rsidRPr="000B347F">
              <w:rPr>
                <w:b/>
                <w:i/>
              </w:rPr>
              <w:tab/>
              <w:t>le numéro de référence attribué par l’État membre d’origine;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l)</w:t>
            </w:r>
            <w:r w:rsidRPr="000B347F">
              <w:rPr>
                <w:b/>
                <w:i/>
              </w:rPr>
              <w:tab/>
              <w:t>la date à laquelle les données biométriques ont été relevées;</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m)</w:t>
            </w:r>
            <w:r w:rsidRPr="000B347F">
              <w:rPr>
                <w:b/>
                <w:i/>
              </w:rPr>
              <w:tab/>
              <w:t>la date à laquelle les</w:t>
            </w:r>
            <w:r w:rsidRPr="000B347F">
              <w:rPr>
                <w:b/>
                <w:i/>
              </w:rPr>
              <w:t xml:space="preserve"> données ont été transmises au système central et au CIR, selon le cas;</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n)</w:t>
            </w:r>
            <w:r w:rsidRPr="000B347F">
              <w:rPr>
                <w:b/>
                <w:i/>
              </w:rPr>
              <w:tab/>
              <w:t>le code d’identification de l’opérateur;</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o)</w:t>
            </w:r>
            <w:r w:rsidRPr="000B347F">
              <w:rPr>
                <w:b/>
                <w:i/>
              </w:rPr>
              <w:tab/>
              <w:t>le cas échéant, conformément au paragraphe 6, la date à laquelle la personne concernée a quitté le territoire des États membres ou en</w:t>
            </w:r>
            <w:r w:rsidRPr="000B347F">
              <w:rPr>
                <w:b/>
                <w:i/>
              </w:rPr>
              <w:t xml:space="preserve"> a été éloignée;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p)</w:t>
            </w:r>
            <w:r w:rsidRPr="000B347F">
              <w:rPr>
                <w:b/>
                <w:i/>
              </w:rPr>
              <w:tab/>
              <w:t>l’État membre de relocalisation, conformément à l’article 14 ter, paragraphe 1;</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q)</w:t>
            </w:r>
            <w:r w:rsidRPr="000B347F">
              <w:rPr>
                <w:b/>
                <w:i/>
              </w:rPr>
              <w:tab/>
              <w:t>le cas échéant, le fait que l’aide au retour volontaire et à la réintégration (AVRR) a été accordée,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r)</w:t>
            </w:r>
            <w:r w:rsidRPr="000B347F">
              <w:rPr>
                <w:b/>
                <w:i/>
              </w:rPr>
              <w:tab/>
              <w:t>le fait que la personne pourrait constituer</w:t>
            </w:r>
            <w:r w:rsidRPr="000B347F">
              <w:rPr>
                <w:b/>
                <w:i/>
              </w:rPr>
              <w:t xml:space="preserve"> une menace pour la sécurité intérieure à la suite du filtrage visé dans le règlement (UE) XXX/XXX [règlement visant à mettre en place une procédure de filtrage].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 xml:space="preserve">4. </w:t>
            </w:r>
            <w:r w:rsidRPr="000B347F">
              <w:rPr>
                <w:b/>
                <w:i/>
              </w:rPr>
              <w:tab/>
              <w:t xml:space="preserve">Le non-respect du délai de 72 heures visé au paragraphe 2 du présent article n’exonère </w:t>
            </w:r>
            <w:r w:rsidRPr="000B347F">
              <w:rPr>
                <w:b/>
                <w:i/>
              </w:rPr>
              <w:t>pas les États membres de l’obligation de prendre et de transmettre les données biométriques au CIR. Lorsque l’état des doigts ne permet pas de relever des empreintes digitales d’une qualité suffisante pour une comparaison appropriée au titre de l’article 2</w:t>
            </w:r>
            <w:r w:rsidRPr="000B347F">
              <w:rPr>
                <w:b/>
                <w:i/>
              </w:rPr>
              <w:t>6, l’État membre d’origine procède à un nouveau relevé des empreintes digitales des personnes débarquées, comme décrit au paragraphe 1 du présent article, et le retransmet dès que possible et au plus tard 48 heures suivant ce relevé de bonne qualité.</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lastRenderedPageBreak/>
              <w:t xml:space="preserve">5. </w:t>
            </w:r>
            <w:r w:rsidRPr="000B347F">
              <w:rPr>
                <w:b/>
                <w:i/>
              </w:rPr>
              <w:tab/>
              <w:t xml:space="preserve">Par dérogation au paragraphe 1, lorsqu’il n’est pas possible de relever les données biométriques de la personne interpellée en raison de mesures arrêtées pour sauvegarder sa santé ou de mesures de santé publique, l’État membre concerné relève ces données </w:t>
            </w:r>
            <w:r w:rsidRPr="000B347F">
              <w:rPr>
                <w:b/>
                <w:i/>
              </w:rPr>
              <w:t>biométriques et les transmet dès que possible, et au plus tard 48 heures après la disparition desdits motifs de santé.</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En cas de difficultés techniques graves, les États membres peuvent prolonger le délai de 72 heures visé au paragraphe 2 d’une durée max</w:t>
            </w:r>
            <w:r w:rsidRPr="000B347F">
              <w:rPr>
                <w:b/>
                <w:i/>
              </w:rPr>
              <w:t>imale de 48 heures afin d’exécuter leur plan national de maintien des activités.</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 xml:space="preserve">6. </w:t>
            </w:r>
            <w:r w:rsidRPr="000B347F">
              <w:rPr>
                <w:b/>
                <w:i/>
              </w:rPr>
              <w:tab/>
              <w:t>Dès qu’il est assuré que la personne concernée dont les données ont été enregistrées dans Eurodac conformément au paragraphe 1 a quitté le territoire des États membres e</w:t>
            </w:r>
            <w:r w:rsidRPr="000B347F">
              <w:rPr>
                <w:b/>
                <w:i/>
              </w:rPr>
              <w:t>n exécution d’une décision de retour ou d’une mesure d’éloignement, l’État membre d’origine actualise l’ensemble de données enregistré conformément au paragraphe 2 au sujet de la personne concernée, en y ajoutant la date de son éloignement ou la date à laq</w:t>
            </w:r>
            <w:r w:rsidRPr="000B347F">
              <w:rPr>
                <w:b/>
                <w:i/>
              </w:rPr>
              <w:t>uelle elle a quitté le territoire.</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 xml:space="preserve">7. </w:t>
            </w:r>
            <w:r w:rsidRPr="000B347F">
              <w:rPr>
                <w:b/>
                <w:i/>
              </w:rPr>
              <w:tab/>
              <w:t xml:space="preserve">Lorsque l’État membre concerné le demande, les données biométriques peuvent également être relevées et transmises au nom de cet État membre par les membres des équipes européennes de garde-frontières et de </w:t>
            </w:r>
            <w:r w:rsidRPr="000B347F">
              <w:rPr>
                <w:b/>
                <w:i/>
              </w:rPr>
              <w:t>garde-côtes ou par les experts des équipes d’appui «asile» lorsqu’ils exercent des compétences et exécutent leurs tâches conformément au règlement (UE) 2019/1896 et au règlement (UE) XXX/XXX [règlement relatif à l’Agence de l’Union européenne pour l’asile]</w:t>
            </w:r>
            <w:r w:rsidRPr="000B347F">
              <w:rPr>
                <w:b/>
                <w:i/>
              </w:rPr>
              <w:t>.</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 xml:space="preserve">8. </w:t>
            </w:r>
            <w:r w:rsidRPr="000B347F">
              <w:rPr>
                <w:b/>
                <w:i/>
              </w:rPr>
              <w:tab/>
              <w:t xml:space="preserve">Chaque ensemble de données collectées et transmises conformément au paragraphe 1 est lié à d’autres ensembles de données correspondant au même ressortissant de pays tiers ou apatride, </w:t>
            </w:r>
            <w:r w:rsidRPr="000B347F">
              <w:rPr>
                <w:b/>
                <w:i/>
              </w:rPr>
              <w:lastRenderedPageBreak/>
              <w:t>dans l’ordre prévu à l’article 4, paragraphe 6.</w:t>
            </w:r>
          </w:p>
        </w:tc>
        <w:tc>
          <w:tcPr>
            <w:tcW w:w="4876" w:type="dxa"/>
          </w:tcPr>
          <w:p w:rsidR="00983807" w:rsidRPr="000B347F" w:rsidRDefault="00983807" w:rsidP="00264C57">
            <w:pPr>
              <w:pStyle w:val="Normal6"/>
              <w:rPr>
                <w:i/>
              </w:rPr>
            </w:pPr>
          </w:p>
        </w:tc>
      </w:tr>
      <w:tr w:rsidR="005C07BC" w:rsidRPr="000B347F" w:rsidTr="001E753B">
        <w:trPr>
          <w:jc w:val="center"/>
        </w:trPr>
        <w:tc>
          <w:tcPr>
            <w:tcW w:w="4876" w:type="dxa"/>
          </w:tcPr>
          <w:p w:rsidR="00983807" w:rsidRPr="000B347F" w:rsidRDefault="000B347F" w:rsidP="00983807">
            <w:pPr>
              <w:pStyle w:val="Normal6"/>
              <w:rPr>
                <w:b/>
                <w:i/>
              </w:rPr>
            </w:pPr>
            <w:r w:rsidRPr="000B347F">
              <w:rPr>
                <w:b/>
                <w:i/>
              </w:rPr>
              <w:t xml:space="preserve">9. </w:t>
            </w:r>
            <w:r w:rsidRPr="000B347F">
              <w:rPr>
                <w:b/>
                <w:i/>
              </w:rPr>
              <w:tab/>
              <w:t>Un ensembl</w:t>
            </w:r>
            <w:r w:rsidRPr="000B347F">
              <w:rPr>
                <w:b/>
                <w:i/>
              </w:rPr>
              <w:t>e de données conformément au paragraphe 1 est considéré comme créé aux fins de l’article 27, paragraphe 1, du règlement (UE) 818/2019, lorsque toutes les données visées aux points a) à f) et h) sont enregistrées.»;</w:t>
            </w:r>
          </w:p>
        </w:tc>
        <w:tc>
          <w:tcPr>
            <w:tcW w:w="4876" w:type="dxa"/>
          </w:tcPr>
          <w:p w:rsidR="00983807" w:rsidRPr="000B347F" w:rsidRDefault="00983807" w:rsidP="00264C57">
            <w:pPr>
              <w:pStyle w:val="Normal6"/>
              <w:rPr>
                <w:i/>
              </w:rPr>
            </w:pPr>
          </w:p>
        </w:tc>
      </w:tr>
    </w:tbl>
    <w:p w:rsidR="001E753B" w:rsidRPr="000B347F" w:rsidRDefault="000B347F" w:rsidP="001E753B">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1E753B" w:rsidRPr="000B347F" w:rsidRDefault="000B347F" w:rsidP="001E753B">
      <w:pPr>
        <w:pStyle w:val="JustificationTitle"/>
        <w:rPr>
          <w:noProof w:val="0"/>
        </w:rPr>
      </w:pPr>
      <w:r w:rsidRPr="000B347F">
        <w:rPr>
          <w:rStyle w:val="HideTWBExt"/>
          <w:i w:val="0"/>
          <w:noProof w:val="0"/>
        </w:rPr>
        <w:t>&lt;TitreJ</w:t>
      </w:r>
      <w:r w:rsidRPr="000B347F">
        <w:rPr>
          <w:rStyle w:val="HideTWBExt"/>
          <w:i w:val="0"/>
          <w:noProof w:val="0"/>
        </w:rPr>
        <w:t>ust&gt;</w:t>
      </w:r>
      <w:r w:rsidRPr="000B347F">
        <w:rPr>
          <w:noProof w:val="0"/>
        </w:rPr>
        <w:t>Justification</w:t>
      </w:r>
      <w:r w:rsidRPr="000B347F">
        <w:rPr>
          <w:rStyle w:val="HideTWBExt"/>
          <w:i w:val="0"/>
          <w:noProof w:val="0"/>
        </w:rPr>
        <w:t>&lt;/TitreJust&gt;</w:t>
      </w:r>
    </w:p>
    <w:p w:rsidR="001E753B" w:rsidRPr="000B347F" w:rsidRDefault="000B347F" w:rsidP="001E753B">
      <w:pPr>
        <w:rPr>
          <w:i/>
        </w:rPr>
      </w:pPr>
      <w:r w:rsidRPr="000B347F">
        <w:rPr>
          <w:i/>
        </w:rPr>
        <w:t>L’insertion de ce chapitre créerait une nouvelle catégorie qui n’est pas justifiée sur le fond et constituerait en définitive un facteur d’attraction. Les personnes débarquées à la suite d’une opération de recherche et de sauv</w:t>
      </w:r>
      <w:r w:rsidRPr="000B347F">
        <w:rPr>
          <w:i/>
        </w:rPr>
        <w:t>etage devraient être enregistrées comme ayant franchi la frontière de manière irrégulière, comme c’est actuellement le cas.</w:t>
      </w:r>
    </w:p>
    <w:p w:rsidR="001E753B" w:rsidRPr="000B347F" w:rsidRDefault="000B347F" w:rsidP="001E753B">
      <w:r w:rsidRPr="000B347F">
        <w:rPr>
          <w:rStyle w:val="HideTWBExt"/>
          <w:noProof w:val="0"/>
        </w:rPr>
        <w:t>&lt;/Amend&gt;</w:t>
      </w:r>
    </w:p>
    <w:p w:rsidR="00460CB0" w:rsidRPr="000B347F" w:rsidRDefault="000B347F" w:rsidP="00460CB0">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33</w:t>
      </w:r>
      <w:r w:rsidRPr="000B347F">
        <w:rPr>
          <w:rStyle w:val="HideTWBExt"/>
          <w:b w:val="0"/>
          <w:noProof w:val="0"/>
        </w:rPr>
        <w:t>&lt;/NumAm&gt;</w:t>
      </w:r>
    </w:p>
    <w:p w:rsidR="00460CB0" w:rsidRPr="000B347F" w:rsidRDefault="000B347F" w:rsidP="00460CB0">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460CB0" w:rsidRPr="000B347F" w:rsidRDefault="000B347F" w:rsidP="00460CB0">
      <w:r w:rsidRPr="000B347F">
        <w:rPr>
          <w:rStyle w:val="HideTWBExt"/>
          <w:noProof w:val="0"/>
        </w:rPr>
        <w:t>&lt;/RepeatBlock-By&gt;</w:t>
      </w:r>
    </w:p>
    <w:p w:rsidR="00460CB0" w:rsidRPr="000B347F" w:rsidRDefault="000B347F" w:rsidP="00460CB0">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460CB0" w:rsidRPr="000B347F" w:rsidRDefault="000B347F" w:rsidP="00460CB0">
      <w:pPr>
        <w:pStyle w:val="NormalBold"/>
      </w:pPr>
      <w:r w:rsidRPr="000B347F">
        <w:rPr>
          <w:rStyle w:val="HideTWBExt"/>
          <w:b w:val="0"/>
          <w:noProof w:val="0"/>
        </w:rPr>
        <w:t>&lt;Article&gt;</w:t>
      </w:r>
      <w:r w:rsidRPr="000B347F">
        <w:t>Dispositif – point 21 – sous-point a (nouveau) – article 17 – paragraphe 1 bis (nouveau)</w:t>
      </w:r>
      <w:r w:rsidRPr="000B347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460CB0">
        <w:trPr>
          <w:jc w:val="center"/>
        </w:trPr>
        <w:tc>
          <w:tcPr>
            <w:tcW w:w="9752" w:type="dxa"/>
            <w:gridSpan w:val="2"/>
          </w:tcPr>
          <w:p w:rsidR="00460CB0" w:rsidRPr="000B347F" w:rsidRDefault="00460CB0" w:rsidP="00264C57">
            <w:pPr>
              <w:keepNext/>
            </w:pPr>
          </w:p>
        </w:tc>
      </w:tr>
      <w:tr w:rsidR="005C07BC" w:rsidRPr="000B347F" w:rsidTr="00460CB0">
        <w:trPr>
          <w:jc w:val="center"/>
        </w:trPr>
        <w:tc>
          <w:tcPr>
            <w:tcW w:w="4876" w:type="dxa"/>
          </w:tcPr>
          <w:p w:rsidR="00460CB0" w:rsidRPr="000B347F" w:rsidRDefault="000B347F" w:rsidP="00264C57">
            <w:pPr>
              <w:pStyle w:val="ColumnHeading"/>
              <w:keepNext/>
            </w:pPr>
            <w:r w:rsidRPr="000B347F">
              <w:t>Texte proposé par la Commission</w:t>
            </w:r>
          </w:p>
        </w:tc>
        <w:tc>
          <w:tcPr>
            <w:tcW w:w="4876" w:type="dxa"/>
          </w:tcPr>
          <w:p w:rsidR="00460CB0" w:rsidRPr="000B347F" w:rsidRDefault="000B347F" w:rsidP="00264C57">
            <w:pPr>
              <w:pStyle w:val="ColumnHeading"/>
              <w:keepNext/>
            </w:pPr>
            <w:r w:rsidRPr="000B347F">
              <w:t>Amendement</w:t>
            </w:r>
          </w:p>
        </w:tc>
      </w:tr>
      <w:tr w:rsidR="005C07BC" w:rsidRPr="000B347F" w:rsidTr="00460CB0">
        <w:trPr>
          <w:jc w:val="center"/>
        </w:trPr>
        <w:tc>
          <w:tcPr>
            <w:tcW w:w="4876" w:type="dxa"/>
          </w:tcPr>
          <w:p w:rsidR="00460CB0" w:rsidRPr="000B347F" w:rsidRDefault="00460CB0" w:rsidP="00264C57">
            <w:pPr>
              <w:pStyle w:val="Normal6"/>
            </w:pPr>
          </w:p>
        </w:tc>
        <w:tc>
          <w:tcPr>
            <w:tcW w:w="4876" w:type="dxa"/>
          </w:tcPr>
          <w:p w:rsidR="00460CB0" w:rsidRPr="000B347F" w:rsidRDefault="000B347F" w:rsidP="00264C57">
            <w:pPr>
              <w:pStyle w:val="Normal6"/>
              <w:rPr>
                <w:szCs w:val="24"/>
              </w:rPr>
            </w:pPr>
            <w:r w:rsidRPr="000B347F">
              <w:rPr>
                <w:b/>
                <w:i/>
              </w:rPr>
              <w:t>1 bis.</w:t>
            </w:r>
            <w:r w:rsidRPr="000B347F">
              <w:rPr>
                <w:b/>
                <w:i/>
              </w:rPr>
              <w:tab/>
              <w:t>Aux fins prévues à l’article 12 bis, chaque ensemble de do</w:t>
            </w:r>
            <w:r w:rsidRPr="000B347F">
              <w:rPr>
                <w:b/>
                <w:i/>
              </w:rPr>
              <w:t>nnées concernant un ressortissant de pays tiers ou un apatride est conservé dans le système central pendant cinq ans à compter de la date du relevé des empreintes digitales.</w:t>
            </w:r>
          </w:p>
        </w:tc>
      </w:tr>
    </w:tbl>
    <w:p w:rsidR="00460CB0" w:rsidRPr="000B347F" w:rsidRDefault="000B347F" w:rsidP="00460CB0">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460CB0" w:rsidRPr="000B347F" w:rsidRDefault="000B347F" w:rsidP="00460CB0">
      <w:r w:rsidRPr="000B347F">
        <w:rPr>
          <w:rStyle w:val="HideTWBExt"/>
          <w:noProof w:val="0"/>
        </w:rPr>
        <w:t>&lt;/Amend&gt;</w:t>
      </w:r>
    </w:p>
    <w:p w:rsidR="00460CB0" w:rsidRPr="000B347F" w:rsidRDefault="000B347F" w:rsidP="00460CB0">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34</w:t>
      </w:r>
      <w:r w:rsidRPr="000B347F">
        <w:rPr>
          <w:rStyle w:val="HideTWBExt"/>
          <w:b w:val="0"/>
          <w:noProof w:val="0"/>
        </w:rPr>
        <w:t>&lt;/NumAm&gt;</w:t>
      </w:r>
    </w:p>
    <w:p w:rsidR="00460CB0" w:rsidRPr="000B347F" w:rsidRDefault="000B347F" w:rsidP="00460CB0">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460CB0" w:rsidRPr="000B347F" w:rsidRDefault="000B347F" w:rsidP="00460CB0">
      <w:r w:rsidRPr="000B347F">
        <w:rPr>
          <w:rStyle w:val="HideTWBExt"/>
          <w:noProof w:val="0"/>
        </w:rPr>
        <w:t>&lt;/RepeatBlock-By&gt;</w:t>
      </w:r>
    </w:p>
    <w:p w:rsidR="00460CB0" w:rsidRPr="000B347F" w:rsidRDefault="000B347F" w:rsidP="00460CB0">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460CB0" w:rsidRPr="000B347F" w:rsidRDefault="000B347F" w:rsidP="00460CB0">
      <w:pPr>
        <w:pStyle w:val="NormalBold"/>
      </w:pPr>
      <w:r w:rsidRPr="000B347F">
        <w:rPr>
          <w:rStyle w:val="HideTWBExt"/>
          <w:b w:val="0"/>
          <w:noProof w:val="0"/>
        </w:rPr>
        <w:t>&lt;Article&gt;</w:t>
      </w:r>
      <w:r w:rsidRPr="000B347F">
        <w:t>Dispositif – point 21 ter – article 17 – paragraphe 4</w:t>
      </w:r>
      <w:r w:rsidRPr="000B347F">
        <w:rPr>
          <w:rStyle w:val="HideTWBExt"/>
          <w:b w:val="0"/>
          <w:noProof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460CB0">
        <w:trPr>
          <w:jc w:val="center"/>
        </w:trPr>
        <w:tc>
          <w:tcPr>
            <w:tcW w:w="9752" w:type="dxa"/>
            <w:gridSpan w:val="2"/>
          </w:tcPr>
          <w:p w:rsidR="00460CB0" w:rsidRPr="000B347F" w:rsidRDefault="00460CB0" w:rsidP="00264C57">
            <w:pPr>
              <w:keepNext/>
            </w:pPr>
          </w:p>
        </w:tc>
      </w:tr>
      <w:tr w:rsidR="005C07BC" w:rsidRPr="000B347F" w:rsidTr="00460CB0">
        <w:trPr>
          <w:jc w:val="center"/>
        </w:trPr>
        <w:tc>
          <w:tcPr>
            <w:tcW w:w="4876" w:type="dxa"/>
          </w:tcPr>
          <w:p w:rsidR="00460CB0" w:rsidRPr="000B347F" w:rsidRDefault="000B347F" w:rsidP="00264C57">
            <w:pPr>
              <w:pStyle w:val="ColumnHeading"/>
              <w:keepNext/>
            </w:pPr>
            <w:r w:rsidRPr="000B347F">
              <w:t>Texte proposé par la Commission</w:t>
            </w:r>
          </w:p>
        </w:tc>
        <w:tc>
          <w:tcPr>
            <w:tcW w:w="4876" w:type="dxa"/>
          </w:tcPr>
          <w:p w:rsidR="00460CB0" w:rsidRPr="000B347F" w:rsidRDefault="000B347F" w:rsidP="00264C57">
            <w:pPr>
              <w:pStyle w:val="ColumnHeading"/>
              <w:keepNext/>
            </w:pPr>
            <w:r w:rsidRPr="000B347F">
              <w:t>Amendement</w:t>
            </w:r>
          </w:p>
        </w:tc>
      </w:tr>
      <w:tr w:rsidR="005C07BC" w:rsidRPr="000B347F" w:rsidTr="00460CB0">
        <w:trPr>
          <w:jc w:val="center"/>
        </w:trPr>
        <w:tc>
          <w:tcPr>
            <w:tcW w:w="4876" w:type="dxa"/>
          </w:tcPr>
          <w:p w:rsidR="00460CB0" w:rsidRPr="000B347F" w:rsidRDefault="000B347F" w:rsidP="00264C57">
            <w:pPr>
              <w:pStyle w:val="Normal6"/>
            </w:pPr>
            <w:r w:rsidRPr="000B347F">
              <w:t>4.</w:t>
            </w:r>
            <w:r w:rsidRPr="000B347F">
              <w:tab/>
              <w:t>À l’expiratio</w:t>
            </w:r>
            <w:r w:rsidRPr="000B347F">
              <w:t>n de la durée de conservation des données mentionnée aux paragraphes 1 à 3 bis du présent article, les données des personnes concernées sont effacées du système central et du CIR, selon le cas.»;</w:t>
            </w:r>
          </w:p>
        </w:tc>
        <w:tc>
          <w:tcPr>
            <w:tcW w:w="4876" w:type="dxa"/>
          </w:tcPr>
          <w:p w:rsidR="00460CB0" w:rsidRPr="000B347F" w:rsidRDefault="000B347F" w:rsidP="00264C57">
            <w:pPr>
              <w:pStyle w:val="Normal6"/>
              <w:rPr>
                <w:szCs w:val="24"/>
              </w:rPr>
            </w:pPr>
            <w:r w:rsidRPr="000B347F">
              <w:t>4.</w:t>
            </w:r>
            <w:r w:rsidRPr="000B347F">
              <w:tab/>
              <w:t xml:space="preserve">À l’expiration de la durée de conservation des données </w:t>
            </w:r>
            <w:r w:rsidRPr="000B347F">
              <w:t>mentionnée aux paragraphes 1 à 3 bis du présent article, les données des personnes concernées sont</w:t>
            </w:r>
            <w:r w:rsidRPr="000B347F">
              <w:rPr>
                <w:b/>
                <w:i/>
              </w:rPr>
              <w:t xml:space="preserve"> automatiquement</w:t>
            </w:r>
            <w:r w:rsidRPr="000B347F">
              <w:t xml:space="preserve"> effacées du système central et du CIR, selon le cas.»;</w:t>
            </w:r>
          </w:p>
        </w:tc>
      </w:tr>
    </w:tbl>
    <w:p w:rsidR="00460CB0" w:rsidRPr="000B347F" w:rsidRDefault="000B347F" w:rsidP="00460CB0">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460CB0" w:rsidRPr="000B347F" w:rsidRDefault="000B347F" w:rsidP="00460CB0">
      <w:r w:rsidRPr="000B347F">
        <w:rPr>
          <w:rStyle w:val="HideTWBExt"/>
          <w:noProof w:val="0"/>
        </w:rPr>
        <w:t>&lt;/Amend&gt;</w:t>
      </w:r>
    </w:p>
    <w:p w:rsidR="00460CB0" w:rsidRPr="000B347F" w:rsidRDefault="000B347F" w:rsidP="00460CB0">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35</w:t>
      </w:r>
      <w:r w:rsidRPr="000B347F">
        <w:rPr>
          <w:rStyle w:val="HideTWBExt"/>
          <w:b w:val="0"/>
          <w:noProof w:val="0"/>
        </w:rPr>
        <w:t>&lt;/NumAm&gt;</w:t>
      </w:r>
    </w:p>
    <w:p w:rsidR="00460CB0" w:rsidRPr="000B347F" w:rsidRDefault="000B347F" w:rsidP="00460CB0">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460CB0" w:rsidRPr="000B347F" w:rsidRDefault="000B347F" w:rsidP="00460CB0">
      <w:r w:rsidRPr="000B347F">
        <w:rPr>
          <w:rStyle w:val="HideTWBExt"/>
          <w:noProof w:val="0"/>
        </w:rPr>
        <w:t>&lt;/RepeatBlock-By&gt;</w:t>
      </w:r>
    </w:p>
    <w:p w:rsidR="00460CB0" w:rsidRPr="000B347F" w:rsidRDefault="000B347F" w:rsidP="00460CB0">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460CB0" w:rsidRPr="000B347F" w:rsidRDefault="000B347F" w:rsidP="00460CB0">
      <w:pPr>
        <w:pStyle w:val="NormalBold"/>
      </w:pPr>
      <w:r w:rsidRPr="000B347F">
        <w:rPr>
          <w:rStyle w:val="HideTWBExt"/>
          <w:b w:val="0"/>
          <w:noProof w:val="0"/>
        </w:rPr>
        <w:t>&lt;Article&gt;</w:t>
      </w:r>
      <w:r w:rsidRPr="000B347F">
        <w:t>Dispositif – point 22 – article 19 – titre</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264C57">
        <w:trPr>
          <w:jc w:val="center"/>
        </w:trPr>
        <w:tc>
          <w:tcPr>
            <w:tcW w:w="9752" w:type="dxa"/>
            <w:gridSpan w:val="2"/>
          </w:tcPr>
          <w:p w:rsidR="00460CB0" w:rsidRPr="000B347F" w:rsidRDefault="00460CB0" w:rsidP="00264C57">
            <w:pPr>
              <w:keepNext/>
            </w:pPr>
          </w:p>
        </w:tc>
      </w:tr>
      <w:tr w:rsidR="005C07BC" w:rsidRPr="000B347F" w:rsidTr="00264C57">
        <w:trPr>
          <w:jc w:val="center"/>
        </w:trPr>
        <w:tc>
          <w:tcPr>
            <w:tcW w:w="4876" w:type="dxa"/>
          </w:tcPr>
          <w:p w:rsidR="00460CB0" w:rsidRPr="000B347F" w:rsidRDefault="000B347F" w:rsidP="00264C57">
            <w:pPr>
              <w:pStyle w:val="ColumnHeading"/>
              <w:keepNext/>
            </w:pPr>
            <w:r w:rsidRPr="000B347F">
              <w:t>Texte proposé par la Commission</w:t>
            </w:r>
          </w:p>
        </w:tc>
        <w:tc>
          <w:tcPr>
            <w:tcW w:w="4876" w:type="dxa"/>
          </w:tcPr>
          <w:p w:rsidR="00460CB0" w:rsidRPr="000B347F" w:rsidRDefault="000B347F" w:rsidP="00264C57">
            <w:pPr>
              <w:pStyle w:val="ColumnHeading"/>
              <w:keepNext/>
            </w:pPr>
            <w:r w:rsidRPr="000B347F">
              <w:t>Amendement</w:t>
            </w:r>
          </w:p>
        </w:tc>
      </w:tr>
      <w:tr w:rsidR="005C07BC" w:rsidRPr="000B347F" w:rsidTr="00264C57">
        <w:trPr>
          <w:jc w:val="center"/>
        </w:trPr>
        <w:tc>
          <w:tcPr>
            <w:tcW w:w="4876" w:type="dxa"/>
          </w:tcPr>
          <w:p w:rsidR="00460CB0" w:rsidRPr="000B347F" w:rsidRDefault="000B347F" w:rsidP="00264C57">
            <w:pPr>
              <w:pStyle w:val="Normal6"/>
            </w:pPr>
            <w:r w:rsidRPr="000B347F">
              <w:t>Marquage</w:t>
            </w:r>
            <w:r w:rsidRPr="000B347F">
              <w:rPr>
                <w:b/>
                <w:i/>
              </w:rPr>
              <w:t xml:space="preserve"> et verrouillage</w:t>
            </w:r>
            <w:r w:rsidRPr="000B347F">
              <w:t xml:space="preserve"> des données</w:t>
            </w:r>
          </w:p>
        </w:tc>
        <w:tc>
          <w:tcPr>
            <w:tcW w:w="4876" w:type="dxa"/>
          </w:tcPr>
          <w:p w:rsidR="00460CB0" w:rsidRPr="000B347F" w:rsidRDefault="000B347F" w:rsidP="00264C57">
            <w:pPr>
              <w:pStyle w:val="Normal6"/>
              <w:rPr>
                <w:szCs w:val="24"/>
              </w:rPr>
            </w:pPr>
            <w:r w:rsidRPr="000B347F">
              <w:t>Marquage des données</w:t>
            </w:r>
          </w:p>
        </w:tc>
      </w:tr>
    </w:tbl>
    <w:p w:rsidR="00460CB0" w:rsidRPr="000B347F" w:rsidRDefault="000B347F" w:rsidP="00460CB0">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460CB0" w:rsidRPr="000B347F" w:rsidRDefault="000B347F" w:rsidP="00460CB0">
      <w:r w:rsidRPr="000B347F">
        <w:rPr>
          <w:rStyle w:val="HideTWBExt"/>
          <w:noProof w:val="0"/>
        </w:rPr>
        <w:t>&lt;/Amend&gt;</w:t>
      </w:r>
    </w:p>
    <w:p w:rsidR="00460CB0" w:rsidRPr="000B347F" w:rsidRDefault="000B347F" w:rsidP="00460CB0">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36</w:t>
      </w:r>
      <w:r w:rsidRPr="000B347F">
        <w:rPr>
          <w:rStyle w:val="HideTWBExt"/>
          <w:b w:val="0"/>
          <w:noProof w:val="0"/>
        </w:rPr>
        <w:t>&lt;/NumAm&gt;</w:t>
      </w:r>
    </w:p>
    <w:p w:rsidR="00460CB0" w:rsidRPr="000B347F" w:rsidRDefault="000B347F" w:rsidP="00460CB0">
      <w:pPr>
        <w:pStyle w:val="NormalBold"/>
      </w:pPr>
      <w:r w:rsidRPr="000B347F">
        <w:rPr>
          <w:rStyle w:val="HideTWBExt"/>
          <w:b w:val="0"/>
          <w:noProof w:val="0"/>
        </w:rPr>
        <w:t>&lt;RepeatBlock-By&gt;&lt;Members&gt;</w:t>
      </w:r>
      <w:r w:rsidRPr="000B347F">
        <w:t>Jorge Buxadé Villalba</w:t>
      </w:r>
      <w:r w:rsidRPr="000B347F">
        <w:rPr>
          <w:rStyle w:val="HideTWBExt"/>
          <w:b w:val="0"/>
          <w:noProof w:val="0"/>
        </w:rPr>
        <w:t>&lt;/Members&gt;</w:t>
      </w:r>
    </w:p>
    <w:p w:rsidR="00460CB0" w:rsidRPr="000B347F" w:rsidRDefault="000B347F" w:rsidP="00460CB0">
      <w:r w:rsidRPr="000B347F">
        <w:rPr>
          <w:rStyle w:val="HideTWBExt"/>
          <w:noProof w:val="0"/>
        </w:rPr>
        <w:t>&lt;/RepeatBlock-By&gt;</w:t>
      </w:r>
    </w:p>
    <w:p w:rsidR="00460CB0" w:rsidRPr="000B347F" w:rsidRDefault="000B347F" w:rsidP="00460CB0">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460CB0" w:rsidRPr="000B347F" w:rsidRDefault="000B347F" w:rsidP="00460CB0">
      <w:pPr>
        <w:pStyle w:val="NormalBold"/>
      </w:pPr>
      <w:r w:rsidRPr="000B347F">
        <w:rPr>
          <w:rStyle w:val="HideTWBExt"/>
          <w:b w:val="0"/>
          <w:noProof w:val="0"/>
        </w:rPr>
        <w:t>&lt;Article&gt;</w:t>
      </w:r>
      <w:r w:rsidRPr="000B347F">
        <w:t xml:space="preserve">Dispositif – </w:t>
      </w:r>
      <w:r w:rsidRPr="000B347F">
        <w:t>point 22 – article 19 – paragraphe 1</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264C57">
        <w:trPr>
          <w:jc w:val="center"/>
        </w:trPr>
        <w:tc>
          <w:tcPr>
            <w:tcW w:w="9752" w:type="dxa"/>
            <w:gridSpan w:val="2"/>
          </w:tcPr>
          <w:p w:rsidR="00460CB0" w:rsidRPr="000B347F" w:rsidRDefault="00460CB0" w:rsidP="00264C57">
            <w:pPr>
              <w:keepNext/>
            </w:pPr>
          </w:p>
        </w:tc>
      </w:tr>
      <w:tr w:rsidR="005C07BC" w:rsidRPr="000B347F" w:rsidTr="00264C57">
        <w:trPr>
          <w:jc w:val="center"/>
        </w:trPr>
        <w:tc>
          <w:tcPr>
            <w:tcW w:w="4876" w:type="dxa"/>
          </w:tcPr>
          <w:p w:rsidR="00460CB0" w:rsidRPr="000B347F" w:rsidRDefault="000B347F" w:rsidP="00264C57">
            <w:pPr>
              <w:pStyle w:val="ColumnHeading"/>
              <w:keepNext/>
            </w:pPr>
            <w:r w:rsidRPr="000B347F">
              <w:t>Texte proposé par la Commission</w:t>
            </w:r>
          </w:p>
        </w:tc>
        <w:tc>
          <w:tcPr>
            <w:tcW w:w="4876" w:type="dxa"/>
          </w:tcPr>
          <w:p w:rsidR="00460CB0" w:rsidRPr="000B347F" w:rsidRDefault="000B347F" w:rsidP="00264C57">
            <w:pPr>
              <w:pStyle w:val="ColumnHeading"/>
              <w:keepNext/>
            </w:pPr>
            <w:r w:rsidRPr="000B347F">
              <w:t>Amendement</w:t>
            </w:r>
          </w:p>
        </w:tc>
      </w:tr>
      <w:tr w:rsidR="005C07BC" w:rsidRPr="000B347F" w:rsidTr="00264C57">
        <w:trPr>
          <w:jc w:val="center"/>
        </w:trPr>
        <w:tc>
          <w:tcPr>
            <w:tcW w:w="4876" w:type="dxa"/>
          </w:tcPr>
          <w:p w:rsidR="00460CB0" w:rsidRPr="000B347F" w:rsidRDefault="000B347F" w:rsidP="00264C57">
            <w:pPr>
              <w:pStyle w:val="Normal6"/>
            </w:pPr>
            <w:r w:rsidRPr="000B347F">
              <w:t>1.</w:t>
            </w:r>
            <w:r w:rsidRPr="000B347F">
              <w:tab/>
              <w:t>Aux fins prévues à l’article 1</w:t>
            </w:r>
            <w:r w:rsidRPr="000B347F">
              <w:rPr>
                <w:vertAlign w:val="superscript"/>
              </w:rPr>
              <w:t>er</w:t>
            </w:r>
            <w:r w:rsidRPr="000B347F">
              <w:t xml:space="preserve">, paragraphe 1, point a), l’État membre d’origine ayant accordé une protection internationale à une personne dont les données </w:t>
            </w:r>
            <w:r w:rsidRPr="000B347F">
              <w:t>ont été précédemment enregistrées dans le système central et dans le CIR, selon le cas, en vertu de l’article 12 marque les données pertinentes conformément aux exigences de la communication électronique avec le système central fixées par l’eu-LISA. Ce mar</w:t>
            </w:r>
            <w:r w:rsidRPr="000B347F">
              <w:t xml:space="preserve">quage est conservé dans le système central conformément à l’article 17, paragraphe 1, aux fins de la </w:t>
            </w:r>
            <w:r w:rsidRPr="000B347F">
              <w:lastRenderedPageBreak/>
              <w:t>transmission au titre des articles 15 et 16. Le système central informe, dès que possible et au plus tard après 72 heures, tous les États membres d’origine</w:t>
            </w:r>
            <w:r w:rsidRPr="000B347F">
              <w:t xml:space="preserve"> du marquage par un autre État membre d’origine ayant généré un résultat positif avec des données qu’ils avaient transmises concernant des personnes visées à l’article 10, paragraphe 1, à l’article 13, paragraphe 1, à l’article 14, paragraphe 1</w:t>
            </w:r>
            <w:r w:rsidRPr="000B347F">
              <w:rPr>
                <w:b/>
                <w:i/>
              </w:rPr>
              <w:t>, ou à l’art</w:t>
            </w:r>
            <w:r w:rsidRPr="000B347F">
              <w:rPr>
                <w:b/>
                <w:i/>
              </w:rPr>
              <w:t>icle 14 bis, paragraphe 1</w:t>
            </w:r>
            <w:r w:rsidRPr="000B347F">
              <w:t>. Ces États membres d’origine marquent également les ensembles de données correspondants.</w:t>
            </w:r>
          </w:p>
        </w:tc>
        <w:tc>
          <w:tcPr>
            <w:tcW w:w="4876" w:type="dxa"/>
          </w:tcPr>
          <w:p w:rsidR="00460CB0" w:rsidRPr="000B347F" w:rsidRDefault="000B347F" w:rsidP="00B82DF1">
            <w:pPr>
              <w:pStyle w:val="Normal6"/>
              <w:rPr>
                <w:szCs w:val="24"/>
              </w:rPr>
            </w:pPr>
            <w:r w:rsidRPr="000B347F">
              <w:lastRenderedPageBreak/>
              <w:t>1.</w:t>
            </w:r>
            <w:r w:rsidRPr="000B347F">
              <w:tab/>
              <w:t>Aux fins prévues à l’article 1</w:t>
            </w:r>
            <w:r w:rsidRPr="000B347F">
              <w:rPr>
                <w:vertAlign w:val="superscript"/>
              </w:rPr>
              <w:t>er</w:t>
            </w:r>
            <w:r w:rsidRPr="000B347F">
              <w:t>, paragraphe 1, point a), l’État membre d’origine ayant accordé une protection internationale à une person</w:t>
            </w:r>
            <w:r w:rsidRPr="000B347F">
              <w:t>ne dont les données ont été précédemment enregistrées dans le système central et dans le CIR, selon le cas,</w:t>
            </w:r>
            <w:r w:rsidRPr="000B347F">
              <w:rPr>
                <w:b/>
                <w:i/>
              </w:rPr>
              <w:t xml:space="preserve"> conformément à l’article 4, paragraphe 2,</w:t>
            </w:r>
            <w:r w:rsidRPr="000B347F">
              <w:t xml:space="preserve"> en vertu de l’article 12 marque les données pertinentes conformément aux exigences de la communication éle</w:t>
            </w:r>
            <w:r w:rsidRPr="000B347F">
              <w:t xml:space="preserve">ctronique avec le système central fixées par l’eu-LISA. Ce marquage est conservé dans le système </w:t>
            </w:r>
            <w:r w:rsidRPr="000B347F">
              <w:lastRenderedPageBreak/>
              <w:t xml:space="preserve">central conformément à l’article 17, paragraphe 1, aux fins de la transmission au titre des articles 15 et 16. Le système central informe, dès que possible et </w:t>
            </w:r>
            <w:r w:rsidRPr="000B347F">
              <w:t>au plus tard après 72 heures, tous les États membres d’origine du marquage par un autre État membre d’origine ayant généré un résultat positif avec des données qu’ils avaient transmises concernant des personnes visées à l’article 10, paragraphe 1, à l’arti</w:t>
            </w:r>
            <w:r w:rsidRPr="000B347F">
              <w:t>cle 13, paragraphe 1,</w:t>
            </w:r>
            <w:r w:rsidRPr="000B347F">
              <w:rPr>
                <w:b/>
                <w:i/>
              </w:rPr>
              <w:t xml:space="preserve"> ou</w:t>
            </w:r>
            <w:r w:rsidRPr="000B347F">
              <w:t xml:space="preserve"> à l’article 14, paragraphe 1. Ces États membres d’origine marquent également les ensembles de données correspondants.</w:t>
            </w:r>
          </w:p>
        </w:tc>
      </w:tr>
    </w:tbl>
    <w:p w:rsidR="00460CB0" w:rsidRPr="000B347F" w:rsidRDefault="000B347F" w:rsidP="00460CB0">
      <w:pPr>
        <w:pStyle w:val="Olang"/>
        <w:rPr>
          <w:noProof w:val="0"/>
        </w:rPr>
      </w:pPr>
      <w:r w:rsidRPr="000B347F">
        <w:rPr>
          <w:noProof w:val="0"/>
        </w:rPr>
        <w:lastRenderedPageBreak/>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460CB0" w:rsidRPr="000B347F" w:rsidRDefault="000B347F" w:rsidP="00460CB0">
      <w:r w:rsidRPr="000B347F">
        <w:rPr>
          <w:rStyle w:val="HideTWBExt"/>
          <w:noProof w:val="0"/>
        </w:rPr>
        <w:t>&lt;/Amend&gt;</w:t>
      </w:r>
    </w:p>
    <w:p w:rsidR="00460CB0" w:rsidRPr="000B347F" w:rsidRDefault="000B347F" w:rsidP="00460CB0">
      <w:pPr>
        <w:pStyle w:val="AMNumberTabs0"/>
        <w:keepNext/>
      </w:pPr>
      <w:r w:rsidRPr="000B347F">
        <w:rPr>
          <w:rStyle w:val="HideTWBExt"/>
          <w:b w:val="0"/>
          <w:noProof w:val="0"/>
        </w:rPr>
        <w:t>&lt;Amend&gt;</w:t>
      </w:r>
      <w:r w:rsidRPr="000B347F">
        <w:t>Amendement</w:t>
      </w:r>
      <w:r w:rsidRPr="000B347F">
        <w:tab/>
      </w:r>
      <w:r w:rsidRPr="000B347F">
        <w:tab/>
      </w:r>
      <w:r w:rsidRPr="000B347F">
        <w:rPr>
          <w:rStyle w:val="HideTWBExt"/>
          <w:b w:val="0"/>
          <w:noProof w:val="0"/>
        </w:rPr>
        <w:t>&lt;NumAm&gt;</w:t>
      </w:r>
      <w:r w:rsidRPr="000B347F">
        <w:t>37</w:t>
      </w:r>
      <w:r w:rsidRPr="000B347F">
        <w:rPr>
          <w:rStyle w:val="HideTWBExt"/>
          <w:b w:val="0"/>
          <w:noProof w:val="0"/>
        </w:rPr>
        <w:t>&lt;/NumAm&gt;</w:t>
      </w:r>
    </w:p>
    <w:p w:rsidR="00460CB0" w:rsidRPr="000B347F" w:rsidRDefault="000B347F" w:rsidP="00460CB0">
      <w:pPr>
        <w:pStyle w:val="NormalBold"/>
      </w:pPr>
      <w:r w:rsidRPr="000B347F">
        <w:rPr>
          <w:rStyle w:val="HideTWBExt"/>
          <w:b w:val="0"/>
          <w:noProof w:val="0"/>
        </w:rPr>
        <w:t>&lt;RepeatBlock-By&gt;&lt;Members&gt;</w:t>
      </w:r>
      <w:r w:rsidRPr="000B347F">
        <w:t>Jorge Bux</w:t>
      </w:r>
      <w:r w:rsidRPr="000B347F">
        <w:t>adé Villalba</w:t>
      </w:r>
      <w:r w:rsidRPr="000B347F">
        <w:rPr>
          <w:rStyle w:val="HideTWBExt"/>
          <w:b w:val="0"/>
          <w:noProof w:val="0"/>
        </w:rPr>
        <w:t>&lt;/Members&gt;</w:t>
      </w:r>
    </w:p>
    <w:p w:rsidR="00460CB0" w:rsidRPr="000B347F" w:rsidRDefault="000B347F" w:rsidP="00460CB0">
      <w:r w:rsidRPr="000B347F">
        <w:rPr>
          <w:rStyle w:val="HideTWBExt"/>
          <w:noProof w:val="0"/>
        </w:rPr>
        <w:t>&lt;/RepeatBlock-By&gt;</w:t>
      </w:r>
    </w:p>
    <w:p w:rsidR="00460CB0" w:rsidRPr="000B347F" w:rsidRDefault="000B347F" w:rsidP="00460CB0">
      <w:pPr>
        <w:pStyle w:val="NormalBold"/>
        <w:keepNext/>
      </w:pPr>
      <w:r w:rsidRPr="000B347F">
        <w:rPr>
          <w:rStyle w:val="HideTWBExt"/>
          <w:b w:val="0"/>
          <w:noProof w:val="0"/>
        </w:rPr>
        <w:t>&lt;DocAmend&gt;</w:t>
      </w:r>
      <w:r w:rsidRPr="000B347F">
        <w:t>Proposition de règlement</w:t>
      </w:r>
      <w:r w:rsidRPr="000B347F">
        <w:rPr>
          <w:rStyle w:val="HideTWBExt"/>
          <w:b w:val="0"/>
          <w:noProof w:val="0"/>
        </w:rPr>
        <w:t>&lt;/DocAmend&gt;</w:t>
      </w:r>
    </w:p>
    <w:p w:rsidR="00460CB0" w:rsidRPr="000B347F" w:rsidRDefault="000B347F" w:rsidP="00460CB0">
      <w:pPr>
        <w:pStyle w:val="NormalBold"/>
      </w:pPr>
      <w:r w:rsidRPr="000B347F">
        <w:rPr>
          <w:rStyle w:val="HideTWBExt"/>
          <w:b w:val="0"/>
          <w:noProof w:val="0"/>
        </w:rPr>
        <w:t>&lt;Article&gt;</w:t>
      </w:r>
      <w:r w:rsidRPr="000B347F">
        <w:t>Dispositif – point 22 – article 19 – paragraphe 2</w:t>
      </w:r>
      <w:r w:rsidRPr="000B347F">
        <w:rPr>
          <w:rStyle w:val="HideTWBExt"/>
          <w:b w:val="0"/>
          <w:noProof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5C07BC" w:rsidRPr="000B347F" w:rsidTr="00264C57">
        <w:trPr>
          <w:jc w:val="center"/>
        </w:trPr>
        <w:tc>
          <w:tcPr>
            <w:tcW w:w="9752" w:type="dxa"/>
            <w:gridSpan w:val="2"/>
          </w:tcPr>
          <w:p w:rsidR="00460CB0" w:rsidRPr="000B347F" w:rsidRDefault="00460CB0" w:rsidP="00264C57">
            <w:pPr>
              <w:keepNext/>
            </w:pPr>
          </w:p>
        </w:tc>
      </w:tr>
      <w:tr w:rsidR="005C07BC" w:rsidRPr="000B347F" w:rsidTr="00264C57">
        <w:trPr>
          <w:jc w:val="center"/>
        </w:trPr>
        <w:tc>
          <w:tcPr>
            <w:tcW w:w="4876" w:type="dxa"/>
          </w:tcPr>
          <w:p w:rsidR="00460CB0" w:rsidRPr="000B347F" w:rsidRDefault="000B347F" w:rsidP="00264C57">
            <w:pPr>
              <w:pStyle w:val="ColumnHeading"/>
              <w:keepNext/>
            </w:pPr>
            <w:r w:rsidRPr="000B347F">
              <w:t>Texte proposé par la Commission</w:t>
            </w:r>
          </w:p>
        </w:tc>
        <w:tc>
          <w:tcPr>
            <w:tcW w:w="4876" w:type="dxa"/>
          </w:tcPr>
          <w:p w:rsidR="00460CB0" w:rsidRPr="000B347F" w:rsidRDefault="000B347F" w:rsidP="00264C57">
            <w:pPr>
              <w:pStyle w:val="ColumnHeading"/>
              <w:keepNext/>
            </w:pPr>
            <w:r w:rsidRPr="000B347F">
              <w:t>Amendement</w:t>
            </w:r>
          </w:p>
        </w:tc>
      </w:tr>
      <w:tr w:rsidR="005C07BC" w:rsidRPr="000B347F" w:rsidTr="00264C57">
        <w:trPr>
          <w:jc w:val="center"/>
        </w:trPr>
        <w:tc>
          <w:tcPr>
            <w:tcW w:w="4876" w:type="dxa"/>
          </w:tcPr>
          <w:p w:rsidR="00460CB0" w:rsidRPr="000B347F" w:rsidRDefault="000B347F" w:rsidP="00264C57">
            <w:pPr>
              <w:pStyle w:val="Normal6"/>
            </w:pPr>
            <w:r w:rsidRPr="000B347F">
              <w:t>2.</w:t>
            </w:r>
            <w:r w:rsidRPr="000B347F">
              <w:tab/>
            </w:r>
            <w:r w:rsidRPr="000B347F">
              <w:t xml:space="preserve">Les données des bénéficiaires d’une protection internationale qui sont conservées dans le système central et dans le CIR, selon le cas, et qui sont marquées en vertu du paragraphe 1 du présent article sont disponibles pour une comparaison aux fins prévues </w:t>
            </w:r>
            <w:r w:rsidRPr="000B347F">
              <w:t>à l’article 1</w:t>
            </w:r>
            <w:r w:rsidRPr="000B347F">
              <w:rPr>
                <w:vertAlign w:val="superscript"/>
              </w:rPr>
              <w:t>er</w:t>
            </w:r>
            <w:r w:rsidRPr="000B347F">
              <w:t>, paragraphe 1, point d), jusqu’à ce que ces données soient automatiquement effacées du système central et du CIR, selon le cas, conformément à l’article 17, paragraphe 4.</w:t>
            </w:r>
          </w:p>
        </w:tc>
        <w:tc>
          <w:tcPr>
            <w:tcW w:w="4876" w:type="dxa"/>
          </w:tcPr>
          <w:p w:rsidR="00460CB0" w:rsidRPr="000B347F" w:rsidRDefault="000B347F" w:rsidP="00264C57">
            <w:pPr>
              <w:pStyle w:val="Normal6"/>
              <w:rPr>
                <w:szCs w:val="24"/>
              </w:rPr>
            </w:pPr>
            <w:r w:rsidRPr="000B347F">
              <w:t>2.</w:t>
            </w:r>
            <w:r w:rsidRPr="000B347F">
              <w:tab/>
              <w:t xml:space="preserve">Les données des bénéficiaires d’une protection internationale qui </w:t>
            </w:r>
            <w:r w:rsidRPr="000B347F">
              <w:t>sont conservées dans le système central et dans le CIR, selon le cas,</w:t>
            </w:r>
            <w:r w:rsidRPr="000B347F">
              <w:rPr>
                <w:b/>
                <w:i/>
              </w:rPr>
              <w:t xml:space="preserve"> conformément à l’article 4, paragraphe 2,</w:t>
            </w:r>
            <w:r w:rsidRPr="000B347F">
              <w:t xml:space="preserve"> et qui sont marquées en vertu du paragraphe 1 du présent article sont disponibles pour une comparaison aux fins prévues à l’article 1</w:t>
            </w:r>
            <w:r w:rsidRPr="000B347F">
              <w:rPr>
                <w:vertAlign w:val="superscript"/>
              </w:rPr>
              <w:t>er</w:t>
            </w:r>
            <w:r w:rsidRPr="000B347F">
              <w:t>, paragra</w:t>
            </w:r>
            <w:r w:rsidRPr="000B347F">
              <w:t>phe 1, point d), jusqu’à ce que ces données soient automatiquement effacées du système central et du CIR, selon le cas, conformément à l’article 17, paragraphe 4.</w:t>
            </w:r>
          </w:p>
        </w:tc>
      </w:tr>
    </w:tbl>
    <w:p w:rsidR="00460CB0" w:rsidRPr="000B347F" w:rsidRDefault="000B347F" w:rsidP="00460CB0">
      <w:pPr>
        <w:pStyle w:val="Olang"/>
        <w:rPr>
          <w:noProof w:val="0"/>
        </w:rPr>
      </w:pPr>
      <w:r w:rsidRPr="000B347F">
        <w:rPr>
          <w:noProof w:val="0"/>
        </w:rPr>
        <w:t xml:space="preserve">Or. </w:t>
      </w:r>
      <w:r w:rsidRPr="000B347F">
        <w:rPr>
          <w:rStyle w:val="HideTWBExt"/>
          <w:noProof w:val="0"/>
        </w:rPr>
        <w:t>&lt;Original&gt;</w:t>
      </w:r>
      <w:r w:rsidRPr="000B347F">
        <w:rPr>
          <w:rStyle w:val="HideTWBInt"/>
          <w:noProof w:val="0"/>
        </w:rPr>
        <w:t>{EN}</w:t>
      </w:r>
      <w:r w:rsidRPr="000B347F">
        <w:rPr>
          <w:noProof w:val="0"/>
        </w:rPr>
        <w:t>en</w:t>
      </w:r>
      <w:r w:rsidRPr="000B347F">
        <w:rPr>
          <w:rStyle w:val="HideTWBExt"/>
          <w:noProof w:val="0"/>
        </w:rPr>
        <w:t>&lt;/Original&gt;</w:t>
      </w:r>
    </w:p>
    <w:p w:rsidR="00460CB0" w:rsidRPr="000B347F" w:rsidRDefault="000B347F" w:rsidP="00460CB0">
      <w:r w:rsidRPr="000B347F">
        <w:rPr>
          <w:rStyle w:val="HideTWBExt"/>
          <w:noProof w:val="0"/>
        </w:rPr>
        <w:t>&lt;/Amend&gt;&lt;/RepeatBlock-Amend&gt;</w:t>
      </w:r>
    </w:p>
    <w:p w:rsidR="00460CB0" w:rsidRPr="000B347F" w:rsidRDefault="00460CB0" w:rsidP="006C1CE1">
      <w:pPr>
        <w:rPr>
          <w:rStyle w:val="HideTWBExt"/>
          <w:noProof w:val="0"/>
        </w:rPr>
      </w:pPr>
    </w:p>
    <w:p w:rsidR="00460CB0" w:rsidRPr="000B347F" w:rsidRDefault="00460CB0" w:rsidP="006C1CE1">
      <w:pPr>
        <w:rPr>
          <w:rStyle w:val="HideTWBExt"/>
          <w:noProof w:val="0"/>
        </w:rPr>
      </w:pPr>
    </w:p>
    <w:bookmarkEnd w:id="1"/>
    <w:p w:rsidR="00460CB0" w:rsidRPr="000B347F" w:rsidRDefault="00460CB0" w:rsidP="006C1CE1">
      <w:pPr>
        <w:rPr>
          <w:rStyle w:val="HideTWBExt"/>
          <w:noProof w:val="0"/>
        </w:rPr>
      </w:pPr>
    </w:p>
    <w:sectPr w:rsidR="00460CB0" w:rsidRPr="000B347F" w:rsidSect="00333B5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333B57" w:rsidRDefault="000B347F">
      <w:r w:rsidRPr="00333B57">
        <w:separator/>
      </w:r>
    </w:p>
  </w:endnote>
  <w:endnote w:type="continuationSeparator" w:id="0">
    <w:p w:rsidR="00000000" w:rsidRPr="00333B57" w:rsidRDefault="000B347F">
      <w:r w:rsidRPr="00333B5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B57" w:rsidRPr="00333B57" w:rsidRDefault="00333B57" w:rsidP="00333B57">
    <w:pPr>
      <w:pStyle w:val="EPFooter"/>
    </w:pPr>
    <w:r w:rsidRPr="00333B57">
      <w:t>PE</w:t>
    </w:r>
    <w:r w:rsidRPr="00333B57">
      <w:rPr>
        <w:rStyle w:val="HideTWBExt"/>
        <w:noProof w:val="0"/>
      </w:rPr>
      <w:t>&lt;NoPE&gt;</w:t>
    </w:r>
    <w:r w:rsidRPr="00333B57">
      <w:t>661.979</w:t>
    </w:r>
    <w:r w:rsidRPr="00333B57">
      <w:rPr>
        <w:rStyle w:val="HideTWBExt"/>
        <w:noProof w:val="0"/>
      </w:rPr>
      <w:t>&lt;/NoPE&gt;&lt;Version&gt;</w:t>
    </w:r>
    <w:r w:rsidRPr="00333B57">
      <w:t>v01-00</w:t>
    </w:r>
    <w:r w:rsidRPr="00333B57">
      <w:rPr>
        <w:rStyle w:val="HideTWBExt"/>
        <w:noProof w:val="0"/>
      </w:rPr>
      <w:t>&lt;/Version&gt;</w:t>
    </w:r>
    <w:r w:rsidRPr="00333B57">
      <w:tab/>
    </w:r>
    <w:r w:rsidRPr="00333B57">
      <w:fldChar w:fldCharType="begin"/>
    </w:r>
    <w:r w:rsidRPr="00333B57">
      <w:instrText xml:space="preserve"> PAGE  \* MERGEFORMAT </w:instrText>
    </w:r>
    <w:r w:rsidRPr="00333B57">
      <w:fldChar w:fldCharType="separate"/>
    </w:r>
    <w:r w:rsidR="000B347F">
      <w:rPr>
        <w:noProof/>
      </w:rPr>
      <w:t>2</w:t>
    </w:r>
    <w:r w:rsidRPr="00333B57">
      <w:fldChar w:fldCharType="end"/>
    </w:r>
    <w:r w:rsidRPr="00333B57">
      <w:t>/</w:t>
    </w:r>
    <w:fldSimple w:instr=" NUMPAGES  \* MERGEFORMAT ">
      <w:r w:rsidR="000B347F">
        <w:rPr>
          <w:noProof/>
        </w:rPr>
        <w:t>28</w:t>
      </w:r>
    </w:fldSimple>
    <w:r w:rsidRPr="00333B57">
      <w:tab/>
    </w:r>
    <w:r w:rsidRPr="00333B57">
      <w:rPr>
        <w:rStyle w:val="HideTWBExt"/>
        <w:noProof w:val="0"/>
      </w:rPr>
      <w:t>&lt;PathFdR&gt;</w:t>
    </w:r>
    <w:r w:rsidRPr="00333B57">
      <w:t>AM\1220068FR.docx</w:t>
    </w:r>
    <w:r w:rsidRPr="00333B57">
      <w:rPr>
        <w:rStyle w:val="HideTWBExt"/>
        <w:noProof w:val="0"/>
      </w:rPr>
      <w:t>&lt;/PathFdR&gt;</w:t>
    </w:r>
  </w:p>
  <w:p w:rsidR="00730ED8" w:rsidRPr="00333B57" w:rsidRDefault="00333B57" w:rsidP="00333B57">
    <w:pPr>
      <w:pStyle w:val="EPFooter2"/>
    </w:pPr>
    <w:r w:rsidRPr="00333B57">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B57" w:rsidRPr="00333B57" w:rsidRDefault="00333B57" w:rsidP="00333B57">
    <w:pPr>
      <w:pStyle w:val="EPFooter"/>
    </w:pPr>
    <w:r w:rsidRPr="00333B57">
      <w:rPr>
        <w:rStyle w:val="HideTWBExt"/>
        <w:noProof w:val="0"/>
      </w:rPr>
      <w:t>&lt;PathFdR&gt;</w:t>
    </w:r>
    <w:r w:rsidRPr="00333B57">
      <w:t>AM\1220068FR.docx</w:t>
    </w:r>
    <w:r w:rsidRPr="00333B57">
      <w:rPr>
        <w:rStyle w:val="HideTWBExt"/>
        <w:noProof w:val="0"/>
      </w:rPr>
      <w:t>&lt;/PathFdR&gt;</w:t>
    </w:r>
    <w:r w:rsidRPr="00333B57">
      <w:tab/>
    </w:r>
    <w:r w:rsidRPr="00333B57">
      <w:fldChar w:fldCharType="begin"/>
    </w:r>
    <w:r w:rsidRPr="00333B57">
      <w:instrText xml:space="preserve"> PAGE  \* MERGEFORMAT </w:instrText>
    </w:r>
    <w:r w:rsidRPr="00333B57">
      <w:fldChar w:fldCharType="separate"/>
    </w:r>
    <w:r w:rsidR="000B347F">
      <w:rPr>
        <w:noProof/>
      </w:rPr>
      <w:t>27</w:t>
    </w:r>
    <w:r w:rsidRPr="00333B57">
      <w:fldChar w:fldCharType="end"/>
    </w:r>
    <w:r w:rsidRPr="00333B57">
      <w:t>/</w:t>
    </w:r>
    <w:fldSimple w:instr=" NUMPAGES  \* MERGEFORMAT ">
      <w:r w:rsidR="000B347F">
        <w:rPr>
          <w:noProof/>
        </w:rPr>
        <w:t>28</w:t>
      </w:r>
    </w:fldSimple>
    <w:r w:rsidRPr="00333B57">
      <w:tab/>
      <w:t>PE</w:t>
    </w:r>
    <w:r w:rsidRPr="00333B57">
      <w:rPr>
        <w:rStyle w:val="HideTWBExt"/>
        <w:noProof w:val="0"/>
      </w:rPr>
      <w:t>&lt;NoPE&gt;</w:t>
    </w:r>
    <w:r w:rsidRPr="00333B57">
      <w:t>661.979</w:t>
    </w:r>
    <w:r w:rsidRPr="00333B57">
      <w:rPr>
        <w:rStyle w:val="HideTWBExt"/>
        <w:noProof w:val="0"/>
      </w:rPr>
      <w:t>&lt;/NoPE&gt;&lt;Version&gt;</w:t>
    </w:r>
    <w:r w:rsidRPr="00333B57">
      <w:t>v01-00</w:t>
    </w:r>
    <w:r w:rsidRPr="00333B57">
      <w:rPr>
        <w:rStyle w:val="HideTWBExt"/>
        <w:noProof w:val="0"/>
      </w:rPr>
      <w:t>&lt;/Version&gt;</w:t>
    </w:r>
  </w:p>
  <w:p w:rsidR="00730ED8" w:rsidRPr="00333B57" w:rsidRDefault="00333B57" w:rsidP="00333B57">
    <w:pPr>
      <w:pStyle w:val="EPFooter2"/>
    </w:pPr>
    <w:r w:rsidRPr="00333B57">
      <w:tab/>
    </w:r>
    <w:r w:rsidRPr="00333B57">
      <w:tab/>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3B57" w:rsidRPr="00333B57" w:rsidRDefault="00333B57" w:rsidP="00333B57">
    <w:pPr>
      <w:pStyle w:val="EPFooter"/>
    </w:pPr>
    <w:r w:rsidRPr="00333B57">
      <w:rPr>
        <w:rStyle w:val="HideTWBExt"/>
        <w:noProof w:val="0"/>
      </w:rPr>
      <w:t>&lt;PathFdR&gt;</w:t>
    </w:r>
    <w:r w:rsidRPr="00333B57">
      <w:t>AM\1220068FR.docx</w:t>
    </w:r>
    <w:r w:rsidRPr="00333B57">
      <w:rPr>
        <w:rStyle w:val="HideTWBExt"/>
        <w:noProof w:val="0"/>
      </w:rPr>
      <w:t>&lt;/PathFdR&gt;</w:t>
    </w:r>
    <w:r w:rsidRPr="00333B57">
      <w:tab/>
    </w:r>
    <w:r w:rsidRPr="00333B57">
      <w:tab/>
      <w:t>PE</w:t>
    </w:r>
    <w:r w:rsidRPr="00333B57">
      <w:rPr>
        <w:rStyle w:val="HideTWBExt"/>
        <w:noProof w:val="0"/>
      </w:rPr>
      <w:t>&lt;NoPE&gt;</w:t>
    </w:r>
    <w:r w:rsidRPr="00333B57">
      <w:t>661.979</w:t>
    </w:r>
    <w:r w:rsidRPr="00333B57">
      <w:rPr>
        <w:rStyle w:val="HideTWBExt"/>
        <w:noProof w:val="0"/>
      </w:rPr>
      <w:t>&lt;/NoPE&gt;&lt;Version&gt;</w:t>
    </w:r>
    <w:r w:rsidRPr="00333B57">
      <w:t>v01-00</w:t>
    </w:r>
    <w:r w:rsidRPr="00333B57">
      <w:rPr>
        <w:rStyle w:val="HideTWBExt"/>
        <w:noProof w:val="0"/>
      </w:rPr>
      <w:t>&lt;/Version&gt;</w:t>
    </w:r>
  </w:p>
  <w:p w:rsidR="00730ED8" w:rsidRPr="00333B57" w:rsidRDefault="00333B57" w:rsidP="00333B57">
    <w:pPr>
      <w:pStyle w:val="EPFooter2"/>
    </w:pPr>
    <w:r w:rsidRPr="00333B57">
      <w:t>FR</w:t>
    </w:r>
    <w:r w:rsidRPr="00333B57">
      <w:tab/>
    </w:r>
    <w:r w:rsidRPr="00333B57">
      <w:rPr>
        <w:b w:val="0"/>
        <w:i/>
        <w:color w:val="C0C0C0"/>
        <w:sz w:val="22"/>
      </w:rPr>
      <w:t>Unie dans la diversité</w:t>
    </w:r>
    <w:r w:rsidRPr="00333B57">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333B57" w:rsidRDefault="000B347F">
      <w:r w:rsidRPr="00333B57">
        <w:separator/>
      </w:r>
    </w:p>
  </w:footnote>
  <w:footnote w:type="continuationSeparator" w:id="0">
    <w:p w:rsidR="00000000" w:rsidRPr="00333B57" w:rsidRDefault="000B347F">
      <w:r w:rsidRPr="00333B5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A3A" w:rsidRDefault="00782A3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A3A" w:rsidRDefault="00782A3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A3A" w:rsidRDefault="00782A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BASACTMNU" w:val=" 2"/>
    <w:docVar w:name="CODEMNU" w:val=" 1"/>
    <w:docVar w:name="COMKEY" w:val="LIBE"/>
    <w:docVar w:name="CopyToNetwork" w:val="-1"/>
    <w:docVar w:name="CVA" w:val="10"/>
    <w:docVar w:name="DOCCODMNU" w:val=" 1"/>
    <w:docVar w:name="DOCDT" w:val="07/12/2020"/>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0"/>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3\fbidi \froman\fcharset238\fprq2 Times New Roman CE;}{\f294\fbidi \froman\fcharset204\fprq2 Times New Roman Cyr;}_x000d__x000a_{\f296\fbidi \froman\fcharset161\fprq2 Times New Roman Greek;}{\f297\fbidi \froman\fcharset162\fprq2 Times New Roman Tur;}{\f298\fbidi \froman\fcharset177\fprq2 Times New Roman (Hebrew);}{\f299\fbidi \froman\fcharset178\fprq2 Times New Roman (Arabic);}_x000d__x000a_{\f300\fbidi \froman\fcharset186\fprq2 Times New Roman Baltic;}{\f301\fbidi \froman\fcharset163\fprq2 Times New Roman (Vietnamese);}{\f303\fbidi \fswiss\fcharset238\fprq2 Arial CE;}{\f304\fbidi \fswiss\fcharset204\fprq2 Arial Cyr;}_x000d__x000a_{\f306\fbidi \fswiss\fcharset161\fprq2 Arial Greek;}{\f307\fbidi \fswiss\fcharset162\fprq2 Arial Tur;}{\f308\fbidi \fswiss\fcharset177\fprq2 Arial (Hebrew);}{\f309\fbidi \fswiss\fcharset178\fprq2 Arial (Arabic);}_x000d__x000a_{\f310\fbidi \fswiss\fcharset186\fprq2 Arial Baltic;}{\f311\fbidi \fswiss\fcharset163\fprq2 Arial (Vietnamese);}{\f633\fbidi \froman\fcharset238\fprq2 Cambria Math CE;}{\f634\fbidi \froman\fcharset204\fprq2 Cambria Math Cyr;}_x000d__x000a_{\f636\fbidi \froman\fcharset161\fprq2 Cambria Math Greek;}{\f637\fbidi \froman\fcharset162\fprq2 Cambria Math Tur;}{\f640\fbidi \froman\fcharset186\fprq2 Cambria Math Baltic;}{\f64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2591030 HideTWBInt;}}{\*\rsidtbl \rsid24658\rsid213448\rsid223860\rsid735077\rsid1718133\rsid2892074_x000d__x000a_\rsid3565327\rsid4666813\rsid6641733\rsid7823322\rsid9636012\rsid10377208\rsid11215221\rsid11549030\rsid12154954\rsid12591030\rsid14382809\rsid14424199\rsid15204470\rsid15285974\rsid15950462\rsid16324206\rsid16662270}{\mmathPr\mmathFont34\mbrkBin0_x000d__x000a_\mbrkBinSub0\msmallFrac0\mdispDef1\mlMargin0\mrMargin0\mdefJc1\mwrapIndent1440\mintLim0\mnaryLim1}{\info{\author CONIAC Cristina Elena}{\operator CONIAC Cristina Elena}{\creatim\yr2020\mo12\dy7\hr17\min7}{\revtim\yr2020\mo12\dy7\hr17\min7}{\version1}_x000d__x000a_{\edmins0}{\nofpages1}{\nofwords2}{\nofchars16}{\nofcharsws17}{\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2591030\newtblstyruls\nogrowautofit\usenormstyforlist\noindnmbrts\felnbrelev\nocxsptable\indrlsweleven\noafcnsttbl\afelev\utinl\hwelev\spltpgpar\notcvasp\notbrkcnstfrctbl\notvatxbx\krnprsnet\cachedcolbal _x000d__x000a_\nouicompat \fet0{\*\wgrffmtfilter 013f}\nofeaturethrottle1\ilfomacatclnup0{\*\template C:\\Users\\CCRIST~1\\AppData\\Local\\Temp\\Blank1.dotx}{\*\ftnsep \ltrpar \pard\plain \ltrpar_x000d__x000a_\ql \li0\ri0\widctlpar\wrapdefault\aspalpha\aspnum\faauto\adjustright\rin0\lin0\itap0 \rtlch\fcs1 \af0\afs20\alang1025 \ltrch\fcs0 \fs24\lang2057\langfe2057\cgrid\langnp2057\langfenp2057 {\rtlch\fcs1 \af0 \ltrch\fcs0 \insrsid213448 \chftnsep _x000d__x000a_\par }}{\*\ftnsepc \ltrpar \pard\plain \ltrpar\ql \li0\ri0\widctlpar\wrapdefault\aspalpha\aspnum\faauto\adjustright\rin0\lin0\itap0 \rtlch\fcs1 \af0\afs20\alang1025 \ltrch\fcs0 \fs24\lang2057\langfe2057\cgrid\langnp2057\langfenp2057 {\rtlch\fcs1 \af0 _x000d__x000a_\ltrch\fcs0 \insrsid213448 \chftnsepc _x000d__x000a_\par }}{\*\aftnsep \ltrpar \pard\plain \ltrpar\ql \li0\ri0\widctlpar\wrapdefault\aspalpha\aspnum\faauto\adjustright\rin0\lin0\itap0 \rtlch\fcs1 \af0\afs20\alang1025 \ltrch\fcs0 \fs24\lang2057\langfe2057\cgrid\langnp2057\langfenp2057 {\rtlch\fcs1 \af0 _x000d__x000a_\ltrch\fcs0 \insrsid213448 \chftnsep _x000d__x000a_\par }}{\*\aftnsepc \ltrpar \pard\plain \ltrpar\ql \li0\ri0\widctlpar\wrapdefault\aspalpha\aspnum\faauto\adjustright\rin0\lin0\itap0 \rtlch\fcs1 \af0\afs20\alang1025 \ltrch\fcs0 \fs24\lang2057\langfe2057\cgrid\langnp2057\langfenp2057 {\rtlch\fcs1 \af0 _x000d__x000a_\ltrch\fcs0 \insrsid21344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2591030\charrsid2957979 {\*\bkmkstart ReplaceBookmark}#}{\rtlch\fcs1 \af1 \ltrch\fcs0 _x000d__x000a_\cs17\v\f1\fs20\cf15\insrsid12591030\charrsid2957979 &gt;&gt;&gt;CVAR@@AmendA}{\rtlch\fcs1 \af0 \ltrch\fcs0 \insrsid12591030\charrsid2957979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56_x000d__x000a_ab07b3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1\fbidi \froman\fcharset238\fprq2 Times New Roman CE;}{\f292\fbidi \froman\fcharset204\fprq2 Times New Roman Cyr;}_x000d__x000a_{\f294\fbidi \froman\fcharset161\fprq2 Times New Roman Greek;}{\f295\fbidi \froman\fcharset162\fprq2 Times New Roman Tur;}{\f296\fbidi \froman\fcharset177\fprq2 Times New Roman (Hebrew);}{\f297\fbidi \froman\fcharset178\fprq2 Times New Roman (Arabic);}_x000d__x000a_{\f298\fbidi \froman\fcharset186\fprq2 Times New Roman Baltic;}{\f299\fbidi \froman\fcharset163\fprq2 Times New Roman (Vietnamese);}{\f301\fbidi \fswiss\fcharset238\fprq2 Arial CE;}{\f302\fbidi \fswiss\fcharset204\fprq2 Arial Cyr;}_x000d__x000a_{\f304\fbidi \fswiss\fcharset161\fprq2 Arial Greek;}{\f305\fbidi \fswiss\fcharset162\fprq2 Arial Tur;}{\f306\fbidi \fswiss\fcharset177\fprq2 Arial (Hebrew);}{\f307\fbidi \fswiss\fcharset178\fprq2 Arial (Arabic);}_x000d__x000a_{\f308\fbidi \fswiss\fcharset186\fprq2 Arial Baltic;}{\f309\fbidi \fswiss\fcharset163\fprq2 Arial (Vietnamese);}{\f631\fbidi \froman\fcharset238\fprq2 Cambria Math CE;}{\f632\fbidi \froman\fcharset204\fprq2 Cambria Math Cyr;}_x000d__x000a_{\f634\fbidi \froman\fcharset161\fprq2 Cambria Math Greek;}{\f635\fbidi \froman\fcharset162\fprq2 Cambria Math Tur;}{\f638\fbidi \froman\fcharset186\fprq2 Cambria Math Baltic;}{\f63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2243446 HideTWBExt;}{\*\cs18 \additive \v\f1\fs20\cf15 _x000d__x000a_\spriority0 \styrsid2243446 HideTWBInt;}{\s19\ql \li0\ri0\sa120\nowidctlpar\wrapdefault\aspalpha\aspnum\faauto\adjustright\rin0\lin0\itap0 \rtlch\fcs1 \af0\afs20\alang1025 \ltrch\fcs0 \fs24\lang2057\langfe2057\cgrid\langnp2057\langfenp2057 _x000d__x000a_\sbasedon0 \snext19 \spriority0 \styrsid2243446 Normal6a;}{\s20\ql \li0\ri0\nowidctlpar\wrapdefault\aspalpha\aspnum\faauto\adjustright\rin0\lin0\itap0 \rtlch\fcs1 \af0\afs20\alang1025 \ltrch\fcs0 \b\fs24\lang2057\langfe2057\cgrid\langnp2057\langfenp2057 _x000d__x000a_\sbasedon0 \snext20 \spriority0 \styrsid2243446 NormalBold;}{\s21\qr \li0\ri0\sb240\sa240\nowidctlpar\wrapdefault\aspalpha\aspnum\faauto\adjustright\rin0\lin0\itap0 \rtlch\fcs1 \af0\afs20\alang1025 \ltrch\fcs0 _x000d__x000a_\fs24\lang2057\langfe2057\cgrid\langnp2057\langfenp2057 \sbasedon0 \snext21 \spriority0 \styrsid2243446 AmOrLang;}{\s22\qc \li0\ri0\sa240\nowidctlpar\wrapdefault\aspalpha\aspnum\faauto\adjustright\rin0\lin0\itap0 \rtlch\fcs1 \af0\afs20\alang1025 _x000d__x000a_\ltrch\fcs0 \i\fs24\lang2057\langfe2057\cgrid\langnp2057\langfenp2057 \sbasedon0 \snext22 \spriority0 \styrsid224344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2243446 AmNumberTabs;}}{\*\rsidtbl \rsid24658\rsid223860\rsid735077\rsid1718133\rsid2243446\rsid2892074\rsid3565327\rsid4666813\rsid6641733_x000d__x000a_\rsid7823322\rsid9636012\rsid10035709\rsid10377208\rsid11215221\rsid11549030\rsid12154954\rsid14382809\rsid14424199\rsid15204470\rsid15285974\rsid15950462\rsid16324206\rsid16662270}{\mmathPr\mmathFont34\mbrkBin0\mbrkBinSub0\msmallFrac0\mdispDef1\mlMargin0_x000d__x000a_\mrMargin0\mdefJc1\mwrapIndent1440\mintLim0\mnaryLim1}{\info{\author CONIAC Cristina Elena}{\operator CONIAC Cristina Elena}{\creatim\yr2020\mo12\dy7\hr16\min48}{\revtim\yr2020\mo12\dy7\hr16\min48}{\version1}{\edmins0}{\nofpages1}{\nofwords70}_x000d__x000a_{\nofchars404}{\nofcharsws473}{\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2243446\newtblstyruls\nogrowautofit\usenormstyforlist\noindnmbrts\felnbrelev\nocxsptable\indrlsweleven\noafcnsttbl\afelev\utinl\hwelev\spltpgpar\notcvasp\notbrkcnstfrctbl\notvatxbx\krnprsnet\cachedcolbal _x000d__x000a_\nouicompat \fet0{\*\wgrffmtfilter 013f}\nofeaturethrottle1\ilfomacatclnup0{\*\template C:\\Users\\CCRIST~1\\AppData\\Local\\Temp\\Blank1.dotx}{\*\ftnsep \ltrpar \pard\plain \ltrpar_x000d__x000a_\ql \li0\ri0\widctlpar\wrapdefault\aspalpha\aspnum\faauto\adjustright\rin0\lin0\itap0 \rtlch\fcs1 \af0\afs20\alang1025 \ltrch\fcs0 \fs24\lang2057\langfe2057\cgrid\langnp2057\langfenp2057 {\rtlch\fcs1 \af0 \ltrch\fcs0 \insrsid10035709 \chftnsep _x000d__x000a_\par }}{\*\ftnsepc \ltrpar \pard\plain \ltrpar\ql \li0\ri0\widctlpar\wrapdefault\aspalpha\aspnum\faauto\adjustright\rin0\lin0\itap0 \rtlch\fcs1 \af0\afs20\alang1025 \ltrch\fcs0 \fs24\lang2057\langfe2057\cgrid\langnp2057\langfenp2057 {\rtlch\fcs1 \af0 _x000d__x000a_\ltrch\fcs0 \insrsid10035709 \chftnsepc _x000d__x000a_\par }}{\*\aftnsep \ltrpar \pard\plain \ltrpar\ql \li0\ri0\widctlpar\wrapdefault\aspalpha\aspnum\faauto\adjustright\rin0\lin0\itap0 \rtlch\fcs1 \af0\afs20\alang1025 \ltrch\fcs0 \fs24\lang2057\langfe2057\cgrid\langnp2057\langfenp2057 {\rtlch\fcs1 \af0 _x000d__x000a_\ltrch\fcs0 \insrsid10035709 \chftnsep _x000d__x000a_\par }}{\*\aftnsepc \ltrpar \pard\plain \ltrpar\ql \li0\ri0\widctlpar\wrapdefault\aspalpha\aspnum\faauto\adjustright\rin0\lin0\itap0 \rtlch\fcs1 \af0\afs20\alang1025 \ltrch\fcs0 \fs24\lang2057\langfe2057\cgrid\langnp2057\langfenp2057 {\rtlch\fcs1 \af0 _x000d__x000a_\ltrch\fcs0 \insrsid1003570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2243446 \rtlch\fcs1 _x000d__x000a_\af0\afs20\alang1025 \ltrch\fcs0 \b\fs24\lang2057\langfe2057\cgrid\langnp2057\langfenp2057 {\rtlch\fcs1 \af0 \ltrch\fcs0 \cs17\b0\v\fs20\cf9\loch\af1\hich\af1\dbch\af31501\insrsid2243446\charrsid2957979 {\*\bkmkstart restartA}_x000d__x000a_\hich\af1\dbch\af31501\loch\f1 &lt;AmendA&gt;}{\rtlch\fcs1 \af0 \ltrch\fcs0 \insrsid2243446\charrsid2957979 Amendment\tab \tab }{\rtlch\fcs1 \af0 \ltrch\fcs0 \cs17\b0\v\fs20\cf9\loch\af1\hich\af1\dbch\af31501\insrsid2243446\charrsid2957979 _x000d__x000a_\hich\af1\dbch\af31501\loch\f1 &lt;NumAmA&gt;}{\rtlch\fcs1 \af0 \ltrch\fcs0 \insrsid2243446\charrsid2957979 #}{\rtlch\fcs1 \af1 \ltrch\fcs0 \cs18\v\f1\fs20\cf15\insrsid2243446\charrsid2957979 ENMIENDA@NRAM@}{\rtlch\fcs1 \af0 \ltrch\fcs0 _x000d__x000a_\insrsid2243446\charrsid2957979 #}{\rtlch\fcs1 \af0 \ltrch\fcs0 \cs17\b0\v\fs20\cf9\loch\af1\hich\af1\dbch\af31501\insrsid2243446\charrsid2957979 \hich\af1\dbch\af31501\loch\f1 &lt;/NumAmA&gt;}{\rtlch\fcs1 \af0 \ltrch\fcs0 \insrsid2243446\charrsid2957979 _x000d__x000a__x000d__x000a_\par }\pard\plain \ltrpar\s20\ql \li0\ri0\nowidctlpar\wrapdefault\aspalpha\aspnum\faauto\adjustright\rin0\lin0\itap0\pararsid2243446 \rtlch\fcs1 \af0\afs20\alang1025 \ltrch\fcs0 \b\fs24\lang2057\langfe2057\cgrid\langnp2057\langfenp2057 {\rtlch\fcs1 \af0 _x000d__x000a_\ltrch\fcs0 \cs17\b0\v\fs20\cf9\loch\af1\hich\af1\dbch\af31501\insrsid2243446\charrsid2957979 \hich\af1\dbch\af31501\loch\f1 &lt;RepeatBlock-By&gt;}{\rtlch\fcs1 \af0 \ltrch\fcs0 \insrsid2243446\charrsid2957979 #}{\rtlch\fcs1 \af1 \ltrch\fcs0 _x000d__x000a_\cs18\v\f1\fs20\cf15\insrsid2243446\charrsid2957979 (MOD@InsideLoop()}{\rtlch\fcs1 \af0 \ltrch\fcs0 \insrsid2243446\charrsid2957979 ##}{\rtlch\fcs1 \af1 \ltrch\fcs0 \cs18\v\f1\fs20\cf15\insrsid2243446\charrsid2957979 &gt;&gt;&gt;@[ZMEMBERSMSG]@}{\rtlch\fcs1 \af0 _x000d__x000a_\ltrch\fcs0 \insrsid2243446\charrsid2957979 #}{\rtlch\fcs1 \af0 \ltrch\fcs0 \cs17\b0\v\fs20\cf9\loch\af1\hich\af1\dbch\af31501\insrsid2243446\charrsid2957979 \hich\af1\dbch\af31501\loch\f1 &lt;Members&gt;}{\rtlch\fcs1 \af0 \ltrch\fcs0 _x000d__x000a_\insrsid2243446\charrsid2957979 #}{\rtlch\fcs1 \af1 \ltrch\fcs0 \cs18\v\f1\fs20\cf15\insrsid2243446\charrsid2957979 (MOD@InsideLoop(\'a7)}{\rtlch\fcs1 \af0 \ltrch\fcs0 \insrsid2243446\charrsid2957979 #}{\rtlch\fcs1 \af0 \ltrch\fcs0 _x000d__x000a_\cf10\insrsid2243446\charrsid2957979 \u9668\'3f}{\rtlch\fcs1 \af0 \ltrch\fcs0 \insrsid2243446\charrsid2957979 #}{\rtlch\fcs1 \af1 \ltrch\fcs0 \cs18\v\f1\fs20\cf15\insrsid2243446\charrsid2957979 TVTMEMBERS\'a7@MEMBERS@}{\rtlch\fcs1 \af0 \ltrch\fcs0 _x000d__x000a_\insrsid2243446\charrsid2957979 #}{\rtlch\fcs1 \af0 \ltrch\fcs0 \cf10\insrsid2243446\charrsid2957979 \u9658\'3f}{\rtlch\fcs1 \af0 \ltrch\fcs0 \cs17\b0\v\fs20\cf9\loch\af1\hich\af1\dbch\af31501\insrsid2243446\charrsid2957979 \hich\af1\dbch\af31501\loch\f1 _x000d__x000a_&lt;/Members&gt;}{\rtlch\fcs1 \af0 \ltrch\fcs0 \insrsid2243446\charrsid2957979 _x000d__x000a_\par }\pard\plain \ltrpar\ql \li0\ri0\widctlpar\wrapdefault\aspalpha\aspnum\faauto\adjustright\rin0\lin0\itap0\pararsid2243446 \rtlch\fcs1 \af0\afs20\alang1025 \ltrch\fcs0 \fs24\lang2057\langfe2057\cgrid\langnp2057\langfenp2057 {\rtlch\fcs1 \af0 \ltrch\fcs0 _x000d__x000a_\cs17\v\fs20\cf9\loch\af1\hich\af1\dbch\af31501\insrsid2243446\charrsid2957979 \hich\af1\dbch\af31501\loch\f1 &lt;AuNomDe&gt;&lt;OptDel&gt;}{\rtlch\fcs1 \af0 \ltrch\fcs0 \insrsid2243446\charrsid2957979 #}{\rtlch\fcs1 \af1 \ltrch\fcs0 _x000d__x000a_\cs18\v\f1\fs20\cf15\insrsid2243446\charrsid2957979 MNU[ONBEHALFYES][NOTAPP]@CHOICE@}{\rtlch\fcs1 \af0 \ltrch\fcs0 \insrsid2243446\charrsid2957979 #}{\rtlch\fcs1 \af0 \ltrch\fcs0 _x000d__x000a_\cs17\v\fs20\cf9\loch\af1\hich\af1\dbch\af31501\insrsid2243446\charrsid2957979 \hich\af1\dbch\af31501\loch\f1 &lt;/OptDel&gt;&lt;/AuNomDe&gt;}{\rtlch\fcs1 \af0 \ltrch\fcs0 \insrsid2243446\charrsid2957979 _x000d__x000a_\par &lt;&lt;&lt;}{\rtlch\fcs1 \af0 \ltrch\fcs0 \cs17\v\fs20\cf9\loch\af1\hich\af1\dbch\af31501\insrsid2243446\charrsid2957979 \hich\af1\dbch\af31501\loch\f1 &lt;/RepeatBlock-By&gt;}{\rtlch\fcs1 \af0 \ltrch\fcs0 \insrsid2243446\charrsid2957979 _x000d__x000a_\par }\pard\plain \ltrpar\s20\ql \li0\ri0\nowidctlpar\wrapdefault\aspalpha\aspnum\faauto\adjustright\rin0\lin0\itap0\pararsid2243446 \rtlch\fcs1 \af0\afs20\alang1025 \ltrch\fcs0 \b\fs24\lang2057\langfe2057\cgrid\langnp2057\langfenp2057 {\rtlch\fcs1 \af0 _x000d__x000a_\ltrch\fcs0 \cs17\b0\v\fs20\cf9\loch\af1\hich\af1\dbch\af31501\insrsid2243446\charrsid2957979 \hich\af1\dbch\af31501\loch\f1 &lt;DocAmend&gt;}{\rtlch\fcs1 \af0 \ltrch\fcs0 \insrsid2243446\charrsid2957979 Draft legislative resolution}{\rtlch\fcs1 \af0 _x000d__x000a_\ltrch\fcs0 \cs17\b0\v\fs20\cf9\loch\af1\hich\af1\dbch\af31501\insrsid2243446\charrsid2957979 \hich\af1\dbch\af31501\loch\f1 &lt;/DocAmend&gt;}{\rtlch\fcs1 \af0 \ltrch\fcs0 \insrsid2243446\charrsid2957979 _x000d__x000a_\par }{\rtlch\fcs1 \af0 \ltrch\fcs0 \cs17\b0\v\fs20\cf9\loch\af1\hich\af1\dbch\af31501\insrsid2243446\charrsid2957979 \hich\af1\dbch\af31501\loch\f1 &lt;Article&gt;}{\rtlch\fcs1 \af0 \ltrch\fcs0 \cf10\insrsid2243446\charrsid2957979 \u9668\'3f}{\rtlch\fcs1 \af0 _x000d__x000a_\ltrch\fcs0 \insrsid2243446\charrsid2957979 #}{\rtlch\fcs1 \af1 \ltrch\fcs0 \cs18\v\f1\fs20\cf15\insrsid2243446\charrsid2957979 TVTRESPART@RESPART@}{\rtlch\fcs1 \af0 \ltrch\fcs0 \insrsid2243446\charrsid2957979 #}{\rtlch\fcs1 \af0 \ltrch\fcs0 _x000d__x000a_\cf10\insrsid2243446\charrsid2957979 \u9658\'3f}{\rtlch\fcs1 \af0 \ltrch\fcs0 \cs17\b0\v\fs20\cf9\loch\af1\hich\af1\dbch\af31501\insrsid2243446\charrsid2957979 \hich\af1\dbch\af31501\loch\f1 &lt;/Article&gt;}{\rtlch\fcs1 \af0 \ltrch\fcs0 _x000d__x000a_\insrsid2243446\charrsid2957979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2243446\charrsid2957979 \cell }\pard\plain \ltrpar\ql \li0\ri0\widctlpar\intbl\wrapdefault\aspalpha\aspnum\faauto\adjustright\rin0\lin0 \rtlch\fcs1 _x000d__x000a_\af0\afs20\alang1025 \ltrch\fcs0 \fs24\lang2057\langfe2057\cgrid\langnp2057\langfenp2057 {\rtlch\fcs1 \af0 \ltrch\fcs0 \insrsid2243446\charrsid2957979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2243446\charrsid2957979 Draft legislative resolution\cell Amendment\cell }\pard\plain \ltrpar\ql \li0\ri0\widctlpar\intbl\wrapdefault\aspalpha\aspnum\faauto\adjustright\rin0\lin0 \rtlch\fcs1 \af0\afs20\alang1025 _x000d__x000a_\ltrch\fcs0 \fs24\lang2057\langfe2057\cgrid\langnp2057\langfenp2057 {\rtlch\fcs1 \af0 \ltrch\fcs0 \insrsid2243446\charrsid2957979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2243446\charrsid2957979 ##\cell ##}{\rtlch\fcs1 \af0\afs24 \ltrch\fcs0 \insrsid2243446\charrsid2957979 \cell }\pard\plain \ltrpar\ql \li0\ri0\widctlpar\intbl\wrapdefault\aspalpha\aspnum\faauto\adjustright\rin0\lin0 \rtlch\fcs1 _x000d__x000a_\af0\afs20\alang1025 \ltrch\fcs0 \fs24\lang2057\langfe2057\cgrid\langnp2057\langfenp2057 {\rtlch\fcs1 \af0 \ltrch\fcs0 \insrsid2243446\charrsid2957979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2243446 \rtlch\fcs1 \af0\afs20\alang1025 \ltrch\fcs0 \fs24\lang2057\langfe2057\cgrid\langnp2057\langfenp2057 {\rtlch\fcs1 \af0 \ltrch\fcs0 _x000d__x000a_\insrsid2243446\charrsid2957979 Or. }{\rtlch\fcs1 \af0 \ltrch\fcs0 \cs17\v\fs20\cf9\loch\af1\hich\af1\dbch\af31501\insrsid2243446\charrsid2957979 \hich\af1\dbch\af31501\loch\f1 &lt;Original&gt;}{\rtlch\fcs1 \af0 \ltrch\fcs0 \insrsid2243446\charrsid2957979 #}{_x000d__x000a_\rtlch\fcs1 \af1 \ltrch\fcs0 \cs18\v\f1\fs20\cf15\insrsid2243446\charrsid2957979 KEY(MAIN/LANGMIN)sh@ORLANGMSG@}{\rtlch\fcs1 \af0 \ltrch\fcs0 \insrsid2243446\charrsid2957979 #}{\rtlch\fcs1 \af0 \ltrch\fcs0 _x000d__x000a_\cs17\v\fs20\cf9\loch\af1\hich\af1\dbch\af31501\insrsid2243446\charrsid2957979 \hich\af1\dbch\af31501\loch\f1 &lt;/Original&gt;}{\rtlch\fcs1 \af0 \ltrch\fcs0 \insrsid2243446\charrsid2957979 _x000d__x000a_\par }\pard\plain \ltrpar\ql \li0\ri0\widctlpar\wrapdefault\aspalpha\aspnum\faauto\adjustright\rin0\lin0\itap0\pararsid2243446 \rtlch\fcs1 \af0\afs20\alang1025 \ltrch\fcs0 \fs24\lang2057\langfe2057\cgrid\langnp2057\langfenp2057 {\rtlch\fcs1 \af0 \ltrch\fcs0 _x000d__x000a_\cs17\v\fs20\cf9\loch\af1\hich\af1\dbch\af31501\insrsid2243446\charrsid2957979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1c_x000d__x000a_4e6bb0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1\fbidi \froman\fcharset238\fprq2 Times New Roman CE;}{\f292\fbidi \froman\fcharset204\fprq2 Times New Roman Cyr;}_x000d__x000a_{\f294\fbidi \froman\fcharset161\fprq2 Times New Roman Greek;}{\f295\fbidi \froman\fcharset162\fprq2 Times New Roman Tur;}{\f296\fbidi \froman\fcharset177\fprq2 Times New Roman (Hebrew);}{\f297\fbidi \froman\fcharset178\fprq2 Times New Roman (Arabic);}_x000d__x000a_{\f298\fbidi \froman\fcharset186\fprq2 Times New Roman Baltic;}{\f299\fbidi \froman\fcharset163\fprq2 Times New Roman (Vietnamese);}{\f301\fbidi \fswiss\fcharset238\fprq2 Arial CE;}{\f302\fbidi \fswiss\fcharset204\fprq2 Arial Cyr;}_x000d__x000a_{\f304\fbidi \fswiss\fcharset161\fprq2 Arial Greek;}{\f305\fbidi \fswiss\fcharset162\fprq2 Arial Tur;}{\f306\fbidi \fswiss\fcharset177\fprq2 Arial (Hebrew);}{\f307\fbidi \fswiss\fcharset178\fprq2 Arial (Arabic);}_x000d__x000a_{\f308\fbidi \fswiss\fcharset186\fprq2 Arial Baltic;}{\f309\fbidi \fswiss\fcharset163\fprq2 Arial (Vietnamese);}{\f631\fbidi \froman\fcharset238\fprq2 Cambria Math CE;}{\f632\fbidi \froman\fcharset204\fprq2 Cambria Math Cyr;}_x000d__x000a_{\f634\fbidi \froman\fcharset161\fprq2 Cambria Math Greek;}{\f635\fbidi \froman\fcharset162\fprq2 Cambria Math Tur;}{\f638\fbidi \froman\fcharset186\fprq2 Cambria Math Baltic;}{\f63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784077 HideTWBExt;}{\*\cs18 \additive \v\f1\fs20\cf15 _x000d__x000a_\spriority0 \styrsid13784077 HideTWBInt;}{\s19\ql \li0\ri0\sa120\nowidctlpar\wrapdefault\aspalpha\aspnum\faauto\adjustright\rin0\lin0\itap0 \rtlch\fcs1 \af0\afs20\alang1025 \ltrch\fcs0 \fs24\lang2057\langfe2057\cgrid\langnp2057\langfenp2057 _x000d__x000a_\sbasedon0 \snext19 \spriority0 \styrsid13784077 Normal6a;}{\s20\ql \li0\ri0\nowidctlpar\wrapdefault\aspalpha\aspnum\faauto\adjustright\rin0\lin0\itap0 \rtlch\fcs1 \af0\afs20\alang1025 \ltrch\fcs0 \b\fs24\lang2057\langfe2057\cgrid\langnp2057\langfenp2057 _x000d__x000a_\sbasedon0 \snext20 \spriority0 \styrsid13784077 NormalBold;}{\s21\ql \li0\ri0\sa240\nowidctlpar\wrapdefault\aspalpha\aspnum\faauto\adjustright\rin0\lin0\itap0 \rtlch\fcs1 \af0\afs20\alang1025 \ltrch\fcs0 _x000d__x000a_\i\fs24\lang2057\langfe2057\cgrid\langnp2057\langfenp2057 \sbasedon0 \snext21 \spriority0 \styrsid13784077 AmJustText;}{\s22\qc \li0\ri0\sb240\sa240\nowidctlpar\wrapdefault\aspalpha\aspnum\faauto\adjustright\rin0\lin0\itap0 \rtlch\fcs1 _x000d__x000a_\af0\afs20\alang1025 \ltrch\fcs0 \i\fs24\lang2057\langfe2057\cgrid\langnp2057\langfenp2057 \sbasedon0 \snext22 \spriority0 \styrsid13784077 AmCrossRef;}{_x000d__x000a_\s23\qc \li0\ri0\sb240\sa240\keepn\nowidctlpar\wrapdefault\aspalpha\aspnum\faauto\adjustright\rin0\lin0\itap0 \rtlch\fcs1 \af0\afs20\alang1025 \ltrch\fcs0 \i\fs24\lang2057\langfe2057\cgrid\langnp2057\langfenp2057 _x000d__x000a_\sbasedon0 \snext21 \spriority0 \styrsid13784077 AmJustTitle;}{\s24\qr \li0\ri0\sb240\sa240\nowidctlpar\wrapdefault\aspalpha\aspnum\faauto\adjustright\rin0\lin0\itap0 \rtlch\fcs1 \af0\afs20\alang1025 \ltrch\fcs0 _x000d__x000a_\fs24\lang2057\langfe2057\cgrid\langnp2057\langfenp2057 \sbasedon0 \snext24 \spriority0 \styrsid13784077 AmOrLang;}{\s25\qc \li0\ri0\sa240\nowidctlpar\wrapdefault\aspalpha\aspnum\faauto\adjustright\rin0\lin0\itap0 \rtlch\fcs1 \af0\afs20\alang1025 _x000d__x000a_\ltrch\fcs0 \i\fs24\lang2057\langfe2057\cgrid\langnp2057\langfenp2057 \sbasedon0 \snext25 \spriority0 \styrsid13784077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3784077 AmNumberTabs;}}{\*\rsidtbl \rsid24658\rsid223860\rsid735077\rsid1718133\rsid2892074\rsid3565327\rsid4666813\rsid6641733\rsid7605314_x000d__x000a_\rsid7823322\rsid9636012\rsid10377208\rsid11215221\rsid11549030\rsid12154954\rsid13784077\rsid14382809\rsid14424199\rsid15204470\rsid15285974\rsid15950462\rsid16324206\rsid16662270}{\mmathPr\mmathFont34\mbrkBin0\mbrkBinSub0\msmallFrac0\mdispDef1\mlMargin0_x000d__x000a_\mrMargin0\mdefJc1\mwrapIndent1440\mintLim0\mnaryLim1}{\info{\author CONIAC Cristina Elena}{\operator CONIAC Cristina Elena}{\creatim\yr2020\mo12\dy7\hr16\min48}{\revtim\yr2020\mo12\dy7\hr16\min48}{\version1}{\edmins0}{\nofpages1}{\nofwords131}_x000d__x000a_{\nofchars748}{\nofcharsws878}{\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3784077\newtblstyruls\nogrowautofit\usenormstyforlist\noindnmbrts\felnbrelev\nocxsptable\indrlsweleven\noafcnsttbl\afelev\utinl\hwelev\spltpgpar\notcvasp\notbrkcnstfrctbl\notvatxbx\krnprsnet\cachedcolbal _x000d__x000a_\nouicompat \fet0{\*\wgrffmtfilter 013f}\nofeaturethrottle1\ilfomacatclnup0{\*\template C:\\Users\\CCRIST~1\\AppData\\Local\\Temp\\Blank1.dotx}{\*\ftnsep \ltrpar \pard\plain \ltrpar_x000d__x000a_\ql \li0\ri0\widctlpar\wrapdefault\aspalpha\aspnum\faauto\adjustright\rin0\lin0\itap0 \rtlch\fcs1 \af0\afs20\alang1025 \ltrch\fcs0 \fs24\lang2057\langfe2057\cgrid\langnp2057\langfenp2057 {\rtlch\fcs1 \af0 \ltrch\fcs0 \insrsid7605314 \chftnsep _x000d__x000a_\par }}{\*\ftnsepc \ltrpar \pard\plain \ltrpar\ql \li0\ri0\widctlpar\wrapdefault\aspalpha\aspnum\faauto\adjustright\rin0\lin0\itap0 \rtlch\fcs1 \af0\afs20\alang1025 \ltrch\fcs0 \fs24\lang2057\langfe2057\cgrid\langnp2057\langfenp2057 {\rtlch\fcs1 \af0 _x000d__x000a_\ltrch\fcs0 \insrsid7605314 \chftnsepc _x000d__x000a_\par }}{\*\aftnsep \ltrpar \pard\plain \ltrpar\ql \li0\ri0\widctlpar\wrapdefault\aspalpha\aspnum\faauto\adjustright\rin0\lin0\itap0 \rtlch\fcs1 \af0\afs20\alang1025 \ltrch\fcs0 \fs24\lang2057\langfe2057\cgrid\langnp2057\langfenp2057 {\rtlch\fcs1 \af0 _x000d__x000a_\ltrch\fcs0 \insrsid7605314 \chftnsep _x000d__x000a_\par }}{\*\aftnsepc \ltrpar \pard\plain \ltrpar\ql \li0\ri0\widctlpar\wrapdefault\aspalpha\aspnum\faauto\adjustright\rin0\lin0\itap0 \rtlch\fcs1 \af0\afs20\alang1025 \ltrch\fcs0 \fs24\lang2057\langfe2057\cgrid\langnp2057\langfenp2057 {\rtlch\fcs1 \af0 _x000d__x000a_\ltrch\fcs0 \insrsid760531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3784077 \rtlch\fcs1 _x000d__x000a_\af0\afs20\alang1025 \ltrch\fcs0 \b\fs24\lang2057\langfe2057\cgrid\langnp2057\langfenp2057 {\rtlch\fcs1 \af0 \ltrch\fcs0 \cs17\b0\v\fs20\cf9\loch\af1\hich\af1\dbch\af31501\insrsid13784077\charrsid2957979 {\*\bkmkstart restartB}_x000d__x000a_\hich\af1\dbch\af31501\loch\f1 &lt;AmendB&gt;}{\rtlch\fcs1 \af0 \ltrch\fcs0 \insrsid13784077\charrsid2957979 Amendment\tab \tab }{\rtlch\fcs1 \af0 \ltrch\fcs0 \cs17\b0\v\fs20\cf9\loch\af1\hich\af1\dbch\af31501\insrsid13784077\charrsid2957979 _x000d__x000a_\hich\af1\dbch\af31501\loch\f1 &lt;NumAmB&gt;}{\rtlch\fcs1 \af0 \ltrch\fcs0 \insrsid13784077\charrsid2957979 #}{\rtlch\fcs1 \af1 \ltrch\fcs0 \cs18\v\f1\fs20\cf15\insrsid13784077\charrsid2957979 ENMIENDA@NRAM@}{\rtlch\fcs1 \af0 \ltrch\fcs0 _x000d__x000a_\insrsid13784077\charrsid2957979 #}{\rtlch\fcs1 \af0 \ltrch\fcs0 \cs17\b0\v\fs20\cf9\loch\af1\hich\af1\dbch\af31501\insrsid13784077\charrsid2957979 \hich\af1\dbch\af31501\loch\f1 &lt;/NumAmB&gt;}{\rtlch\fcs1 \af0 \ltrch\fcs0 \insrsid13784077\charrsid2957979 _x000d__x000a__x000d__x000a_\par }\pard\plain \ltrpar\s20\ql \li0\ri0\nowidctlpar\wrapdefault\aspalpha\aspnum\faauto\adjustright\rin0\lin0\itap0\pararsid13784077 \rtlch\fcs1 \af0\afs20\alang1025 \ltrch\fcs0 \b\fs24\lang2057\langfe2057\cgrid\langnp2057\langfenp2057 {\rtlch\fcs1 \af0 _x000d__x000a_\ltrch\fcs0 \cs17\b0\v\fs20\cf9\loch\af1\hich\af1\dbch\af31501\insrsid13784077\charrsid2957979 \hich\af1\dbch\af31501\loch\f1 &lt;RepeatBlock-By&gt;}{\rtlch\fcs1 \af0 \ltrch\fcs0 \insrsid13784077\charrsid2957979 #}{\rtlch\fcs1 \af1 \ltrch\fcs0 _x000d__x000a_\cs18\v\f1\fs20\cf15\insrsid13784077\charrsid2957979 (MOD@InsideLoop()}{\rtlch\fcs1 \af0 \ltrch\fcs0 \insrsid13784077\charrsid2957979 ##}{\rtlch\fcs1 \af1 \ltrch\fcs0 \cs18\v\f1\fs20\cf15\insrsid13784077\charrsid2957979 &gt;&gt;&gt;@[ZMEMBERSMSG]@}{\rtlch\fcs1 _x000d__x000a_\af0 \ltrch\fcs0 \insrsid13784077\charrsid2957979 #}{\rtlch\fcs1 \af0 \ltrch\fcs0 \cs17\b0\v\fs20\cf9\loch\af1\hich\af1\dbch\af31501\insrsid13784077\charrsid2957979 \hich\af1\dbch\af31501\loch\f1 &lt;Members&gt;}{\rtlch\fcs1 \af0 \ltrch\fcs0 _x000d__x000a_\insrsid13784077\charrsid2957979 #}{\rtlch\fcs1 \af1 \ltrch\fcs0 \cs18\v\f1\fs20\cf15\insrsid13784077\charrsid2957979 (MOD@InsideLoop(\'a7)}{\rtlch\fcs1 \af0 \ltrch\fcs0 \insrsid13784077\charrsid2957979 #}{\rtlch\fcs1 \af0 \ltrch\fcs0 _x000d__x000a_\cf10\insrsid13784077\charrsid2957979 \u9668\'3f}{\rtlch\fcs1 \af0 \ltrch\fcs0 \insrsid13784077\charrsid2957979 #}{\rtlch\fcs1 \af1 \ltrch\fcs0 \cs18\v\f1\fs20\cf15\insrsid13784077\charrsid2957979 TVTMEMBERS\'a7@MEMBERS@}{\rtlch\fcs1 \af0 \ltrch\fcs0 _x000d__x000a_\insrsid13784077\charrsid2957979 #}{\rtlch\fcs1 \af0 \ltrch\fcs0 \cf10\insrsid13784077\charrsid2957979 \u9658\'3f}{\rtlch\fcs1 \af0 \ltrch\fcs0 \cs17\b0\v\fs20\cf9\loch\af1\hich\af1\dbch\af31501\insrsid13784077\charrsid2957979 _x000d__x000a_\hich\af1\dbch\af31501\loch\f1 &lt;/Members&gt;}{\rtlch\fcs1 \af0 \ltrch\fcs0 \insrsid13784077\charrsid2957979 _x000d__x000a_\par }\pard\plain \ltrpar\ql \li0\ri0\widctlpar\wrapdefault\aspalpha\aspnum\faauto\adjustright\rin0\lin0\itap0\pararsid13784077 \rtlch\fcs1 \af0\afs20\alang1025 \ltrch\fcs0 \fs24\lang2057\langfe2057\cgrid\langnp2057\langfenp2057 {\rtlch\fcs1 \af0 \ltrch\fcs0 _x000d__x000a_\cs17\v\fs20\cf9\loch\af1\hich\af1\dbch\af31501\insrsid13784077\charrsid2957979 \hich\af1\dbch\af31501\loch\f1 &lt;AuNomDe&gt;&lt;OptDel&gt;}{\rtlch\fcs1 \af0 \ltrch\fcs0 \insrsid13784077\charrsid2957979 #}{\rtlch\fcs1 \af1 \ltrch\fcs0 _x000d__x000a_\cs18\v\f1\fs20\cf15\insrsid13784077\charrsid2957979 MNU[ONBEHALFYES][NOTAPP]@CHOICE@}{\rtlch\fcs1 \af0 \ltrch\fcs0 \insrsid13784077\charrsid2957979 #}{\rtlch\fcs1 \af0 \ltrch\fcs0 _x000d__x000a_\cs17\v\fs20\cf9\loch\af1\hich\af1\dbch\af31501\insrsid13784077\charrsid2957979 \hich\af1\dbch\af31501\loch\f1 &lt;/OptDel&gt;&lt;/AuNomDe&gt;}{\rtlch\fcs1 \af0 \ltrch\fcs0 \insrsid13784077\charrsid2957979 _x000d__x000a_\par &lt;&lt;&lt;}{\rtlch\fcs1 \af0 \ltrch\fcs0 \cs17\v\fs20\cf9\loch\af1\hich\af1\dbch\af31501\insrsid13784077\charrsid2957979 \hich\af1\dbch\af31501\loch\f1 &lt;/RepeatBlock-By&gt;}{\rtlch\fcs1 \af0 \ltrch\fcs0 \insrsid13784077\charrsid2957979 _x000d__x000a_\par }\pard\plain \ltrpar\s20\ql \li0\ri0\nowidctlpar\wrapdefault\aspalpha\aspnum\faauto\adjustright\rin0\lin0\itap0\pararsid13784077 \rtlch\fcs1 \af0\afs20\alang1025 \ltrch\fcs0 \b\fs24\lang2057\langfe2057\cgrid\langnp2057\langfenp2057 {\rtlch\fcs1 \af0 _x000d__x000a_\ltrch\fcs0 \cs17\b0\v\fs20\cf9\loch\af1\hich\af1\dbch\af31501\insrsid13784077\charrsid2957979 \hich\af1\dbch\af31501\loch\f1 &lt;DocAmend&gt;}{\rtlch\fcs1 \af0 \ltrch\fcs0 \insrsid13784077\charrsid2957979 #}{\rtlch\fcs1 \af1 \ltrch\fcs0 _x000d__x000a_\cs18\v\f1\fs20\cf15\insrsid13784077\charrsid2957979 MNU[OPTPROPOSALCOD][OPTPROPOSALCNS][OPTPROPOSALNLE]@CHOICE@CODEMNU}{\rtlch\fcs1 \af0 \ltrch\fcs0 \insrsid13784077\charrsid2957979 #}{\rtlch\fcs1 \af0 \ltrch\fcs0 _x000d__x000a_\cs17\b0\v\fs20\cf9\loch\af1\hich\af1\dbch\af31501\insrsid13784077\charrsid2957979 \hich\af1\dbch\af31501\loch\f1 &lt;/DocAmend&gt;}{\rtlch\fcs1 \af0 \ltrch\fcs0 \insrsid13784077\charrsid2957979 _x000d__x000a_\par }\pard \ltrpar\s20\ql \li0\ri0\keepn\nowidctlpar\wrapdefault\aspalpha\aspnum\faauto\adjustright\rin0\lin0\itap0\pararsid13784077 {\rtlch\fcs1 \af0 \ltrch\fcs0 \cs17\b0\v\fs20\cf9\loch\af1\hich\af1\dbch\af31501\insrsid13784077\charrsid2957979 _x000d__x000a_\hich\af1\dbch\af31501\loch\f1 &lt;Article&gt;}{\rtlch\fcs1 \af0 \ltrch\fcs0 \insrsid13784077\charrsid2957979 #}{\rtlch\fcs1 \af1 \ltrch\fcs0 \cs18\v\f1\fs20\cf15\insrsid13784077\charrsid2957979 MNU[AMACTPARTYES][AMACTPARTNO]@CHOICE@AMACTMNU}{\rtlch\fcs1 \af0 _x000d__x000a_\ltrch\fcs0 \insrsid13784077\charrsid2957979 #}{\rtlch\fcs1 \af0 \ltrch\fcs0 \cs17\b0\v\fs20\cf9\loch\af1\hich\af1\dbch\af31501\insrsid13784077\charrsid2957979 \hich\af1\dbch\af31501\loch\f1 &lt;/Article&gt;}{\rtlch\fcs1 \af0 \ltrch\fcs0 _x000d__x000a_\insrsid13784077\charrsid2957979 _x000d__x000a_\par }\pard\plain \ltrpar\ql \li0\ri0\keepn\widctlpar\wrapdefault\aspalpha\aspnum\faauto\adjustright\rin0\lin0\itap0\pararsid13784077 \rtlch\fcs1 \af0\afs20\alang1025 \ltrch\fcs0 \fs24\lang2057\langfe2057\cgrid\langnp2057\langfenp2057 {\rtlch\fcs1 \af0 _x000d__x000a_\ltrch\fcs0 \cs17\v\fs20\cf9\loch\af1\hich\af1\dbch\af31501\insrsid13784077\charrsid2957979 \hich\af1\dbch\af31501\loch\f1 &lt;DocAmend2&gt;&lt;OptDel&gt;}{\rtlch\fcs1 \af0 \ltrch\fcs0 \insrsid13784077\charrsid2957979 #}{\rtlch\fcs1 \af1 \ltrch\fcs0 _x000d__x000a_\cs18\v\f1\fs20\cf15\insrsid13784077\charrsid2957979 MNU[OPTNRACTYES][NOTAPP]@CHOICE@AMACTMNU}{\rtlch\fcs1 \af0 \ltrch\fcs0 \insrsid13784077\charrsid2957979 #}{\rtlch\fcs1 \af0 \ltrch\fcs0 _x000d__x000a_\cs17\v\fs20\cf9\loch\af1\hich\af1\dbch\af31501\insrsid13784077\charrsid2957979 \hich\af1\dbch\af31501\loch\f1 &lt;/OptDel&gt;&lt;/DocAmend2&gt;}{\rtlch\fcs1 \af0 \ltrch\fcs0 \insrsid13784077\charrsid2957979 _x000d__x000a_\par }\pard \ltrpar\ql \li0\ri0\widctlpar\wrapdefault\aspalpha\aspnum\faauto\adjustright\rin0\lin0\itap0\pararsid13784077 {\rtlch\fcs1 \af0 \ltrch\fcs0 \cs17\v\fs20\cf9\loch\af1\hich\af1\dbch\af31501\insrsid13784077\charrsid2957979 _x000d__x000a_\hich\af1\dbch\af31501\loch\f1 &lt;Article2&gt;&lt;OptDel&gt;}{\rtlch\fcs1 \af0 \ltrch\fcs0 \insrsid13784077\charrsid2957979 #}{\rtlch\fcs1 \af1 \ltrch\fcs0 \cs18\v\f1\fs20\cf15\insrsid13784077\charrsid2957979 MNU[OPTACTPARTYES][NOTAPP]@CHOICE@AMACTMNU}{\rtlch\fcs1 _x000d__x000a_\af0 \ltrch\fcs0 \insrsid13784077\charrsid2957979 #}{\rtlch\fcs1 \af0 \ltrch\fcs0 \cs17\v\fs20\cf9\loch\af1\hich\af1\dbch\af31501\insrsid13784077\charrsid2957979 \hich\af1\dbch\af31501\loch\f1 &lt;/OptDel&gt;&lt;/Article2&gt;}{\rtlch\fcs1 \af0 \ltrch\fcs0 _x000d__x000a_\insrsid13784077\charrsid2957979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3784077\charrsid2957979 \cell }\pard\plain \ltrpar\ql \li0\ri0\widctlpar\intbl\wrapdefault\aspalpha\aspnum\faauto\adjustright\rin0\lin0 \rtlch\fcs1 _x000d__x000a_\af0\afs20\alang1025 \ltrch\fcs0 \fs24\lang2057\langfe2057\cgrid\langnp2057\langfenp2057 {\rtlch\fcs1 \af0 \ltrch\fcs0 \insrsid13784077\charrsid2957979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13784077\charrsid2957979 #}{\rtlch\fcs1 \af1 \ltrch\fcs0 \cs18\v\f1\fs20\cf15\insrsid13784077\charrsid2957979 MNU[OPTLEFTAMACT][LEFTPROP]@CHOICE@AMACTMNU}{_x000d__x000a_\rtlch\fcs1 \af0 \ltrch\fcs0 \insrsid13784077\charrsid2957979 #\cell Amendment\cell }\pard\plain \ltrpar\ql \li0\ri0\widctlpar\intbl\wrapdefault\aspalpha\aspnum\faauto\adjustright\rin0\lin0 \rtlch\fcs1 \af0\afs20\alang1025 \ltrch\fcs0 _x000d__x000a_\fs24\lang2057\langfe2057\cgrid\langnp2057\langfenp2057 {\rtlch\fcs1 \af0 \ltrch\fcs0 \insrsid13784077\charrsid2957979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3784077\charrsid2957979 ##\cell ##}{\rtlch\fcs1 \af0\afs24 \ltrch\fcs0 \insrsid13784077\charrsid2957979 \cell }\pard\plain \ltrpar\ql \li0\ri0\widctlpar\intbl\wrapdefault\aspalpha\aspnum\faauto\adjustright\rin0\lin0 \rtlch\fcs1 _x000d__x000a_\af0\afs20\alang1025 \ltrch\fcs0 \fs24\lang2057\langfe2057\cgrid\langnp2057\langfenp2057 {\rtlch\fcs1 \af0 \ltrch\fcs0 \insrsid13784077\charrsid2957979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3784077 \rtlch\fcs1 \af0\afs20\alang1025 \ltrch\fcs0 \fs24\lang2057\langfe2057\cgrid\langnp2057\langfenp2057 {\rtlch\fcs1 \af0 \ltrch\fcs0 _x000d__x000a_\insrsid13784077\charrsid2957979 Or. }{\rtlch\fcs1 \af0 \ltrch\fcs0 \cs17\v\fs20\cf9\loch\af1\hich\af1\dbch\af31501\insrsid13784077\charrsid2957979 \hich\af1\dbch\af31501\loch\f1 &lt;Original&gt;}{\rtlch\fcs1 \af0 \ltrch\fcs0 \insrsid13784077\charrsid2957979 #}_x000d__x000a_{\rtlch\fcs1 \af1 \ltrch\fcs0 \cs18\v\f1\fs20\cf15\insrsid13784077\charrsid2957979 KEY(MAIN/LANGMIN)sh@ORLANGMSG@}{\rtlch\fcs1 \af0 \ltrch\fcs0 \insrsid13784077\charrsid2957979 #}{\rtlch\fcs1 \af0 \ltrch\fcs0 _x000d__x000a_\cs17\v\fs20\cf9\loch\af1\hich\af1\dbch\af31501\insrsid13784077\charrsid2957979 \hich\af1\dbch\af31501\loch\f1 &lt;/Original&gt;}{\rtlch\fcs1 \af0 \ltrch\fcs0 \insrsid13784077\charrsid2957979 _x000d__x000a_\par }\pard\plain \ltrpar\s22\qc \li0\ri0\sb240\sa240\nowidctlpar\wrapdefault\aspalpha\aspnum\faauto\adjustright\rin0\lin0\itap0\pararsid13784077 \rtlch\fcs1 \af0\afs20\alang1025 \ltrch\fcs0 \i\fs24\lang2057\langfe2057\cgrid\langnp2057\langfenp2057 {_x000d__x000a_\rtlch\fcs1 \af0 \ltrch\fcs0 \cs17\i0\v\fs20\cf9\loch\af1\hich\af1\dbch\af31501\insrsid13784077\charrsid2957979 \hich\af1\dbch\af31501\loch\f1 &lt;OptDel&gt;}{\rtlch\fcs1 \af0 \ltrch\fcs0 \insrsid13784077\charrsid2957979 #}{\rtlch\fcs1 \af1 \ltrch\fcs0 _x000d__x000a_\cs18\v\f1\fs20\cf15\insrsid13784077\charrsid2957979 MNU[CROSSREFNO][CROSSREFYES]@CHOICE@}{\rtlch\fcs1 \af0 \ltrch\fcs0 \insrsid13784077\charrsid2957979 #}{\rtlch\fcs1 \af0 \ltrch\fcs0 _x000d__x000a_\cs17\i0\v\fs20\cf9\loch\af1\hich\af1\dbch\af31501\insrsid13784077\charrsid2957979 \hich\af1\dbch\af31501\loch\f1 &lt;/OptDel&gt;}{\rtlch\fcs1 \af0 \ltrch\fcs0 \insrsid13784077\charrsid2957979 _x000d__x000a_\par }\pard\plain \ltrpar\s23\qc \li0\ri0\sb240\sa240\keepn\nowidctlpar\wrapdefault\aspalpha\aspnum\faauto\adjustright\rin0\lin0\itap0\pararsid13784077 \rtlch\fcs1 \af0\afs20\alang1025 \ltrch\fcs0 \i\fs24\lang2057\langfe2057\cgrid\langnp2057\langfenp2057 {_x000d__x000a_\rtlch\fcs1 \af0 \ltrch\fcs0 \cs17\i0\v\fs20\cf9\loch\af1\hich\af1\dbch\af31501\insrsid13784077\charrsid2957979 \hich\af1\dbch\af31501\loch\f1 &lt;TitreJust&gt;}{\rtlch\fcs1 \af0 \ltrch\fcs0 \insrsid13784077\charrsid2957979 Justification}{\rtlch\fcs1 \af0 _x000d__x000a_\ltrch\fcs0 \cs17\i0\v\fs20\cf9\loch\af1\hich\af1\dbch\af31501\insrsid13784077\charrsid2957979 \hich\af1\dbch\af31501\loch\f1 &lt;/TitreJust&gt;}{\rtlch\fcs1 \af0 \ltrch\fcs0 \insrsid13784077\charrsid2957979 _x000d__x000a_\par }\pard\plain \ltrpar\s21\ql \li0\ri0\sa240\nowidctlpar\wrapdefault\aspalpha\aspnum\faauto\adjustright\rin0\lin0\itap0\pararsid13784077 \rtlch\fcs1 \af0\afs20\alang1025 \ltrch\fcs0 \i\fs24\lang2057\langfe2057\cgrid\langnp2057\langfenp2057 {\rtlch\fcs1 _x000d__x000a_\af0 \ltrch\fcs0 \cs17\i0\v\fs20\cf9\loch\af1\hich\af1\dbch\af31501\insrsid13784077\charrsid2957979 \hich\af1\dbch\af31501\loch\f1 &lt;OptDelPrev&gt;}{\rtlch\fcs1 \af0 \ltrch\fcs0 \insrsid13784077\charrsid2957979 #}{\rtlch\fcs1 \af1 \ltrch\fcs0 _x000d__x000a_\cs18\v\f1\fs20\cf15\insrsid13784077\charrsid2957979 MNU[TEXTJUSTYES][TEXTJUSTNO]@CHOICE@}{\rtlch\fcs1 \af0 \ltrch\fcs0 \insrsid13784077\charrsid2957979 #}{\rtlch\fcs1 \af0 \ltrch\fcs0 _x000d__x000a_\cs17\i0\v\fs20\cf9\loch\af1\hich\af1\dbch\af31501\insrsid13784077\charrsid2957979 \hich\af1\dbch\af31501\loch\f1 &lt;/OptDelPrev&gt;}{\rtlch\fcs1 \af0 \ltrch\fcs0 \insrsid13784077\charrsid2957979 _x000d__x000a_\par }\pard\plain \ltrpar\ql \li0\ri0\widctlpar\wrapdefault\aspalpha\aspnum\faauto\adjustright\rin0\lin0\itap0\pararsid13784077 \rtlch\fcs1 \af0\afs20\alang1025 \ltrch\fcs0 \fs24\lang2057\langfe2057\cgrid\langnp2057\langfenp2057 {\rtlch\fcs1 \af0 \ltrch\fcs0 _x000d__x000a_\cs17\v\fs20\cf9\loch\af1\hich\af1\dbch\af31501\insrsid13784077\charrsid2957979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d_x000d__x000a_8a6cb0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3\fbidi \froman\fcharset238\fprq2 Times New Roman CE;}{\f294\fbidi \froman\fcharset204\fprq2 Times New Roman Cyr;}_x000d__x000a_{\f296\fbidi \froman\fcharset161\fprq2 Times New Roman Greek;}{\f297\fbidi \froman\fcharset162\fprq2 Times New Roman Tur;}{\f298\fbidi \froman\fcharset177\fprq2 Times New Roman (Hebrew);}{\f299\fbidi \froman\fcharset178\fprq2 Times New Roman (Arabic);}_x000d__x000a_{\f300\fbidi \froman\fcharset186\fprq2 Times New Roman Baltic;}{\f301\fbidi \froman\fcharset163\fprq2 Times New Roman (Vietnamese);}{\f303\fbidi \fswiss\fcharset238\fprq2 Arial CE;}{\f304\fbidi \fswiss\fcharset204\fprq2 Arial Cyr;}_x000d__x000a_{\f306\fbidi \fswiss\fcharset161\fprq2 Arial Greek;}{\f307\fbidi \fswiss\fcharset162\fprq2 Arial Tur;}{\f308\fbidi \fswiss\fcharset177\fprq2 Arial (Hebrew);}{\f309\fbidi \fswiss\fcharset178\fprq2 Arial (Arabic);}_x000d__x000a_{\f310\fbidi \fswiss\fcharset186\fprq2 Arial Baltic;}{\f311\fbidi \fswiss\fcharset163\fprq2 Arial (Vietnamese);}{\f633\fbidi \froman\fcharset238\fprq2 Cambria Math CE;}{\f634\fbidi \froman\fcharset204\fprq2 Cambria Math Cyr;}_x000d__x000a_{\f636\fbidi \froman\fcharset161\fprq2 Cambria Math Greek;}{\f637\fbidi \froman\fcharset162\fprq2 Cambria Math Tur;}{\f640\fbidi \froman\fcharset186\fprq2 Cambria Math Baltic;}{\f64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941982 HideTWBExt;}{\*\cs18 \additive \v\f1\fs20\cf15 _x000d__x000a_\spriority0 \styrsid941982 HideTWBInt;}{\s19\ql \li0\ri0\sa120\nowidctlpar\wrapdefault\aspalpha\aspnum\faauto\adjustright\rin0\lin0\itap0 \rtlch\fcs1 \af0\afs20\alang1025 \ltrch\fcs0 \fs24\lang2057\langfe2057\cgrid\langnp2057\langfenp2057 _x000d__x000a_\sbasedon0 \snext19 \spriority0 \styrsid941982 Normal6a;}{\s20\ql \li0\ri0\nowidctlpar\wrapdefault\aspalpha\aspnum\faauto\adjustright\rin0\lin0\itap0 \rtlch\fcs1 \af0\afs20\alang1025 \ltrch\fcs0 \b\fs24\lang2057\langfe2057\cgrid\langnp2057\langfenp2057 _x000d__x000a_\sbasedon0 \snext20 \spriority0 \styrsid941982 NormalBold;}{\s21\ql \li0\ri0\sa240\nowidctlpar\wrapdefault\aspalpha\aspnum\faauto\adjustright\rin0\lin0\itap0 \rtlch\fcs1 \af0\afs20\alang1025 \ltrch\fcs0 _x000d__x000a_\i\fs24\lang2057\langfe2057\cgrid\langnp2057\langfenp2057 \sbasedon0 \snext21 \spriority0 \styrsid941982 AmJustText;}{\s22\qc \li0\ri0\sb240\sa240\nowidctlpar\wrapdefault\aspalpha\aspnum\faauto\adjustright\rin0\lin0\itap0 \rtlch\fcs1 \af0\afs20\alang1025 _x000d__x000a_\ltrch\fcs0 \i\fs24\lang2057\langfe2057\cgrid\langnp2057\langfenp2057 \sbasedon0 \snext22 \spriority0 \styrsid941982 AmCrossRef;}{\s23\qc \li0\ri0\sb240\sa240\keepn\nowidctlpar\wrapdefault\aspalpha\aspnum\faauto\adjustright\rin0\lin0\itap0 \rtlch\fcs1 _x000d__x000a_\af0\afs20\alang1025 \ltrch\fcs0 \i\fs24\lang2057\langfe2057\cgrid\langnp2057\langfenp2057 \sbasedon0 \snext21 \spriority0 \styrsid941982 AmJustTitle;}{_x000d__x000a_\s24\qr \li0\ri0\sb240\sa240\nowidctlpar\wrapdefault\aspalpha\aspnum\faauto\adjustright\rin0\lin0\itap0 \rtlch\fcs1 \af0\afs20\alang1025 \ltrch\fcs0 \fs24\lang2057\langfe2057\cgrid\langnp2057\langfenp2057 \sbasedon0 \snext24 \spriority0 \styrsid941982 _x000d__x000a_AmOrLang;}{\s25\qc \li0\ri0\sa240\nowidctlpar\wrapdefault\aspalpha\aspnum\faauto\adjustright\rin0\lin0\itap0 \rtlch\fcs1 \af0\afs20\alang1025 \ltrch\fcs0 \i\fs24\lang2057\langfe2057\cgrid\langnp2057\langfenp2057 _x000d__x000a_\sbasedon0 \snext25 \spriority0 \styrsid94198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941982 AmNumberTabs;}}{\*\rsidtbl \rsid24658\rsid223860\rsid735077\rsid941982\rsid1718133\rsid2892074\rsid3565327\rsid4666813\rsid6641733_x000d__x000a_\rsid7823322\rsid9636012\rsid10377208\rsid11215221\rsid11549030\rsid12154954\rsid14382809\rsid14424199\rsid15204470\rsid15273638\rsid15285974\rsid15950462\rsid16324206\rsid16662270}{\mmathPr\mmathFont34\mbrkBin0\mbrkBinSub0\msmallFrac0\mdispDef1\mlMargin0_x000d__x000a_\mrMargin0\mdefJc1\mwrapIndent1440\mintLim0\mnaryLim1}{\info{\author CONIAC Cristina Elena}{\operator CONIAC Cristina Elena}{\creatim\yr2020\mo12\dy7\hr17\min7}{\revtim\yr2020\mo12\dy7\hr17\min7}{\version1}{\edmins0}{\nofpages1}{\nofwords130}_x000d__x000a_{\nofchars745}{\nofcharsws874}{\vern101}}{\*\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941982\newtblstyruls\nogrowautofit\usenormstyforlist\noindnmbrts\felnbrelev\nocxsptable\indrlsweleven\noafcnsttbl\afelev\utinl\hwelev\spltpgpar\notcvasp\notbrkcnstfrctbl\notvatxbx\krnprsnet\cachedcolbal \nouicompat \fet0_x000d__x000a_{\*\wgrffmtfilter 013f}\nofeaturethrottle1\ilfomacatclnup0{\*\template C:\\Users\\CCRIST~1\\AppData\\Local\\Temp\\Blank1.dotx}{\*\ftnsep \ltrpar \pard\plain \ltrpar\ql \li0\ri0\widctlpar\wrapdefault\aspalpha\aspnum\faauto\adjustright\rin0\lin0\itap0 _x000d__x000a_\rtlch\fcs1 \af0\afs20\alang1025 \ltrch\fcs0 \fs24\lang2057\langfe2057\cgrid\langnp2057\langfenp2057 {\rtlch\fcs1 \af0 \ltrch\fcs0 \insrsid15273638 \chftnsep _x000d__x000a_\par }}{\*\ftnsepc \ltrpar \pard\plain \ltrpar\ql \li0\ri0\widctlpar\wrapdefault\aspalpha\aspnum\faauto\adjustright\rin0\lin0\itap0 \rtlch\fcs1 \af0\afs20\alang1025 \ltrch\fcs0 \fs24\lang2057\langfe2057\cgrid\langnp2057\langfenp2057 {\rtlch\fcs1 \af0 _x000d__x000a_\ltrch\fcs0 \insrsid15273638 \chftnsepc _x000d__x000a_\par }}{\*\aftnsep \ltrpar \pard\plain \ltrpar\ql \li0\ri0\widctlpar\wrapdefault\aspalpha\aspnum\faauto\adjustright\rin0\lin0\itap0 \rtlch\fcs1 \af0\afs20\alang1025 \ltrch\fcs0 \fs24\lang2057\langfe2057\cgrid\langnp2057\langfenp2057 {\rtlch\fcs1 \af0 _x000d__x000a_\ltrch\fcs0 \insrsid15273638 \chftnsep _x000d__x000a_\par }}{\*\aftnsepc \ltrpar \pard\plain \ltrpar\ql \li0\ri0\widctlpar\wrapdefault\aspalpha\aspnum\faauto\adjustright\rin0\lin0\itap0 \rtlch\fcs1 \af0\afs20\alang1025 \ltrch\fcs0 \fs24\lang2057\langfe2057\cgrid\langnp2057\langfenp2057 {\rtlch\fcs1 \af0 _x000d__x000a_\ltrch\fcs0 \insrsid1527363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941982 \rtlch\fcs1 _x000d__x000a_\af0\afs20\alang1025 \ltrch\fcs0 \b\fs24\lang2057\langfe2057\cgrid\langnp2057\langfenp2057 {\rtlch\fcs1 \af0 \ltrch\fcs0 \cs17\b0\v\fs20\cf9\loch\af1\hich\af1\dbch\af31501\insrsid941982\charrsid2957979 {\*\bkmkstart restart}\hich\af1\dbch\af31501\loch\f1 _x000d__x000a_&lt;}{\rtlch\fcs1 \af0 \ltrch\fcs0 \cs17\b0\v\fs20\cf9\lang1024\langfe1024\loch\af1\hich\af1\dbch\af31501\noproof\insrsid941982 \hich\af1\dbch\af31501\loch\f1 Amend}{\rtlch\fcs1 \af0 \ltrch\fcs0 _x000d__x000a_\cs17\b0\v\fs20\cf9\loch\af1\hich\af1\dbch\af31501\insrsid941982\charrsid2957979 \hich\af1\dbch\af31501\loch\f1 &gt;}{\rtlch\fcs1 \af0 \ltrch\fcs0 \insrsid941982\charrsid2957979 Amendment\tab \tab }{\rtlch\fcs1 \af0 \ltrch\fcs0 _x000d__x000a_\cs17\b0\v\fs20\cf9\loch\af1\hich\af1\dbch\af31501\insrsid941982\charrsid2957979 \hich\af1\dbch\af31501\loch\f1 &lt;}{\rtlch\fcs1 \af0 \ltrch\fcs0 \cs17\b0\v\fs20\cf9\lang1024\langfe1024\loch\af1\hich\af1\dbch\af31501\noproof\insrsid941982 _x000d__x000a_\hich\af1\dbch\af31501\loch\f1 NumAm&gt;}{\rtlch\fcs1 \af0 \ltrch\fcs0 \insrsid941982\charrsid2957979 #}{\rtlch\fcs1 \af1 \ltrch\fcs0 \cs18\v\f1\fs20\cf15\insrsid941982\charrsid2957979 ENMIENDA@NRAM@}{\rtlch\fcs1 \af0 \ltrch\fcs0 _x000d__x000a_\insrsid941982\charrsid2957979 #}{\rtlch\fcs1 \af0 \ltrch\fcs0 \cs17\b0\v\fs20\cf9\loch\af1\hich\af1\dbch\af31501\insrsid941982\charrsid2957979 \hich\af1\dbch\af31501\loch\f1 &lt;/}{\rtlch\fcs1 \af0 \ltrch\fcs0 _x000d__x000a_\cs17\b0\v\fs20\cf9\lang1024\langfe1024\loch\af1\hich\af1\dbch\af31501\noproof\insrsid941982 \hich\af1\dbch\af31501\loch\f1 NumAm&gt;}{\rtlch\fcs1 \af0 \ltrch\fcs0 \insrsid941982\charrsid2957979 _x000d__x000a_\par }\pard\plain \ltrpar\s20\ql \li0\ri0\nowidctlpar\wrapdefault\aspalpha\aspnum\faauto\adjustright\rin0\lin0\itap0\pararsid941982 \rtlch\fcs1 \af0\afs20\alang1025 \ltrch\fcs0 \b\fs24\lang2057\langfe2057\cgrid\langnp2057\langfenp2057 {\rtlch\fcs1 \af0 _x000d__x000a_\ltrch\fcs0 \cs17\b0\v\fs20\cf9\loch\af1\hich\af1\dbch\af31501\insrsid941982\charrsid2957979 \hich\af1\dbch\af31501\loch\f1 &lt;\hich\af1\dbch\af31501\loch\f1 RepeatBlock-By&gt;}{\rtlch\fcs1 \af0 \ltrch\fcs0 \insrsid941982\charrsid2957979 #}{\rtlch\fcs1 \af1 _x000d__x000a_\ltrch\fcs0 \cs18\v\f1\fs20\cf15\insrsid941982\charrsid2957979 (MOD@InsideLoop()}{\rtlch\fcs1 \af0 \ltrch\fcs0 \insrsid941982\charrsid2957979 ##}{\rtlch\fcs1 \af1 \ltrch\fcs0 \cs18\v\f1\fs20\cf15\insrsid941982\charrsid2957979 &gt;&gt;&gt;@[ZMEMBERSMSG]@}{_x000d__x000a_\rtlch\fcs1 \af0 \ltrch\fcs0 \insrsid941982\charrsid2957979 #}{\rtlch\fcs1 \af0 \ltrch\fcs0 \cs17\b0\v\fs20\cf9\loch\af1\hich\af1\dbch\af31501\insrsid941982\charrsid2957979 \hich\af1\dbch\af31501\loch\f1 &lt;Members&gt;}{\rtlch\fcs1 \af0 \ltrch\fcs0 _x000d__x000a_\insrsid941982\charrsid2957979 #}{\rtlch\fcs1 \af1 \ltrch\fcs0 \cs18\v\f1\fs20\cf15\insrsid941982\charrsid2957979 (MOD@InsideLoop(\'a7)}{\rtlch\fcs1 \af0 \ltrch\fcs0 \insrsid941982\charrsid2957979 #}{\rtlch\fcs1 \af0 \ltrch\fcs0 _x000d__x000a_\cf10\insrsid941982\charrsid15485799 \u9668\'3f}{\rtlch\fcs1 \af0 \ltrch\fcs0 \insrsid941982\charrsid2957979 #}{\rtlch\fcs1 \af1 \ltrch\fcs0 \cs18\v\f1\fs20\cf15\insrsid941982\charrsid2957979 TVTMEMBERS\'a7@MEMBERS@}{\rtlch\fcs1 \af0 \ltrch\fcs0 _x000d__x000a_\insrsid941982\charrsid2957979 #}{\rtlch\fcs1 \af0 \ltrch\fcs0 \cf10\insrsid941982\charrsid15485799 \u9658\'3f}{\rtlch\fcs1 \af0 \ltrch\fcs0 \cs17\b0\v\fs20\cf9\loch\af1\hich\af1\dbch\af31501\insrsid941982\charrsid2957979 \hich\af1\dbch\af31501\loch\f1 _x000d__x000a_&lt;/Members&gt;}{\rtlch\fcs1 \af0 \ltrch\fcs0 \insrsid941982\charrsid2957979 _x000d__x000a_\par }\pard\plain \ltrpar\ql \li0\ri0\widctlpar\wrapdefault\aspalpha\aspnum\faauto\adjustright\rin0\lin0\itap0\pararsid941982 \rtlch\fcs1 \af0\afs20\alang1025 \ltrch\fcs0 \fs24\lang2057\langfe2057\cgrid\langnp2057\langfenp2057 {\rtlch\fcs1 \af0 \ltrch\fcs0 _x000d__x000a_\cs17\v\fs20\cf9\loch\af1\hich\af1\dbch\af31501\insrsid941982\charrsid2957979 \hich\af1\dbch\af31501\loch\f1 &lt;AuNomDe&gt;&lt;OptDel&gt;}{\rtlch\fcs1 \af0 \ltrch\fcs0 \insrsid941982\charrsid2957979 #}{\rtlch\fcs1 \af1 \ltrch\fcs0 _x000d__x000a_\cs18\v\f1\fs20\cf15\insrsid941982\charrsid2957979 MNU[ONBEHALFYES][NOTAPP]@CHOICE@}{\rtlch\fcs1 \af0 \ltrch\fcs0 \insrsid941982\charrsid2957979 #}{\rtlch\fcs1 \af0 \ltrch\fcs0 \cs17\v\fs20\cf9\loch\af1\hich\af1\dbch\af31501\insrsid941982\charrsid2957979 _x000d__x000a_\hich\af1\dbch\af31501\loch\f1 &lt;/OptDel&gt;&lt;/AuNomDe&gt;}{\rtlch\fcs1 \af0 \ltrch\fcs0 \insrsid941982\charrsid2957979 _x000d__x000a_\par &lt;&lt;&lt;}{\rtlch\fcs1 \af0 \ltrch\fcs0 \cs17\v\fs20\cf9\loch\af1\hich\af1\dbch\af31501\insrsid941982\charrsid2957979 \hich\af1\dbch\af31501\loch\f1 &lt;/RepeatBlock-By&gt;}{\rtlch\fcs1 \af0 \ltrch\fcs0 \insrsid941982\charrsid2957979 _x000d__x000a_\par }\pard\plain \ltrpar\s20\ql \li0\ri0\nowidctlpar\wrapdefault\aspalpha\aspnum\faauto\adjustright\rin0\lin0\itap0\pararsid941982 \rtlch\fcs1 \af0\afs20\alang1025 \ltrch\fcs0 \b\fs24\lang2057\langfe2057\cgrid\langnp2057\langfenp2057 {\rtlch\fcs1 \af0 _x000d__x000a_\ltrch\fcs0 \cs17\b0\v\fs20\cf9\loch\af1\hich\af1\dbch\af31501\insrsid941982\charrsid2957979 \hich\af1\dbch\af31501\loch\f1 &lt;DocAmend&gt;}{\rtlch\fcs1 \af0 \ltrch\fcs0 \insrsid941982\charrsid2957979 #}{\rtlch\fcs1 \af1 \ltrch\fcs0 _x000d__x000a_\cs18\v\f1\fs20\cf15\insrsid941982\charrsid2957979 MNU[OPTPROPOSALCOD][OPTPROPOSALCNS][OPTPROPOSALNLE]@CHOICE@CODEMNU}{\rtlch\fcs1 \af0 \ltrch\fcs0 \insrsid941982\charrsid2957979 #}{\rtlch\fcs1 \af0 \ltrch\fcs0 _x000d__x000a_\cs17\b0\v\fs20\cf9\loch\af1\hich\af1\dbch\af31501\insrsid941982\charrsid2957979 \hich\af1\dbch\af31501\loch\f1 &lt;/DocAmend&gt;}{\rtlch\fcs1 \af0 \ltrch\fcs0 \insrsid941982\charrsid2957979 _x000d__x000a_\par }\pard \ltrpar\s20\ql \li0\ri0\keepn\nowidctlpar\wrapdefault\aspalpha\aspnum\faauto\adjustright\rin0\lin0\itap0\pararsid941982 {\rtlch\fcs1 \af0 \ltrch\fcs0 \cs17\b0\v\fs20\cf9\loch\af1\hich\af1\dbch\af31501\insrsid941982\charrsid2957979 _x000d__x000a_\hich\af1\dbch\af31501\loch\f1 &lt;Article&gt;}{\rtlch\fcs1 \af0 \ltrch\fcs0 \insrsid941982\charrsid2957979 #}{\rtlch\fcs1 \af1 \ltrch\fcs0 \cs18\v\f1\fs20\cf15\insrsid941982\charrsid2957979 MNU[AMACTPARTYES][AMACTPARTNO]@CHOICE@AMACTMNU}{\rtlch\fcs1 \af0 _x000d__x000a_\ltrch\fcs0 \insrsid941982\charrsid2957979 #}{\rtlch\fcs1 \af0 \ltrch\fcs0 \cs17\b0\v\fs20\cf9\loch\af1\hich\af1\dbch\af31501\insrsid941982\charrsid2957979 \hich\af1\dbch\af31501\loch\f1 &lt;/Article&gt;}{\rtlch\fcs1 \af0 \ltrch\fcs0 _x000d__x000a_\insrsid941982\charrsid2957979 _x000d__x000a_\par }\pard\plain \ltrpar\ql \li0\ri0\keepn\widctlpar\wrapdefault\aspalpha\aspnum\faauto\adjustright\rin0\lin0\itap0\pararsid941982 \rtlch\fcs1 \af0\afs20\alang1025 \ltrch\fcs0 \fs24\lang2057\langfe2057\cgrid\langnp2057\langfenp2057 {\rtlch\fcs1 \af0 _x000d__x000a_\ltrch\fcs0 \cs17\v\fs20\cf9\loch\af1\hich\af1\dbch\af31501\insrsid941982\charrsid2957979 \hich\af1\dbch\af31501\loch\f1 &lt;DocAmend2&gt;&lt;OptDel&gt;}{\rtlch\fcs1 \af0 \ltrch\fcs0 \insrsid941982\charrsid2957979 #}{\rtlch\fcs1 \af1 \ltrch\fcs0 _x000d__x000a_\cs18\v\f1\fs20\cf15\insrsid941982\charrsid2957979 MNU[OPTNRACTYES][NOTAPP]@CHOICE@AMACTMNU}{\rtlch\fcs1 \af0 \ltrch\fcs0 \insrsid941982\charrsid2957979 #}{\rtlch\fcs1 \af0 \ltrch\fcs0 _x000d__x000a_\cs17\v\fs20\cf9\loch\af1\hich\af1\dbch\af31501\insrsid941982\charrsid2957979 \hich\af1\dbch\af31501\loch\f1 &lt;/OptDel&gt;&lt;/DocAmend2&gt;}{\rtlch\fcs1 \af0 \ltrch\fcs0 \insrsid941982\charrsid2957979 _x000d__x000a_\par }\pard \ltrpar\ql \li0\ri0\widctlpar\wrapdefault\aspalpha\aspnum\faauto\adjustright\rin0\lin0\itap0\pararsid941982 {\rtlch\fcs1 \af0 \ltrch\fcs0 \cs17\v\fs20\cf9\loch\af1\hich\af1\dbch\af31501\insrsid941982\charrsid2957979 \hich\af1\dbch\af31501\loch\f1 _x000d__x000a_&lt;Article2&gt;&lt;OptDel&gt;}{\rtlch\fcs1 \af0 \ltrch\fcs0 \insrsid941982\charrsid2957979 #}{\rtlch\fcs1 \af1 \ltrch\fcs0 \cs18\v\f1\fs20\cf15\insrsid941982\charrsid2957979 MNU[OPTACTPARTYES][NOTAPP]@CHOICE@AMACTMNU}{\rtlch\fcs1 \af0 \ltrch\fcs0 _x000d__x000a_\insrsid941982\charrsid2957979 #}{\rtlch\fcs1 \af0 \ltrch\fcs0 \cs17\v\fs20\cf9\loch\af1\hich\af1\dbch\af31501\insrsid941982\charrsid2957979 \hich\af1\dbch\af31501\loch\f1 &lt;/OptDel&gt;&lt;/Article2&gt;}{\rtlch\fcs1 \af0 \ltrch\fcs0 \insrsid941982\charrsid2957979 _x000d__x000a_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941982\charrsid2957979 \cell }\pard\plain \ltrpar\ql \li0\ri0\widctlpar\intbl\wrapdefault\aspalpha\aspnum\faauto\adjustright\rin0\lin0 \rtlch\fcs1 _x000d__x000a_\af0\afs20\alang1025 \ltrch\fcs0 \fs24\lang2057\langfe2057\cgrid\langnp2057\langfenp2057 {\rtlch\fcs1 \af0 \ltrch\fcs0 \insrsid941982\charrsid2957979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941982\charrsid2957979 #}{\rtlch\fcs1 \af1 \ltrch\fcs0 \cs18\v\f1\fs20\cf15\insrsid941982\charrsid2957979 MNU[OPTLEFTAMACT][LEFTPROP]@CHOICE@AMACTMNU}{_x000d__x000a_\rtlch\fcs1 \af0 \ltrch\fcs0 \insrsid941982\charrsid2957979 #\cell Amendment\cell }\pard\plain \ltrpar\ql \li0\ri0\widctlpar\intbl\wrapdefault\aspalpha\aspnum\faauto\adjustright\rin0\lin0 \rtlch\fcs1 \af0\afs20\alang1025 \ltrch\fcs0 _x000d__x000a_\fs24\lang2057\langfe2057\cgrid\langnp2057\langfenp2057 {\rtlch\fcs1 \af0 \ltrch\fcs0 \insrsid941982\charrsid2957979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941982\charrsid2957979 ##\cell ##}{\rtlch\fcs1 \af0\afs24 \ltrch\fcs0 \insrsid941982\charrsid2957979 \cell }\pard\plain \ltrpar\ql \li0\ri0\widctlpar\intbl\wrapdefault\aspalpha\aspnum\faauto\adjustright\rin0\lin0 \rtlch\fcs1 \af0\afs20\alang1025 _x000d__x000a_\ltrch\fcs0 \fs24\lang2057\langfe2057\cgrid\langnp2057\langfenp2057 {\rtlch\fcs1 \af0 \ltrch\fcs0 \insrsid941982\charrsid2957979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941982 \rtlch\fcs1 \af0\afs20\alang1025 \ltrch\fcs0 \fs24\lang2057\langfe2057\cgrid\langnp2057\langfenp2057 {\rtlch\fcs1 \af0 \ltrch\fcs0 _x000d__x000a_\insrsid941982\charrsid2957979 Or. }{\rtlch\fcs1 \af0 \ltrch\fcs0 \cs17\v\fs20\cf9\loch\af1\hich\af1\dbch\af31501\insrsid941982\charrsid2957979 \hich\af1\dbch\af31501\loch\f1 &lt;Original&gt;}{\rtlch\fcs1 \af0 \ltrch\fcs0 \insrsid941982\charrsid2957979 #}{_x000d__x000a_\rtlch\fcs1 \af1 \ltrch\fcs0 \cs18\v\f1\fs20\cf15\insrsid941982\charrsid2957979 KEY(MAIN/LANGMIN)sh@ORLANGMSG@}{\rtlch\fcs1 \af0 \ltrch\fcs0 \insrsid941982\charrsid2957979 #}{\rtlch\fcs1 \af0 \ltrch\fcs0 _x000d__x000a_\cs17\v\fs20\cf9\loch\af1\hich\af1\dbch\af31501\insrsid941982\charrsid2957979 \hich\af1\dbch\af31501\loch\f1 &lt;/Original&gt;}{\rtlch\fcs1 \af0 \ltrch\fcs0 \insrsid941982\charrsid2957979 _x000d__x000a_\par }\pard\plain \ltrpar\s22\qc \li0\ri0\sb240\sa240\nowidctlpar\wrapdefault\aspalpha\aspnum\faauto\adjustright\rin0\lin0\itap0\pararsid941982 \rtlch\fcs1 \af0\afs20\alang1025 \ltrch\fcs0 \i\fs24\lang2057\langfe2057\cgrid\langnp2057\langfenp2057 {\rtlch\fcs1 _x000d__x000a_\af0 \ltrch\fcs0 \cs17\i0\v\fs20\cf9\loch\af1\hich\af1\dbch\af31501\insrsid941982\charrsid2957979 \hich\af1\dbch\af31501\loch\f1 &lt;OptDel&gt;}{\rtlch\fcs1 \af0 \ltrch\fcs0 \insrsid941982\charrsid2957979 #}{\rtlch\fcs1 \af1 \ltrch\fcs0 _x000d__x000a_\cs18\v\f1\fs20\cf15\insrsid941982\charrsid2957979 MNU[CROSSREFNO][CROSSREFYES]@CHOICE@}{\rtlch\fcs1 \af0 \ltrch\fcs0 \insrsid941982\charrsid2957979 #}{\rtlch\fcs1 \af0 \ltrch\fcs0 _x000d__x000a_\cs17\i0\v\fs20\cf9\loch\af1\hich\af1\dbch\af31501\insrsid941982\charrsid2957979 \hich\af1\dbch\af31501\loch\f1 &lt;/OptDel&gt;}{\rtlch\fcs1 \af0 \ltrch\fcs0 \insrsid941982\charrsid2957979 _x000d__x000a_\par }\pard\plain \ltrpar\s23\qc \li0\ri0\sb240\sa240\keepn\nowidctlpar\wrapdefault\aspalpha\aspnum\faauto\adjustright\rin0\lin0\itap0\pararsid941982 \rtlch\fcs1 \af0\afs20\alang1025 \ltrch\fcs0 \i\fs24\lang2057\langfe2057\cgrid\langnp2057\langfenp2057 {_x000d__x000a_\rtlch\fcs1 \af0 \ltrch\fcs0 \cs17\i0\v\fs20\cf9\loch\af1\hich\af1\dbch\af31501\insrsid941982\charrsid2957979 \hich\af1\dbch\af31501\loch\f1 &lt;TitreJust&gt;}{\rtlch\fcs1 \af0 \ltrch\fcs0 \insrsid941982\charrsid2957979 Justification}{\rtlch\fcs1 \af0 _x000d__x000a_\ltrch\fcs0 \cs17\i0\v\fs20\cf9\loch\af1\hich\af1\dbch\af31501\insrsid941982\charrsid2957979 \hich\af1\dbch\af31501\loch\f1 &lt;/TitreJust&gt;}{\rtlch\fcs1 \af0 \ltrch\fcs0 \insrsid941982\charrsid2957979 _x000d__x000a_\par }\pard\plain \ltrpar\s21\ql \li0\ri0\sa240\nowidctlpar\wrapdefault\aspalpha\aspnum\faauto\adjustright\rin0\lin0\itap0\pararsid941982 \rtlch\fcs1 \af0\afs20\alang1025 \ltrch\fcs0 \i\fs24\lang2057\langfe2057\cgrid\langnp2057\langfenp2057 {\rtlch\fcs1 \af0 _x000d__x000a_\ltrch\fcs0 \cs17\i0\v\fs20\cf9\loch\af1\hich\af1\dbch\af31501\insrsid941982\charrsid2957979 \hich\af1\dbch\af31501\loch\f1 &lt;OptDelPrev&gt;}{\rtlch\fcs1 \af0 \ltrch\fcs0 \insrsid941982\charrsid2957979 #}{\rtlch\fcs1 \af1 \ltrch\fcs0 _x000d__x000a_\cs18\v\f1\fs20\cf15\insrsid941982\charrsid2957979 MNU[TEXTJUSTYES][TEXTJUSTNO]@CHOICE@}{\rtlch\fcs1 \af0 \ltrch\fcs0 \insrsid941982\charrsid2957979 #}{\rtlch\fcs1 \af0 \ltrch\fcs0 _x000d__x000a_\cs17\i0\v\fs20\cf9\loch\af1\hich\af1\dbch\af31501\insrsid941982\charrsid2957979 \hich\af1\dbch\af31501\loch\f1 &lt;/OptDelPrev&gt;}{\rtlch\fcs1 \af0 \ltrch\fcs0 \insrsid941982\charrsid2957979 _x000d__x000a_\par }\pard\plain \ltrpar\ql \li0\ri0\widctlpar\wrapdefault\aspalpha\aspnum\faauto\adjustright\rin0\lin0\itap0\pararsid941982 \rtlch\fcs1 \af0\afs20\alang1025 \ltrch\fcs0 \fs24\lang2057\langfe2057\cgrid\langnp2057\langfenp2057 {\rtlch\fcs1 \af0 \ltrch\fcs0 _x000d__x000a_\cs17\v\fs20\cf9\loch\af1\hich\af1\dbch\af31501\insrsid941982\charrsid2957979 \hich\af1\dbch\af31501\loch\f1 &lt;/}{\rtlch\fcs1 \af0 \ltrch\fcs0 \cs17\v\fs20\cf9\lang1024\langfe1024\loch\af1\hich\af1\dbch\af31501\noproof\insrsid941982 _x000d__x000a_\hich\af1\dbch\af31501\loch\f1 Amend}{\rtlch\fcs1 \af0 \ltrch\fcs0 \cs17\v\fs20\cf9\loch\af1\hich\af1\dbch\af31501\insrsid941982\charrsid2957979 \hich\af1\dbch\af31501\loch\f1 &gt;}{\rtlch\fcs1 \af0 \ltrch\fcs0 \insrsid24658\charrsid16324206 _x000d__x000a_{\*\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96_x000d__x000a_ae08b3ccd6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20"/>
    <w:docVar w:name="TVTMEMBERS1" w:val="MEP"/>
    <w:docVar w:name="TXTAUTHOR" w:val="Jorge Buxadé Villalba"/>
    <w:docVar w:name="TXTLANGUE" w:val="FR"/>
    <w:docVar w:name="TXTLANGUEMIN" w:val="fr"/>
    <w:docVar w:name="TXTNRC" w:val="01"/>
    <w:docVar w:name="TXTNRCOM" w:val="COM(2016)0272 - COM (2020)0614 – C8-0179/2016 "/>
    <w:docVar w:name="TXTNRFIRSTAM" w:val="1"/>
    <w:docVar w:name="TXTNRLASTAM" w:val="6"/>
    <w:docVar w:name="TXTNRPE" w:val="661.979"/>
    <w:docVar w:name="TXTNRPE2" w:val="597.620"/>
    <w:docVar w:name="TXTNRPROC" w:val="2016/0132"/>
    <w:docVar w:name="TXTPEorAP" w:val="PE"/>
    <w:docVar w:name="TXTROUTE" w:val="AM\1220068FR.docx"/>
    <w:docVar w:name="TXTTITLE" w:val="Establishment of 'Eurodac' for the comparison of fingerprints for the effective application of Regulation (EU) No 604/2013, for identifying an illegally staying third-country national or stateless person and on requests for the comparison with Eurodac data by Member States' law enforcement authorities and Europol for law enforcement purposes (recast)"/>
    <w:docVar w:name="TXTVERSION" w:val="01-00"/>
    <w:docVar w:name="TXTVERSION2" w:val="02-00"/>
  </w:docVars>
  <w:rsids>
    <w:rsidRoot w:val="002D229B"/>
    <w:rsid w:val="000111BD"/>
    <w:rsid w:val="00012BE8"/>
    <w:rsid w:val="000212C3"/>
    <w:rsid w:val="00073830"/>
    <w:rsid w:val="00075CA9"/>
    <w:rsid w:val="00075DBE"/>
    <w:rsid w:val="000819E7"/>
    <w:rsid w:val="00085245"/>
    <w:rsid w:val="00085BBD"/>
    <w:rsid w:val="000A0287"/>
    <w:rsid w:val="000B0781"/>
    <w:rsid w:val="000B1AD6"/>
    <w:rsid w:val="000B347F"/>
    <w:rsid w:val="000D446F"/>
    <w:rsid w:val="000E4A39"/>
    <w:rsid w:val="000E5D83"/>
    <w:rsid w:val="000E71E6"/>
    <w:rsid w:val="000E7234"/>
    <w:rsid w:val="000E7A79"/>
    <w:rsid w:val="000F2A80"/>
    <w:rsid w:val="000F7815"/>
    <w:rsid w:val="001176D3"/>
    <w:rsid w:val="00126BC4"/>
    <w:rsid w:val="0014715B"/>
    <w:rsid w:val="00150057"/>
    <w:rsid w:val="00166CCB"/>
    <w:rsid w:val="001754B8"/>
    <w:rsid w:val="001809DD"/>
    <w:rsid w:val="001A4802"/>
    <w:rsid w:val="001A515A"/>
    <w:rsid w:val="001B761C"/>
    <w:rsid w:val="001C2054"/>
    <w:rsid w:val="001C502E"/>
    <w:rsid w:val="001D13C9"/>
    <w:rsid w:val="001D5CC4"/>
    <w:rsid w:val="001D7A49"/>
    <w:rsid w:val="001E539B"/>
    <w:rsid w:val="001E753B"/>
    <w:rsid w:val="001F0FDD"/>
    <w:rsid w:val="00201C84"/>
    <w:rsid w:val="0020367C"/>
    <w:rsid w:val="00211B52"/>
    <w:rsid w:val="00222325"/>
    <w:rsid w:val="00231EA7"/>
    <w:rsid w:val="00236619"/>
    <w:rsid w:val="002472F6"/>
    <w:rsid w:val="00250308"/>
    <w:rsid w:val="002574CB"/>
    <w:rsid w:val="002618A9"/>
    <w:rsid w:val="002635EC"/>
    <w:rsid w:val="00264C57"/>
    <w:rsid w:val="00277AB3"/>
    <w:rsid w:val="00280EA6"/>
    <w:rsid w:val="002A1C82"/>
    <w:rsid w:val="002B6A7B"/>
    <w:rsid w:val="002C5761"/>
    <w:rsid w:val="002D229B"/>
    <w:rsid w:val="002E3F68"/>
    <w:rsid w:val="002E4311"/>
    <w:rsid w:val="003003A7"/>
    <w:rsid w:val="00302974"/>
    <w:rsid w:val="003113D4"/>
    <w:rsid w:val="00315664"/>
    <w:rsid w:val="00322475"/>
    <w:rsid w:val="00333B57"/>
    <w:rsid w:val="00360F08"/>
    <w:rsid w:val="00363AD3"/>
    <w:rsid w:val="003743DE"/>
    <w:rsid w:val="0037660F"/>
    <w:rsid w:val="00384E84"/>
    <w:rsid w:val="0038706C"/>
    <w:rsid w:val="003923F7"/>
    <w:rsid w:val="003A5102"/>
    <w:rsid w:val="003C6E39"/>
    <w:rsid w:val="003D24AA"/>
    <w:rsid w:val="003D466C"/>
    <w:rsid w:val="003D70F2"/>
    <w:rsid w:val="003E08BF"/>
    <w:rsid w:val="003E43AC"/>
    <w:rsid w:val="003F21EB"/>
    <w:rsid w:val="003F3B0C"/>
    <w:rsid w:val="004206ED"/>
    <w:rsid w:val="00422BB2"/>
    <w:rsid w:val="004367B3"/>
    <w:rsid w:val="00441413"/>
    <w:rsid w:val="00441D7D"/>
    <w:rsid w:val="00460CB0"/>
    <w:rsid w:val="00461E32"/>
    <w:rsid w:val="00464338"/>
    <w:rsid w:val="00495E20"/>
    <w:rsid w:val="004964A2"/>
    <w:rsid w:val="004A67DD"/>
    <w:rsid w:val="004B5B2E"/>
    <w:rsid w:val="004B700C"/>
    <w:rsid w:val="004C210F"/>
    <w:rsid w:val="004C4462"/>
    <w:rsid w:val="004C647A"/>
    <w:rsid w:val="004E0AAC"/>
    <w:rsid w:val="004E1C4C"/>
    <w:rsid w:val="004E4907"/>
    <w:rsid w:val="004F03F0"/>
    <w:rsid w:val="004F2903"/>
    <w:rsid w:val="004F77B3"/>
    <w:rsid w:val="00504B15"/>
    <w:rsid w:val="005246D8"/>
    <w:rsid w:val="00526882"/>
    <w:rsid w:val="005373C9"/>
    <w:rsid w:val="00547F73"/>
    <w:rsid w:val="00555D0D"/>
    <w:rsid w:val="00557617"/>
    <w:rsid w:val="00571479"/>
    <w:rsid w:val="00584170"/>
    <w:rsid w:val="005A0F10"/>
    <w:rsid w:val="005A7205"/>
    <w:rsid w:val="005A77E8"/>
    <w:rsid w:val="005A7EB4"/>
    <w:rsid w:val="005B32E3"/>
    <w:rsid w:val="005C07BC"/>
    <w:rsid w:val="005E50C2"/>
    <w:rsid w:val="00607ABE"/>
    <w:rsid w:val="006337D4"/>
    <w:rsid w:val="006354F4"/>
    <w:rsid w:val="00636AAB"/>
    <w:rsid w:val="00637384"/>
    <w:rsid w:val="006516F4"/>
    <w:rsid w:val="0066168A"/>
    <w:rsid w:val="00665DDA"/>
    <w:rsid w:val="00672807"/>
    <w:rsid w:val="006746CD"/>
    <w:rsid w:val="006860DC"/>
    <w:rsid w:val="00687070"/>
    <w:rsid w:val="00695CC1"/>
    <w:rsid w:val="006965BE"/>
    <w:rsid w:val="006A02EE"/>
    <w:rsid w:val="006A2838"/>
    <w:rsid w:val="006B4B58"/>
    <w:rsid w:val="006B6438"/>
    <w:rsid w:val="006C1CE1"/>
    <w:rsid w:val="006C6C5B"/>
    <w:rsid w:val="006D69C2"/>
    <w:rsid w:val="006D6B15"/>
    <w:rsid w:val="006F1261"/>
    <w:rsid w:val="006F3F81"/>
    <w:rsid w:val="006F4B73"/>
    <w:rsid w:val="00702F62"/>
    <w:rsid w:val="007059E9"/>
    <w:rsid w:val="00706049"/>
    <w:rsid w:val="00714DA0"/>
    <w:rsid w:val="007152AF"/>
    <w:rsid w:val="00730ED8"/>
    <w:rsid w:val="00736FBA"/>
    <w:rsid w:val="0074160E"/>
    <w:rsid w:val="007432CA"/>
    <w:rsid w:val="007659AC"/>
    <w:rsid w:val="00771FD7"/>
    <w:rsid w:val="00777FBC"/>
    <w:rsid w:val="00782A3A"/>
    <w:rsid w:val="0079060C"/>
    <w:rsid w:val="007A42AB"/>
    <w:rsid w:val="007A5844"/>
    <w:rsid w:val="007B459C"/>
    <w:rsid w:val="007C71DE"/>
    <w:rsid w:val="00813143"/>
    <w:rsid w:val="00822C94"/>
    <w:rsid w:val="008363E4"/>
    <w:rsid w:val="00851460"/>
    <w:rsid w:val="00864131"/>
    <w:rsid w:val="0087052C"/>
    <w:rsid w:val="00870CF2"/>
    <w:rsid w:val="00874862"/>
    <w:rsid w:val="00875A9C"/>
    <w:rsid w:val="00887FDC"/>
    <w:rsid w:val="008964C7"/>
    <w:rsid w:val="008A3CDB"/>
    <w:rsid w:val="008B251A"/>
    <w:rsid w:val="008D6D06"/>
    <w:rsid w:val="008F0DDD"/>
    <w:rsid w:val="008F3912"/>
    <w:rsid w:val="008F6F39"/>
    <w:rsid w:val="00900CAE"/>
    <w:rsid w:val="00904AD5"/>
    <w:rsid w:val="00907CCA"/>
    <w:rsid w:val="009154FF"/>
    <w:rsid w:val="00917A85"/>
    <w:rsid w:val="00966038"/>
    <w:rsid w:val="00983807"/>
    <w:rsid w:val="009846C9"/>
    <w:rsid w:val="009A65D8"/>
    <w:rsid w:val="009B0305"/>
    <w:rsid w:val="009C1C7A"/>
    <w:rsid w:val="009E117F"/>
    <w:rsid w:val="009E5DA0"/>
    <w:rsid w:val="009F230F"/>
    <w:rsid w:val="00A15973"/>
    <w:rsid w:val="00A233E9"/>
    <w:rsid w:val="00A3568E"/>
    <w:rsid w:val="00A46736"/>
    <w:rsid w:val="00A507FC"/>
    <w:rsid w:val="00A5426B"/>
    <w:rsid w:val="00A845EF"/>
    <w:rsid w:val="00A84E16"/>
    <w:rsid w:val="00A93389"/>
    <w:rsid w:val="00A93F8C"/>
    <w:rsid w:val="00AA0426"/>
    <w:rsid w:val="00AB74D6"/>
    <w:rsid w:val="00AC7149"/>
    <w:rsid w:val="00AD730A"/>
    <w:rsid w:val="00AD73D3"/>
    <w:rsid w:val="00AD7945"/>
    <w:rsid w:val="00AE4459"/>
    <w:rsid w:val="00AE4575"/>
    <w:rsid w:val="00AF25FC"/>
    <w:rsid w:val="00AF2819"/>
    <w:rsid w:val="00B0638A"/>
    <w:rsid w:val="00B10564"/>
    <w:rsid w:val="00B41B4D"/>
    <w:rsid w:val="00B53FFA"/>
    <w:rsid w:val="00B77A45"/>
    <w:rsid w:val="00B8066A"/>
    <w:rsid w:val="00B81817"/>
    <w:rsid w:val="00B81EC9"/>
    <w:rsid w:val="00B82DF1"/>
    <w:rsid w:val="00B85286"/>
    <w:rsid w:val="00B87B8E"/>
    <w:rsid w:val="00B90B7F"/>
    <w:rsid w:val="00B9188F"/>
    <w:rsid w:val="00BA48D2"/>
    <w:rsid w:val="00BC1B1F"/>
    <w:rsid w:val="00BE0C84"/>
    <w:rsid w:val="00BE5062"/>
    <w:rsid w:val="00C10F61"/>
    <w:rsid w:val="00C2257C"/>
    <w:rsid w:val="00C22CC4"/>
    <w:rsid w:val="00C2336C"/>
    <w:rsid w:val="00C35E35"/>
    <w:rsid w:val="00C37BC0"/>
    <w:rsid w:val="00C41E32"/>
    <w:rsid w:val="00C735FB"/>
    <w:rsid w:val="00C85317"/>
    <w:rsid w:val="00C92798"/>
    <w:rsid w:val="00CA73CB"/>
    <w:rsid w:val="00CB34F1"/>
    <w:rsid w:val="00CB7B07"/>
    <w:rsid w:val="00CC3983"/>
    <w:rsid w:val="00CD183E"/>
    <w:rsid w:val="00CD280B"/>
    <w:rsid w:val="00CD7BAF"/>
    <w:rsid w:val="00D00CC7"/>
    <w:rsid w:val="00D100D1"/>
    <w:rsid w:val="00D14FCE"/>
    <w:rsid w:val="00D15308"/>
    <w:rsid w:val="00D1583C"/>
    <w:rsid w:val="00D15D1E"/>
    <w:rsid w:val="00D34F90"/>
    <w:rsid w:val="00D42398"/>
    <w:rsid w:val="00D44842"/>
    <w:rsid w:val="00D61CAC"/>
    <w:rsid w:val="00D677D5"/>
    <w:rsid w:val="00D755F1"/>
    <w:rsid w:val="00D767AC"/>
    <w:rsid w:val="00D82FCC"/>
    <w:rsid w:val="00D87B31"/>
    <w:rsid w:val="00DB429F"/>
    <w:rsid w:val="00DB65C2"/>
    <w:rsid w:val="00DC239C"/>
    <w:rsid w:val="00DC4160"/>
    <w:rsid w:val="00DC6A1B"/>
    <w:rsid w:val="00DE672F"/>
    <w:rsid w:val="00DE7DC9"/>
    <w:rsid w:val="00E0793F"/>
    <w:rsid w:val="00E15A86"/>
    <w:rsid w:val="00E25DC5"/>
    <w:rsid w:val="00E44BB0"/>
    <w:rsid w:val="00E471BE"/>
    <w:rsid w:val="00E57F50"/>
    <w:rsid w:val="00E660E2"/>
    <w:rsid w:val="00E733C7"/>
    <w:rsid w:val="00EA25AE"/>
    <w:rsid w:val="00EB0CE3"/>
    <w:rsid w:val="00EB3A71"/>
    <w:rsid w:val="00EB4A63"/>
    <w:rsid w:val="00EB675A"/>
    <w:rsid w:val="00EC4B67"/>
    <w:rsid w:val="00EC5E5B"/>
    <w:rsid w:val="00EE011D"/>
    <w:rsid w:val="00EE05D3"/>
    <w:rsid w:val="00EE2DB4"/>
    <w:rsid w:val="00EE3E0D"/>
    <w:rsid w:val="00EF03A3"/>
    <w:rsid w:val="00EF11AD"/>
    <w:rsid w:val="00EF3617"/>
    <w:rsid w:val="00F27170"/>
    <w:rsid w:val="00F459F7"/>
    <w:rsid w:val="00F5496F"/>
    <w:rsid w:val="00F61969"/>
    <w:rsid w:val="00F92B49"/>
    <w:rsid w:val="00FA192C"/>
    <w:rsid w:val="00FB0587"/>
    <w:rsid w:val="00FB4DDF"/>
    <w:rsid w:val="00FC1B08"/>
    <w:rsid w:val="00FD05BD"/>
    <w:rsid w:val="00FD675F"/>
    <w:rsid w:val="00FE03B4"/>
    <w:rsid w:val="00FF12D8"/>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8B10F9A-6586-4A86-907A-D5AFC367E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rsid w:val="006C1CE1"/>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Normal6Char">
    <w:name w:val="Normal6 Char"/>
    <w:link w:val="Normal6"/>
    <w:locked/>
    <w:rsid w:val="00EE05D3"/>
    <w:rPr>
      <w:sz w:val="24"/>
    </w:rPr>
  </w:style>
  <w:style w:type="paragraph" w:customStyle="1" w:styleId="Normal6">
    <w:name w:val="Normal6"/>
    <w:basedOn w:val="Normal"/>
    <w:link w:val="Normal6Char"/>
    <w:rsid w:val="00EE05D3"/>
    <w:pPr>
      <w:spacing w:after="120"/>
    </w:pPr>
  </w:style>
  <w:style w:type="paragraph" w:customStyle="1" w:styleId="EntPE">
    <w:name w:val="EntPE"/>
    <w:basedOn w:val="Normal12"/>
    <w:rsid w:val="006C1CE1"/>
    <w:pPr>
      <w:jc w:val="center"/>
    </w:pPr>
    <w:rPr>
      <w:noProof w:val="0"/>
      <w:sz w:val="56"/>
    </w:rPr>
  </w:style>
  <w:style w:type="paragraph" w:customStyle="1" w:styleId="Normal12">
    <w:name w:val="Normal12"/>
    <w:basedOn w:val="Normal"/>
    <w:link w:val="Normal12Char"/>
    <w:rsid w:val="006C1CE1"/>
    <w:pPr>
      <w:spacing w:after="240"/>
    </w:pPr>
    <w:rPr>
      <w:noProof/>
    </w:rPr>
  </w:style>
  <w:style w:type="character" w:customStyle="1" w:styleId="Normal12Char">
    <w:name w:val="Normal12 Char"/>
    <w:basedOn w:val="DefaultParagraphFont"/>
    <w:link w:val="Normal12"/>
    <w:locked/>
    <w:rsid w:val="006C1CE1"/>
    <w:rPr>
      <w:noProof/>
      <w:sz w:val="24"/>
    </w:rPr>
  </w:style>
  <w:style w:type="paragraph" w:customStyle="1" w:styleId="Normal12Italic">
    <w:name w:val="Normal12Italic"/>
    <w:basedOn w:val="Normal12"/>
    <w:rsid w:val="006C1CE1"/>
    <w:rPr>
      <w:i/>
    </w:rPr>
  </w:style>
  <w:style w:type="character" w:customStyle="1" w:styleId="FooterChar">
    <w:name w:val="Footer Char"/>
    <w:basedOn w:val="DefaultParagraphFont"/>
    <w:link w:val="Footer"/>
    <w:rsid w:val="006C1CE1"/>
    <w:rPr>
      <w:sz w:val="22"/>
    </w:rPr>
  </w:style>
  <w:style w:type="paragraph" w:styleId="Footer">
    <w:name w:val="footer"/>
    <w:link w:val="FooterChar"/>
    <w:rsid w:val="006C1CE1"/>
    <w:pPr>
      <w:tabs>
        <w:tab w:val="center" w:pos="4536"/>
        <w:tab w:val="right" w:pos="9072"/>
      </w:tabs>
      <w:spacing w:before="240" w:after="240" w:line="221" w:lineRule="auto"/>
    </w:pPr>
    <w:rPr>
      <w:sz w:val="22"/>
    </w:rPr>
  </w:style>
  <w:style w:type="paragraph" w:customStyle="1" w:styleId="Footer2">
    <w:name w:val="Footer2"/>
    <w:basedOn w:val="Normal12"/>
    <w:rsid w:val="006C1CE1"/>
    <w:pPr>
      <w:tabs>
        <w:tab w:val="center" w:pos="4535"/>
        <w:tab w:val="right" w:pos="9923"/>
      </w:tabs>
      <w:spacing w:line="480" w:lineRule="auto"/>
      <w:ind w:left="-851"/>
    </w:pPr>
    <w:rPr>
      <w:rFonts w:ascii="Arial" w:cs="Arial"/>
      <w:b/>
      <w:sz w:val="48"/>
    </w:rPr>
  </w:style>
  <w:style w:type="paragraph" w:customStyle="1" w:styleId="AMNumberTabs0">
    <w:name w:val="AMNumberTabs"/>
    <w:basedOn w:val="Normal"/>
    <w:rsid w:val="006C1CE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lumnHeading">
    <w:name w:val="ColumnHeading"/>
    <w:basedOn w:val="Normal"/>
    <w:rsid w:val="006C1CE1"/>
    <w:pPr>
      <w:spacing w:after="240"/>
      <w:jc w:val="center"/>
    </w:pPr>
    <w:rPr>
      <w:i/>
    </w:rPr>
  </w:style>
  <w:style w:type="paragraph" w:customStyle="1" w:styleId="Olang">
    <w:name w:val="Olang"/>
    <w:basedOn w:val="Normal"/>
    <w:rsid w:val="006C1CE1"/>
    <w:pPr>
      <w:spacing w:before="240" w:after="240"/>
      <w:jc w:val="right"/>
    </w:pPr>
    <w:rPr>
      <w:noProof/>
      <w:szCs w:val="24"/>
    </w:rPr>
  </w:style>
  <w:style w:type="paragraph" w:customStyle="1" w:styleId="JustificationTitle">
    <w:name w:val="JustificationTitle"/>
    <w:basedOn w:val="Normal"/>
    <w:next w:val="Normal12"/>
    <w:rsid w:val="006C1CE1"/>
    <w:pPr>
      <w:keepNext/>
      <w:spacing w:before="240" w:after="240"/>
      <w:jc w:val="center"/>
    </w:pPr>
    <w:rPr>
      <w:i/>
      <w:noProof/>
    </w:rPr>
  </w:style>
  <w:style w:type="paragraph" w:customStyle="1" w:styleId="Corps">
    <w:name w:val="Corps"/>
    <w:rsid w:val="00983807"/>
    <w:pPr>
      <w:spacing w:before="120" w:after="120"/>
      <w:jc w:val="both"/>
    </w:pPr>
    <w:rPr>
      <w:color w:val="000000"/>
      <w:sz w:val="24"/>
      <w:szCs w:val="24"/>
      <w:u w:color="000000"/>
      <w14:textOutline w14:w="0" w14:cap="flat" w14:cmpd="sng" w14:algn="ctr">
        <w14:noFill/>
        <w14:prstDash w14:val="solid"/>
        <w14:bevel/>
      </w14:textOutline>
    </w:rPr>
  </w:style>
  <w:style w:type="paragraph" w:customStyle="1" w:styleId="Point0">
    <w:name w:val="Point 0"/>
    <w:rsid w:val="00983807"/>
    <w:pPr>
      <w:spacing w:before="120" w:after="120"/>
      <w:ind w:left="850" w:hanging="850"/>
      <w:jc w:val="both"/>
    </w:pPr>
    <w:rPr>
      <w:rFonts w:eastAsia="Arial Unicode MS" w:cs="Arial Unicode MS"/>
      <w:color w:val="000000"/>
      <w:sz w:val="24"/>
      <w:szCs w:val="24"/>
      <w:u w:color="000000"/>
    </w:rPr>
  </w:style>
  <w:style w:type="paragraph" w:customStyle="1" w:styleId="Titrearticle">
    <w:name w:val="Titre article"/>
    <w:next w:val="Corps"/>
    <w:rsid w:val="00983807"/>
    <w:pPr>
      <w:keepNext/>
      <w:spacing w:before="360" w:after="120"/>
      <w:jc w:val="center"/>
    </w:pPr>
    <w:rPr>
      <w:rFonts w:eastAsia="Arial Unicode MS" w:cs="Arial Unicode MS"/>
      <w:i/>
      <w:iCs/>
      <w:color w:val="000000"/>
      <w:sz w:val="24"/>
      <w:szCs w:val="24"/>
      <w:u w:color="000000"/>
    </w:rPr>
  </w:style>
  <w:style w:type="paragraph" w:customStyle="1" w:styleId="SectionTitle">
    <w:name w:val="SectionTitle"/>
    <w:next w:val="Normal"/>
    <w:rsid w:val="00983807"/>
    <w:pPr>
      <w:keepNext/>
      <w:spacing w:before="120" w:after="360"/>
      <w:jc w:val="center"/>
    </w:pPr>
    <w:rPr>
      <w:rFonts w:eastAsia="Arial Unicode MS" w:cs="Arial Unicode MS"/>
      <w:b/>
      <w:bCs/>
      <w:smallCaps/>
      <w:color w:val="000000"/>
      <w:sz w:val="28"/>
      <w:szCs w:val="28"/>
      <w:u w:color="000000"/>
    </w:rPr>
  </w:style>
  <w:style w:type="character" w:customStyle="1" w:styleId="Aucun">
    <w:name w:val="Aucun"/>
    <w:rsid w:val="00983807"/>
    <w:rPr>
      <w:lang w:val="fr-FR"/>
    </w:rPr>
  </w:style>
  <w:style w:type="character" w:styleId="CommentReference">
    <w:name w:val="annotation reference"/>
    <w:basedOn w:val="DefaultParagraphFont"/>
    <w:rsid w:val="00EB4A63"/>
    <w:rPr>
      <w:sz w:val="16"/>
      <w:szCs w:val="16"/>
    </w:rPr>
  </w:style>
  <w:style w:type="paragraph" w:styleId="CommentText">
    <w:name w:val="annotation text"/>
    <w:basedOn w:val="Normal"/>
    <w:link w:val="CommentTextChar"/>
    <w:rsid w:val="00EB4A63"/>
    <w:rPr>
      <w:sz w:val="20"/>
    </w:rPr>
  </w:style>
  <w:style w:type="character" w:customStyle="1" w:styleId="CommentTextChar">
    <w:name w:val="Comment Text Char"/>
    <w:basedOn w:val="DefaultParagraphFont"/>
    <w:link w:val="CommentText"/>
    <w:rsid w:val="00EB4A63"/>
  </w:style>
  <w:style w:type="paragraph" w:styleId="CommentSubject">
    <w:name w:val="annotation subject"/>
    <w:basedOn w:val="CommentText"/>
    <w:next w:val="CommentText"/>
    <w:link w:val="CommentSubjectChar"/>
    <w:semiHidden/>
    <w:unhideWhenUsed/>
    <w:rsid w:val="00EB4A63"/>
    <w:rPr>
      <w:b/>
      <w:bCs/>
    </w:rPr>
  </w:style>
  <w:style w:type="character" w:customStyle="1" w:styleId="CommentSubjectChar">
    <w:name w:val="Comment Subject Char"/>
    <w:basedOn w:val="CommentTextChar"/>
    <w:link w:val="CommentSubject"/>
    <w:semiHidden/>
    <w:rsid w:val="00EB4A63"/>
    <w:rPr>
      <w:b/>
      <w:bCs/>
    </w:rPr>
  </w:style>
  <w:style w:type="paragraph" w:styleId="BalloonText">
    <w:name w:val="Balloon Text"/>
    <w:basedOn w:val="Normal"/>
    <w:link w:val="BalloonTextChar"/>
    <w:semiHidden/>
    <w:unhideWhenUsed/>
    <w:rsid w:val="00EB4A63"/>
    <w:rPr>
      <w:rFonts w:ascii="Segoe UI" w:hAnsi="Segoe UI" w:cs="Segoe UI"/>
      <w:sz w:val="18"/>
      <w:szCs w:val="18"/>
    </w:rPr>
  </w:style>
  <w:style w:type="character" w:customStyle="1" w:styleId="BalloonTextChar">
    <w:name w:val="Balloon Text Char"/>
    <w:basedOn w:val="DefaultParagraphFont"/>
    <w:link w:val="BalloonText"/>
    <w:semiHidden/>
    <w:rsid w:val="00EB4A63"/>
    <w:rPr>
      <w:rFonts w:ascii="Segoe UI" w:hAnsi="Segoe UI" w:cs="Segoe UI"/>
      <w:sz w:val="18"/>
      <w:szCs w:val="18"/>
    </w:rPr>
  </w:style>
  <w:style w:type="character" w:styleId="Emphasis">
    <w:name w:val="Emphasis"/>
    <w:basedOn w:val="DefaultParagraphFont"/>
    <w:uiPriority w:val="20"/>
    <w:qFormat/>
    <w:rsid w:val="00636AAB"/>
    <w:rPr>
      <w:i/>
      <w:iCs/>
    </w:rPr>
  </w:style>
  <w:style w:type="character" w:styleId="Hyperlink">
    <w:name w:val="Hyperlink"/>
    <w:basedOn w:val="DefaultParagraphFont"/>
    <w:rsid w:val="00636A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CRIST~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2BD82-B6BC-4199-A848-145B5DFAD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AM_Com_LegReport.dotx</Template>
  <TotalTime>0</TotalTime>
  <Pages>28</Pages>
  <Words>7834</Words>
  <Characters>43637</Characters>
  <Application>Microsoft Office Word</Application>
  <DocSecurity>0</DocSecurity>
  <Lines>1678</Lines>
  <Paragraphs>553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50918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2021-04-08T07:02:00Z</dcterms:created>
  <dcterms:modified xsi:type="dcterms:W3CDTF">2021-04-08T07:02:00Z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1220068</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\\eiciBRUpr1\pdocep$\DocEP\TRANSFIL\EN\AM_Com_LegReport.EN(24/04/2020 20:50:04)</vt:lpwstr>
  </property>
  <property fmtid="{D5CDD505-2E9C-101B-9397-08002B2CF9AE}" pid="7" name="&lt;Type&gt;">
    <vt:lpwstr>AM</vt:lpwstr>
  </property>
  <property fmtid="{D5CDD505-2E9C-101B-9397-08002B2CF9AE}" pid="8" name="Created with">
    <vt:lpwstr>9.9.1 Build [20200705]</vt:lpwstr>
  </property>
  <property fmtid="{D5CDD505-2E9C-101B-9397-08002B2CF9AE}" pid="9" name="FooterPath">
    <vt:lpwstr>AM\1220068FR.docx</vt:lpwstr>
  </property>
  <property fmtid="{D5CDD505-2E9C-101B-9397-08002B2CF9AE}" pid="10" name="LastEdited with">
    <vt:lpwstr>9.9.1 Build [20200705]</vt:lpwstr>
  </property>
  <property fmtid="{D5CDD505-2E9C-101B-9397-08002B2CF9AE}" pid="11" name="PE number">
    <vt:lpwstr>661.979</vt:lpwstr>
  </property>
  <property fmtid="{D5CDD505-2E9C-101B-9397-08002B2CF9AE}" pid="12" name="SDLStudio">
    <vt:lpwstr/>
  </property>
  <property fmtid="{D5CDD505-2E9C-101B-9397-08002B2CF9AE}" pid="13" name="SendToEpades">
    <vt:lpwstr>OK - 2021/03/19 12:30</vt:lpwstr>
  </property>
  <property fmtid="{D5CDD505-2E9C-101B-9397-08002B2CF9AE}" pid="14" name="Bookout">
    <vt:lpwstr>OK - 2021/04/08 09:02</vt:lpwstr>
  </property>
</Properties>
</file>