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B5EB5" w:rsidRPr="00146302" w:rsidTr="006D69C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146302" w:rsidRDefault="00146302" w:rsidP="006D69C2">
            <w:pPr>
              <w:pStyle w:val="EPName"/>
            </w:pPr>
            <w:r w:rsidRPr="00146302">
              <w:t>Parlament Europejski</w:t>
            </w:r>
          </w:p>
          <w:p w:rsidR="00BE5062" w:rsidRPr="00146302" w:rsidRDefault="00146302" w:rsidP="004B700C">
            <w:pPr>
              <w:pStyle w:val="EPTerm"/>
            </w:pPr>
            <w:r w:rsidRPr="0014630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146302" w:rsidRDefault="00146302" w:rsidP="006D69C2">
            <w:pPr>
              <w:pStyle w:val="EPLogo"/>
            </w:pPr>
            <w:r w:rsidRPr="00146302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967231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146302" w:rsidRDefault="000E7234" w:rsidP="000E7234">
      <w:pPr>
        <w:pStyle w:val="LineTop"/>
      </w:pPr>
    </w:p>
    <w:p w:rsidR="000E7234" w:rsidRPr="00146302" w:rsidRDefault="00146302" w:rsidP="000E7234">
      <w:pPr>
        <w:pStyle w:val="EPBody"/>
      </w:pPr>
      <w:r w:rsidRPr="00146302">
        <w:rPr>
          <w:rStyle w:val="HideTWBExt"/>
          <w:noProof w:val="0"/>
        </w:rPr>
        <w:t>&lt;</w:t>
      </w:r>
      <w:r w:rsidRPr="00146302">
        <w:rPr>
          <w:rStyle w:val="HideTWBExt"/>
          <w:i w:val="0"/>
          <w:noProof w:val="0"/>
        </w:rPr>
        <w:t>Commission</w:t>
      </w:r>
      <w:r w:rsidRPr="00146302">
        <w:rPr>
          <w:rStyle w:val="HideTWBExt"/>
          <w:noProof w:val="0"/>
        </w:rPr>
        <w:t>&gt;</w:t>
      </w:r>
      <w:r w:rsidRPr="00146302">
        <w:rPr>
          <w:rStyle w:val="HideTWBInt"/>
          <w:color w:val="auto"/>
        </w:rPr>
        <w:t>{LIBE}</w:t>
      </w:r>
      <w:r w:rsidRPr="00146302">
        <w:t>Komisja Wolności Obywatelskich, Sprawiedliwości i Spraw Wewnętrznych</w:t>
      </w:r>
      <w:r w:rsidRPr="00146302">
        <w:rPr>
          <w:rStyle w:val="HideTWBExt"/>
          <w:noProof w:val="0"/>
        </w:rPr>
        <w:t>&lt;/</w:t>
      </w:r>
      <w:r w:rsidRPr="00146302">
        <w:rPr>
          <w:rStyle w:val="HideTWBExt"/>
          <w:i w:val="0"/>
          <w:noProof w:val="0"/>
        </w:rPr>
        <w:t>Commission</w:t>
      </w:r>
      <w:r w:rsidRPr="00146302">
        <w:rPr>
          <w:rStyle w:val="HideTWBExt"/>
          <w:noProof w:val="0"/>
        </w:rPr>
        <w:t>&gt;</w:t>
      </w:r>
    </w:p>
    <w:p w:rsidR="000E7234" w:rsidRPr="00146302" w:rsidRDefault="000E7234" w:rsidP="000E7234">
      <w:pPr>
        <w:pStyle w:val="LineBottom"/>
      </w:pPr>
    </w:p>
    <w:p w:rsidR="00B85286" w:rsidRPr="00146302" w:rsidRDefault="00146302">
      <w:pPr>
        <w:pStyle w:val="CoverReference"/>
      </w:pPr>
      <w:r w:rsidRPr="00146302">
        <w:rPr>
          <w:rStyle w:val="HideTWBExt"/>
          <w:b w:val="0"/>
          <w:noProof w:val="0"/>
        </w:rPr>
        <w:t>&lt;RefProc&gt;</w:t>
      </w:r>
      <w:r w:rsidRPr="00146302">
        <w:t>2016/0132</w:t>
      </w:r>
      <w:r w:rsidRPr="00146302">
        <w:rPr>
          <w:rStyle w:val="HideTWBExt"/>
          <w:b w:val="0"/>
          <w:noProof w:val="0"/>
        </w:rPr>
        <w:t>&lt;/RefProc&gt;&lt;RefTypeProc&gt;</w:t>
      </w:r>
      <w:r w:rsidRPr="00146302">
        <w:t>(COD)</w:t>
      </w:r>
      <w:r w:rsidRPr="00146302">
        <w:rPr>
          <w:rStyle w:val="HideTWBExt"/>
          <w:b w:val="0"/>
          <w:noProof w:val="0"/>
        </w:rPr>
        <w:t>&lt;/RefTypeProc&gt;</w:t>
      </w:r>
    </w:p>
    <w:p w:rsidR="00B85286" w:rsidRPr="00146302" w:rsidRDefault="00146302">
      <w:pPr>
        <w:pStyle w:val="CoverDate"/>
      </w:pPr>
      <w:r w:rsidRPr="00146302">
        <w:rPr>
          <w:rStyle w:val="HideTWBExt"/>
          <w:noProof w:val="0"/>
        </w:rPr>
        <w:t>&lt;Date&gt;</w:t>
      </w:r>
      <w:r w:rsidRPr="00146302">
        <w:rPr>
          <w:rStyle w:val="HideTWBInt"/>
          <w:color w:val="auto"/>
        </w:rPr>
        <w:t>{19/03/2021}</w:t>
      </w:r>
      <w:r w:rsidRPr="00146302">
        <w:t>19.03.2021</w:t>
      </w:r>
      <w:r w:rsidRPr="00146302">
        <w:rPr>
          <w:rStyle w:val="HideTWBExt"/>
          <w:noProof w:val="0"/>
        </w:rPr>
        <w:t>&lt;/Date&gt;</w:t>
      </w:r>
    </w:p>
    <w:p w:rsidR="009B0305" w:rsidRPr="00146302" w:rsidRDefault="00146302" w:rsidP="009B0305">
      <w:pPr>
        <w:pStyle w:val="CoverDocType"/>
      </w:pPr>
      <w:r w:rsidRPr="00146302">
        <w:rPr>
          <w:rStyle w:val="HideTWBExt"/>
          <w:b w:val="0"/>
          <w:noProof w:val="0"/>
        </w:rPr>
        <w:t>&lt;TypeAM&gt;</w:t>
      </w:r>
      <w:r w:rsidRPr="00146302">
        <w:t>POPRAWKI</w:t>
      </w:r>
      <w:r w:rsidRPr="00146302">
        <w:rPr>
          <w:rStyle w:val="HideTWBExt"/>
          <w:b w:val="0"/>
          <w:noProof w:val="0"/>
        </w:rPr>
        <w:t>&lt;/TypeAM&gt;</w:t>
      </w:r>
    </w:p>
    <w:p w:rsidR="00B85286" w:rsidRPr="00146302" w:rsidRDefault="00146302" w:rsidP="001C2054">
      <w:pPr>
        <w:pStyle w:val="CoverDocType24a"/>
      </w:pPr>
      <w:r w:rsidRPr="00146302">
        <w:rPr>
          <w:rStyle w:val="HideTWBExt"/>
          <w:b w:val="0"/>
          <w:noProof w:val="0"/>
        </w:rPr>
        <w:t>&lt;RangeAM&gt;</w:t>
      </w:r>
      <w:r w:rsidRPr="00146302">
        <w:t>1 - 37</w:t>
      </w:r>
      <w:r w:rsidRPr="00146302">
        <w:rPr>
          <w:rStyle w:val="HideTWBExt"/>
          <w:b w:val="0"/>
          <w:noProof w:val="0"/>
        </w:rPr>
        <w:t>&lt;/RangeAM&gt;</w:t>
      </w:r>
    </w:p>
    <w:p w:rsidR="001C2054" w:rsidRPr="00146302" w:rsidRDefault="00146302" w:rsidP="00A93F8C">
      <w:pPr>
        <w:pStyle w:val="CoverBold"/>
      </w:pPr>
      <w:r w:rsidRPr="00146302">
        <w:rPr>
          <w:rStyle w:val="HideTWBExt"/>
          <w:b w:val="0"/>
          <w:noProof w:val="0"/>
        </w:rPr>
        <w:t>&lt;TitreType&gt;</w:t>
      </w:r>
      <w:r w:rsidRPr="00146302">
        <w:t>Projekt zaktualizowanego mandatu</w:t>
      </w:r>
      <w:r w:rsidRPr="00146302">
        <w:rPr>
          <w:rStyle w:val="HideTWBExt"/>
          <w:b w:val="0"/>
          <w:noProof w:val="0"/>
        </w:rPr>
        <w:t>&lt;/TitreType&gt;</w:t>
      </w:r>
    </w:p>
    <w:p w:rsidR="00B85286" w:rsidRPr="00146302" w:rsidRDefault="00146302" w:rsidP="00A93F8C">
      <w:pPr>
        <w:pStyle w:val="CoverBold"/>
      </w:pPr>
      <w:r w:rsidRPr="00146302">
        <w:rPr>
          <w:rStyle w:val="HideTWBExt"/>
          <w:b w:val="0"/>
          <w:noProof w:val="0"/>
        </w:rPr>
        <w:t>&lt;Rapporteur&gt;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&lt;/Rapporteur&gt;</w:t>
      </w:r>
    </w:p>
    <w:p w:rsidR="00B85286" w:rsidRPr="00146302" w:rsidRDefault="00146302">
      <w:pPr>
        <w:pStyle w:val="CoverNormal24a"/>
      </w:pPr>
      <w:r w:rsidRPr="00146302">
        <w:rPr>
          <w:rStyle w:val="HideTWBExt"/>
          <w:noProof w:val="0"/>
        </w:rPr>
        <w:t>&lt;DocRefPE&gt;</w:t>
      </w:r>
      <w:r w:rsidRPr="00146302">
        <w:t>(PE597.620v02-00)</w:t>
      </w:r>
      <w:r w:rsidRPr="00146302">
        <w:rPr>
          <w:rStyle w:val="HideTWBExt"/>
          <w:noProof w:val="0"/>
        </w:rPr>
        <w:t>&lt;/DocRefPE&gt;</w:t>
      </w:r>
    </w:p>
    <w:p w:rsidR="00B85286" w:rsidRPr="00146302" w:rsidRDefault="00146302">
      <w:pPr>
        <w:pStyle w:val="CoverNormal24a"/>
      </w:pPr>
      <w:r w:rsidRPr="00146302">
        <w:rPr>
          <w:rStyle w:val="HideTWBExt"/>
          <w:noProof w:val="0"/>
        </w:rPr>
        <w:t>&lt;Titre&gt;</w:t>
      </w:r>
      <w:r w:rsidRPr="00146302">
        <w:t>w sprawie wniosku dotyczącego rozporządzenia Parlamentu Europejskiego i</w:t>
      </w:r>
      <w:r w:rsidRPr="00146302">
        <w:t xml:space="preserve"> Rady w sprawie ustanowienia systemu Eurodac do porównywania danych biometrycznych w celu skutecznego stosowania rozporządzenia (UE) XXX/XXX [Rozporządzenie w sprawie zarządzania azylem i migracją] i rozporządzenia (UE) XXX/XXX [Rozporządzenie w sprawie pr</w:t>
      </w:r>
      <w:r w:rsidRPr="00146302">
        <w:t>zesiedleń] na potrzeby identyfikowania nielegalnie przebywających obywateli państw trzecich lub bezpaństwowców oraz w sprawie występowania o porównanie z danymi Eurodac przez organy ścigania państw członkowskich i Europol na potrzeby ochrony porządku publi</w:t>
      </w:r>
      <w:r w:rsidRPr="00146302">
        <w:t xml:space="preserve">cznego oraz zmieniające rozporządzenia (UE) 2018/1240 i (UE) 2019/818 </w:t>
      </w:r>
      <w:r w:rsidRPr="00146302">
        <w:rPr>
          <w:rStyle w:val="HideTWBExt"/>
          <w:noProof w:val="0"/>
        </w:rPr>
        <w:t>&lt;/Titre&gt;</w:t>
      </w:r>
    </w:p>
    <w:p w:rsidR="006337D4" w:rsidRPr="00146302" w:rsidRDefault="00146302" w:rsidP="006337D4">
      <w:pPr>
        <w:pStyle w:val="CoverNormal"/>
      </w:pPr>
      <w:r w:rsidRPr="00146302">
        <w:rPr>
          <w:rStyle w:val="HideTWBExt"/>
          <w:noProof w:val="0"/>
        </w:rPr>
        <w:t>&lt;DocAmend&gt;</w:t>
      </w:r>
      <w:r w:rsidRPr="00146302">
        <w:t>Zmieniony wniosek dotyczący rozporządzenia</w:t>
      </w:r>
      <w:r w:rsidRPr="00146302">
        <w:rPr>
          <w:rStyle w:val="HideTWBExt"/>
          <w:noProof w:val="0"/>
        </w:rPr>
        <w:t>&lt;/DocAmend&gt;</w:t>
      </w:r>
    </w:p>
    <w:p w:rsidR="00B85286" w:rsidRPr="00146302" w:rsidRDefault="00146302">
      <w:pPr>
        <w:pStyle w:val="CoverNormal24a"/>
      </w:pPr>
      <w:r w:rsidRPr="00146302">
        <w:rPr>
          <w:rStyle w:val="HideTWBExt"/>
          <w:noProof w:val="0"/>
        </w:rPr>
        <w:t>&lt;DocRef&gt;</w:t>
      </w:r>
      <w:r w:rsidRPr="00146302">
        <w:t xml:space="preserve">COM (2020)0614 – C8-0179/2016 – </w:t>
      </w:r>
      <w:bookmarkStart w:id="0" w:name="_GoBack"/>
      <w:bookmarkEnd w:id="0"/>
      <w:r w:rsidRPr="00146302">
        <w:t>2016/0132(COD))</w:t>
      </w:r>
      <w:r w:rsidRPr="00146302">
        <w:rPr>
          <w:rStyle w:val="HideTWBExt"/>
          <w:noProof w:val="0"/>
        </w:rPr>
        <w:t>&lt;/DocRef&gt;</w:t>
      </w:r>
    </w:p>
    <w:p w:rsidR="00B85286" w:rsidRPr="00146302" w:rsidRDefault="00146302" w:rsidP="00E660E2">
      <w:pPr>
        <w:widowControl/>
        <w:tabs>
          <w:tab w:val="center" w:pos="4677"/>
        </w:tabs>
      </w:pPr>
      <w:r w:rsidRPr="00146302">
        <w:br w:type="page"/>
      </w:r>
      <w:r w:rsidRPr="00146302">
        <w:lastRenderedPageBreak/>
        <w:t>AM_Com_LegReport</w:t>
      </w:r>
    </w:p>
    <w:p w:rsidR="006C1CE1" w:rsidRPr="00146302" w:rsidRDefault="00146302" w:rsidP="00EC4B67">
      <w:pPr>
        <w:pStyle w:val="AmNumberTabs"/>
        <w:keepNext/>
      </w:pPr>
      <w:r w:rsidRPr="00146302">
        <w:br w:type="page"/>
      </w:r>
      <w:bookmarkStart w:id="1" w:name="IntroB"/>
    </w:p>
    <w:p w:rsidR="006C1CE1" w:rsidRPr="00146302" w:rsidRDefault="006C1CE1" w:rsidP="006C1CE1"/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&lt;RepeatBlock-Amend&gt;&lt;Amend&gt;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Umocowanie 1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 xml:space="preserve">uwzględniając Traktat </w:t>
            </w:r>
            <w:r w:rsidRPr="00146302">
              <w:t>o funkcjonowaniu Unii Europejskiej, w szczególności jego art. 78 ust. 2 lit. d), e) i g), art. 79 ust. 2 lit. c), art. 87 ust. 2 lit. c) i art. 88 ust. 2 lit. a),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uwzględniając Traktat o funkcjonowaniu Unii Europejskiej, w szczególności jego art. 78 ust. 2</w:t>
            </w:r>
            <w:r w:rsidRPr="00146302">
              <w:t xml:space="preserve"> lit. d), e) i g), art. 79 ust. 2 lit. c), art. 87 ust. 2 lit. </w:t>
            </w:r>
            <w:r w:rsidRPr="00146302">
              <w:rPr>
                <w:b/>
                <w:i/>
              </w:rPr>
              <w:t xml:space="preserve">a) i </w:t>
            </w:r>
            <w:r w:rsidRPr="00146302">
              <w:t>c) i art. 88 ust. 2 lit. a),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pPr>
        <w:pStyle w:val="JustificationTitle"/>
        <w:rPr>
          <w:noProof w:val="0"/>
        </w:rPr>
      </w:pPr>
      <w:r w:rsidRPr="00146302">
        <w:rPr>
          <w:rStyle w:val="HideTWBExt"/>
          <w:i w:val="0"/>
          <w:noProof w:val="0"/>
        </w:rPr>
        <w:t>&lt;TitreJust&gt;</w:t>
      </w:r>
      <w:r w:rsidRPr="00146302">
        <w:rPr>
          <w:noProof w:val="0"/>
        </w:rPr>
        <w:t>Uzasadnienie</w:t>
      </w:r>
      <w:r w:rsidRPr="00146302">
        <w:rPr>
          <w:rStyle w:val="HideTWBExt"/>
          <w:i w:val="0"/>
          <w:noProof w:val="0"/>
        </w:rPr>
        <w:t>&lt;/TitreJust&gt;</w:t>
      </w:r>
    </w:p>
    <w:p w:rsidR="006C1CE1" w:rsidRPr="00146302" w:rsidRDefault="00146302" w:rsidP="006C1CE1">
      <w:pPr>
        <w:pStyle w:val="Normal12Italic"/>
        <w:rPr>
          <w:noProof w:val="0"/>
        </w:rPr>
      </w:pPr>
      <w:r w:rsidRPr="00146302">
        <w:rPr>
          <w:noProof w:val="0"/>
        </w:rPr>
        <w:t>Podstawa prawna dotycząca elementów związanych z gromadzeniem, przechowywaniem, przetwarza</w:t>
      </w:r>
      <w:r w:rsidRPr="00146302">
        <w:rPr>
          <w:noProof w:val="0"/>
        </w:rPr>
        <w:t>niem, analizą i wymianą istotnych informacji do celów egzekwowania prawa (umowa tymczasowa – część żółta)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 xml:space="preserve">Wniosek dotyczący </w:t>
      </w:r>
      <w:r w:rsidRPr="00146302">
        <w:t>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Preambuła – Punkt 2 – Motyw 5b a (nowy)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4E4907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(5b a)</w:t>
            </w:r>
            <w:r w:rsidRPr="00146302">
              <w:rPr>
                <w:b/>
                <w:i/>
              </w:rPr>
              <w:tab/>
              <w:t>Do celów wykonywania zadań określonych w rozporządzeniu Parlamentu Europejskiego i Rady (UE) 2019/1896</w:t>
            </w:r>
            <w:r w:rsidRPr="00146302">
              <w:rPr>
                <w:b/>
                <w:i/>
                <w:vertAlign w:val="superscript"/>
              </w:rPr>
              <w:t>1a</w:t>
            </w:r>
            <w:r w:rsidRPr="00146302">
              <w:rPr>
                <w:b/>
                <w:i/>
              </w:rPr>
              <w:t xml:space="preserve"> stała służba Europejskiej Straży Granicznej i Przybrzeżnej musi mieć również dostęp do Eurodac w celu przeszukiwania danych za pośrednictwem własnego interfejsu technicznego, który eu-LISA powinna opracować i utrzymywać we współpracy z Europejską Agencją </w:t>
            </w:r>
            <w:r w:rsidRPr="00146302">
              <w:rPr>
                <w:b/>
                <w:i/>
              </w:rPr>
              <w:t xml:space="preserve">Straży Granicznej i Przybrzeżnej. Doświadczenie operacyjne zdobyte podczas wcześniejszych rozmieszczeń personelu Europejskiej Agencji Straży Granicznej i Przybrzeżnej wskazuje na </w:t>
            </w:r>
            <w:r w:rsidRPr="00146302">
              <w:rPr>
                <w:b/>
                <w:i/>
              </w:rPr>
              <w:lastRenderedPageBreak/>
              <w:t>trudności, jakie członkowie zespołów napotykają z prawnego, technicznego i pr</w:t>
            </w:r>
            <w:r w:rsidRPr="00146302">
              <w:rPr>
                <w:b/>
                <w:i/>
              </w:rPr>
              <w:t>aktycznego punktu widzenia w korzystaniu z krajowych systemów informatycznych lub interfejsów w celu uzyskania dostępu do Eurodac. Aby zmaksymalizować swoje wsparcie i zdolności operacyjne, Europejska Agencja Straży Granicznej i Przybrzeżnej powinna mieć m</w:t>
            </w:r>
            <w:r w:rsidRPr="00146302">
              <w:rPr>
                <w:b/>
                <w:i/>
              </w:rPr>
              <w:t>ożliwość korzystania z własnych zdolności, które obejmują również prawidłowo funkcjonujące systemy informatyczne.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36AAB" w:rsidRPr="00146302" w:rsidRDefault="00636AAB" w:rsidP="006D69C2">
            <w:pPr>
              <w:pStyle w:val="Normal6"/>
            </w:pPr>
          </w:p>
        </w:tc>
        <w:tc>
          <w:tcPr>
            <w:tcW w:w="4876" w:type="dxa"/>
          </w:tcPr>
          <w:p w:rsidR="00636AAB" w:rsidRPr="00146302" w:rsidRDefault="00146302" w:rsidP="00636AAB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______________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36AAB" w:rsidRPr="00146302" w:rsidRDefault="00636AAB" w:rsidP="006D69C2">
            <w:pPr>
              <w:pStyle w:val="Normal6"/>
            </w:pPr>
          </w:p>
        </w:tc>
        <w:tc>
          <w:tcPr>
            <w:tcW w:w="4876" w:type="dxa"/>
          </w:tcPr>
          <w:p w:rsidR="00636AAB" w:rsidRPr="00146302" w:rsidRDefault="00146302" w:rsidP="00636AAB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  <w:vertAlign w:val="superscript"/>
              </w:rPr>
              <w:t>1a</w:t>
            </w:r>
            <w:r w:rsidRPr="00146302">
              <w:rPr>
                <w:b/>
                <w:i/>
              </w:rPr>
              <w:tab/>
              <w:t xml:space="preserve">Rozporządzenie Parlamentu Europejskiego i Rady (UE) 2019/1896 z dnia 13 listopada 2019 r. w sprawie Europejskiej Straży </w:t>
            </w:r>
            <w:r w:rsidRPr="00146302">
              <w:rPr>
                <w:b/>
                <w:i/>
              </w:rPr>
              <w:t>Granicznej i Przybrzeżnej oraz uchylenia rozporządzeń (UE) nr 1052/2013 i (UE) 2016/1624, Dz.U. L 295 z 14.11.2019, s. 1.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3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 xml:space="preserve">Preambuła – Punkt 2 – Motyw 5c 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CD7BAF">
            <w:pPr>
              <w:pStyle w:val="Normal6"/>
            </w:pPr>
            <w:r w:rsidRPr="00146302">
              <w:t>(5c)</w:t>
            </w:r>
            <w:r w:rsidRPr="00146302">
              <w:tab/>
              <w:t xml:space="preserve">Podobnie do celów </w:t>
            </w:r>
            <w:r w:rsidRPr="00146302">
              <w:rPr>
                <w:b/>
                <w:i/>
              </w:rPr>
              <w:t>zarządzania migracją nieuregulowaną</w:t>
            </w:r>
            <w:r w:rsidRPr="00146302">
              <w:t xml:space="preserve"> konieczne jest umożliwienie agencji eu-LISA sporządzania statystyk międzysystemowych przy wykorzystaniu danych z</w:t>
            </w:r>
            <w:r w:rsidRPr="00146302">
              <w:rPr>
                <w:b/>
                <w:i/>
              </w:rPr>
              <w:t> </w:t>
            </w:r>
            <w:r w:rsidRPr="00146302">
              <w:t xml:space="preserve">Eurodac, wizowego systemu informacyjnego, ETIAS </w:t>
            </w:r>
            <w:r w:rsidRPr="00146302">
              <w:rPr>
                <w:b/>
                <w:i/>
              </w:rPr>
              <w:t>i </w:t>
            </w:r>
            <w:r w:rsidRPr="00146302">
              <w:t>systemu wjazdu/wyjazdu. Na potrzeby określenia treści tych statystyk międzysystemowych Komis</w:t>
            </w:r>
            <w:r w:rsidRPr="00146302">
              <w:t xml:space="preserve">ja powinna otrzymać uprawnienia wykonawcze. Uprawnienia te powinny być wykonywane zgodnie z rozporządzeniem Parlamentu Europejskiego i Rady (UE) </w:t>
            </w:r>
            <w:r w:rsidRPr="00146302">
              <w:lastRenderedPageBreak/>
              <w:t>nr 182/2011 z dnia 16 lutego 2011 r. ustanawiającym przepisy i zasady ogólne dotyczące trybu kontroli przez pań</w:t>
            </w:r>
            <w:r w:rsidRPr="00146302">
              <w:t>stwa członkowskie wykonywania uprawnień wykonawczych przez Komisję.”;</w:t>
            </w:r>
          </w:p>
        </w:tc>
        <w:tc>
          <w:tcPr>
            <w:tcW w:w="4876" w:type="dxa"/>
          </w:tcPr>
          <w:p w:rsidR="006C1CE1" w:rsidRPr="00146302" w:rsidRDefault="00146302" w:rsidP="00CD7BAF">
            <w:pPr>
              <w:pStyle w:val="Normal6"/>
              <w:rPr>
                <w:szCs w:val="24"/>
              </w:rPr>
            </w:pPr>
            <w:r w:rsidRPr="00146302">
              <w:lastRenderedPageBreak/>
              <w:t>(5c)</w:t>
            </w:r>
            <w:r w:rsidRPr="00146302">
              <w:tab/>
              <w:t xml:space="preserve">Podobnie do celów </w:t>
            </w:r>
            <w:r w:rsidRPr="00146302">
              <w:rPr>
                <w:b/>
                <w:i/>
              </w:rPr>
              <w:t>zapewnienia państwom członkowskim wsparcia w kontrolowaniu nielegalnej imigracji</w:t>
            </w:r>
            <w:r w:rsidRPr="00146302">
              <w:t xml:space="preserve"> konieczne jest umożliwienie agencji eu-LISA sporządzania statystyk międzysystemowy</w:t>
            </w:r>
            <w:r w:rsidRPr="00146302">
              <w:t>ch przy wykorzystaniu danych z</w:t>
            </w:r>
            <w:r w:rsidRPr="00146302">
              <w:rPr>
                <w:b/>
                <w:i/>
              </w:rPr>
              <w:t xml:space="preserve"> odpowiednich unijnych baz danych, w szczególności </w:t>
            </w:r>
            <w:r w:rsidRPr="00146302">
              <w:t>Eurodac, wizowego systemu informacyjnego, ETIAS</w:t>
            </w:r>
            <w:r w:rsidRPr="00146302">
              <w:rPr>
                <w:b/>
                <w:i/>
              </w:rPr>
              <w:t>,</w:t>
            </w:r>
            <w:r w:rsidRPr="00146302">
              <w:t xml:space="preserve"> systemu wjazdu/wyjazdu</w:t>
            </w:r>
            <w:r w:rsidRPr="00146302">
              <w:rPr>
                <w:b/>
                <w:i/>
              </w:rPr>
              <w:t xml:space="preserve"> i Systemu Informacyjnego Schengen</w:t>
            </w:r>
            <w:r w:rsidRPr="00146302">
              <w:t>. Na potrzeby określenia treści tych statystyk międzysystemowych Komis</w:t>
            </w:r>
            <w:r w:rsidRPr="00146302">
              <w:t xml:space="preserve">ja powinna </w:t>
            </w:r>
            <w:r w:rsidRPr="00146302">
              <w:lastRenderedPageBreak/>
              <w:t>otrzymać uprawnienia wykonawcze. Uprawnienia te powinny być wykonywane zgodnie z rozporządzeniem Parlamentu Europejskiego i Rady (UE) nr 182/2011 z dnia 16 lutego 2011 r. ustanawiającym przepisy i zasady ogólne dotyczące trybu kontroli przez pań</w:t>
            </w:r>
            <w:r w:rsidRPr="00146302">
              <w:t>stwa członkowskie wykonywania uprawnień wykonawczych przez Komisję.”;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4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 xml:space="preserve">Wniosek dotyczący </w:t>
      </w:r>
      <w:r w:rsidRPr="00146302">
        <w:t>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Preambuła – Punkt 3 – Motyw 6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(6)</w:t>
            </w:r>
            <w:r w:rsidRPr="00146302">
              <w:tab/>
            </w:r>
            <w:r w:rsidRPr="00146302">
              <w:t>„W tych celach niezbędne jest ustanowienie systemu o nazwie Eurodac, składającego się z systemu centralnego i wspólnego repozytorium danych umożliwiających identyfikację, ustanowionego rozporządzeniem (UE) 2019/818, które to narzędzia będą obsługiwały skom</w:t>
            </w:r>
            <w:r w:rsidRPr="00146302">
              <w:t>puteryzowaną centralną bazę danych biometrycznych, a także z elektronicznych narzędzi przesyłania danych między nimi [systemem centralnym i wspólnym repozytorium danych umożliwiających identyfikację] a państwami członkowskimi, zwanych dalej „infrastrukturą</w:t>
            </w:r>
            <w:r w:rsidRPr="00146302">
              <w:t xml:space="preserve"> łączności”.”;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(6)</w:t>
            </w:r>
            <w:r w:rsidRPr="00146302">
              <w:tab/>
              <w:t>„W tych celach niezbędne jest ustanowienie systemu o nazwie Eurodac, składającego się z systemu centralnego i wspólnego repozytorium danych umożliwiających identyfikację, ustanowionego rozporządzeniem (UE) 2019/818, które to narzędzia bę</w:t>
            </w:r>
            <w:r w:rsidRPr="00146302">
              <w:t>dą obsługiwały skomputeryzowaną centralną bazę danych biometrycznych</w:t>
            </w:r>
            <w:r w:rsidRPr="00146302">
              <w:rPr>
                <w:b/>
                <w:i/>
              </w:rPr>
              <w:t xml:space="preserve"> i alfanumerycznych</w:t>
            </w:r>
            <w:r w:rsidRPr="00146302">
              <w:t>, a także z elektronicznych narzędzi przesyłania danych między nimi [systemem centralnym i wspólnym repozytorium danych umożliwiających identyfikację] a państwami członk</w:t>
            </w:r>
            <w:r w:rsidRPr="00146302">
              <w:t>owskimi, zwanych dalej „infrastrukturą łączności”.”;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5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</w:t>
      </w:r>
      <w:r w:rsidRPr="00146302">
        <w:rPr>
          <w:rStyle w:val="HideTWBExt"/>
          <w:b w:val="0"/>
          <w:noProof w:val="0"/>
        </w:rPr>
        <w:t>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Preambuła – Punkt 5 – Motyw 14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(14)</w:t>
            </w:r>
            <w:r w:rsidRPr="00146302">
              <w:tab/>
              <w:t xml:space="preserve">„Ponadto, aby Eurodac mógł stanowić skuteczną pomoc w kontrolowaniu </w:t>
            </w:r>
            <w:r w:rsidRPr="00146302">
              <w:rPr>
                <w:b/>
                <w:i/>
              </w:rPr>
              <w:t>migracji nieuregulowanej</w:t>
            </w:r>
            <w:r w:rsidRPr="00146302">
              <w:t xml:space="preserve"> oraz wykrywaniu wtórnego przemieszczania się w obrębie </w:t>
            </w:r>
            <w:r w:rsidRPr="00146302">
              <w:rPr>
                <w:b/>
                <w:i/>
              </w:rPr>
              <w:t>UE</w:t>
            </w:r>
            <w:r w:rsidRPr="00146302">
              <w:t>, konieczne jest zapewnienie, aby system mógł liczyć osoby ubiegające się o ochronę międzynarodową, a nie tylko same wnioski, poprzez powiązanie wszystkich zestawów danych dotyczących jednej osoby, niezależnie od ich kategorii, w ramach jednej sekwencji.”;</w:t>
            </w:r>
          </w:p>
        </w:tc>
        <w:tc>
          <w:tcPr>
            <w:tcW w:w="4876" w:type="dxa"/>
          </w:tcPr>
          <w:p w:rsidR="006C1CE1" w:rsidRPr="00146302" w:rsidRDefault="00146302" w:rsidP="00CD7BAF">
            <w:pPr>
              <w:pStyle w:val="Normal6"/>
              <w:rPr>
                <w:szCs w:val="24"/>
              </w:rPr>
            </w:pPr>
            <w:r w:rsidRPr="00146302">
              <w:t>(14)</w:t>
            </w:r>
            <w:r w:rsidRPr="00146302">
              <w:tab/>
              <w:t xml:space="preserve">„Ponadto, aby Eurodac mógł stanowić skuteczną pomoc w kontrolowaniu </w:t>
            </w:r>
            <w:r w:rsidRPr="00146302">
              <w:rPr>
                <w:b/>
                <w:i/>
              </w:rPr>
              <w:t>nielegalnej imigracji do Unii</w:t>
            </w:r>
            <w:r w:rsidRPr="00146302">
              <w:t xml:space="preserve"> oraz wykrywaniu wtórnego przemieszczania się w obrębie </w:t>
            </w:r>
            <w:r w:rsidRPr="00146302">
              <w:rPr>
                <w:b/>
                <w:i/>
              </w:rPr>
              <w:t>Unii</w:t>
            </w:r>
            <w:r w:rsidRPr="00146302">
              <w:t>, konieczne jest zapewnienie, aby system mógł liczyć osoby ubiegające się o ochronę międzynar</w:t>
            </w:r>
            <w:r w:rsidRPr="00146302">
              <w:t>odową, a nie tylko same wnioski, poprzez powiązanie wszystkich zestawów danych dotyczących jednej osoby, niezależnie od ich kategorii, w ramach jednej sekwencji.”;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6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</w:t>
      </w:r>
      <w:r w:rsidRPr="00146302">
        <w:rPr>
          <w:rStyle w:val="HideTWBExt"/>
          <w:b w:val="0"/>
          <w:noProof w:val="0"/>
        </w:rPr>
        <w:t>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9 – Artykuł 1 – ustęp 1 – litera c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c)</w:t>
            </w:r>
            <w:r w:rsidRPr="00146302">
              <w:tab/>
            </w:r>
            <w:r w:rsidRPr="00146302">
              <w:t xml:space="preserve">zapewnianie wsparcia w kontrolowaniu </w:t>
            </w:r>
            <w:r w:rsidRPr="00146302">
              <w:rPr>
                <w:b/>
                <w:i/>
              </w:rPr>
              <w:t>imigracji nieuregulowanej</w:t>
            </w:r>
            <w:r w:rsidRPr="00146302">
              <w:t xml:space="preserve"> do Unii oraz w wykrywaniu wtórnych przepływów w obrębie Unii oraz w identyfikowaniu nielegalnie przebywających obywateli państw trzecich i bezpaństwowców służącego podejmowaniu odpowiednich kro</w:t>
            </w:r>
            <w:r w:rsidRPr="00146302">
              <w:t>ków przez państwa członkowskie ;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c)</w:t>
            </w:r>
            <w:r w:rsidRPr="00146302">
              <w:tab/>
              <w:t xml:space="preserve">zapewnianie wsparcia w kontrolowaniu </w:t>
            </w:r>
            <w:r w:rsidRPr="00146302">
              <w:rPr>
                <w:b/>
                <w:i/>
              </w:rPr>
              <w:t>nielegalnej imigracji</w:t>
            </w:r>
            <w:r w:rsidRPr="00146302">
              <w:t xml:space="preserve"> do Unii oraz w wykrywaniu wtórnych przepływów w obrębie Unii oraz w identyfikowaniu nielegalnie przebywających obywateli państw trzecich i bezpaństwowców służące</w:t>
            </w:r>
            <w:r w:rsidRPr="00146302">
              <w:t>go podejmowaniu odpowiednich kroków przez państwa członkowskie ;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7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 xml:space="preserve">Wniosek dotyczący </w:t>
      </w:r>
      <w:r w:rsidRPr="00146302">
        <w:t>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9 – Artykuł 1 – ustęp 1 – litera d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d)</w:t>
            </w:r>
            <w:r w:rsidRPr="00146302">
              <w:tab/>
              <w:t>ustanowienie warunków, na jakich wyznaczone organy państw członkowskich oraz Europejski Urząd Policji (E</w:t>
            </w:r>
            <w:r w:rsidRPr="00146302">
              <w:t>uropol) mogą występować z wnioskiem o porównanie danych biometrycznych lub alfanumerycznych z danymi przechowywanymi w systemie centralnym na potrzeby ochrony porządku publicznego w celu zapobiegania przestępstwom terrorystycznym i innym poważnym przestęps</w:t>
            </w:r>
            <w:r w:rsidRPr="00146302">
              <w:t>twom, wykrywania ich lub prowadzenia dochodzeń w ich sprawie;</w:t>
            </w:r>
          </w:p>
        </w:tc>
        <w:tc>
          <w:tcPr>
            <w:tcW w:w="4876" w:type="dxa"/>
          </w:tcPr>
          <w:p w:rsidR="006C1CE1" w:rsidRPr="00146302" w:rsidRDefault="00146302" w:rsidP="00813143">
            <w:pPr>
              <w:pStyle w:val="Normal6"/>
              <w:rPr>
                <w:szCs w:val="24"/>
              </w:rPr>
            </w:pPr>
            <w:r w:rsidRPr="00146302">
              <w:t>d)</w:t>
            </w:r>
            <w:r w:rsidRPr="00146302">
              <w:tab/>
            </w:r>
            <w:r w:rsidRPr="00146302">
              <w:t xml:space="preserve">ustanowienie warunków, na jakich wyznaczone organy państw członkowskich oraz Europejski Urząd Policji (Europol) mogą występować z wnioskiem o porównanie danych biometrycznych lub alfanumerycznych z danymi przechowywanymi w systemie centralnym </w:t>
            </w:r>
            <w:r w:rsidRPr="00146302">
              <w:rPr>
                <w:b/>
                <w:i/>
              </w:rPr>
              <w:t>i we wspólnym</w:t>
            </w:r>
            <w:r w:rsidRPr="00146302">
              <w:rPr>
                <w:b/>
                <w:i/>
              </w:rPr>
              <w:t xml:space="preserve"> repozytorium danych umożliwiających identyfikację (CIR) </w:t>
            </w:r>
            <w:r w:rsidRPr="00146302">
              <w:t>na potrzeby ochrony porządku publicznego w celu zapobiegania przestępstwom terrorystycznym i innym poważnym przestępstwom, wykrywania ich lub prowadzenia dochodzeń w ich sprawie;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</w:t>
      </w:r>
      <w:r w:rsidRPr="00146302">
        <w:rPr>
          <w:noProof w:val="0"/>
        </w:rPr>
        <w:t>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8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9 – Artykuł 1 – ustęp 2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211B5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2.</w:t>
            </w:r>
            <w:r w:rsidRPr="00146302">
              <w:tab/>
            </w:r>
            <w:r w:rsidRPr="00146302">
              <w:rPr>
                <w:b/>
                <w:i/>
              </w:rPr>
              <w:t>Bez uszczerbku dla</w:t>
            </w:r>
            <w:r w:rsidRPr="00146302">
              <w:t xml:space="preserve"> możliwości przetwarzania danych przeznaczonych do Eurodac przez państwo członkowskie pochodzenia w bazach danych ustanowionych na mocy prawa krajowego tego państwa członkowskiego, dane biometryczne i inne dane osobowe mogą być przetwarzane w Eurodac tylko</w:t>
            </w:r>
            <w:r w:rsidRPr="00146302">
              <w:t xml:space="preserve"> w celach określonych w niniejszym rozporządzeniu</w:t>
            </w:r>
            <w:r w:rsidRPr="00146302">
              <w:rPr>
                <w:b/>
                <w:i/>
              </w:rPr>
              <w:t>,</w:t>
            </w:r>
            <w:r w:rsidRPr="00146302">
              <w:t xml:space="preserve"> w </w:t>
            </w:r>
            <w:r w:rsidRPr="00146302">
              <w:rPr>
                <w:b/>
                <w:i/>
              </w:rPr>
              <w:t>rozporządzeniu</w:t>
            </w:r>
            <w:r w:rsidRPr="00146302">
              <w:t xml:space="preserve"> (UE) XXX/XXX [Rozporządzenie w sprawie zarządzania azylem i migracją]</w:t>
            </w:r>
            <w:r w:rsidRPr="00146302">
              <w:rPr>
                <w:b/>
                <w:i/>
              </w:rPr>
              <w:t xml:space="preserve"> oraz</w:t>
            </w:r>
            <w:r w:rsidRPr="00146302">
              <w:t xml:space="preserve"> w </w:t>
            </w:r>
            <w:r w:rsidRPr="00146302">
              <w:rPr>
                <w:b/>
                <w:i/>
              </w:rPr>
              <w:t>rozporządzeniu</w:t>
            </w:r>
            <w:r w:rsidRPr="00146302">
              <w:t xml:space="preserve"> (UE) XXX/XXX [Rozporządzenie w</w:t>
            </w:r>
            <w:r w:rsidRPr="00146302">
              <w:rPr>
                <w:b/>
                <w:i/>
              </w:rPr>
              <w:t> </w:t>
            </w:r>
            <w:r w:rsidRPr="00146302">
              <w:t xml:space="preserve">sprawie </w:t>
            </w:r>
            <w:r w:rsidRPr="00146302">
              <w:rPr>
                <w:b/>
                <w:i/>
              </w:rPr>
              <w:t>przesiedleń]</w:t>
            </w:r>
            <w:r w:rsidRPr="00146302">
              <w:t>.</w:t>
            </w:r>
            <w:r w:rsidRPr="00146302">
              <w:rPr>
                <w:b/>
                <w:i/>
              </w:rPr>
              <w:t>”</w:t>
            </w:r>
            <w:r w:rsidRPr="00146302">
              <w:t>;</w:t>
            </w:r>
          </w:p>
        </w:tc>
        <w:tc>
          <w:tcPr>
            <w:tcW w:w="4876" w:type="dxa"/>
          </w:tcPr>
          <w:p w:rsidR="006C1CE1" w:rsidRPr="00146302" w:rsidRDefault="00146302" w:rsidP="00813143">
            <w:pPr>
              <w:pStyle w:val="Normal6"/>
              <w:rPr>
                <w:szCs w:val="24"/>
              </w:rPr>
            </w:pPr>
            <w:r w:rsidRPr="00146302">
              <w:t>2.</w:t>
            </w:r>
            <w:r w:rsidRPr="00146302">
              <w:tab/>
            </w:r>
            <w:r w:rsidRPr="00146302">
              <w:rPr>
                <w:b/>
                <w:i/>
              </w:rPr>
              <w:t>Z zastrzeżeniem</w:t>
            </w:r>
            <w:r w:rsidRPr="00146302">
              <w:t xml:space="preserve"> możliwości przetwarzan</w:t>
            </w:r>
            <w:r w:rsidRPr="00146302">
              <w:t>ia danych przeznaczonych do Eurodac przez państwo członkowskie pochodzenia w bazach danych ustanowionych na mocy prawa krajowego tego państwa członkowskiego, dane biometryczne i inne dane osobowe mogą być przetwarzane w Eurodac tylko w celach określonych w</w:t>
            </w:r>
            <w:r w:rsidRPr="00146302">
              <w:t> niniejszym rozporządzeniu</w:t>
            </w:r>
            <w:r w:rsidRPr="00146302">
              <w:rPr>
                <w:b/>
                <w:i/>
              </w:rPr>
              <w:t xml:space="preserve"> i</w:t>
            </w:r>
            <w:r w:rsidRPr="00146302">
              <w:t xml:space="preserve"> w </w:t>
            </w:r>
            <w:r w:rsidRPr="00146302">
              <w:rPr>
                <w:b/>
                <w:i/>
              </w:rPr>
              <w:t>rozporządzeniach</w:t>
            </w:r>
            <w:r w:rsidRPr="00146302">
              <w:t xml:space="preserve"> (UE) XXX/XXX [rozporządzenie w sprawie zarządzania azylem i migracją]</w:t>
            </w:r>
            <w:r w:rsidRPr="00146302">
              <w:rPr>
                <w:b/>
                <w:i/>
              </w:rPr>
              <w:t>, (UE) XXX/XXX [rozporządzenie</w:t>
            </w:r>
            <w:r w:rsidRPr="00146302">
              <w:t xml:space="preserve"> w </w:t>
            </w:r>
            <w:r w:rsidRPr="00146302">
              <w:rPr>
                <w:b/>
                <w:i/>
              </w:rPr>
              <w:t>sprawie przesiedleń], (UE) 2019/818,</w:t>
            </w:r>
            <w:r w:rsidRPr="00146302">
              <w:t xml:space="preserve"> (UE) XXX/XXX [rozporządzenie w</w:t>
            </w:r>
            <w:r w:rsidRPr="00146302">
              <w:rPr>
                <w:b/>
                <w:i/>
              </w:rPr>
              <w:t xml:space="preserve"> </w:t>
            </w:r>
            <w:r w:rsidRPr="00146302">
              <w:t xml:space="preserve">sprawie </w:t>
            </w:r>
            <w:r w:rsidRPr="00146302">
              <w:rPr>
                <w:b/>
                <w:i/>
              </w:rPr>
              <w:t>VIS] oraz (UE) 2018/1240</w:t>
            </w:r>
            <w:r w:rsidRPr="00146302">
              <w:t>.</w:t>
            </w:r>
            <w:r w:rsidRPr="00146302">
              <w:rPr>
                <w:b/>
                <w:i/>
              </w:rPr>
              <w:t>’</w:t>
            </w:r>
            <w:r w:rsidRPr="00146302">
              <w:t>;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>O</w:t>
      </w:r>
      <w:r w:rsidRPr="00146302">
        <w:rPr>
          <w:noProof w:val="0"/>
        </w:rPr>
        <w:t xml:space="preserve">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lastRenderedPageBreak/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9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 xml:space="preserve">Część normatywna – Punkt 10 (-a) (nowy) – </w:t>
      </w:r>
      <w:r w:rsidRPr="00146302">
        <w:t>Artykuł 3 – ustęp 1 – litera a a (nowa)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813143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aa)</w:t>
            </w:r>
            <w:r w:rsidRPr="00146302">
              <w:rPr>
                <w:b/>
                <w:i/>
              </w:rPr>
              <w:tab/>
              <w:t xml:space="preserve">„przesiedlony obywatel państwa trzeciego lub bezpaństwowiec” oznacza obywatela państwa trzeciego lub bezpaństwowca, który w następstwie procedury </w:t>
            </w:r>
            <w:r w:rsidRPr="00146302">
              <w:rPr>
                <w:b/>
                <w:i/>
              </w:rPr>
              <w:t>przesiedlenia zgodnie z prawem krajowym lub z [rozporządzeniem (UE) XXX/XXX] [rozporządzenie w sprawie przesiedleń] przybywa na terytorium państwa członkowskiego przesiedlenia;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10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</w:t>
      </w:r>
      <w:r w:rsidRPr="00146302">
        <w:rPr>
          <w:rStyle w:val="HideTWBExt"/>
          <w:b w:val="0"/>
          <w:noProof w:val="0"/>
        </w:rPr>
        <w:t>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11 – Artykuł 4 – ustęp 6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6.</w:t>
            </w:r>
            <w:r w:rsidRPr="00146302">
              <w:tab/>
            </w:r>
            <w:r w:rsidRPr="00146302">
              <w:t xml:space="preserve">Wszystkie zestawy danych zarejestrowane w Eurodac dotyczące tego samego obywatela państwa trzeciego lub bezpaństwowca są powiązane ze sobą w ramach sekwencji. Jeżeli </w:t>
            </w:r>
            <w:r w:rsidRPr="00146302">
              <w:rPr>
                <w:b/>
                <w:i/>
              </w:rPr>
              <w:t>wyszukiwanie jest prowadzone na podstawie odcisków palców w zestawie danych dotyczących ob</w:t>
            </w:r>
            <w:r w:rsidRPr="00146302">
              <w:rPr>
                <w:b/>
                <w:i/>
              </w:rPr>
              <w:t>ywatela państwa trzeciego lub bezpaństwowca</w:t>
            </w:r>
            <w:r w:rsidRPr="00146302">
              <w:t xml:space="preserve"> i uzyskane zostanie trafienie w odniesieniu do co najmniej jednego innego zestawu odcisków palców w innym zestawie danych dotyczących tego samego obywatela państwa trzeciego lub bezpaństwowca, Eurodac automatyczn</w:t>
            </w:r>
            <w:r w:rsidRPr="00146302">
              <w:t>ie wiąże te zestawy danych na podstawie porównania</w:t>
            </w:r>
            <w:r w:rsidRPr="00146302">
              <w:rPr>
                <w:b/>
                <w:i/>
              </w:rPr>
              <w:t xml:space="preserve"> odcisków palców</w:t>
            </w:r>
            <w:r w:rsidRPr="00146302">
              <w:t xml:space="preserve">. </w:t>
            </w:r>
            <w:r w:rsidRPr="00146302">
              <w:rPr>
                <w:b/>
                <w:i/>
              </w:rPr>
              <w:lastRenderedPageBreak/>
              <w:t>W razie potrzeby porównanie odcisków palców</w:t>
            </w:r>
            <w:r w:rsidRPr="00146302">
              <w:t xml:space="preserve"> jest </w:t>
            </w:r>
            <w:r w:rsidRPr="00146302">
              <w:rPr>
                <w:b/>
                <w:i/>
              </w:rPr>
              <w:t>sprawdzane</w:t>
            </w:r>
            <w:r w:rsidRPr="00146302">
              <w:t xml:space="preserve"> i </w:t>
            </w:r>
            <w:r w:rsidRPr="00146302">
              <w:rPr>
                <w:b/>
                <w:i/>
              </w:rPr>
              <w:t>potwierdzane</w:t>
            </w:r>
            <w:r w:rsidRPr="00146302">
              <w:t xml:space="preserve"> przez eksperta </w:t>
            </w:r>
            <w:r w:rsidRPr="00146302">
              <w:rPr>
                <w:b/>
                <w:i/>
              </w:rPr>
              <w:t xml:space="preserve">w dziedzinie daktyloskopii </w:t>
            </w:r>
            <w:r w:rsidRPr="00146302">
              <w:t>zgodnie z art. 26. Jeżeli otrzymujące państwo członkowskie potwierdzi t</w:t>
            </w:r>
            <w:r w:rsidRPr="00146302">
              <w:t>rafienie, przesyła powiadomienie do eu-LISA, która potwierdzi powiązanie.</w:t>
            </w:r>
          </w:p>
        </w:tc>
        <w:tc>
          <w:tcPr>
            <w:tcW w:w="4876" w:type="dxa"/>
          </w:tcPr>
          <w:p w:rsidR="006C1CE1" w:rsidRPr="00146302" w:rsidRDefault="00146302" w:rsidP="00813143">
            <w:pPr>
              <w:pStyle w:val="Normal6"/>
              <w:rPr>
                <w:szCs w:val="24"/>
              </w:rPr>
            </w:pPr>
            <w:r w:rsidRPr="00146302">
              <w:lastRenderedPageBreak/>
              <w:t>6.</w:t>
            </w:r>
            <w:r w:rsidRPr="00146302">
              <w:tab/>
              <w:t xml:space="preserve">Wszystkie zestawy danych zarejestrowane w Eurodac dotyczące tego samego obywatela państwa trzeciego lub bezpaństwowca są powiązane ze sobą w ramach sekwencji. Jeżeli </w:t>
            </w:r>
            <w:r w:rsidRPr="00146302">
              <w:rPr>
                <w:b/>
                <w:i/>
              </w:rPr>
              <w:t xml:space="preserve">przeprowadza </w:t>
            </w:r>
            <w:r w:rsidRPr="00146302">
              <w:rPr>
                <w:b/>
                <w:i/>
              </w:rPr>
              <w:t>się automatyczne porównanie zgodnie z art. 15 i 16</w:t>
            </w:r>
            <w:r w:rsidRPr="00146302">
              <w:t xml:space="preserve"> i uzyskane zostanie trafienie w odniesieniu do co najmniej jednego innego zestawu odcisków palców </w:t>
            </w:r>
            <w:r w:rsidRPr="00146302">
              <w:rPr>
                <w:b/>
                <w:i/>
              </w:rPr>
              <w:t xml:space="preserve">i danych dotyczących wizerunku twarzy lub tylko danych dotyczących wizerunku twarzy </w:t>
            </w:r>
            <w:r w:rsidRPr="00146302">
              <w:t>w innym zestawie danych</w:t>
            </w:r>
            <w:r w:rsidRPr="00146302">
              <w:t xml:space="preserve"> dotyczących tego samego obywatela państwa trzeciego lub bezpaństwowca, Eurodac automatycznie wiąże te zestawy danych na podstawie porównania. </w:t>
            </w:r>
            <w:r w:rsidRPr="00146302">
              <w:rPr>
                <w:b/>
                <w:i/>
              </w:rPr>
              <w:t>Wynik porównania</w:t>
            </w:r>
            <w:r w:rsidRPr="00146302">
              <w:t xml:space="preserve"> </w:t>
            </w:r>
            <w:r w:rsidRPr="00146302">
              <w:lastRenderedPageBreak/>
              <w:t xml:space="preserve">jest </w:t>
            </w:r>
            <w:r w:rsidRPr="00146302">
              <w:rPr>
                <w:b/>
                <w:i/>
              </w:rPr>
              <w:t>sprawdzany</w:t>
            </w:r>
            <w:r w:rsidRPr="00146302">
              <w:t xml:space="preserve"> i </w:t>
            </w:r>
            <w:r w:rsidRPr="00146302">
              <w:rPr>
                <w:b/>
                <w:i/>
              </w:rPr>
              <w:t>weryfikowany</w:t>
            </w:r>
            <w:r w:rsidRPr="00146302">
              <w:t xml:space="preserve"> przez eksperta zgodnie z art. 26</w:t>
            </w:r>
            <w:r w:rsidRPr="00146302">
              <w:rPr>
                <w:b/>
                <w:i/>
              </w:rPr>
              <w:t xml:space="preserve"> ust. 4 i 5</w:t>
            </w:r>
            <w:r w:rsidRPr="00146302">
              <w:t>. Jeżeli otrzymujące p</w:t>
            </w:r>
            <w:r w:rsidRPr="00146302">
              <w:t>aństwo członkowskie potwierdzi trafienie, przesyła powiadomienie do eu-LISA, która potwierdzi powiązanie.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11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D69C2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12 – Artykuł 8c a (nowy)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211B5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Artykuł 8ca</w:t>
            </w: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B81EC9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Dostęp stałej służby Europejskiej Straży Granicznej </w:t>
            </w:r>
            <w:r w:rsidRPr="00146302">
              <w:rPr>
                <w:b/>
                <w:i/>
              </w:rPr>
              <w:t>i Przybrzeżnej do Eurodac</w:t>
            </w: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860DC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Do celów wykonywania zadań określonych w rozporządzeniu (UE) 2019/1896, w szczególności zadań wymagających uprawnień wykonawczych, o których mowa w art. 55 ust. 7 lit. a) i g) tego rozporządzenia, oraz zapewniania wsparcia opera</w:t>
            </w:r>
            <w:r w:rsidRPr="00146302">
              <w:rPr>
                <w:b/>
                <w:i/>
              </w:rPr>
              <w:t>cyjnego na potrzeby wdrożenia [rozporządzenia (UE) XXX/XXX] [rozporządzenia w sprawie kontroli przesiewowej], członkowie zespołów, o których mowa w art. 2 pkt 17 rozporządzenia (UE) 2019/1896, mają dostęp do Eurodac.</w:t>
            </w: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813143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Członkowie zespołów mają dostęp do Eu</w:t>
            </w:r>
            <w:r w:rsidRPr="00146302">
              <w:rPr>
                <w:b/>
                <w:i/>
              </w:rPr>
              <w:t>rodac i mogą w nim sprawdzać za pośrednictwem własnego interfejsu technicznego, który jest opracowywany i utrzymywany przez eu-LISA we współpracy z Europejską Agencją Straży Granicznej i Przybrzeżnej. Taki interfejs techniczny obejmuje mechanizm samokontro</w:t>
            </w:r>
            <w:r w:rsidRPr="00146302">
              <w:rPr>
                <w:b/>
                <w:i/>
              </w:rPr>
              <w:t xml:space="preserve">li i rejestracji w celu zapewnienia zgodności przetwarzania danych z prawem i zgodności z wymogami </w:t>
            </w:r>
            <w:r w:rsidRPr="00146302">
              <w:rPr>
                <w:b/>
                <w:i/>
              </w:rPr>
              <w:lastRenderedPageBreak/>
              <w:t>ochrony danych określonymi w rozporządzeniu (UE) 2018/1725.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pPr>
        <w:pStyle w:val="JustificationTitle"/>
        <w:rPr>
          <w:noProof w:val="0"/>
        </w:rPr>
      </w:pPr>
      <w:r w:rsidRPr="00146302">
        <w:rPr>
          <w:rStyle w:val="HideTWBExt"/>
          <w:i w:val="0"/>
          <w:noProof w:val="0"/>
        </w:rPr>
        <w:t>&lt;TitreJust&gt;</w:t>
      </w:r>
      <w:r w:rsidRPr="00146302">
        <w:rPr>
          <w:noProof w:val="0"/>
        </w:rPr>
        <w:t>Uzasadnienie</w:t>
      </w:r>
      <w:r w:rsidRPr="00146302">
        <w:rPr>
          <w:rStyle w:val="HideTWBExt"/>
          <w:i w:val="0"/>
          <w:noProof w:val="0"/>
        </w:rPr>
        <w:t>&lt;/TitreJust&gt;</w:t>
      </w:r>
    </w:p>
    <w:p w:rsidR="006C1CE1" w:rsidRPr="00146302" w:rsidRDefault="00146302" w:rsidP="006C1CE1">
      <w:pPr>
        <w:pStyle w:val="Normal12Italic"/>
        <w:rPr>
          <w:noProof w:val="0"/>
        </w:rPr>
      </w:pPr>
      <w:r w:rsidRPr="00146302">
        <w:rPr>
          <w:noProof w:val="0"/>
        </w:rPr>
        <w:t>Ten nowy artykuł wyjaśnia za</w:t>
      </w:r>
      <w:r w:rsidRPr="00146302">
        <w:rPr>
          <w:noProof w:val="0"/>
        </w:rPr>
        <w:t>sady dostępu Fronteksu do Eurodac, który to dostęp jest ograniczony do członków zespołu Europejskiej Straży Granicznej i Przybrzeżnej (stałej służby) w celu realizacji zadań powierzonych im przez prawodawcę UE. Nowy artykuł jest zgodny z podejściem przyjęt</w:t>
      </w:r>
      <w:r w:rsidRPr="00146302">
        <w:rPr>
          <w:noProof w:val="0"/>
        </w:rPr>
        <w:t>ym przez prawodawcę UE w odniesieniu do dostępu zespołów Europejskiej Straży Granicznej i Przybrzeżnej do SIS (por. art. 36 rozporządzenia 2018/1861) i do VIS (por. kompromisowy tekst nowego rozporządzenia w sprawie VIS, art. 45d i art. 45e), zgodnie z któ</w:t>
      </w:r>
      <w:r w:rsidRPr="00146302">
        <w:rPr>
          <w:noProof w:val="0"/>
        </w:rPr>
        <w:t>rym Agencja musi rozwijać własną infrastrukturę, interfejs lub punkt dostępu do systemu informacyjnego UE.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12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 xml:space="preserve">Wniosek dotyczący </w:t>
      </w:r>
      <w:r w:rsidRPr="00146302">
        <w:t>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13 – Artykuł 9 – ustęp 1 – wprowadzenie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1.</w:t>
            </w:r>
            <w:r w:rsidRPr="00146302">
              <w:tab/>
              <w:t>Agencja eu-LISA opracowuje co miesiąc statystyki dotyczące pracy systemu centralnego, wskazujące w </w:t>
            </w:r>
            <w:r w:rsidRPr="00146302">
              <w:t>szczególności: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1.</w:t>
            </w:r>
            <w:r w:rsidRPr="00146302">
              <w:tab/>
              <w:t>Agencja eu-LISA opracowuje co miesiąc statystyki dotyczące pracy systemu centralnego</w:t>
            </w:r>
            <w:r w:rsidRPr="00146302">
              <w:rPr>
                <w:b/>
                <w:i/>
              </w:rPr>
              <w:t xml:space="preserve"> i CIR</w:t>
            </w:r>
            <w:r w:rsidRPr="00146302">
              <w:t>, wskazujące w szczególności: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13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 xml:space="preserve">Jorge Buxadé </w:t>
      </w:r>
      <w:r w:rsidRPr="00146302">
        <w:t>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13 – Artykuł 9 – ustęp 1 – litera b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b)</w:t>
            </w:r>
            <w:r w:rsidRPr="00146302">
              <w:tab/>
            </w:r>
            <w:r w:rsidRPr="00146302">
              <w:t xml:space="preserve">liczbę osób ubiegających się o ochronę międzynarodową, których wniosek został odrzucony, wynikającą z procesu powiązania, o którym mowa w art. 4 ust. 6 i zgodnie z art. 12 lit. </w:t>
            </w:r>
            <w:r w:rsidRPr="00146302">
              <w:rPr>
                <w:b/>
                <w:i/>
              </w:rPr>
              <w:t>za</w:t>
            </w:r>
            <w:r w:rsidRPr="00146302">
              <w:t>);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b)</w:t>
            </w:r>
            <w:r w:rsidRPr="00146302">
              <w:tab/>
              <w:t xml:space="preserve">liczbę osób ubiegających się o ochronę międzynarodową, których wniosek </w:t>
            </w:r>
            <w:r w:rsidRPr="00146302">
              <w:t xml:space="preserve">został odrzucony, wynikającą z procesu powiązania, o którym mowa w art. 4 ust. 6 i zgodnie z art. 12 lit. </w:t>
            </w:r>
            <w:r w:rsidRPr="00146302">
              <w:rPr>
                <w:b/>
                <w:i/>
              </w:rPr>
              <w:t>x</w:t>
            </w:r>
            <w:r w:rsidRPr="00146302">
              <w:t>);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14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13 – Artykuł 9 – ustęp 3 – akapit 1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3.</w:t>
            </w:r>
            <w:r w:rsidRPr="00146302">
              <w:tab/>
            </w:r>
            <w:r w:rsidRPr="00146302">
              <w:t xml:space="preserve">Na potrzeby realizowania celu, o którym mowa w art. 1 lit. c), eu-LISA sporządza miesięczne statystyki międzysystemowe. Statystyki te nie pozwalają na identyfikację osób fizycznych i wykorzystują dane z Eurodac, wizowego systemu informacyjnego, ETIAS </w:t>
            </w:r>
            <w:r w:rsidRPr="00146302">
              <w:rPr>
                <w:b/>
                <w:i/>
              </w:rPr>
              <w:t>i </w:t>
            </w:r>
            <w:r w:rsidRPr="00146302">
              <w:t>sys</w:t>
            </w:r>
            <w:r w:rsidRPr="00146302">
              <w:t>temu wjazdu/wyjazdu.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3.</w:t>
            </w:r>
            <w:r w:rsidRPr="00146302">
              <w:tab/>
              <w:t>Na potrzeby realizowania celu, o którym mowa w art. 1 lit. c), eu-LISA sporządza miesięczne statystyki międzysystemowe. Statystyki te nie pozwalają na identyfikację osób fizycznych i wykorzystują dane z Eurodac, wizowego systemu inf</w:t>
            </w:r>
            <w:r w:rsidRPr="00146302">
              <w:t>ormacyjnego, ETIAS</w:t>
            </w:r>
            <w:r w:rsidRPr="00146302">
              <w:rPr>
                <w:b/>
                <w:i/>
              </w:rPr>
              <w:t>,</w:t>
            </w:r>
            <w:r w:rsidRPr="00146302">
              <w:t xml:space="preserve"> systemu wjazdu/wyjazdu</w:t>
            </w:r>
            <w:r w:rsidRPr="00146302">
              <w:rPr>
                <w:b/>
                <w:i/>
              </w:rPr>
              <w:t xml:space="preserve"> i Systemu Informacyjnego Schengen</w:t>
            </w:r>
            <w:r w:rsidRPr="00146302">
              <w:t>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pPr>
        <w:pStyle w:val="JustificationTitle"/>
        <w:rPr>
          <w:noProof w:val="0"/>
        </w:rPr>
      </w:pPr>
      <w:r w:rsidRPr="00146302">
        <w:rPr>
          <w:rStyle w:val="HideTWBExt"/>
          <w:i w:val="0"/>
          <w:noProof w:val="0"/>
        </w:rPr>
        <w:t>&lt;TitreJust&gt;</w:t>
      </w:r>
      <w:r w:rsidRPr="00146302">
        <w:rPr>
          <w:noProof w:val="0"/>
        </w:rPr>
        <w:t>Uzasadnienie</w:t>
      </w:r>
      <w:r w:rsidRPr="00146302">
        <w:rPr>
          <w:rStyle w:val="HideTWBExt"/>
          <w:i w:val="0"/>
          <w:noProof w:val="0"/>
        </w:rPr>
        <w:t>&lt;/TitreJust&gt;</w:t>
      </w:r>
    </w:p>
    <w:p w:rsidR="006C1CE1" w:rsidRPr="00146302" w:rsidRDefault="00146302" w:rsidP="006C1CE1">
      <w:pPr>
        <w:pStyle w:val="Normal12Italic"/>
        <w:rPr>
          <w:noProof w:val="0"/>
        </w:rPr>
      </w:pPr>
      <w:r w:rsidRPr="00146302">
        <w:rPr>
          <w:noProof w:val="0"/>
        </w:rPr>
        <w:t>Analiza międzysystemowa będzie kluczową funkcją centralnego repozytorium sprawozdawczo-statystycznego określo</w:t>
      </w:r>
      <w:r w:rsidRPr="00146302">
        <w:rPr>
          <w:noProof w:val="0"/>
        </w:rPr>
        <w:t>nego w rozporządzeniach w sprawie interoperacyjności. Taka analiza międzysystemowa będzie kompletna dopiero wtedy, gdy uwzględnione zostaną odpowiednie dane statystyczne SIS, w szczególności wpisy do SIS dokonane na podstawie decyzji nakazujących powrót. D</w:t>
      </w:r>
      <w:r w:rsidRPr="00146302">
        <w:rPr>
          <w:noProof w:val="0"/>
        </w:rPr>
        <w:t>oprowadziłoby to do dokładniejszej analizy decyzji operacyjnych i politycznych opartych w większym stopniu na dowodach.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15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</w:t>
      </w:r>
      <w:r w:rsidRPr="00146302">
        <w:t xml:space="preserve">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13 – Artykuł 9 – ustęp 3 – akapit 2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 xml:space="preserve">Statystyki te są udostępniane Komisji, [Agencji Unii Europejskiej ds. Azylu], Europejskiej Agencji Straży Granicznej i Przybrzeżnej oraz </w:t>
            </w:r>
            <w:r w:rsidRPr="00146302">
              <w:rPr>
                <w:b/>
                <w:i/>
              </w:rPr>
              <w:t>państwom członkowskim</w:t>
            </w:r>
            <w:r w:rsidRPr="00146302">
              <w:t xml:space="preserve">. Komisja określa w drodze aktów wykonawczych zawartość </w:t>
            </w:r>
            <w:r w:rsidRPr="00146302">
              <w:lastRenderedPageBreak/>
              <w:t xml:space="preserve">miesięcznych statystyk międzysystemowych. </w:t>
            </w:r>
            <w:r w:rsidRPr="00146302">
              <w:t>Te akty wykonawcze przyjmuje się zgodnie z procedurą sprawdzającą, o której mowa w art. 41a ust. 2.</w:t>
            </w:r>
          </w:p>
        </w:tc>
        <w:tc>
          <w:tcPr>
            <w:tcW w:w="4876" w:type="dxa"/>
          </w:tcPr>
          <w:p w:rsidR="006C1CE1" w:rsidRPr="00146302" w:rsidRDefault="00146302" w:rsidP="00813143">
            <w:pPr>
              <w:pStyle w:val="Normal6"/>
              <w:rPr>
                <w:szCs w:val="24"/>
              </w:rPr>
            </w:pPr>
            <w:r w:rsidRPr="00146302">
              <w:lastRenderedPageBreak/>
              <w:t xml:space="preserve">Statystyki te są udostępniane Komisji, </w:t>
            </w:r>
            <w:r w:rsidRPr="00146302">
              <w:rPr>
                <w:b/>
                <w:i/>
              </w:rPr>
              <w:t xml:space="preserve">państwom członkowskim i odpowiednim agencjom unijnym, w szczególności </w:t>
            </w:r>
            <w:r w:rsidRPr="00146302">
              <w:t>[Agencji Unii Europejskiej ds. Azylu], Europejs</w:t>
            </w:r>
            <w:r w:rsidRPr="00146302">
              <w:t xml:space="preserve">kiej Agencji Straży Granicznej i Przybrzeżnej oraz </w:t>
            </w:r>
            <w:r w:rsidRPr="00146302">
              <w:rPr>
                <w:b/>
                <w:i/>
              </w:rPr>
              <w:t>Europolowi</w:t>
            </w:r>
            <w:r w:rsidRPr="00146302">
              <w:t xml:space="preserve">. Komisja </w:t>
            </w:r>
            <w:r w:rsidRPr="00146302">
              <w:lastRenderedPageBreak/>
              <w:t>określa w drodze aktów wykonawczych zawartość miesięcznych statystyk międzysystemowych. Te akty wykonawcze przyjmuje się zgodnie z procedurą sprawdzającą, o której mowa w art. 41a ust. </w:t>
            </w:r>
            <w:r w:rsidRPr="00146302">
              <w:t>2.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pPr>
        <w:pStyle w:val="JustificationTitle"/>
        <w:rPr>
          <w:noProof w:val="0"/>
        </w:rPr>
      </w:pPr>
      <w:r w:rsidRPr="00146302">
        <w:rPr>
          <w:rStyle w:val="HideTWBExt"/>
          <w:i w:val="0"/>
          <w:noProof w:val="0"/>
        </w:rPr>
        <w:t>&lt;TitreJust&gt;</w:t>
      </w:r>
      <w:r w:rsidRPr="00146302">
        <w:rPr>
          <w:noProof w:val="0"/>
        </w:rPr>
        <w:t>Uzasadnienie</w:t>
      </w:r>
      <w:r w:rsidRPr="00146302">
        <w:rPr>
          <w:rStyle w:val="HideTWBExt"/>
          <w:i w:val="0"/>
          <w:noProof w:val="0"/>
        </w:rPr>
        <w:t>&lt;/TitreJust&gt;</w:t>
      </w:r>
    </w:p>
    <w:p w:rsidR="006C1CE1" w:rsidRPr="00146302" w:rsidRDefault="00146302" w:rsidP="006C1CE1">
      <w:pPr>
        <w:pStyle w:val="Normal12Italic"/>
        <w:rPr>
          <w:noProof w:val="0"/>
        </w:rPr>
      </w:pPr>
      <w:r w:rsidRPr="00146302">
        <w:rPr>
          <w:noProof w:val="0"/>
        </w:rPr>
        <w:t>Statystyki międzysystemowe powinny być dostępne odpowiednim agencjom WSiSW, w tym Europolowi. W szczególności statystyki te mogłyby dostarczyć Europolowi cennych informacji i służyć do</w:t>
      </w:r>
      <w:r w:rsidRPr="00146302">
        <w:rPr>
          <w:noProof w:val="0"/>
        </w:rPr>
        <w:t xml:space="preserve"> celów zwalczania i rozbijania siatek przestępczych zajmujących się przemytem imigrantów i handlem ludźmi.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16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 xml:space="preserve">Wniosek dotyczący </w:t>
      </w:r>
      <w:r w:rsidRPr="00146302">
        <w:t>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13 – Artykuł 9 – ustęp 4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4.</w:t>
            </w:r>
            <w:r w:rsidRPr="00146302">
              <w:tab/>
              <w:t>Na wniosek Komisji agencja eu-LISA udostępnia jej dane statystyczne odnoszące się do konkretnych aspektów związany</w:t>
            </w:r>
            <w:r w:rsidRPr="00146302">
              <w:t>ch z zastosowaniem niniejszego rozporządzenia, jak również dane statystyczne zgodnie z ust. 1 oraz udostępnia je, na wniosek, państwu członkowskiemu i [Agencji Unii Europejskiej ds. Azylu].</w:t>
            </w:r>
          </w:p>
        </w:tc>
        <w:tc>
          <w:tcPr>
            <w:tcW w:w="4876" w:type="dxa"/>
          </w:tcPr>
          <w:p w:rsidR="006C1CE1" w:rsidRPr="00146302" w:rsidRDefault="00146302" w:rsidP="00813143">
            <w:pPr>
              <w:pStyle w:val="Normal6"/>
              <w:rPr>
                <w:szCs w:val="24"/>
              </w:rPr>
            </w:pPr>
            <w:r w:rsidRPr="00146302">
              <w:t>4.</w:t>
            </w:r>
            <w:r w:rsidRPr="00146302">
              <w:tab/>
              <w:t xml:space="preserve">Na wniosek Komisji agencja eu-LISA udostępnia jej dane </w:t>
            </w:r>
            <w:r w:rsidRPr="00146302">
              <w:t xml:space="preserve">statystyczne odnoszące się do konkretnych aspektów związanych z zastosowaniem niniejszego rozporządzenia, jak również dane statystyczne zgodnie z ust. 1 oraz udostępnia je, na wniosek, państwu członkowskiemu i </w:t>
            </w:r>
            <w:r w:rsidRPr="00146302">
              <w:rPr>
                <w:b/>
                <w:i/>
              </w:rPr>
              <w:t xml:space="preserve">odpowiednim agencjom unijnym, w szczególności </w:t>
            </w:r>
            <w:r w:rsidRPr="00146302">
              <w:t>[Agencji Unii Europejskiej ds. Azylu]</w:t>
            </w:r>
            <w:r w:rsidRPr="00146302">
              <w:rPr>
                <w:b/>
                <w:i/>
              </w:rPr>
              <w:t>, Europejskiej Agencji Straży Granicznej i Przybrzeżnej oraz Europolowi</w:t>
            </w:r>
            <w:r w:rsidRPr="00146302">
              <w:t>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17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13 – Artykuł 9 – ustęp 5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5.</w:t>
            </w:r>
            <w:r w:rsidRPr="00146302">
              <w:tab/>
            </w:r>
            <w:r w:rsidRPr="00146302">
              <w:rPr>
                <w:b/>
                <w:i/>
              </w:rPr>
              <w:t>Agencja</w:t>
            </w:r>
            <w:r w:rsidRPr="00146302">
              <w:t xml:space="preserve"> eu-LISA przechowuje </w:t>
            </w:r>
            <w:r w:rsidRPr="00146302">
              <w:rPr>
                <w:b/>
                <w:i/>
              </w:rPr>
              <w:t>dane, o których mowa</w:t>
            </w:r>
            <w:r w:rsidRPr="00146302">
              <w:t xml:space="preserve"> w ust. 1–4 niniejszego artykułu, które nie pozwalają na identyfikację osób fizycznych</w:t>
            </w:r>
            <w:r w:rsidRPr="00146302">
              <w:rPr>
                <w:b/>
                <w:i/>
              </w:rPr>
              <w:t>, do celów badań i analiz, tym samym umożliwiając organom, o których mowa w ust. 3 niniejszego artykułu, uzyskiwanie dostosowanych do ich potrzeb sprawozdań i statystyk w</w:t>
            </w:r>
            <w:r w:rsidRPr="00146302">
              <w:rPr>
                <w:b/>
                <w:i/>
              </w:rPr>
              <w:t> centralnym repozytorium sprawozdawczo-statystycznym, o którym mowa w art. 39 rozporządzenia (UE) 2019/818</w:t>
            </w:r>
            <w:r w:rsidRPr="00146302">
              <w:t>.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5.</w:t>
            </w:r>
            <w:r w:rsidRPr="00146302">
              <w:tab/>
            </w:r>
            <w:r w:rsidRPr="00146302">
              <w:rPr>
                <w:b/>
                <w:i/>
              </w:rPr>
              <w:t>Do celów badań i analiz</w:t>
            </w:r>
            <w:r w:rsidRPr="00146302">
              <w:t xml:space="preserve"> eu-LISA przechowuje </w:t>
            </w:r>
            <w:r w:rsidRPr="00146302">
              <w:rPr>
                <w:b/>
                <w:i/>
              </w:rPr>
              <w:t>określone</w:t>
            </w:r>
            <w:r w:rsidRPr="00146302">
              <w:t xml:space="preserve"> w ust. 1–4 niniejszego artykułu</w:t>
            </w:r>
            <w:r w:rsidRPr="00146302">
              <w:rPr>
                <w:b/>
                <w:i/>
              </w:rPr>
              <w:t xml:space="preserve"> dane</w:t>
            </w:r>
            <w:r w:rsidRPr="00146302">
              <w:t>, które nie pozwalają na identyfikację osób fizycznych.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pPr>
        <w:pStyle w:val="JustificationTitle"/>
        <w:rPr>
          <w:noProof w:val="0"/>
        </w:rPr>
      </w:pPr>
      <w:r w:rsidRPr="00146302">
        <w:rPr>
          <w:rStyle w:val="HideTWBExt"/>
          <w:i w:val="0"/>
          <w:noProof w:val="0"/>
        </w:rPr>
        <w:t>&lt;TitreJust&gt;</w:t>
      </w:r>
      <w:r w:rsidRPr="00146302">
        <w:rPr>
          <w:noProof w:val="0"/>
        </w:rPr>
        <w:t>Uzasadnienie</w:t>
      </w:r>
      <w:r w:rsidRPr="00146302">
        <w:rPr>
          <w:rStyle w:val="HideTWBExt"/>
          <w:i w:val="0"/>
          <w:noProof w:val="0"/>
        </w:rPr>
        <w:t>&lt;/TitreJust&gt;</w:t>
      </w:r>
    </w:p>
    <w:p w:rsidR="006C1CE1" w:rsidRPr="00146302" w:rsidRDefault="00146302" w:rsidP="006C1CE1">
      <w:pPr>
        <w:pStyle w:val="Normal12Italic"/>
        <w:rPr>
          <w:noProof w:val="0"/>
        </w:rPr>
      </w:pPr>
      <w:r w:rsidRPr="00146302">
        <w:rPr>
          <w:noProof w:val="0"/>
        </w:rPr>
        <w:t>Te kwestie są już uwzględnione w art. 9 ust. 6.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18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 xml:space="preserve">Wniosek </w:t>
      </w:r>
      <w:r w:rsidRPr="00146302">
        <w:t>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13 – Artykuł 9 – ustęp 6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6.</w:t>
            </w:r>
            <w:r w:rsidRPr="00146302">
              <w:tab/>
              <w:t>Agencja eu-LISA, Komisja</w:t>
            </w:r>
            <w:r w:rsidRPr="00146302">
              <w:rPr>
                <w:b/>
                <w:i/>
              </w:rPr>
              <w:t>, [Agencja Unii Europejskiej ds. Azylu]</w:t>
            </w:r>
            <w:r w:rsidRPr="00146302">
              <w:t xml:space="preserve"> i organy wyznaczone przez każde państwo członkowskie zgodnie z art. 28 ust. 2 otrzymują dostęp do centralnego repozytorium sprawozdawczo-statystycznego, o którym mowa w art. 39 rozporządzenia (UE) 2019/818. Dostęp można również przyznać upoważnionym użytk</w:t>
            </w:r>
            <w:r w:rsidRPr="00146302">
              <w:t>ownikom z </w:t>
            </w:r>
            <w:r w:rsidRPr="00146302">
              <w:rPr>
                <w:b/>
                <w:i/>
              </w:rPr>
              <w:t>innych</w:t>
            </w:r>
            <w:r w:rsidRPr="00146302">
              <w:t xml:space="preserve"> agencji prowadzących działania w dziedzinie sprawiedliwości i spraw wewnętrznych, o ile taki dostęp jest istotny dla wykonywania przez nie swoich zadań.</w:t>
            </w:r>
            <w:r w:rsidRPr="00146302">
              <w:rPr>
                <w:b/>
                <w:i/>
              </w:rPr>
              <w:t>”;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6.</w:t>
            </w:r>
            <w:r w:rsidRPr="00146302">
              <w:tab/>
              <w:t>Agencja eu-LISA, Komisja i organy wyznaczone przez każde państwo członkowskie zgo</w:t>
            </w:r>
            <w:r w:rsidRPr="00146302">
              <w:t>dnie z art. 28 ust. 2 otrzymują dostęp do centralnego repozytorium sprawozdawczo-statystycznego, o którym mowa w art. 39 rozporządzenia (UE) 2019/818. Dostęp można również przyznać upoważnionym użytkownikom z </w:t>
            </w:r>
            <w:r w:rsidRPr="00146302">
              <w:rPr>
                <w:b/>
                <w:i/>
              </w:rPr>
              <w:t>odpowiednich</w:t>
            </w:r>
            <w:r w:rsidRPr="00146302">
              <w:t xml:space="preserve"> agencji prowadzących działania w d</w:t>
            </w:r>
            <w:r w:rsidRPr="00146302">
              <w:t xml:space="preserve">ziedzinie sprawiedliwości i spraw wewnętrznych, </w:t>
            </w:r>
            <w:r w:rsidRPr="00146302">
              <w:rPr>
                <w:b/>
                <w:i/>
              </w:rPr>
              <w:t xml:space="preserve">w szczególności [Agencji Unii Europejskiej ds. Azylu], Europejskiej Agencji Straży Granicznej i Przybrzeżnej oraz Europolowi, </w:t>
            </w:r>
            <w:r w:rsidRPr="00146302">
              <w:t>o ile taki dostęp jest istotny dla wykonywania przez nie swoich zadań.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</w:t>
      </w:r>
      <w:r w:rsidRPr="00146302">
        <w:rPr>
          <w:rStyle w:val="HideTWBExt"/>
          <w:noProof w:val="0"/>
        </w:rPr>
        <w:t>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19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14 – Artykuł 10 – ustęp 1 –</w:t>
      </w:r>
      <w:r w:rsidRPr="00146302">
        <w:t xml:space="preserve"> akapit 1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211B5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146302" w:rsidP="00CD280B">
            <w:pPr>
              <w:pStyle w:val="Normal6"/>
            </w:pPr>
            <w:r w:rsidRPr="00146302">
              <w:t>1.</w:t>
            </w:r>
            <w:r w:rsidRPr="00146302">
              <w:tab/>
              <w:t xml:space="preserve">Każde państwo członkowskie pobiera dane biometryczne od każdej osoby </w:t>
            </w:r>
            <w:r w:rsidRPr="00146302">
              <w:rPr>
                <w:b/>
                <w:i/>
              </w:rPr>
              <w:t xml:space="preserve">ubiegającej się o ochronę międzynarodową </w:t>
            </w:r>
            <w:r w:rsidRPr="00146302">
              <w:t xml:space="preserve">w wieku co najmniej sześciu lat </w:t>
            </w:r>
            <w:r w:rsidRPr="00146302">
              <w:rPr>
                <w:b/>
                <w:i/>
              </w:rPr>
              <w:t xml:space="preserve">podczas kontroli przesiewowej, o której mowa </w:t>
            </w:r>
            <w:r w:rsidRPr="00146302">
              <w:rPr>
                <w:b/>
                <w:i/>
              </w:rPr>
              <w:t xml:space="preserve">w rozporządzeniu (UE) XXX/XXX [Rozporządzenie dotyczące kontroli przesiewowej] lub, jeżeli pobranie danych biometrycznych nie było możliwe podczas kontroli przesiewowej lub jeżeli wnioskodawca nie był poddany kontroli przesiewowej, </w:t>
            </w:r>
            <w:r w:rsidRPr="00146302">
              <w:t>po zarejestrowaniu wnios</w:t>
            </w:r>
            <w:r w:rsidRPr="00146302">
              <w:t xml:space="preserve">ku o udzielenie ochrony międzynarodowej, o którym to zarejestrowaniu mowa w art. 27 rozporządzenia (UE) XXX/XXX [Rozporządzenie w sprawie procedury azylowej], oraz najszybciej jak to możliwe </w:t>
            </w:r>
            <w:r w:rsidRPr="00146302">
              <w:rPr>
                <w:b/>
                <w:i/>
              </w:rPr>
              <w:t>i</w:t>
            </w:r>
            <w:r w:rsidRPr="00146302">
              <w:t> nie później niż 72 godziny po pobraniu danych biometrycznych pr</w:t>
            </w:r>
            <w:r w:rsidRPr="00146302">
              <w:t xml:space="preserve">zesyła je, wraz z danymi, o których mowa w art. 12 </w:t>
            </w:r>
            <w:r w:rsidRPr="00146302">
              <w:rPr>
                <w:b/>
                <w:i/>
              </w:rPr>
              <w:t>lit. c)–p)</w:t>
            </w:r>
            <w:r w:rsidRPr="00146302">
              <w:t xml:space="preserve"> niniejszego rozporządzenia, do systemu centralnego i, w stosownych przypadkach zgodnie z art. 4 ust. 2, do CIR</w:t>
            </w:r>
            <w:r w:rsidRPr="00146302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1.</w:t>
            </w:r>
            <w:r w:rsidRPr="00146302">
              <w:tab/>
              <w:t>Każde państwo członkowskie pobiera dane biometryczne od każdej osoby w wieku co</w:t>
            </w:r>
            <w:r w:rsidRPr="00146302">
              <w:t xml:space="preserve"> najmniej sześciu lat </w:t>
            </w:r>
            <w:r w:rsidRPr="00146302">
              <w:rPr>
                <w:b/>
                <w:i/>
              </w:rPr>
              <w:t>ubiegającej się</w:t>
            </w:r>
            <w:r w:rsidRPr="00146302">
              <w:t xml:space="preserve"> o </w:t>
            </w:r>
            <w:r w:rsidRPr="00146302">
              <w:rPr>
                <w:b/>
                <w:i/>
              </w:rPr>
              <w:t>ochronę międzynarodową:</w:t>
            </w: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4B5B2E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a)</w:t>
            </w:r>
            <w:r w:rsidRPr="00146302">
              <w:t xml:space="preserve"> po zarejestrowaniu wniosku o udzielenie ochrony międzynarodowej, o którym to zarejestrowaniu mowa w art. 27 rozporządzenia (UE) XXX/XXX [Rozporządzenie w sprawie procedury azylowej]</w:t>
            </w:r>
            <w:r w:rsidRPr="00146302">
              <w:rPr>
                <w:b/>
                <w:i/>
              </w:rPr>
              <w:t>; lub</w:t>
            </w: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4B5B2E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b) po wystąpieniu z wnioskiem o udzielenie ochrony międzynarodowej, jeżeli wniosek został złożony na przejściach granicznych na granicach zewnętrznych lub w strefach tranzytowych przez osoby, które nie spełniają warunków wjazdu określonych w art. 6 </w:t>
            </w:r>
            <w:r w:rsidRPr="00146302">
              <w:rPr>
                <w:b/>
                <w:i/>
              </w:rPr>
              <w:lastRenderedPageBreak/>
              <w:t>rozporządzenia (UE) 2016/399.</w:t>
            </w:r>
          </w:p>
        </w:tc>
      </w:tr>
      <w:tr w:rsidR="006B5EB5" w:rsidRPr="00146302" w:rsidTr="00211B52">
        <w:trPr>
          <w:jc w:val="center"/>
        </w:trPr>
        <w:tc>
          <w:tcPr>
            <w:tcW w:w="4876" w:type="dxa"/>
          </w:tcPr>
          <w:p w:rsidR="004B5B2E" w:rsidRPr="00146302" w:rsidRDefault="004B5B2E" w:rsidP="006D69C2">
            <w:pPr>
              <w:pStyle w:val="Normal6"/>
            </w:pPr>
          </w:p>
        </w:tc>
        <w:tc>
          <w:tcPr>
            <w:tcW w:w="4876" w:type="dxa"/>
          </w:tcPr>
          <w:p w:rsidR="004B5B2E" w:rsidRPr="00146302" w:rsidRDefault="00146302" w:rsidP="004B5B2E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Każde państwo członkowskie</w:t>
            </w:r>
            <w:r w:rsidRPr="00146302">
              <w:t xml:space="preserve">, najszybciej jak to możliwe </w:t>
            </w:r>
            <w:r w:rsidRPr="00146302">
              <w:rPr>
                <w:b/>
                <w:i/>
              </w:rPr>
              <w:t>lecz</w:t>
            </w:r>
            <w:r w:rsidRPr="00146302">
              <w:t xml:space="preserve"> nie później niż 72 godziny po pobraniu danych biometrycznych </w:t>
            </w:r>
            <w:r w:rsidRPr="00146302">
              <w:rPr>
                <w:b/>
                <w:i/>
              </w:rPr>
              <w:t xml:space="preserve">osoby ubiegającej się o ochronę międzynarodową </w:t>
            </w:r>
            <w:r w:rsidRPr="00146302">
              <w:t>przesyła je, wraz z danymi, o których mowa w art. 12</w:t>
            </w:r>
            <w:r w:rsidRPr="00146302">
              <w:rPr>
                <w:b/>
                <w:i/>
              </w:rPr>
              <w:t xml:space="preserve"> ust</w:t>
            </w:r>
            <w:r w:rsidRPr="00146302">
              <w:rPr>
                <w:b/>
                <w:i/>
              </w:rPr>
              <w:t xml:space="preserve">. 1 </w:t>
            </w:r>
            <w:r w:rsidRPr="00146302">
              <w:t>niniejszego rozporządzenia, do systemu centralnego i, w stosownych przypadkach zgodnie z art. 4 ust. 2, do CIR</w:t>
            </w:r>
            <w:r w:rsidRPr="00146302">
              <w:rPr>
                <w:b/>
                <w:i/>
              </w:rPr>
              <w:t>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20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14 – Artykuł 10 – ustęp 1 – akapit 2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rPr>
                <w:b/>
                <w:i/>
              </w:rPr>
              <w:t xml:space="preserve">Jeżeli zastosowanie ma art. 3 ust. 1 rozporządzenia (UE) </w:t>
            </w:r>
            <w:r w:rsidRPr="00146302">
              <w:rPr>
                <w:b/>
                <w:i/>
              </w:rPr>
              <w:t>XXX/XXX [Rozporządzenie dotyczące kontroli przesiewowej] i dana osoba złoży wniosek o ochronę międzynarodową podczas kontroli przesiewowej, w przypadku każdej osoby ubiegającej się o ochronę międzynarodową w wieku co najmniej sześciu lat każde państwo czło</w:t>
            </w:r>
            <w:r w:rsidRPr="00146302">
              <w:rPr>
                <w:b/>
                <w:i/>
              </w:rPr>
              <w:t>nkowskie korzysta z danych biometrycznych pobranych podczas kontroli przesiewowej i przesyła je, wraz z danymi, o których mowa w art. 12 lit. c)–p) niniejszego rozporządzenia, do systemu centralnego i, w stosownych przypadkach zgodnie z art. 4 ust. 2, do C</w:t>
            </w:r>
            <w:r w:rsidRPr="00146302">
              <w:rPr>
                <w:b/>
                <w:i/>
              </w:rPr>
              <w:t>IR, nie później niż 72 godziny od zarejestrowania wniosku, o którym mowa w art. 27 rozporządzenia (UE) XXX/XXX [Rozporządzenie w sprawie procedury azylowej].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skreśla się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lastRenderedPageBreak/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21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</w:t>
      </w:r>
      <w:r w:rsidRPr="00146302">
        <w:rPr>
          <w:rStyle w:val="HideTWBExt"/>
          <w:b w:val="0"/>
          <w:noProof w:val="0"/>
        </w:rPr>
        <w:t>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14 – Artykuł 10 – ustęp 3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3.</w:t>
            </w:r>
            <w:r w:rsidRPr="00146302">
              <w:tab/>
              <w:t xml:space="preserve">Na wniosek danego </w:t>
            </w:r>
            <w:r w:rsidRPr="00146302">
              <w:t xml:space="preserve">państwa członkowskiego dane biometryczne mogą być także pobierane i przesyłane w imieniu tego państwa członkowskiego przez członków zespołów Europejskiej Straży Granicznej i Przybrzeżnej lub przez ekspertów z zespołów wsparcia ds. azylu podczas realizacji </w:t>
            </w:r>
            <w:r w:rsidRPr="00146302">
              <w:t>przez nich zadań i wykonywania uprawnień na podstawie rozporządzenia (UE) 2019/1896 i rozporządzenia (UE) XXX/XXX [Rozporządzenie w sprawie Agencji Unii Europejskiej ds. Azylu].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3.</w:t>
            </w:r>
            <w:r w:rsidRPr="00146302">
              <w:tab/>
              <w:t xml:space="preserve">Na wniosek danego państwa członkowskiego dane biometryczne </w:t>
            </w:r>
            <w:r w:rsidRPr="00146302">
              <w:rPr>
                <w:b/>
                <w:i/>
              </w:rPr>
              <w:t>i alfanumeryczne</w:t>
            </w:r>
            <w:r w:rsidRPr="00146302">
              <w:rPr>
                <w:b/>
                <w:i/>
              </w:rPr>
              <w:t xml:space="preserve"> </w:t>
            </w:r>
            <w:r w:rsidRPr="00146302">
              <w:t>mogą być także pobierane i przesyłane w imieniu tego państwa członkowskiego przez członków zespołów Europejskiej Straży Granicznej i Przybrzeżnej lub przez ekspertów z zespołów wsparcia ds. azylu podczas realizacji przez nich zadań i wykonywania uprawnień</w:t>
            </w:r>
            <w:r w:rsidRPr="00146302">
              <w:t xml:space="preserve"> na podstawie rozporządzenia (UE) 2019/1896 i rozporządzenia (UE) XXX/XXX [Rozporządzenie w sprawie Agencji Unii Europejskiej ds. Azylu].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pPr>
        <w:pStyle w:val="JustificationTitle"/>
        <w:rPr>
          <w:noProof w:val="0"/>
        </w:rPr>
      </w:pPr>
      <w:r w:rsidRPr="00146302">
        <w:rPr>
          <w:rStyle w:val="HideTWBExt"/>
          <w:i w:val="0"/>
          <w:noProof w:val="0"/>
        </w:rPr>
        <w:t>&lt;TitreJust&gt;</w:t>
      </w:r>
      <w:r w:rsidRPr="00146302">
        <w:rPr>
          <w:noProof w:val="0"/>
        </w:rPr>
        <w:t>Uzasadnienie</w:t>
      </w:r>
      <w:r w:rsidRPr="00146302">
        <w:rPr>
          <w:rStyle w:val="HideTWBExt"/>
          <w:i w:val="0"/>
          <w:noProof w:val="0"/>
        </w:rPr>
        <w:t>&lt;/TitreJust&gt;</w:t>
      </w:r>
    </w:p>
    <w:p w:rsidR="006C1CE1" w:rsidRPr="00146302" w:rsidRDefault="00146302" w:rsidP="006C1CE1">
      <w:pPr>
        <w:pStyle w:val="Normal12Italic"/>
        <w:rPr>
          <w:noProof w:val="0"/>
        </w:rPr>
      </w:pPr>
      <w:r w:rsidRPr="00146302">
        <w:rPr>
          <w:noProof w:val="0"/>
        </w:rPr>
        <w:t>Niniejszy wniosek zawiera ważne uzupełnienie, któ</w:t>
      </w:r>
      <w:r w:rsidRPr="00146302">
        <w:rPr>
          <w:noProof w:val="0"/>
        </w:rPr>
        <w:t>rym jest przekazywanie do Eurodac odpowiednich danych alfanumerycznych osób ubiegających się o azyl lub nielegalnych migrantów. Poprawka ta zagwarantuje w przyszłości lepsze wsparcie przyjmującego państwa członkowskiego, zapewniając przekazywanie w imieniu</w:t>
      </w:r>
      <w:r w:rsidRPr="00146302">
        <w:rPr>
          <w:noProof w:val="0"/>
        </w:rPr>
        <w:t xml:space="preserve"> właściwego organu nie tylko danych biometrycznych, ale również danych alfanumerycznych, które powinny być gromadzone podczas tego samego procesu kontroli przesiewowej obywateli państw trzecich.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22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5A0F1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14 – Artykuł 10 – ustęp 4a (nowy)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E733C7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4a.</w:t>
            </w:r>
            <w:r w:rsidRPr="00146302">
              <w:rPr>
                <w:b/>
                <w:i/>
              </w:rPr>
              <w:tab/>
            </w:r>
            <w:r w:rsidRPr="00146302">
              <w:rPr>
                <w:b/>
                <w:i/>
              </w:rPr>
              <w:t xml:space="preserve">W przypadku gdy obywatel państwa trzeciego lub bezpaństwowiec, który został uznany za nielegalnie przebywającego w państwie członkowskim, składa wniosek o udzielenie ochrony międzynarodowej w </w:t>
            </w:r>
            <w:r w:rsidRPr="00146302">
              <w:rPr>
                <w:b/>
                <w:i/>
              </w:rPr>
              <w:lastRenderedPageBreak/>
              <w:t>tym samym czasie lub po zatrzymaniu, odnośne państwo członkowski</w:t>
            </w:r>
            <w:r w:rsidRPr="00146302">
              <w:rPr>
                <w:b/>
                <w:i/>
              </w:rPr>
              <w:t xml:space="preserve">e nie jest zwolnione z obowiązku pobrania i zarejestrowania danych biometrycznych tego obywatela państwa trzeciego lub bezpaństwowca zgodnie z art. 14. 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23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</w:t>
      </w:r>
      <w:r w:rsidRPr="00146302">
        <w:t>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5A0F1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14 – Artykuł 10 – ustęp 4 b (nowy)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E733C7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4b.</w:t>
            </w:r>
            <w:r w:rsidRPr="00146302">
              <w:rPr>
                <w:b/>
                <w:i/>
              </w:rPr>
              <w:tab/>
              <w:t xml:space="preserve">W przypadku gdy obywatel </w:t>
            </w:r>
            <w:r w:rsidRPr="00146302">
              <w:rPr>
                <w:b/>
                <w:i/>
              </w:rPr>
              <w:t>państwa trzeciego lub bezpaństwowiec, który został zatrzymany w związku z nielegalnym przekroczeniem granicy zewnętrznej, składa wniosek o udzielenie ochrony międzynarodowej w tym samym czasie lub po zatrzymaniu, państwo członkowskie, które dokonało zatrzy</w:t>
            </w:r>
            <w:r w:rsidRPr="00146302">
              <w:rPr>
                <w:b/>
                <w:i/>
              </w:rPr>
              <w:t>mania, nie jest zwolnione z obowiązku pobrania i zarejestrowania danych biometrycznych tego obywatela państwa trzeciego lub bezpaństwowca zgodnie z art. 13.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24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</w:t>
      </w:r>
      <w:r w:rsidRPr="00146302">
        <w:rPr>
          <w:rStyle w:val="HideTWBExt"/>
          <w:b w:val="0"/>
          <w:noProof w:val="0"/>
        </w:rPr>
        <w:t>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5A0F1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14 – Artykuł 10 – ustęp 4 c (nowy)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EF3617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4c.</w:t>
            </w:r>
            <w:r w:rsidRPr="00146302">
              <w:rPr>
                <w:b/>
                <w:i/>
              </w:rPr>
              <w:tab/>
              <w:t xml:space="preserve">W przypadkach, o </w:t>
            </w:r>
            <w:r w:rsidRPr="00146302">
              <w:rPr>
                <w:b/>
                <w:i/>
              </w:rPr>
              <w:t xml:space="preserve">których mowa w ust. 4a i 4b niniejszego artykułu, państwa członkowskie ponownie wykorzystują dane biometryczne pobrane na podstawie </w:t>
            </w:r>
            <w:r w:rsidRPr="00146302">
              <w:rPr>
                <w:b/>
                <w:i/>
              </w:rPr>
              <w:lastRenderedPageBreak/>
              <w:t>art. 13 i 14 w celu przekazania ich do systemu centralnego i CIR zgodnie z ust. 1 niniejszego artykułu.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</w:t>
      </w:r>
      <w:r w:rsidRPr="00146302">
        <w:rPr>
          <w:noProof w:val="0"/>
        </w:rPr>
        <w:t>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25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16 – Artykuł 12 – wprowadzenie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W systemie centralnym i, w stosownych przypadkach, w CIR zapisywane są tylko następujące dane: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W systemie centralnym i, w stosownych przypadkach</w:t>
            </w:r>
            <w:r w:rsidRPr="00146302">
              <w:rPr>
                <w:b/>
                <w:i/>
              </w:rPr>
              <w:t xml:space="preserve"> zgodnie z art. 4 ust. 2</w:t>
            </w:r>
            <w:r w:rsidRPr="00146302">
              <w:t>, w CIR zapisywane są tylko nastę</w:t>
            </w:r>
            <w:r w:rsidRPr="00146302">
              <w:t>pujące dane: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26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 xml:space="preserve">Część normatywna – Punkt 16 </w:t>
      </w:r>
      <w:r w:rsidRPr="00146302">
        <w:t>– Artykuł 12 – liter o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o)</w:t>
            </w:r>
            <w:r w:rsidRPr="00146302">
              <w:tab/>
              <w:t>datę przesłania danych do systemu centralnego i, w stosownych przypadkach, do CIR;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o)</w:t>
            </w:r>
            <w:r w:rsidRPr="00146302">
              <w:tab/>
              <w:t>datę przesłania danych do systemu centralnego i, w stosownych przypadkach</w:t>
            </w:r>
            <w:r w:rsidRPr="00146302">
              <w:rPr>
                <w:b/>
                <w:i/>
              </w:rPr>
              <w:t xml:space="preserve"> zgodnie z art. 4</w:t>
            </w:r>
            <w:r w:rsidRPr="00146302">
              <w:rPr>
                <w:b/>
                <w:i/>
              </w:rPr>
              <w:t xml:space="preserve"> ust. 2</w:t>
            </w:r>
            <w:r w:rsidRPr="00146302">
              <w:t>, do CIR;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27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</w:t>
      </w:r>
      <w:r w:rsidRPr="00146302">
        <w:t xml:space="preserve"> 16 a (nowy) – Artykuł 12 a (nowy)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211B52">
            <w:pPr>
              <w:pStyle w:val="Normal6"/>
              <w:jc w:val="center"/>
              <w:rPr>
                <w:szCs w:val="24"/>
              </w:rPr>
            </w:pPr>
            <w:r w:rsidRPr="00146302">
              <w:rPr>
                <w:b/>
                <w:i/>
              </w:rPr>
              <w:t>Artykuł 12a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211B52">
            <w:pPr>
              <w:pStyle w:val="Normal6"/>
              <w:jc w:val="center"/>
              <w:rPr>
                <w:szCs w:val="24"/>
              </w:rPr>
            </w:pPr>
            <w:r w:rsidRPr="00146302">
              <w:rPr>
                <w:b/>
                <w:i/>
              </w:rPr>
              <w:t>Pobieranie i przesyłanie danych dotyczących odcisków palców oraz danych dotyczących wizerunku twarzy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1. </w:t>
            </w:r>
            <w:r w:rsidRPr="00146302">
              <w:rPr>
                <w:b/>
                <w:i/>
              </w:rPr>
              <w:tab/>
            </w:r>
            <w:r w:rsidRPr="00146302">
              <w:rPr>
                <w:b/>
                <w:i/>
              </w:rPr>
              <w:t>Każde państwo członkowskie niezwłocznie pobiera odciski wszystkich palców oraz wykonuje zdjęcie wizerunku twarzy każdego obywatela państwa trzeciego lub bezpaństwowca w wieku co najmniej sześciu lat w momencie jego przybycia na terytorium tego państwa czło</w:t>
            </w:r>
            <w:r w:rsidRPr="00146302">
              <w:rPr>
                <w:b/>
                <w:i/>
              </w:rPr>
              <w:t>nkowskiego i przesyła je do systemu centralnego wraz z innymi danymi wymienionymi w art. 10 rozporządzenia (UE) .../…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Niespełnienie wymogu niezwłocznego pobrania odcisków wszystkich palców i wykonania zdjęcia wizerunku twarzy nie zwalnia państw członkows</w:t>
            </w:r>
            <w:r w:rsidRPr="00146302">
              <w:rPr>
                <w:b/>
                <w:i/>
              </w:rPr>
              <w:t xml:space="preserve">kich z obowiązku pobrania odcisków palców lub wykonania zdjęcia wizerunku twarzy oraz przesłania ich do systemu centralnego. W przypadku gdy stan opuszek palców nie pozwala na pobranie odcisków palców o jakości zapewniającej odpowiednie porównanie zgodnie </w:t>
            </w:r>
            <w:r w:rsidRPr="00146302">
              <w:rPr>
                <w:b/>
                <w:i/>
              </w:rPr>
              <w:t>z art. 26, państwo członkowskie przesiedlenia pobiera powtórnie odciski palców osoby ubiegającej się o ochronę międzynarodową i przesyła je ponownie, możliwe najszybciej, ale nie później niż 48 godziny po ich skutecznym ponownym pobraniu.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2. </w:t>
            </w:r>
            <w:r w:rsidRPr="00146302">
              <w:rPr>
                <w:b/>
                <w:i/>
              </w:rPr>
              <w:tab/>
              <w:t>Na zasadzie</w:t>
            </w:r>
            <w:r w:rsidRPr="00146302">
              <w:rPr>
                <w:b/>
                <w:i/>
              </w:rPr>
              <w:t xml:space="preserve"> odstępstwa od ust. 1, w przypadku gdy pobranie odcisków palców, wykonanie zdjęcia wizerunku twarzy osoby ubiegającej się o ochronę międzynarodową lub przeprowadzenie obu tych czynności nie jest możliwe z powodu środków podjętych w celu ochrony zdrowia tej</w:t>
            </w:r>
            <w:r w:rsidRPr="00146302">
              <w:rPr>
                <w:b/>
                <w:i/>
              </w:rPr>
              <w:t xml:space="preserve"> osoby lub ochrony zdrowia publicznego, państwa członkowskie pobierają i przesyłają takie odciski palców, zdjęcie wizerunku twarzy lub jedne i drugie możliwie najszybciej, ale nie później niż 48 godzin po ustaniu tych powodów zdrowotnych.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</w:t>
      </w:r>
      <w:r w:rsidRPr="00146302">
        <w:rPr>
          <w:rStyle w:val="HideTWBInt"/>
          <w:noProof w:val="0"/>
        </w:rPr>
        <w:t>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075CA9" w:rsidRPr="00146302" w:rsidRDefault="00146302" w:rsidP="00075CA9">
      <w:pPr>
        <w:pStyle w:val="JustificationTitle"/>
        <w:rPr>
          <w:noProof w:val="0"/>
        </w:rPr>
      </w:pPr>
      <w:r w:rsidRPr="00146302">
        <w:rPr>
          <w:rStyle w:val="HideTWBExt"/>
          <w:i w:val="0"/>
          <w:noProof w:val="0"/>
        </w:rPr>
        <w:t>&lt;TitreJust&gt;</w:t>
      </w:r>
      <w:r w:rsidRPr="00146302">
        <w:rPr>
          <w:noProof w:val="0"/>
        </w:rPr>
        <w:t>Uzasadnienie</w:t>
      </w:r>
      <w:r w:rsidRPr="00146302">
        <w:rPr>
          <w:rStyle w:val="HideTWBExt"/>
          <w:i w:val="0"/>
          <w:noProof w:val="0"/>
        </w:rPr>
        <w:t>&lt;/TitreJust&gt;</w:t>
      </w:r>
    </w:p>
    <w:p w:rsidR="00075CA9" w:rsidRPr="00146302" w:rsidRDefault="00146302" w:rsidP="006C1CE1">
      <w:pPr>
        <w:rPr>
          <w:i/>
        </w:rPr>
      </w:pPr>
      <w:r w:rsidRPr="00146302">
        <w:rPr>
          <w:i/>
        </w:rPr>
        <w:t>Przywrócenie stanowiska Parlamentu w sprawie tej kategorii osób do zarejestrowania w Eurodac. Dalsze wyjaśnienia znajdują się w uzasadnieniu sprawozdawcy.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28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16 b (nowy) – Artykuł 12 b (nowy)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211B52">
            <w:pPr>
              <w:pStyle w:val="Normal6"/>
              <w:jc w:val="center"/>
              <w:rPr>
                <w:szCs w:val="24"/>
              </w:rPr>
            </w:pPr>
            <w:r w:rsidRPr="00146302">
              <w:rPr>
                <w:b/>
                <w:i/>
              </w:rPr>
              <w:t>Artykuł 12b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354F4" w:rsidRPr="00146302" w:rsidRDefault="006354F4" w:rsidP="006D69C2">
            <w:pPr>
              <w:pStyle w:val="Normal6"/>
            </w:pPr>
          </w:p>
        </w:tc>
        <w:tc>
          <w:tcPr>
            <w:tcW w:w="4876" w:type="dxa"/>
          </w:tcPr>
          <w:p w:rsidR="006354F4" w:rsidRPr="00146302" w:rsidRDefault="00146302" w:rsidP="006354F4">
            <w:pPr>
              <w:pStyle w:val="Normal6"/>
              <w:jc w:val="center"/>
              <w:rPr>
                <w:b/>
                <w:i/>
              </w:rPr>
            </w:pPr>
            <w:r w:rsidRPr="00146302">
              <w:rPr>
                <w:b/>
                <w:i/>
              </w:rPr>
              <w:t>Zapisywanie danych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354F4" w:rsidRPr="00146302" w:rsidRDefault="006354F4" w:rsidP="006D69C2">
            <w:pPr>
              <w:pStyle w:val="Normal6"/>
            </w:pPr>
          </w:p>
        </w:tc>
        <w:tc>
          <w:tcPr>
            <w:tcW w:w="4876" w:type="dxa"/>
          </w:tcPr>
          <w:p w:rsidR="006354F4" w:rsidRPr="00146302" w:rsidRDefault="00146302" w:rsidP="00211B52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 xml:space="preserve">W systemie centralnym zapisywane są tylko następujące dane: 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a) </w:t>
            </w:r>
            <w:r w:rsidRPr="00146302">
              <w:rPr>
                <w:b/>
                <w:i/>
              </w:rPr>
              <w:tab/>
              <w:t>dane daktyloskopijne;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b) </w:t>
            </w:r>
            <w:r w:rsidRPr="00146302">
              <w:rPr>
                <w:b/>
                <w:i/>
              </w:rPr>
              <w:tab/>
              <w:t>wizerunek twarzy;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c) </w:t>
            </w:r>
            <w:r w:rsidRPr="00146302">
              <w:rPr>
                <w:b/>
                <w:i/>
              </w:rPr>
              <w:tab/>
              <w:t>nazwisko(-a) i imię (imiona), nazwisko(-a) rodowe oraz wcześniej stosowane nazwiska lub wszelkie pseud</w:t>
            </w:r>
            <w:r w:rsidRPr="00146302">
              <w:rPr>
                <w:b/>
                <w:i/>
              </w:rPr>
              <w:t>onimy; dane te mogą być wprowadzane oddzielnie;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d) </w:t>
            </w:r>
            <w:r w:rsidRPr="00146302">
              <w:rPr>
                <w:b/>
                <w:i/>
              </w:rPr>
              <w:tab/>
              <w:t>obywatelstwo(-a);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e) </w:t>
            </w:r>
            <w:r w:rsidRPr="00146302">
              <w:rPr>
                <w:b/>
                <w:i/>
              </w:rPr>
              <w:tab/>
              <w:t>miejsce i data urodzenia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f) </w:t>
            </w:r>
            <w:r w:rsidRPr="00146302">
              <w:rPr>
                <w:b/>
                <w:i/>
              </w:rPr>
              <w:tab/>
              <w:t>państwo członkowskie przesiedlenia, miejsce i data zarejestrowania;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g) </w:t>
            </w:r>
            <w:r w:rsidRPr="00146302">
              <w:rPr>
                <w:b/>
                <w:i/>
              </w:rPr>
              <w:tab/>
              <w:t>płeć;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h) </w:t>
            </w:r>
            <w:r w:rsidRPr="00146302">
              <w:rPr>
                <w:b/>
                <w:i/>
              </w:rPr>
              <w:tab/>
              <w:t xml:space="preserve">w stosownych przypadkach rodzaj i numer dokumentu tożsamości </w:t>
            </w:r>
            <w:r w:rsidRPr="00146302">
              <w:rPr>
                <w:b/>
                <w:i/>
              </w:rPr>
              <w:t>lub dokumentu podróży; trzyliterowy kod kraju wydającego dokument oraz data ważności;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i) </w:t>
            </w:r>
            <w:r w:rsidRPr="00146302">
              <w:rPr>
                <w:b/>
                <w:i/>
              </w:rPr>
              <w:tab/>
              <w:t>numer referencyjny użyty przez państwo członkowskie pochodzenia;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j) </w:t>
            </w:r>
            <w:r w:rsidRPr="00146302">
              <w:rPr>
                <w:b/>
                <w:i/>
              </w:rPr>
              <w:tab/>
              <w:t>data pobrania odcisków palców lub wykonania zdjęcia wizerunku twarzy;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k) </w:t>
            </w:r>
            <w:r w:rsidRPr="00146302">
              <w:rPr>
                <w:b/>
                <w:i/>
              </w:rPr>
              <w:tab/>
              <w:t>data przesłania d</w:t>
            </w:r>
            <w:r w:rsidRPr="00146302">
              <w:rPr>
                <w:b/>
                <w:i/>
              </w:rPr>
              <w:t xml:space="preserve">anych do systemu </w:t>
            </w:r>
            <w:r w:rsidRPr="00146302">
              <w:rPr>
                <w:b/>
                <w:i/>
              </w:rPr>
              <w:lastRenderedPageBreak/>
              <w:t>centralnego;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6C1CE1" w:rsidP="006D69C2">
            <w:pPr>
              <w:pStyle w:val="Normal6"/>
            </w:pP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 xml:space="preserve">l) </w:t>
            </w:r>
            <w:r w:rsidRPr="00146302">
              <w:rPr>
                <w:b/>
                <w:i/>
              </w:rPr>
              <w:tab/>
              <w:t>kod identyfikacyjny operatora.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&lt;/Amend&gt;</w:t>
      </w:r>
    </w:p>
    <w:p w:rsidR="006C1CE1" w:rsidRPr="00146302" w:rsidRDefault="00146302" w:rsidP="006C1CE1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29</w:t>
      </w:r>
      <w:r w:rsidRPr="00146302">
        <w:rPr>
          <w:rStyle w:val="HideTWBExt"/>
          <w:b w:val="0"/>
          <w:noProof w:val="0"/>
        </w:rPr>
        <w:t>&lt;/NumAm&gt;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6C1CE1" w:rsidRPr="00146302" w:rsidRDefault="00146302" w:rsidP="006C1CE1">
      <w:r w:rsidRPr="00146302">
        <w:rPr>
          <w:rStyle w:val="HideTWBExt"/>
          <w:noProof w:val="0"/>
        </w:rPr>
        <w:t>&lt;/RepeatBlock-By&gt;</w:t>
      </w:r>
    </w:p>
    <w:p w:rsidR="006C1CE1" w:rsidRPr="00146302" w:rsidRDefault="00146302" w:rsidP="006C1CE1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 xml:space="preserve">Wniosek dotyczący </w:t>
      </w:r>
      <w:r w:rsidRPr="00146302">
        <w:t>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6C1CE1" w:rsidRPr="00146302" w:rsidRDefault="00146302" w:rsidP="006C1CE1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17 – Artykuł 13 – ustęp 2 – wprowadzenie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6D69C2">
        <w:trPr>
          <w:jc w:val="center"/>
        </w:trPr>
        <w:tc>
          <w:tcPr>
            <w:tcW w:w="9752" w:type="dxa"/>
            <w:gridSpan w:val="2"/>
          </w:tcPr>
          <w:p w:rsidR="006C1CE1" w:rsidRPr="00146302" w:rsidRDefault="006C1CE1" w:rsidP="006D69C2">
            <w:pPr>
              <w:keepNext/>
            </w:pP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6D69C2">
        <w:trPr>
          <w:jc w:val="center"/>
        </w:trPr>
        <w:tc>
          <w:tcPr>
            <w:tcW w:w="4876" w:type="dxa"/>
          </w:tcPr>
          <w:p w:rsidR="006C1CE1" w:rsidRPr="00146302" w:rsidRDefault="00146302" w:rsidP="006D69C2">
            <w:pPr>
              <w:pStyle w:val="Normal6"/>
            </w:pPr>
            <w:r w:rsidRPr="00146302">
              <w:t>2.</w:t>
            </w:r>
            <w:r w:rsidRPr="00146302">
              <w:tab/>
              <w:t xml:space="preserve">Dane państwo członkowskie przesyła do systemu centralnego i, w stosownych przypadkach, do CIR – </w:t>
            </w:r>
            <w:r w:rsidRPr="00146302">
              <w:t>najszybciej jak to możliwe i nie później niż 72 godzin po dniu zatrzymania – następujące dane dotyczące każdego obywatela państwa trzeciego lub bezpaństwowca, o którym mowa w ust. 1 i który nie został zawrócony:</w:t>
            </w:r>
          </w:p>
        </w:tc>
        <w:tc>
          <w:tcPr>
            <w:tcW w:w="4876" w:type="dxa"/>
          </w:tcPr>
          <w:p w:rsidR="006C1CE1" w:rsidRPr="00146302" w:rsidRDefault="00146302" w:rsidP="006D69C2">
            <w:pPr>
              <w:pStyle w:val="Normal6"/>
              <w:rPr>
                <w:szCs w:val="24"/>
              </w:rPr>
            </w:pPr>
            <w:r w:rsidRPr="00146302">
              <w:t>2.</w:t>
            </w:r>
            <w:r w:rsidRPr="00146302">
              <w:tab/>
              <w:t>Dane państwo członkowskie przesyła do sys</w:t>
            </w:r>
            <w:r w:rsidRPr="00146302">
              <w:t>temu centralnego i, w stosownych przypadkach</w:t>
            </w:r>
            <w:r w:rsidRPr="00146302">
              <w:rPr>
                <w:b/>
                <w:i/>
              </w:rPr>
              <w:t xml:space="preserve"> zgodnie z art. 4 ust. 2</w:t>
            </w:r>
            <w:r w:rsidRPr="00146302">
              <w:t>, do CIR – najszybciej jak to możliwe i nie później niż 72 godzin po dniu zatrzymania – następujące dane dotyczące każdego obywatela państwa trzeciego lub bezpaństwowca, o którym mowa w us</w:t>
            </w:r>
            <w:r w:rsidRPr="00146302">
              <w:t>t. 1 i który nie został zawrócony:</w:t>
            </w:r>
          </w:p>
        </w:tc>
      </w:tr>
    </w:tbl>
    <w:p w:rsidR="006C1CE1" w:rsidRPr="00146302" w:rsidRDefault="00146302" w:rsidP="006C1CE1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6C1CE1" w:rsidRPr="00146302" w:rsidRDefault="00146302" w:rsidP="006C1CE1">
      <w:pPr>
        <w:rPr>
          <w:rStyle w:val="HideTWBExt"/>
          <w:noProof w:val="0"/>
        </w:rPr>
      </w:pPr>
      <w:r w:rsidRPr="00146302">
        <w:rPr>
          <w:rStyle w:val="HideTWBExt"/>
          <w:noProof w:val="0"/>
        </w:rPr>
        <w:t>&lt;/Amend&gt;</w:t>
      </w:r>
    </w:p>
    <w:p w:rsidR="00460CB0" w:rsidRPr="00146302" w:rsidRDefault="00146302" w:rsidP="00460CB0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30</w:t>
      </w:r>
      <w:r w:rsidRPr="00146302">
        <w:rPr>
          <w:rStyle w:val="HideTWBExt"/>
          <w:b w:val="0"/>
          <w:noProof w:val="0"/>
        </w:rPr>
        <w:t>&lt;/NumAm&gt;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&lt;/RepeatBlock-By&gt;</w:t>
      </w:r>
    </w:p>
    <w:p w:rsidR="00460CB0" w:rsidRPr="00146302" w:rsidRDefault="00146302" w:rsidP="00460CB0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 xml:space="preserve"> Część normatywna – Punkt 17 – Artykuł 13 – ustęp 7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264C57">
        <w:trPr>
          <w:jc w:val="center"/>
        </w:trPr>
        <w:tc>
          <w:tcPr>
            <w:tcW w:w="9752" w:type="dxa"/>
            <w:gridSpan w:val="2"/>
          </w:tcPr>
          <w:p w:rsidR="00460CB0" w:rsidRPr="00146302" w:rsidRDefault="00460CB0" w:rsidP="00264C57">
            <w:pPr>
              <w:keepNext/>
            </w:pPr>
          </w:p>
        </w:tc>
      </w:tr>
      <w:tr w:rsidR="006B5EB5" w:rsidRPr="00146302" w:rsidTr="00264C57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264C57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Normal6"/>
            </w:pPr>
            <w:r w:rsidRPr="00146302">
              <w:t>7.</w:t>
            </w:r>
            <w:r w:rsidRPr="00146302">
              <w:tab/>
              <w:t xml:space="preserve">Na wniosek danego państwa członkowskiego dane biometryczne mogą być także pobierane i przesyłane w imieniu tego państwa członkowskiego przez </w:t>
            </w:r>
            <w:r w:rsidRPr="00146302">
              <w:t xml:space="preserve">członków zespołów Europejskiej Straży Granicznej i Przybrzeżnej lub przez ekspertów z zespołów wsparcia ds. azylu podczas realizacji przez nich zadań i wykonywania uprawnień na podstawie rozporządzenia (UE) 2019/1896 </w:t>
            </w:r>
            <w:r w:rsidRPr="00146302">
              <w:lastRenderedPageBreak/>
              <w:t>i rozporządzenia (UE) XXX/XXX [Rozporzą</w:t>
            </w:r>
            <w:r w:rsidRPr="00146302">
              <w:t>dzenie w sprawie Agencji Unii Europejskiej ds. Azylu].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Normal6"/>
              <w:rPr>
                <w:szCs w:val="24"/>
              </w:rPr>
            </w:pPr>
            <w:r w:rsidRPr="00146302">
              <w:lastRenderedPageBreak/>
              <w:t>7.</w:t>
            </w:r>
            <w:r w:rsidRPr="00146302">
              <w:tab/>
              <w:t xml:space="preserve">Na wniosek danego państwa członkowskiego dane biometryczne </w:t>
            </w:r>
            <w:r w:rsidRPr="00146302">
              <w:rPr>
                <w:b/>
                <w:i/>
              </w:rPr>
              <w:t xml:space="preserve">i alfanumeryczne </w:t>
            </w:r>
            <w:r w:rsidRPr="00146302">
              <w:t>mogą być także pobierane i przesyłane w imieniu tego państwa członkowskiego przez członków zespołów Europejskiej Straży Gr</w:t>
            </w:r>
            <w:r w:rsidRPr="00146302">
              <w:t xml:space="preserve">anicznej i Przybrzeżnej lub przez ekspertów z zespołów wsparcia ds. azylu podczas realizacji przez nich zadań i wykonywania uprawnień na podstawie rozporządzenia </w:t>
            </w:r>
            <w:r w:rsidRPr="00146302">
              <w:lastRenderedPageBreak/>
              <w:t>(UE) 2019/1896 i rozporządzenia (UE) XXX/XXX [Rozporządzenie w sprawie Agencji Unii Europejski</w:t>
            </w:r>
            <w:r w:rsidRPr="00146302">
              <w:t>ej ds. Azylu].</w:t>
            </w:r>
          </w:p>
        </w:tc>
      </w:tr>
    </w:tbl>
    <w:p w:rsidR="00460CB0" w:rsidRPr="00146302" w:rsidRDefault="00146302" w:rsidP="00460CB0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460CB0" w:rsidRPr="00146302" w:rsidRDefault="00146302" w:rsidP="00460CB0">
      <w:pPr>
        <w:pStyle w:val="JustificationTitle"/>
        <w:rPr>
          <w:noProof w:val="0"/>
        </w:rPr>
      </w:pPr>
      <w:r w:rsidRPr="00146302">
        <w:rPr>
          <w:rStyle w:val="HideTWBExt"/>
          <w:i w:val="0"/>
          <w:noProof w:val="0"/>
        </w:rPr>
        <w:t>&lt;TitreJust&gt;</w:t>
      </w:r>
      <w:r w:rsidRPr="00146302">
        <w:rPr>
          <w:noProof w:val="0"/>
        </w:rPr>
        <w:t>Uzasadnienie</w:t>
      </w:r>
      <w:r w:rsidRPr="00146302">
        <w:rPr>
          <w:rStyle w:val="HideTWBExt"/>
          <w:i w:val="0"/>
          <w:noProof w:val="0"/>
        </w:rPr>
        <w:t>&lt;/TitreJust&gt;</w:t>
      </w:r>
    </w:p>
    <w:p w:rsidR="00460CB0" w:rsidRPr="00146302" w:rsidRDefault="00146302" w:rsidP="00460CB0">
      <w:pPr>
        <w:pStyle w:val="Normal12Italic"/>
        <w:rPr>
          <w:noProof w:val="0"/>
        </w:rPr>
      </w:pPr>
      <w:r w:rsidRPr="00146302">
        <w:rPr>
          <w:noProof w:val="0"/>
        </w:rPr>
        <w:t>Niniejszy wniosek zawiera ważne uzupełnienie, którym jest przekazywanie do Eurodac odpowiednich danych alfanumerycznych osób ubiegających się o azyl lub nielegalnych migran</w:t>
      </w:r>
      <w:r w:rsidRPr="00146302">
        <w:rPr>
          <w:noProof w:val="0"/>
        </w:rPr>
        <w:t>tów. Poprawka ta zagwarantuje w przyszłości lepsze wsparcie przyjmującego państwa członkowskiego, zapewniając przekazywanie w imieniu właściwego organu nie tylko danych biometrycznych, ale również danych alfanumerycznych, które powinny być gromadzone podcz</w:t>
      </w:r>
      <w:r w:rsidRPr="00146302">
        <w:rPr>
          <w:noProof w:val="0"/>
        </w:rPr>
        <w:t>as tego samego procesu kontroli przesiewowej obywateli państw trzecich.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&lt;/Amend&gt;</w:t>
      </w:r>
    </w:p>
    <w:p w:rsidR="00460CB0" w:rsidRPr="00146302" w:rsidRDefault="00146302" w:rsidP="00460CB0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31</w:t>
      </w:r>
      <w:r w:rsidRPr="00146302">
        <w:rPr>
          <w:rStyle w:val="HideTWBExt"/>
          <w:b w:val="0"/>
          <w:noProof w:val="0"/>
        </w:rPr>
        <w:t>&lt;/NumAm&gt;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&lt;/RepeatBlock-By&gt;</w:t>
      </w:r>
    </w:p>
    <w:p w:rsidR="00460CB0" w:rsidRPr="00146302" w:rsidRDefault="00146302" w:rsidP="00460CB0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18 – Artykuł 14 – ustęp 2 – wprowadzenie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264C57">
        <w:trPr>
          <w:jc w:val="center"/>
        </w:trPr>
        <w:tc>
          <w:tcPr>
            <w:tcW w:w="9752" w:type="dxa"/>
            <w:gridSpan w:val="2"/>
          </w:tcPr>
          <w:p w:rsidR="00460CB0" w:rsidRPr="00146302" w:rsidRDefault="00460CB0" w:rsidP="00264C57">
            <w:pPr>
              <w:keepNext/>
            </w:pPr>
          </w:p>
        </w:tc>
      </w:tr>
      <w:tr w:rsidR="006B5EB5" w:rsidRPr="00146302" w:rsidTr="00264C57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264C57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Normal6"/>
            </w:pPr>
            <w:r w:rsidRPr="00146302">
              <w:t>2.</w:t>
            </w:r>
            <w:r w:rsidRPr="00146302">
              <w:tab/>
              <w:t xml:space="preserve">Dane państwo członkowskie przesyła do systemu centralnego i, w stosownych przypadkach, do CIR – najszybciej jak to możliwie i nie </w:t>
            </w:r>
            <w:r w:rsidRPr="00146302">
              <w:t>później niż 72 godziny po – stwierdzeniu, że obywatel państwa trzeciego lub bezpaństwowiec nielegalnie przebywa na terytorium państwa członkowskiego, następujące dane dotyczące każdego obywatela państwa trzeciego lub bezpaństwowca, o którym mowa w ust. 1: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Normal6"/>
              <w:rPr>
                <w:szCs w:val="24"/>
              </w:rPr>
            </w:pPr>
            <w:r w:rsidRPr="00146302">
              <w:t>2.</w:t>
            </w:r>
            <w:r w:rsidRPr="00146302">
              <w:tab/>
              <w:t>Dane państwo członkowskie przesyła do systemu centralnego i, w stosownych przypadkach</w:t>
            </w:r>
            <w:r w:rsidRPr="00146302">
              <w:rPr>
                <w:b/>
                <w:i/>
              </w:rPr>
              <w:t xml:space="preserve"> zgodnie z art. 4 ust. 2</w:t>
            </w:r>
            <w:r w:rsidRPr="00146302">
              <w:t>, do CIR – najszybciej jak to możliwie i nie później niż 72 godziny po – stwierdzeniu, że obywatel państwa trzeciego lub bezpaństwowiec nielegal</w:t>
            </w:r>
            <w:r w:rsidRPr="00146302">
              <w:t>nie przebywa na terytorium państwa członkowskiego, następujące dane dotyczące każdego obywatela państwa trzeciego lub bezpaństwowca, o którym mowa w ust. 1:</w:t>
            </w:r>
          </w:p>
        </w:tc>
      </w:tr>
    </w:tbl>
    <w:p w:rsidR="00460CB0" w:rsidRPr="00146302" w:rsidRDefault="00146302" w:rsidP="00460CB0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&lt;/Amend&gt;</w:t>
      </w:r>
    </w:p>
    <w:p w:rsidR="00460CB0" w:rsidRPr="00146302" w:rsidRDefault="00146302" w:rsidP="00460CB0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32</w:t>
      </w:r>
      <w:r w:rsidRPr="00146302">
        <w:rPr>
          <w:rStyle w:val="HideTWBExt"/>
          <w:b w:val="0"/>
          <w:noProof w:val="0"/>
        </w:rPr>
        <w:t>&lt;/NumAm&gt;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&lt;/RepeatBlock-By&gt;</w:t>
      </w:r>
    </w:p>
    <w:p w:rsidR="00460CB0" w:rsidRPr="00146302" w:rsidRDefault="00146302" w:rsidP="00460CB0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Punkt 19 – Rozdział IV a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1E753B">
        <w:trPr>
          <w:jc w:val="center"/>
        </w:trPr>
        <w:tc>
          <w:tcPr>
            <w:tcW w:w="9752" w:type="dxa"/>
            <w:gridSpan w:val="2"/>
          </w:tcPr>
          <w:p w:rsidR="00460CB0" w:rsidRPr="00146302" w:rsidRDefault="00460CB0" w:rsidP="00264C57">
            <w:pPr>
              <w:keepNext/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460CB0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 xml:space="preserve">(19) </w:t>
            </w:r>
            <w:r w:rsidRPr="00146302">
              <w:rPr>
                <w:b/>
                <w:i/>
              </w:rPr>
              <w:tab/>
              <w:t>po art. 14 dodaje się rozdział w </w:t>
            </w:r>
            <w:r w:rsidRPr="00146302">
              <w:rPr>
                <w:b/>
                <w:i/>
              </w:rPr>
              <w:t>brzmieniu:</w:t>
            </w:r>
          </w:p>
        </w:tc>
        <w:tc>
          <w:tcPr>
            <w:tcW w:w="4876" w:type="dxa"/>
          </w:tcPr>
          <w:p w:rsidR="00460CB0" w:rsidRPr="00146302" w:rsidRDefault="00146302" w:rsidP="006354F4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skreśla się</w:t>
            </w:r>
            <w:r w:rsidRPr="00146302">
              <w:rPr>
                <w:i/>
              </w:rPr>
              <w:t xml:space="preserve"> </w:t>
            </w: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14715B">
            <w:pPr>
              <w:pStyle w:val="Normal6"/>
              <w:jc w:val="center"/>
              <w:rPr>
                <w:b/>
                <w:i/>
              </w:rPr>
            </w:pPr>
            <w:r w:rsidRPr="00146302">
              <w:rPr>
                <w:b/>
                <w:i/>
              </w:rPr>
              <w:t>„ROZDZIAŁ IV a</w:t>
            </w:r>
          </w:p>
        </w:tc>
        <w:tc>
          <w:tcPr>
            <w:tcW w:w="4876" w:type="dxa"/>
          </w:tcPr>
          <w:p w:rsidR="00983807" w:rsidRPr="00146302" w:rsidRDefault="00146302" w:rsidP="00264C57">
            <w:pPr>
              <w:pStyle w:val="Normal6"/>
              <w:rPr>
                <w:i/>
              </w:rPr>
            </w:pPr>
            <w:r w:rsidRPr="00146302">
              <w:rPr>
                <w:i/>
              </w:rPr>
              <w:t>(Zmiana dotyczy całości tekstu. Jej przyjęcie wiąże się z koniecznością wprowadzenia odpowiednich zmian w całym dokumencie).</w:t>
            </w: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14715B">
            <w:pPr>
              <w:pStyle w:val="Normal6"/>
              <w:jc w:val="center"/>
              <w:rPr>
                <w:b/>
                <w:i/>
              </w:rPr>
            </w:pPr>
            <w:r w:rsidRPr="00146302">
              <w:rPr>
                <w:b/>
                <w:i/>
              </w:rPr>
              <w:t xml:space="preserve">obywatele państw trzecich i bezpaństwowcy sprowadzeni na ląd w następstwie operacji </w:t>
            </w:r>
            <w:r w:rsidRPr="00146302">
              <w:rPr>
                <w:b/>
                <w:i/>
              </w:rPr>
              <w:t>poszukiwawczo-ratowniczej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14715B">
            <w:pPr>
              <w:pStyle w:val="Normal6"/>
              <w:jc w:val="center"/>
              <w:rPr>
                <w:b/>
                <w:i/>
              </w:rPr>
            </w:pPr>
            <w:r w:rsidRPr="00146302">
              <w:rPr>
                <w:b/>
                <w:i/>
              </w:rPr>
              <w:t>Artykuł 14 a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14715B">
            <w:pPr>
              <w:pStyle w:val="Normal6"/>
              <w:jc w:val="center"/>
              <w:rPr>
                <w:b/>
                <w:i/>
              </w:rPr>
            </w:pPr>
            <w:r w:rsidRPr="00146302">
              <w:rPr>
                <w:b/>
                <w:i/>
              </w:rPr>
              <w:t>Gromadzenie i przesyłanie danych biometrycznych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 xml:space="preserve">1. </w:t>
            </w:r>
            <w:r w:rsidRPr="00146302">
              <w:rPr>
                <w:b/>
                <w:i/>
              </w:rPr>
              <w:tab/>
              <w:t>Każde państwo członkowskie bez zwłoki pobiera dane biometryczne każdego obywatela państwa trzeciego lub bezpaństwowca w wieku co najmniej sześciu lat, który zo</w:t>
            </w:r>
            <w:r w:rsidRPr="00146302">
              <w:rPr>
                <w:b/>
                <w:i/>
              </w:rPr>
              <w:t>stał sprowadzony na ląd w następstwie operacji poszukiwawczo-ratowniczej, jak określono w rozporządzeniu (UE) XXX/XXX [Rozporządzenie w sprawie zarządzania azylem i migracją].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 xml:space="preserve">2. </w:t>
            </w:r>
            <w:r w:rsidRPr="00146302">
              <w:rPr>
                <w:b/>
                <w:i/>
              </w:rPr>
              <w:tab/>
              <w:t xml:space="preserve">Dane państwo członkowskie przesyła do systemu centralnego i, w stosownych </w:t>
            </w:r>
            <w:r w:rsidRPr="00146302">
              <w:rPr>
                <w:b/>
                <w:i/>
              </w:rPr>
              <w:t>przypadkach, do CIR – najszybciej jak to możliwe i nie później niż 72 godziny po dniu sprowadzenia na ląd – następujące dane dotyczące każdego obywatela państwa trzeciego lub bezpaństwowca, o którym mowa w ust. 1: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a)</w:t>
            </w:r>
            <w:r w:rsidRPr="00146302">
              <w:rPr>
                <w:b/>
                <w:i/>
              </w:rPr>
              <w:tab/>
              <w:t>dane daktyloskopijne;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b)</w:t>
            </w:r>
            <w:r w:rsidRPr="00146302">
              <w:rPr>
                <w:b/>
                <w:i/>
              </w:rPr>
              <w:tab/>
              <w:t xml:space="preserve">wizerunek </w:t>
            </w:r>
            <w:r w:rsidRPr="00146302">
              <w:rPr>
                <w:b/>
                <w:i/>
              </w:rPr>
              <w:t>twarzy;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c)</w:t>
            </w:r>
            <w:r w:rsidRPr="00146302">
              <w:rPr>
                <w:b/>
                <w:i/>
              </w:rPr>
              <w:tab/>
              <w:t>nazwisko(-a) i imię (imiona), nazwisko(-a) rodowe oraz wcześniej stosowane nazwiska lub wszelkie pseudonimy; dane te mogą być wprowadzane oddzielnie;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d)</w:t>
            </w:r>
            <w:r w:rsidRPr="00146302">
              <w:rPr>
                <w:b/>
                <w:i/>
              </w:rPr>
              <w:tab/>
              <w:t>obywatelstwo(-a);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e)</w:t>
            </w:r>
            <w:r w:rsidRPr="00146302">
              <w:rPr>
                <w:b/>
                <w:i/>
              </w:rPr>
              <w:tab/>
              <w:t>datę urodzenia;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lastRenderedPageBreak/>
              <w:t>f)</w:t>
            </w:r>
            <w:r w:rsidRPr="00146302">
              <w:rPr>
                <w:b/>
                <w:i/>
              </w:rPr>
              <w:tab/>
              <w:t>miejsce urodzenia;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g)</w:t>
            </w:r>
            <w:r w:rsidRPr="00146302">
              <w:rPr>
                <w:b/>
                <w:i/>
              </w:rPr>
              <w:tab/>
              <w:t>państwo członkowskie</w:t>
            </w:r>
            <w:r w:rsidRPr="00146302">
              <w:rPr>
                <w:b/>
                <w:i/>
              </w:rPr>
              <w:t xml:space="preserve"> pochodzenia, miejsce i datę sprowadzenia na ląd;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h)</w:t>
            </w:r>
            <w:r w:rsidRPr="00146302">
              <w:rPr>
                <w:b/>
                <w:i/>
              </w:rPr>
              <w:tab/>
              <w:t>płeć;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i)</w:t>
            </w:r>
            <w:r w:rsidRPr="00146302">
              <w:rPr>
                <w:b/>
                <w:i/>
              </w:rPr>
              <w:tab/>
              <w:t>rodzaj i numer dokumentu tożsamości lub dokumentu podróży, jeżeli są dostępne; trzyliterowy kod kraju wydającego dokument oraz datę ważności;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j)</w:t>
            </w:r>
            <w:r w:rsidRPr="00146302">
              <w:rPr>
                <w:b/>
                <w:i/>
              </w:rPr>
              <w:tab/>
            </w:r>
            <w:r w:rsidRPr="00146302">
              <w:rPr>
                <w:b/>
                <w:i/>
              </w:rPr>
              <w:t xml:space="preserve">o ile są dostępne, zeskanowaną kolorową kopię dokumentu tożsamości lub dokumentu podróży, wraz z adnotacją o jego autentyczności lub, jeżeli nie są dostępne – innego dokumentu ułatwiającego identyfikację obywatela państwa trzeciego lub bezpaństwowca, wraz </w:t>
            </w:r>
            <w:r w:rsidRPr="00146302">
              <w:rPr>
                <w:b/>
                <w:i/>
              </w:rPr>
              <w:t>z adnotacją o jego autentyczności;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k)</w:t>
            </w:r>
            <w:r w:rsidRPr="00146302">
              <w:rPr>
                <w:b/>
                <w:i/>
              </w:rPr>
              <w:tab/>
              <w:t>numer referencyjny użyty przez państwo członkowskie pochodzenia;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l)</w:t>
            </w:r>
            <w:r w:rsidRPr="00146302">
              <w:rPr>
                <w:b/>
                <w:i/>
              </w:rPr>
              <w:tab/>
              <w:t>datę pobrania danych biometrycznych;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m)</w:t>
            </w:r>
            <w:r w:rsidRPr="00146302">
              <w:rPr>
                <w:b/>
                <w:i/>
              </w:rPr>
              <w:tab/>
              <w:t>datę przesłania danych do systemu centralnego i, w stosownych przypadkach, do CIR;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n)</w:t>
            </w:r>
            <w:r w:rsidRPr="00146302">
              <w:rPr>
                <w:b/>
                <w:i/>
              </w:rPr>
              <w:tab/>
              <w:t>numer identyfika</w:t>
            </w:r>
            <w:r w:rsidRPr="00146302">
              <w:rPr>
                <w:b/>
                <w:i/>
              </w:rPr>
              <w:t>cyjny operatora;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o)</w:t>
            </w:r>
            <w:r w:rsidRPr="00146302">
              <w:rPr>
                <w:b/>
                <w:i/>
              </w:rPr>
              <w:tab/>
              <w:t>w stosownych przypadkach, zgodnie z ust. 6 – datę opuszczenia przez daną osobę terytorium państw członkowskich lub wydalenia jej z ich terytorium;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p)</w:t>
            </w:r>
            <w:r w:rsidRPr="00146302">
              <w:rPr>
                <w:b/>
                <w:i/>
              </w:rPr>
              <w:tab/>
              <w:t>państwo członkowskie relokacji zgodnie z art. 14b ust. 1;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q)</w:t>
            </w:r>
            <w:r w:rsidRPr="00146302">
              <w:rPr>
                <w:b/>
                <w:i/>
              </w:rPr>
              <w:tab/>
              <w:t xml:space="preserve">w stosownych </w:t>
            </w:r>
            <w:r w:rsidRPr="00146302">
              <w:rPr>
                <w:b/>
                <w:i/>
              </w:rPr>
              <w:t>przypadkach – fakt przyznania pomocy w dobrowolnym powrocie i środków reintegracyjnych (AVRR);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r)</w:t>
            </w:r>
            <w:r w:rsidRPr="00146302">
              <w:rPr>
                <w:b/>
                <w:i/>
              </w:rPr>
              <w:tab/>
              <w:t>fakt, że osoba może stanowić zagrożenie bezpieczeństwa wewnętrznego, co stwierdzono wskutek kontroli przesiewowej, o której mowa w rozporządzeniu (UE) XXX/X</w:t>
            </w:r>
            <w:r w:rsidRPr="00146302">
              <w:rPr>
                <w:b/>
                <w:i/>
              </w:rPr>
              <w:t xml:space="preserve">XX [Rozporządzenie dotyczące kontroli </w:t>
            </w:r>
            <w:r w:rsidRPr="00146302">
              <w:rPr>
                <w:b/>
                <w:i/>
              </w:rPr>
              <w:lastRenderedPageBreak/>
              <w:t>przesiewowej].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 xml:space="preserve">4. </w:t>
            </w:r>
            <w:r w:rsidRPr="00146302">
              <w:rPr>
                <w:b/>
                <w:i/>
              </w:rPr>
              <w:tab/>
              <w:t>Niedotrzymanie 72-godzinnego terminu, o którym mowa w ust. 2 niniejszego artykułu, nie zwalnia państw członkowskich z obowiązku pobrania i przesłania danych biometrycznych do CIR. W przypadku gdy s</w:t>
            </w:r>
            <w:r w:rsidRPr="00146302">
              <w:rPr>
                <w:b/>
                <w:i/>
              </w:rPr>
              <w:t xml:space="preserve">tan opuszków palców nie pozwala na pobranie odcisków palców o jakości zapewniającej odpowiednie porównanie zgodnie z art. 26, państwo członkowskie pochodzenia pobiera powtórnie odciski palców osób sprowadzonych na ląd w sposób opisany w ust. 1 niniejszego </w:t>
            </w:r>
            <w:r w:rsidRPr="00146302">
              <w:rPr>
                <w:b/>
                <w:i/>
              </w:rPr>
              <w:t>artykułu i przesyła je ponownie, najszybciej jak to możliwe i nie później niż 48 godzin po ich skutecznym ponownym pobraniu.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 xml:space="preserve">5. </w:t>
            </w:r>
            <w:r w:rsidRPr="00146302">
              <w:rPr>
                <w:b/>
                <w:i/>
              </w:rPr>
              <w:tab/>
              <w:t>Na zasadzie odstępstwa od ust. 1, w przypadku gdy pobranie danych biometrycznych osoby sprowadzonej na ląd nie jest możliwe z</w:t>
            </w:r>
            <w:r w:rsidRPr="00146302">
              <w:rPr>
                <w:b/>
                <w:i/>
              </w:rPr>
              <w:t> powodu środków podjętych w celu ochrony jej zdrowia lub ochrony zdrowia publicznego, dane państwo członkowskie pobiera i przesyła jej dane biometryczne najszybciej jak to możliwe i nie później niż 48 godzin po ustaniu tych powodów zdrowotnych.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>W razie p</w:t>
            </w:r>
            <w:r w:rsidRPr="00146302">
              <w:rPr>
                <w:b/>
                <w:i/>
              </w:rPr>
              <w:t>oważnych problemów technicznych państwa członkowskie mogą przedłużyć 72-godzinny okres, o którym mowa w ust. 2, o kolejne 48 godzin w celu wykonywania swoich krajowych planów zapewnienia ciągłości działania.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 xml:space="preserve">6. </w:t>
            </w:r>
            <w:r w:rsidRPr="00146302">
              <w:rPr>
                <w:b/>
                <w:i/>
              </w:rPr>
              <w:tab/>
              <w:t>Kiedy tylko państwo członkowskie pochodzen</w:t>
            </w:r>
            <w:r w:rsidRPr="00146302">
              <w:rPr>
                <w:b/>
                <w:i/>
              </w:rPr>
              <w:t>ia zapewni, aby dana osoba, której dane zapisano w systemie Eurodac zgodnie z ust. 1, opuściła terytorium państw członkowskich zgodnie z decyzją nakazującą powrót lub z nakazem jej wydalenia, państwo to aktualizuje zestaw danych dotyczących tej osoby, zapi</w:t>
            </w:r>
            <w:r w:rsidRPr="00146302">
              <w:rPr>
                <w:b/>
                <w:i/>
              </w:rPr>
              <w:t>sanych zgodnie z ust. 2 , dodając informację o dacie wydalenia tej osoby lub opuszczenia przez nią terytorium państw członkowskich.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lastRenderedPageBreak/>
              <w:t xml:space="preserve">7. </w:t>
            </w:r>
            <w:r w:rsidRPr="00146302">
              <w:rPr>
                <w:b/>
                <w:i/>
              </w:rPr>
              <w:tab/>
              <w:t xml:space="preserve">Na wniosek danego państwa członkowskiego dane biometryczne mogą być także pobierane i przesyłane w imieniu tego </w:t>
            </w:r>
            <w:r w:rsidRPr="00146302">
              <w:rPr>
                <w:b/>
                <w:i/>
              </w:rPr>
              <w:t>państwa członkowskiego przez członków zespołów Europejskiej Straży Granicznej i Przybrzeżnej lub przez ekspertów z zespołów wsparcia ds. azylu podczas wykonywania przez nich uprawnień i realizowania zadań na podstawie rozporządzenia (UE) 2019/1896 i rozpor</w:t>
            </w:r>
            <w:r w:rsidRPr="00146302">
              <w:rPr>
                <w:b/>
                <w:i/>
              </w:rPr>
              <w:t>ządzenia (UE) XXX/XXX [Rozporządzenie w sprawie Agencji Unii Europejskiej ds. Azylu].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 xml:space="preserve">8. </w:t>
            </w:r>
            <w:r w:rsidRPr="00146302">
              <w:rPr>
                <w:b/>
                <w:i/>
              </w:rPr>
              <w:tab/>
              <w:t>Każdy zestaw danych zgromadzony i przesłany zgodnie z ust. 1 jest powiązany z innymi zestawami danych dotyczących tego samego obywatela państwa trzeciego lub bezpań</w:t>
            </w:r>
            <w:r w:rsidRPr="00146302">
              <w:rPr>
                <w:b/>
                <w:i/>
              </w:rPr>
              <w:t>stwowca w ramach sekwencji, jak określono w art. 4 ust. 6.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  <w:tr w:rsidR="006B5EB5" w:rsidRPr="00146302" w:rsidTr="001E753B">
        <w:trPr>
          <w:jc w:val="center"/>
        </w:trPr>
        <w:tc>
          <w:tcPr>
            <w:tcW w:w="4876" w:type="dxa"/>
          </w:tcPr>
          <w:p w:rsidR="00983807" w:rsidRPr="00146302" w:rsidRDefault="00146302" w:rsidP="00983807">
            <w:pPr>
              <w:pStyle w:val="Normal6"/>
              <w:rPr>
                <w:b/>
                <w:i/>
              </w:rPr>
            </w:pPr>
            <w:r w:rsidRPr="00146302">
              <w:rPr>
                <w:b/>
                <w:i/>
              </w:rPr>
              <w:t xml:space="preserve">9. </w:t>
            </w:r>
            <w:r w:rsidRPr="00146302">
              <w:rPr>
                <w:b/>
                <w:i/>
              </w:rPr>
              <w:tab/>
              <w:t>Uznaje się, że zestaw danych zgodnie z ust. 1 został stworzony na potrzeby art. 27 ust. 1 rozporządzenia (UE) 818/2019, jeżeli zarejestrowano wszystkie dane wymienione w lit. a)–f) i lit. h).</w:t>
            </w:r>
            <w:r w:rsidRPr="00146302">
              <w:rPr>
                <w:b/>
                <w:i/>
              </w:rPr>
              <w:t>”;</w:t>
            </w:r>
          </w:p>
        </w:tc>
        <w:tc>
          <w:tcPr>
            <w:tcW w:w="4876" w:type="dxa"/>
          </w:tcPr>
          <w:p w:rsidR="00983807" w:rsidRPr="00146302" w:rsidRDefault="00983807" w:rsidP="00264C57">
            <w:pPr>
              <w:pStyle w:val="Normal6"/>
              <w:rPr>
                <w:i/>
              </w:rPr>
            </w:pPr>
          </w:p>
        </w:tc>
      </w:tr>
    </w:tbl>
    <w:p w:rsidR="001E753B" w:rsidRPr="00146302" w:rsidRDefault="00146302" w:rsidP="001E753B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1E753B" w:rsidRPr="00146302" w:rsidRDefault="00146302" w:rsidP="001E753B">
      <w:pPr>
        <w:pStyle w:val="JustificationTitle"/>
        <w:rPr>
          <w:noProof w:val="0"/>
        </w:rPr>
      </w:pPr>
      <w:r w:rsidRPr="00146302">
        <w:rPr>
          <w:rStyle w:val="HideTWBExt"/>
          <w:i w:val="0"/>
          <w:noProof w:val="0"/>
        </w:rPr>
        <w:t>&lt;TitreJust&gt;</w:t>
      </w:r>
      <w:r w:rsidRPr="00146302">
        <w:rPr>
          <w:noProof w:val="0"/>
        </w:rPr>
        <w:t>Uzasadnienie</w:t>
      </w:r>
      <w:r w:rsidRPr="00146302">
        <w:rPr>
          <w:rStyle w:val="HideTWBExt"/>
          <w:i w:val="0"/>
          <w:noProof w:val="0"/>
        </w:rPr>
        <w:t>&lt;/TitreJust&gt;</w:t>
      </w:r>
    </w:p>
    <w:p w:rsidR="001E753B" w:rsidRPr="00146302" w:rsidRDefault="00146302" w:rsidP="001E753B">
      <w:pPr>
        <w:rPr>
          <w:i/>
        </w:rPr>
      </w:pPr>
      <w:r w:rsidRPr="00146302">
        <w:rPr>
          <w:i/>
        </w:rPr>
        <w:t xml:space="preserve">Dodanie tego rozdziału stworzyłoby nową kategorię, która nie ma istotnego uzasadnienia, i co ostatecznie stworzyłoby czynnik przyciągający. Osoby sprowadzone na ląd w wyniku operacji </w:t>
      </w:r>
      <w:r w:rsidRPr="00146302">
        <w:rPr>
          <w:i/>
        </w:rPr>
        <w:t>poszukiwawczo-ratunkowych powinny być rejestrowane jako osoby nielegalnie przekraczające granicę, jak ma to miejsce obecnie.</w:t>
      </w:r>
    </w:p>
    <w:p w:rsidR="001E753B" w:rsidRPr="00146302" w:rsidRDefault="00146302" w:rsidP="001E753B">
      <w:r w:rsidRPr="00146302">
        <w:rPr>
          <w:rStyle w:val="HideTWBExt"/>
          <w:noProof w:val="0"/>
        </w:rPr>
        <w:t>&lt;/Amend&gt;</w:t>
      </w:r>
    </w:p>
    <w:p w:rsidR="00460CB0" w:rsidRPr="00146302" w:rsidRDefault="00146302" w:rsidP="00460CB0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33</w:t>
      </w:r>
      <w:r w:rsidRPr="00146302">
        <w:rPr>
          <w:rStyle w:val="HideTWBExt"/>
          <w:b w:val="0"/>
          <w:noProof w:val="0"/>
        </w:rPr>
        <w:t>&lt;/NumAm&gt;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&lt;/RepeatBlock-By&gt;</w:t>
      </w:r>
    </w:p>
    <w:p w:rsidR="00460CB0" w:rsidRPr="00146302" w:rsidRDefault="00146302" w:rsidP="00460CB0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21 (-a) (nowy) – Artykuł 17 – ustęp 1 a (nowy)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460CB0">
        <w:trPr>
          <w:jc w:val="center"/>
        </w:trPr>
        <w:tc>
          <w:tcPr>
            <w:tcW w:w="9752" w:type="dxa"/>
            <w:gridSpan w:val="2"/>
          </w:tcPr>
          <w:p w:rsidR="00460CB0" w:rsidRPr="00146302" w:rsidRDefault="00460CB0" w:rsidP="00264C57">
            <w:pPr>
              <w:keepNext/>
            </w:pPr>
          </w:p>
        </w:tc>
      </w:tr>
      <w:tr w:rsidR="006B5EB5" w:rsidRPr="00146302" w:rsidTr="00460CB0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460CB0">
        <w:trPr>
          <w:jc w:val="center"/>
        </w:trPr>
        <w:tc>
          <w:tcPr>
            <w:tcW w:w="4876" w:type="dxa"/>
          </w:tcPr>
          <w:p w:rsidR="00460CB0" w:rsidRPr="00146302" w:rsidRDefault="00460CB0" w:rsidP="00264C57">
            <w:pPr>
              <w:pStyle w:val="Normal6"/>
            </w:pP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Normal6"/>
              <w:rPr>
                <w:szCs w:val="24"/>
              </w:rPr>
            </w:pPr>
            <w:r w:rsidRPr="00146302">
              <w:rPr>
                <w:b/>
                <w:i/>
              </w:rPr>
              <w:t>1a.</w:t>
            </w:r>
            <w:r w:rsidRPr="00146302">
              <w:rPr>
                <w:b/>
                <w:i/>
              </w:rPr>
              <w:tab/>
              <w:t xml:space="preserve">Do celów określonych w art. 12a każdy zestaw danych odnoszący się do </w:t>
            </w:r>
            <w:r w:rsidRPr="00146302">
              <w:rPr>
                <w:b/>
                <w:i/>
              </w:rPr>
              <w:lastRenderedPageBreak/>
              <w:t>prz</w:t>
            </w:r>
            <w:r w:rsidRPr="00146302">
              <w:rPr>
                <w:b/>
                <w:i/>
              </w:rPr>
              <w:t>esiedlonego obywatela państwa trzeciego lub bezpaństwowca jest przechowywany w systemie centralnym przez pięć lat od daty pobrania odcisków palców.</w:t>
            </w:r>
          </w:p>
        </w:tc>
      </w:tr>
    </w:tbl>
    <w:p w:rsidR="00460CB0" w:rsidRPr="00146302" w:rsidRDefault="00146302" w:rsidP="00460CB0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&lt;/Amend&gt;</w:t>
      </w:r>
    </w:p>
    <w:p w:rsidR="00460CB0" w:rsidRPr="00146302" w:rsidRDefault="00146302" w:rsidP="00460CB0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34</w:t>
      </w:r>
      <w:r w:rsidRPr="00146302">
        <w:rPr>
          <w:rStyle w:val="HideTWBExt"/>
          <w:b w:val="0"/>
          <w:noProof w:val="0"/>
        </w:rPr>
        <w:t>&lt;/NumAm&gt;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 xml:space="preserve">Jorge </w:t>
      </w:r>
      <w:r w:rsidRPr="00146302">
        <w:t>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&lt;/RepeatBlock-By&gt;</w:t>
      </w:r>
    </w:p>
    <w:p w:rsidR="00460CB0" w:rsidRPr="00146302" w:rsidRDefault="00146302" w:rsidP="00460CB0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21 (b) – Artykuł 17 – ustęp 4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460CB0">
        <w:trPr>
          <w:jc w:val="center"/>
        </w:trPr>
        <w:tc>
          <w:tcPr>
            <w:tcW w:w="9752" w:type="dxa"/>
            <w:gridSpan w:val="2"/>
          </w:tcPr>
          <w:p w:rsidR="00460CB0" w:rsidRPr="00146302" w:rsidRDefault="00460CB0" w:rsidP="00264C57">
            <w:pPr>
              <w:keepNext/>
            </w:pPr>
          </w:p>
        </w:tc>
      </w:tr>
      <w:tr w:rsidR="006B5EB5" w:rsidRPr="00146302" w:rsidTr="00460CB0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460CB0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Normal6"/>
            </w:pPr>
            <w:r w:rsidRPr="00146302">
              <w:t>4.</w:t>
            </w:r>
            <w:r w:rsidRPr="00146302">
              <w:tab/>
            </w:r>
            <w:r w:rsidRPr="00146302">
              <w:t>Po upływie okresów przechowywania danych, o których mowa w ust. 1–3a niniejszego artykułu, dane osób, których te dane dotyczą, usuwa się z systemu centralnego i, w stosownych przypadkach, z CIR.;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Normal6"/>
              <w:rPr>
                <w:szCs w:val="24"/>
              </w:rPr>
            </w:pPr>
            <w:r w:rsidRPr="00146302">
              <w:t>4.</w:t>
            </w:r>
            <w:r w:rsidRPr="00146302">
              <w:tab/>
              <w:t xml:space="preserve">Po upływie okresów przechowywania danych, o których mowa </w:t>
            </w:r>
            <w:r w:rsidRPr="00146302">
              <w:t xml:space="preserve">w ust. 1–3a niniejszego artykułu, dane osób, których te dane dotyczą, </w:t>
            </w:r>
            <w:r w:rsidRPr="00146302">
              <w:rPr>
                <w:b/>
                <w:i/>
              </w:rPr>
              <w:t xml:space="preserve">automatycznie </w:t>
            </w:r>
            <w:r w:rsidRPr="00146302">
              <w:t>usuwa się z systemu centralnego i, w stosownych przypadkach, z CIR.;</w:t>
            </w:r>
          </w:p>
        </w:tc>
      </w:tr>
    </w:tbl>
    <w:p w:rsidR="00460CB0" w:rsidRPr="00146302" w:rsidRDefault="00146302" w:rsidP="00460CB0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&lt;/Amend&gt;</w:t>
      </w:r>
    </w:p>
    <w:p w:rsidR="00460CB0" w:rsidRPr="00146302" w:rsidRDefault="00146302" w:rsidP="00460CB0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35</w:t>
      </w:r>
      <w:r w:rsidRPr="00146302">
        <w:rPr>
          <w:rStyle w:val="HideTWBExt"/>
          <w:b w:val="0"/>
          <w:noProof w:val="0"/>
        </w:rPr>
        <w:t>&lt;/NumAm&gt;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&lt;/RepeatBlock-By&gt;</w:t>
      </w:r>
    </w:p>
    <w:p w:rsidR="00460CB0" w:rsidRPr="00146302" w:rsidRDefault="00146302" w:rsidP="00460CB0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>Część normatywna – Punkt 22 – Artykuł 19 – tytuł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264C57">
        <w:trPr>
          <w:jc w:val="center"/>
        </w:trPr>
        <w:tc>
          <w:tcPr>
            <w:tcW w:w="9752" w:type="dxa"/>
            <w:gridSpan w:val="2"/>
          </w:tcPr>
          <w:p w:rsidR="00460CB0" w:rsidRPr="00146302" w:rsidRDefault="00460CB0" w:rsidP="00264C57">
            <w:pPr>
              <w:keepNext/>
            </w:pPr>
          </w:p>
        </w:tc>
      </w:tr>
      <w:tr w:rsidR="006B5EB5" w:rsidRPr="00146302" w:rsidTr="00264C57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264C57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Normal6"/>
            </w:pPr>
            <w:r w:rsidRPr="00146302">
              <w:t xml:space="preserve">Oznaczanie </w:t>
            </w:r>
            <w:r w:rsidRPr="00146302">
              <w:rPr>
                <w:b/>
                <w:i/>
              </w:rPr>
              <w:t>i blokowanie</w:t>
            </w:r>
            <w:r w:rsidRPr="00146302">
              <w:t xml:space="preserve"> danych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Normal6"/>
              <w:rPr>
                <w:szCs w:val="24"/>
              </w:rPr>
            </w:pPr>
            <w:r w:rsidRPr="00146302">
              <w:t>Oznaczanie danych</w:t>
            </w:r>
          </w:p>
        </w:tc>
      </w:tr>
    </w:tbl>
    <w:p w:rsidR="00460CB0" w:rsidRPr="00146302" w:rsidRDefault="00146302" w:rsidP="00460CB0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&lt;/Amend&gt;</w:t>
      </w:r>
    </w:p>
    <w:p w:rsidR="00460CB0" w:rsidRPr="00146302" w:rsidRDefault="00146302" w:rsidP="00460CB0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36</w:t>
      </w:r>
      <w:r w:rsidRPr="00146302">
        <w:rPr>
          <w:rStyle w:val="HideTWBExt"/>
          <w:b w:val="0"/>
          <w:noProof w:val="0"/>
        </w:rPr>
        <w:t>&lt;/NumAm&gt;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&lt;/RepeatBlock-By&gt;</w:t>
      </w:r>
    </w:p>
    <w:p w:rsidR="00460CB0" w:rsidRPr="00146302" w:rsidRDefault="00146302" w:rsidP="00460CB0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 xml:space="preserve">Część normatywna – </w:t>
      </w:r>
      <w:r w:rsidRPr="00146302">
        <w:t>Punkt 22 – Artykuł 19 – ustęp 1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264C57">
        <w:trPr>
          <w:jc w:val="center"/>
        </w:trPr>
        <w:tc>
          <w:tcPr>
            <w:tcW w:w="9752" w:type="dxa"/>
            <w:gridSpan w:val="2"/>
          </w:tcPr>
          <w:p w:rsidR="00460CB0" w:rsidRPr="00146302" w:rsidRDefault="00460CB0" w:rsidP="00264C57">
            <w:pPr>
              <w:keepNext/>
            </w:pPr>
          </w:p>
        </w:tc>
      </w:tr>
      <w:tr w:rsidR="006B5EB5" w:rsidRPr="00146302" w:rsidTr="00264C57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264C57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Normal6"/>
            </w:pPr>
            <w:r w:rsidRPr="00146302">
              <w:t>1.</w:t>
            </w:r>
            <w:r w:rsidRPr="00146302">
              <w:tab/>
              <w:t xml:space="preserve">W celach określonych w art. 1 ust. 1 lit. a) państwo członkowskie pochodzenia, które udzieliło ochrony międzynarodowej osobie, której dane zostały uprzednio zapisane </w:t>
            </w:r>
            <w:r w:rsidRPr="00146302">
              <w:t>w systemie centralnym i, w stosownych przypadkach, w CIR zgodnie z art. 12, oznacza odpowiednie dane zgodnie z wymogami w zakresie łączności elektronicznej z systemem centralnym ustanowionymi przez eu-LISA. Oznaczenie to zapisywane jest w systemie centraln</w:t>
            </w:r>
            <w:r w:rsidRPr="00146302">
              <w:t>ym zgodnie z art. 17 ust. 1 na potrzeby przekazywania danych na mocy art. 15 i art. 16. System centralny informuje wszystkie państwa członkowskie pochodzenia – najszybciej jak to możliwe i nie później niż w ciągu 72 godzin – o oznaczeniu przez inne państwo</w:t>
            </w:r>
            <w:r w:rsidRPr="00146302">
              <w:t xml:space="preserve"> członkowskie pochodzenia danych, które doprowadziły do trafienia w połączeniu z danymi przesłanymi przez te państwa, dotyczącymi osób, o których mowa w art. 10 ust. 1, art. 13 ust. 1</w:t>
            </w:r>
            <w:r w:rsidRPr="00146302">
              <w:rPr>
                <w:b/>
                <w:i/>
              </w:rPr>
              <w:t>,</w:t>
            </w:r>
            <w:r w:rsidRPr="00146302">
              <w:t xml:space="preserve"> art. 14 ust. 1</w:t>
            </w:r>
            <w:r w:rsidRPr="00146302">
              <w:rPr>
                <w:b/>
                <w:i/>
              </w:rPr>
              <w:t xml:space="preserve"> lub art. 14a ust. 1.</w:t>
            </w:r>
            <w:r w:rsidRPr="00146302">
              <w:t xml:space="preserve"> Te państwa członkowskie pochodzenia</w:t>
            </w:r>
            <w:r w:rsidRPr="00146302">
              <w:t xml:space="preserve"> również oznaczają odpowiadające zestawy danych.</w:t>
            </w:r>
          </w:p>
        </w:tc>
        <w:tc>
          <w:tcPr>
            <w:tcW w:w="4876" w:type="dxa"/>
          </w:tcPr>
          <w:p w:rsidR="00460CB0" w:rsidRPr="00146302" w:rsidRDefault="00146302" w:rsidP="00B82DF1">
            <w:pPr>
              <w:pStyle w:val="Normal6"/>
              <w:rPr>
                <w:szCs w:val="24"/>
              </w:rPr>
            </w:pPr>
            <w:r w:rsidRPr="00146302">
              <w:t>1.</w:t>
            </w:r>
            <w:r w:rsidRPr="00146302">
              <w:tab/>
              <w:t xml:space="preserve">W celach określonych w art. 1 ust. 1 lit. a) państwo członkowskie pochodzenia, które udzieliło ochrony międzynarodowej osobie, której dane zostały uprzednio zapisane w systemie centralnym i, w stosownych </w:t>
            </w:r>
            <w:r w:rsidRPr="00146302">
              <w:t>przypadkach</w:t>
            </w:r>
            <w:r w:rsidRPr="00146302">
              <w:rPr>
                <w:b/>
                <w:i/>
              </w:rPr>
              <w:t xml:space="preserve"> zgodnie z art. 4 ust. 2</w:t>
            </w:r>
            <w:r w:rsidRPr="00146302">
              <w:t>, w CIR zgodnie z art. 12, oznacza odpowiednie dane zgodnie z wymogami w zakresie łączności elektronicznej z systemem centralnym ustanowionymi przez eu-LISA. Oznaczenie to zapisywane jest w systemie centralnym zgodnie z a</w:t>
            </w:r>
            <w:r w:rsidRPr="00146302">
              <w:t xml:space="preserve">rt. 17 ust. 1 na potrzeby przekazywania danych na mocy art. 15 i art. 16. System centralny informuje wszystkie państwa członkowskie pochodzenia – najszybciej jak to możliwe i nie później niż w ciągu 72 godzin – o oznaczeniu przez inne państwo członkowskie </w:t>
            </w:r>
            <w:r w:rsidRPr="00146302">
              <w:t xml:space="preserve">pochodzenia danych, które doprowadziły do trafienia w połączeniu z danymi przesłanymi przez te państwa, dotyczącymi osób, o których mowa w art. 10 ust. 1, art. 13 ust. 1 </w:t>
            </w:r>
            <w:r w:rsidRPr="00146302">
              <w:rPr>
                <w:b/>
                <w:i/>
              </w:rPr>
              <w:t>lub</w:t>
            </w:r>
            <w:r w:rsidRPr="00146302">
              <w:t xml:space="preserve"> art. 14 ust. 1. Te państwa członkowskie pochodzenia również oznaczają odpowiadając</w:t>
            </w:r>
            <w:r w:rsidRPr="00146302">
              <w:t>e zestawy danych.</w:t>
            </w:r>
          </w:p>
        </w:tc>
      </w:tr>
    </w:tbl>
    <w:p w:rsidR="00460CB0" w:rsidRPr="00146302" w:rsidRDefault="00146302" w:rsidP="00460CB0">
      <w:pPr>
        <w:pStyle w:val="Olang"/>
        <w:rPr>
          <w:noProof w:val="0"/>
        </w:rPr>
      </w:pPr>
      <w:r w:rsidRPr="00146302">
        <w:rPr>
          <w:noProof w:val="0"/>
        </w:rPr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&lt;/Amend&gt;</w:t>
      </w:r>
    </w:p>
    <w:p w:rsidR="00460CB0" w:rsidRPr="00146302" w:rsidRDefault="00146302" w:rsidP="00460CB0">
      <w:pPr>
        <w:pStyle w:val="AMNumberTabs0"/>
        <w:keepNext/>
      </w:pPr>
      <w:r w:rsidRPr="00146302">
        <w:rPr>
          <w:rStyle w:val="HideTWBExt"/>
          <w:b w:val="0"/>
          <w:noProof w:val="0"/>
        </w:rPr>
        <w:t>&lt;Amend&gt;</w:t>
      </w:r>
      <w:r w:rsidRPr="00146302">
        <w:t>Poprawka</w:t>
      </w:r>
      <w:r w:rsidRPr="00146302">
        <w:tab/>
      </w:r>
      <w:r w:rsidRPr="00146302">
        <w:tab/>
      </w:r>
      <w:r w:rsidRPr="00146302">
        <w:rPr>
          <w:rStyle w:val="HideTWBExt"/>
          <w:b w:val="0"/>
          <w:noProof w:val="0"/>
        </w:rPr>
        <w:t>&lt;NumAm&gt;</w:t>
      </w:r>
      <w:r w:rsidRPr="00146302">
        <w:t>37</w:t>
      </w:r>
      <w:r w:rsidRPr="00146302">
        <w:rPr>
          <w:rStyle w:val="HideTWBExt"/>
          <w:b w:val="0"/>
          <w:noProof w:val="0"/>
        </w:rPr>
        <w:t>&lt;/NumAm&gt;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&lt;RepeatBlock-By&gt;&lt;Members&gt;</w:t>
      </w:r>
      <w:r w:rsidRPr="00146302">
        <w:t>Jorge Buxadé Villalba</w:t>
      </w:r>
      <w:r w:rsidRPr="00146302">
        <w:rPr>
          <w:rStyle w:val="HideTWBExt"/>
          <w:b w:val="0"/>
          <w:noProof w:val="0"/>
        </w:rPr>
        <w:t>&lt;/Members&gt;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&lt;/RepeatBlock-By&gt;</w:t>
      </w:r>
    </w:p>
    <w:p w:rsidR="00460CB0" w:rsidRPr="00146302" w:rsidRDefault="00146302" w:rsidP="00460CB0">
      <w:pPr>
        <w:pStyle w:val="NormalBold"/>
        <w:keepNext/>
      </w:pPr>
      <w:r w:rsidRPr="00146302">
        <w:rPr>
          <w:rStyle w:val="HideTWBExt"/>
          <w:b w:val="0"/>
          <w:noProof w:val="0"/>
        </w:rPr>
        <w:t>&lt;DocAmend&gt;</w:t>
      </w:r>
      <w:r w:rsidRPr="00146302">
        <w:t>Wniosek dotyczący rozporządzenia</w:t>
      </w:r>
      <w:r w:rsidRPr="00146302">
        <w:rPr>
          <w:rStyle w:val="HideTWBExt"/>
          <w:b w:val="0"/>
          <w:noProof w:val="0"/>
        </w:rPr>
        <w:t>&lt;/DocAmend&gt;</w:t>
      </w:r>
    </w:p>
    <w:p w:rsidR="00460CB0" w:rsidRPr="00146302" w:rsidRDefault="00146302" w:rsidP="00460CB0">
      <w:pPr>
        <w:pStyle w:val="NormalBold"/>
      </w:pPr>
      <w:r w:rsidRPr="00146302">
        <w:rPr>
          <w:rStyle w:val="HideTWBExt"/>
          <w:b w:val="0"/>
          <w:noProof w:val="0"/>
        </w:rPr>
        <w:t>&lt;Article&gt;</w:t>
      </w:r>
      <w:r w:rsidRPr="00146302">
        <w:t xml:space="preserve">Część normatywna – </w:t>
      </w:r>
      <w:r w:rsidRPr="00146302">
        <w:t>Punkt 22 – Artykuł 19 – ustęp 2</w:t>
      </w:r>
      <w:r w:rsidRPr="0014630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B5EB5" w:rsidRPr="00146302" w:rsidTr="00264C57">
        <w:trPr>
          <w:jc w:val="center"/>
        </w:trPr>
        <w:tc>
          <w:tcPr>
            <w:tcW w:w="9752" w:type="dxa"/>
            <w:gridSpan w:val="2"/>
          </w:tcPr>
          <w:p w:rsidR="00460CB0" w:rsidRPr="00146302" w:rsidRDefault="00460CB0" w:rsidP="00264C57">
            <w:pPr>
              <w:keepNext/>
            </w:pPr>
          </w:p>
        </w:tc>
      </w:tr>
      <w:tr w:rsidR="006B5EB5" w:rsidRPr="00146302" w:rsidTr="00264C57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Tekst proponowany przez Komisję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ColumnHeading"/>
              <w:keepNext/>
            </w:pPr>
            <w:r w:rsidRPr="00146302">
              <w:t>Poprawka</w:t>
            </w:r>
          </w:p>
        </w:tc>
      </w:tr>
      <w:tr w:rsidR="006B5EB5" w:rsidRPr="00146302" w:rsidTr="00264C57">
        <w:trPr>
          <w:jc w:val="center"/>
        </w:trPr>
        <w:tc>
          <w:tcPr>
            <w:tcW w:w="4876" w:type="dxa"/>
          </w:tcPr>
          <w:p w:rsidR="00460CB0" w:rsidRPr="00146302" w:rsidRDefault="00146302" w:rsidP="00264C57">
            <w:pPr>
              <w:pStyle w:val="Normal6"/>
            </w:pPr>
            <w:r w:rsidRPr="00146302">
              <w:t>2.</w:t>
            </w:r>
            <w:r w:rsidRPr="00146302">
              <w:tab/>
              <w:t xml:space="preserve">Przechowywane w systemie centralnym i, w stosownych przypadkach, w CIR i oznaczone zgodnie z ust. 1 niniejszego artykułu dane beneficjentów ochrony międzynarodowej są </w:t>
            </w:r>
            <w:r w:rsidRPr="00146302">
              <w:t xml:space="preserve">udostępniane </w:t>
            </w:r>
            <w:r w:rsidRPr="00146302">
              <w:lastRenderedPageBreak/>
              <w:t>do porównywania w celach określonych w art. 1 ust. 1 lit. d) do chwili ich automatycznego usunięcia z systemu centralnego i, w stosownych przypadkach, z CIR zgodnie z art. 17 ust. 4.</w:t>
            </w:r>
          </w:p>
        </w:tc>
        <w:tc>
          <w:tcPr>
            <w:tcW w:w="4876" w:type="dxa"/>
          </w:tcPr>
          <w:p w:rsidR="00460CB0" w:rsidRPr="00146302" w:rsidRDefault="00146302" w:rsidP="00264C57">
            <w:pPr>
              <w:pStyle w:val="Normal6"/>
              <w:rPr>
                <w:szCs w:val="24"/>
              </w:rPr>
            </w:pPr>
            <w:r w:rsidRPr="00146302">
              <w:lastRenderedPageBreak/>
              <w:t>2.</w:t>
            </w:r>
            <w:r w:rsidRPr="00146302">
              <w:tab/>
              <w:t>Przechowywane w systemie centralnym i, w stosownych przyp</w:t>
            </w:r>
            <w:r w:rsidRPr="00146302">
              <w:t>adkach</w:t>
            </w:r>
            <w:r w:rsidRPr="00146302">
              <w:rPr>
                <w:b/>
                <w:i/>
              </w:rPr>
              <w:t xml:space="preserve"> zgodnie z art. 4 ust. 2</w:t>
            </w:r>
            <w:r w:rsidRPr="00146302">
              <w:t xml:space="preserve">, w CIR i oznaczone zgodnie z ust. 1 niniejszego artykułu dane beneficjentów ochrony międzynarodowej </w:t>
            </w:r>
            <w:r w:rsidRPr="00146302">
              <w:lastRenderedPageBreak/>
              <w:t>są udostępniane do porównywania w celach określonych w art. 1 ust. 1 lit. d) do chwili ich automatycznego usunięcia z systemu</w:t>
            </w:r>
            <w:r w:rsidRPr="00146302">
              <w:t xml:space="preserve"> centralnego i, w stosownych przypadkach, z CIR zgodnie z art. 17 ust. 4.</w:t>
            </w:r>
          </w:p>
        </w:tc>
      </w:tr>
    </w:tbl>
    <w:p w:rsidR="00460CB0" w:rsidRPr="00146302" w:rsidRDefault="00146302" w:rsidP="00460CB0">
      <w:pPr>
        <w:pStyle w:val="Olang"/>
        <w:rPr>
          <w:noProof w:val="0"/>
        </w:rPr>
      </w:pPr>
      <w:r w:rsidRPr="00146302">
        <w:rPr>
          <w:noProof w:val="0"/>
        </w:rPr>
        <w:lastRenderedPageBreak/>
        <w:t xml:space="preserve">Or. </w:t>
      </w:r>
      <w:r w:rsidRPr="00146302">
        <w:rPr>
          <w:rStyle w:val="HideTWBExt"/>
          <w:noProof w:val="0"/>
        </w:rPr>
        <w:t>&lt;Original&gt;</w:t>
      </w:r>
      <w:r w:rsidRPr="00146302">
        <w:rPr>
          <w:rStyle w:val="HideTWBInt"/>
          <w:noProof w:val="0"/>
        </w:rPr>
        <w:t>{EN}</w:t>
      </w:r>
      <w:r w:rsidRPr="00146302">
        <w:rPr>
          <w:noProof w:val="0"/>
        </w:rPr>
        <w:t>en</w:t>
      </w:r>
      <w:r w:rsidRPr="00146302">
        <w:rPr>
          <w:rStyle w:val="HideTWBExt"/>
          <w:noProof w:val="0"/>
        </w:rPr>
        <w:t>&lt;/Original&gt;</w:t>
      </w:r>
    </w:p>
    <w:p w:rsidR="00460CB0" w:rsidRPr="00146302" w:rsidRDefault="00146302" w:rsidP="00460CB0">
      <w:r w:rsidRPr="00146302">
        <w:rPr>
          <w:rStyle w:val="HideTWBExt"/>
          <w:noProof w:val="0"/>
        </w:rPr>
        <w:t>&lt;/Amend&gt;&lt;/RepeatBlock-Amend&gt;</w:t>
      </w:r>
    </w:p>
    <w:p w:rsidR="00460CB0" w:rsidRPr="00146302" w:rsidRDefault="00460CB0" w:rsidP="006C1CE1">
      <w:pPr>
        <w:rPr>
          <w:rStyle w:val="HideTWBExt"/>
          <w:noProof w:val="0"/>
        </w:rPr>
      </w:pPr>
    </w:p>
    <w:p w:rsidR="00460CB0" w:rsidRPr="00146302" w:rsidRDefault="00460CB0" w:rsidP="006C1CE1">
      <w:pPr>
        <w:rPr>
          <w:rStyle w:val="HideTWBExt"/>
          <w:noProof w:val="0"/>
        </w:rPr>
      </w:pPr>
    </w:p>
    <w:bookmarkEnd w:id="1"/>
    <w:p w:rsidR="00460CB0" w:rsidRPr="00146302" w:rsidRDefault="00460CB0" w:rsidP="006C1CE1">
      <w:pPr>
        <w:rPr>
          <w:rStyle w:val="HideTWBExt"/>
          <w:noProof w:val="0"/>
        </w:rPr>
      </w:pPr>
    </w:p>
    <w:sectPr w:rsidR="00460CB0" w:rsidRPr="00146302" w:rsidSect="002A44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2A44B1" w:rsidRDefault="00146302">
      <w:r w:rsidRPr="002A44B1">
        <w:separator/>
      </w:r>
    </w:p>
  </w:endnote>
  <w:endnote w:type="continuationSeparator" w:id="0">
    <w:p w:rsidR="00000000" w:rsidRPr="002A44B1" w:rsidRDefault="00146302">
      <w:r w:rsidRPr="002A44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4B1" w:rsidRPr="002A44B1" w:rsidRDefault="002A44B1" w:rsidP="002A44B1">
    <w:pPr>
      <w:pStyle w:val="EPFooter"/>
    </w:pPr>
    <w:r w:rsidRPr="002A44B1">
      <w:t>PE</w:t>
    </w:r>
    <w:r w:rsidRPr="002A44B1">
      <w:rPr>
        <w:rStyle w:val="HideTWBExt"/>
        <w:noProof w:val="0"/>
      </w:rPr>
      <w:t>&lt;NoPE&gt;</w:t>
    </w:r>
    <w:r w:rsidRPr="002A44B1">
      <w:t>661.979</w:t>
    </w:r>
    <w:r w:rsidRPr="002A44B1">
      <w:rPr>
        <w:rStyle w:val="HideTWBExt"/>
        <w:noProof w:val="0"/>
      </w:rPr>
      <w:t>&lt;/NoPE&gt;&lt;Version&gt;</w:t>
    </w:r>
    <w:r w:rsidRPr="002A44B1">
      <w:t>v01-00</w:t>
    </w:r>
    <w:r w:rsidRPr="002A44B1">
      <w:rPr>
        <w:rStyle w:val="HideTWBExt"/>
        <w:noProof w:val="0"/>
      </w:rPr>
      <w:t>&lt;/Version&gt;</w:t>
    </w:r>
    <w:r w:rsidRPr="002A44B1">
      <w:tab/>
    </w:r>
    <w:r w:rsidRPr="002A44B1">
      <w:fldChar w:fldCharType="begin"/>
    </w:r>
    <w:r w:rsidRPr="002A44B1">
      <w:instrText xml:space="preserve"> PAGE  \* MERGEFORMAT </w:instrText>
    </w:r>
    <w:r w:rsidRPr="002A44B1">
      <w:fldChar w:fldCharType="separate"/>
    </w:r>
    <w:r w:rsidR="00146302">
      <w:rPr>
        <w:noProof/>
      </w:rPr>
      <w:t>2</w:t>
    </w:r>
    <w:r w:rsidRPr="002A44B1">
      <w:fldChar w:fldCharType="end"/>
    </w:r>
    <w:r w:rsidRPr="002A44B1">
      <w:t>/</w:t>
    </w:r>
    <w:fldSimple w:instr=" NUMPAGES  \* MERGEFORMAT ">
      <w:r w:rsidR="00146302">
        <w:rPr>
          <w:noProof/>
        </w:rPr>
        <w:t>28</w:t>
      </w:r>
    </w:fldSimple>
    <w:r w:rsidRPr="002A44B1">
      <w:tab/>
    </w:r>
    <w:r w:rsidRPr="002A44B1">
      <w:rPr>
        <w:rStyle w:val="HideTWBExt"/>
        <w:noProof w:val="0"/>
      </w:rPr>
      <w:t>&lt;PathFdR&gt;</w:t>
    </w:r>
    <w:r w:rsidRPr="002A44B1">
      <w:t>AM\1220068PL.docx</w:t>
    </w:r>
    <w:r w:rsidRPr="002A44B1">
      <w:rPr>
        <w:rStyle w:val="HideTWBExt"/>
        <w:noProof w:val="0"/>
      </w:rPr>
      <w:t>&lt;/PathFdR&gt;</w:t>
    </w:r>
  </w:p>
  <w:p w:rsidR="00730ED8" w:rsidRPr="002A44B1" w:rsidRDefault="002A44B1" w:rsidP="002A44B1">
    <w:pPr>
      <w:pStyle w:val="EPFooter2"/>
    </w:pPr>
    <w:r w:rsidRPr="002A44B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4B1" w:rsidRPr="002A44B1" w:rsidRDefault="002A44B1" w:rsidP="002A44B1">
    <w:pPr>
      <w:pStyle w:val="EPFooter"/>
    </w:pPr>
    <w:r w:rsidRPr="002A44B1">
      <w:rPr>
        <w:rStyle w:val="HideTWBExt"/>
        <w:noProof w:val="0"/>
      </w:rPr>
      <w:t>&lt;PathFdR&gt;</w:t>
    </w:r>
    <w:r w:rsidRPr="002A44B1">
      <w:t>AM\1220068PL.docx</w:t>
    </w:r>
    <w:r w:rsidRPr="002A44B1">
      <w:rPr>
        <w:rStyle w:val="HideTWBExt"/>
        <w:noProof w:val="0"/>
      </w:rPr>
      <w:t>&lt;/PathFdR&gt;</w:t>
    </w:r>
    <w:r w:rsidRPr="002A44B1">
      <w:tab/>
    </w:r>
    <w:r w:rsidRPr="002A44B1">
      <w:fldChar w:fldCharType="begin"/>
    </w:r>
    <w:r w:rsidRPr="002A44B1">
      <w:instrText xml:space="preserve"> PAGE  \* MERGEFORMAT </w:instrText>
    </w:r>
    <w:r w:rsidRPr="002A44B1">
      <w:fldChar w:fldCharType="separate"/>
    </w:r>
    <w:r w:rsidR="00146302">
      <w:rPr>
        <w:noProof/>
      </w:rPr>
      <w:t>27</w:t>
    </w:r>
    <w:r w:rsidRPr="002A44B1">
      <w:fldChar w:fldCharType="end"/>
    </w:r>
    <w:r w:rsidRPr="002A44B1">
      <w:t>/</w:t>
    </w:r>
    <w:fldSimple w:instr=" NUMPAGES  \* MERGEFORMAT ">
      <w:r w:rsidR="00146302">
        <w:rPr>
          <w:noProof/>
        </w:rPr>
        <w:t>28</w:t>
      </w:r>
    </w:fldSimple>
    <w:r w:rsidRPr="002A44B1">
      <w:tab/>
      <w:t>PE</w:t>
    </w:r>
    <w:r w:rsidRPr="002A44B1">
      <w:rPr>
        <w:rStyle w:val="HideTWBExt"/>
        <w:noProof w:val="0"/>
      </w:rPr>
      <w:t>&lt;NoPE&gt;</w:t>
    </w:r>
    <w:r w:rsidRPr="002A44B1">
      <w:t>661.979</w:t>
    </w:r>
    <w:r w:rsidRPr="002A44B1">
      <w:rPr>
        <w:rStyle w:val="HideTWBExt"/>
        <w:noProof w:val="0"/>
      </w:rPr>
      <w:t>&lt;/NoPE&gt;&lt;Version&gt;</w:t>
    </w:r>
    <w:r w:rsidRPr="002A44B1">
      <w:t>v01-00</w:t>
    </w:r>
    <w:r w:rsidRPr="002A44B1">
      <w:rPr>
        <w:rStyle w:val="HideTWBExt"/>
        <w:noProof w:val="0"/>
      </w:rPr>
      <w:t>&lt;/Version&gt;</w:t>
    </w:r>
  </w:p>
  <w:p w:rsidR="00730ED8" w:rsidRPr="002A44B1" w:rsidRDefault="002A44B1" w:rsidP="002A44B1">
    <w:pPr>
      <w:pStyle w:val="EPFooter2"/>
    </w:pPr>
    <w:r w:rsidRPr="002A44B1">
      <w:tab/>
    </w:r>
    <w:r w:rsidRPr="002A44B1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4B1" w:rsidRPr="002A44B1" w:rsidRDefault="002A44B1" w:rsidP="002A44B1">
    <w:pPr>
      <w:pStyle w:val="EPFooter"/>
    </w:pPr>
    <w:r w:rsidRPr="002A44B1">
      <w:rPr>
        <w:rStyle w:val="HideTWBExt"/>
        <w:noProof w:val="0"/>
      </w:rPr>
      <w:t>&lt;PathFdR&gt;</w:t>
    </w:r>
    <w:r w:rsidRPr="002A44B1">
      <w:t>AM\1220068PL.docx</w:t>
    </w:r>
    <w:r w:rsidRPr="002A44B1">
      <w:rPr>
        <w:rStyle w:val="HideTWBExt"/>
        <w:noProof w:val="0"/>
      </w:rPr>
      <w:t>&lt;/PathFdR&gt;</w:t>
    </w:r>
    <w:r w:rsidRPr="002A44B1">
      <w:tab/>
    </w:r>
    <w:r w:rsidRPr="002A44B1">
      <w:tab/>
      <w:t>PE</w:t>
    </w:r>
    <w:r w:rsidRPr="002A44B1">
      <w:rPr>
        <w:rStyle w:val="HideTWBExt"/>
        <w:noProof w:val="0"/>
      </w:rPr>
      <w:t>&lt;NoPE&gt;</w:t>
    </w:r>
    <w:r w:rsidRPr="002A44B1">
      <w:t>661.979</w:t>
    </w:r>
    <w:r w:rsidRPr="002A44B1">
      <w:rPr>
        <w:rStyle w:val="HideTWBExt"/>
        <w:noProof w:val="0"/>
      </w:rPr>
      <w:t>&lt;/NoPE&gt;&lt;Version&gt;</w:t>
    </w:r>
    <w:r w:rsidRPr="002A44B1">
      <w:t>v01-00</w:t>
    </w:r>
    <w:r w:rsidRPr="002A44B1">
      <w:rPr>
        <w:rStyle w:val="HideTWBExt"/>
        <w:noProof w:val="0"/>
      </w:rPr>
      <w:t>&lt;/Version&gt;</w:t>
    </w:r>
  </w:p>
  <w:p w:rsidR="00730ED8" w:rsidRPr="002A44B1" w:rsidRDefault="002A44B1" w:rsidP="002A44B1">
    <w:pPr>
      <w:pStyle w:val="EPFooter2"/>
    </w:pPr>
    <w:r w:rsidRPr="002A44B1">
      <w:t>PL</w:t>
    </w:r>
    <w:r w:rsidRPr="002A44B1">
      <w:tab/>
    </w:r>
    <w:r w:rsidRPr="002A44B1">
      <w:rPr>
        <w:b w:val="0"/>
        <w:i/>
        <w:color w:val="C0C0C0"/>
        <w:sz w:val="22"/>
      </w:rPr>
      <w:t>Zjednoczona w różnorodności</w:t>
    </w:r>
    <w:r w:rsidRPr="002A44B1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2A44B1" w:rsidRDefault="00146302">
      <w:r w:rsidRPr="002A44B1">
        <w:separator/>
      </w:r>
    </w:p>
  </w:footnote>
  <w:footnote w:type="continuationSeparator" w:id="0">
    <w:p w:rsidR="00000000" w:rsidRPr="002A44B1" w:rsidRDefault="00146302">
      <w:r w:rsidRPr="002A44B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6B6" w:rsidRDefault="009616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6B6" w:rsidRDefault="009616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6B6" w:rsidRDefault="00961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1"/>
    <w:docVar w:name="AMACTMNU" w:val=" 1"/>
    <w:docVar w:name="AMPLURMNU" w:val=" 1"/>
    <w:docVar w:name="BASACTMNU" w:val=" 2"/>
    <w:docVar w:name="CODEMNU" w:val=" 1"/>
    <w:docVar w:name="COMKEY" w:val="LIBE"/>
    <w:docVar w:name="CopyToNetwork" w:val="-1"/>
    <w:docVar w:name="CVA" w:val="10"/>
    <w:docVar w:name="DOCCODMNU" w:val=" 1"/>
    <w:docVar w:name="DOCDT" w:val="07/12/2020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0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3\fbidi \froman\fcharset238\fprq2 Times New Roman CE;}{\f294\fbidi \froman\fcharset204\fprq2 Times New Roman Cyr;}_x000d__x000a_{\f296\fbidi \froman\fcharset161\fprq2 Times New Roman Greek;}{\f297\fbidi \froman\fcharset162\fprq2 Times New Roman Tur;}{\f298\fbidi \froman\fcharset177\fprq2 Times New Roman (Hebrew);}{\f299\fbidi \froman\fcharset178\fprq2 Times New Roman (Arabic);}_x000d__x000a_{\f300\fbidi \froman\fcharset186\fprq2 Times New Roman Baltic;}{\f301\fbidi \froman\fcharset163\fprq2 Times New Roman (Vietnamese);}{\f303\fbidi \fswiss\fcharset238\fprq2 Arial CE;}{\f304\fbidi \fswiss\fcharset204\fprq2 Arial Cyr;}_x000d__x000a_{\f306\fbidi \fswiss\fcharset161\fprq2 Arial Greek;}{\f307\fbidi \fswiss\fcharset162\fprq2 Arial Tur;}{\f308\fbidi \fswiss\fcharset177\fprq2 Arial (Hebrew);}{\f309\fbidi \fswiss\fcharset178\fprq2 Arial (Arabic);}_x000d__x000a_{\f310\fbidi \fswiss\fcharset186\fprq2 Arial Baltic;}{\f311\fbidi \fswiss\fcharset163\fprq2 Arial (Vietnamese);}{\f633\fbidi \froman\fcharset238\fprq2 Cambria Math CE;}{\f634\fbidi \froman\fcharset204\fprq2 Cambria Math Cyr;}_x000d__x000a_{\f636\fbidi \froman\fcharset161\fprq2 Cambria Math Greek;}{\f637\fbidi \froman\fcharset162\fprq2 Cambria Math Tur;}{\f640\fbidi \froman\fcharset186\fprq2 Cambria Math Baltic;}{\f64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591030 HideTWBInt;}}{\*\rsidtbl \rsid24658\rsid213448\rsid223860\rsid735077\rsid1718133\rsid2892074_x000d__x000a_\rsid3565327\rsid4666813\rsid6641733\rsid7823322\rsid9636012\rsid10377208\rsid11215221\rsid11549030\rsid12154954\rsid12591030\rsid14382809\rsid14424199\rsid15204470\rsid15285974\rsid15950462\rsid16324206\rsid16662270}{\mmathPr\mmathFont34\mbrkBin0_x000d__x000a_\mbrkBinSub0\msmallFrac0\mdispDef1\mlMargin0\mrMargin0\mdefJc1\mwrapIndent1440\mintLim0\mnaryLim1}{\info{\author CONIAC Cristina Elena}{\operator CONIAC Cristina Elena}{\creatim\yr2020\mo12\dy7\hr17\min7}{\revtim\yr2020\mo12\dy7\hr17\min7}{\version1}_x000d__x000a_{\edmins0}{\nofpages1}{\nofwords2}{\nofchars16}{\nofcharsws17}{\vern10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5910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CRI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1344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344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344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344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591030\charrsid2957979 {\*\bkmkstart ReplaceBookmark}#}{\rtlch\fcs1 \af1 \ltrch\fcs0 _x000d__x000a_\cs17\v\f1\fs20\cf15\insrsid12591030\charrsid2957979 &gt;&gt;&gt;CVAR@@AmendA}{\rtlch\fcs1 \af0 \ltrch\fcs0 \insrsid12591030\charrsid2957979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6_x000d__x000a_ab07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1\fbidi \froman\fcharset238\fprq2 Times New Roman CE;}{\f292\fbidi \froman\fcharset204\fprq2 Times New Roman Cyr;}_x000d__x000a_{\f294\fbidi \froman\fcharset161\fprq2 Times New Roman Greek;}{\f295\fbidi \froman\fcharset162\fprq2 Times New Roman Tur;}{\f296\fbidi \froman\fcharset177\fprq2 Times New Roman (Hebrew);}{\f297\fbidi \froman\fcharset178\fprq2 Times New Roman (Arabic);}_x000d__x000a_{\f298\fbidi \froman\fcharset186\fprq2 Times New Roman Baltic;}{\f299\fbidi \froman\fcharset163\fprq2 Times New Roman (Vietnamese);}{\f301\fbidi \fswiss\fcharset238\fprq2 Arial CE;}{\f302\fbidi \fswiss\fcharset204\fprq2 Arial Cyr;}_x000d__x000a_{\f304\fbidi \fswiss\fcharset161\fprq2 Arial Greek;}{\f305\fbidi \fswiss\fcharset162\fprq2 Arial Tur;}{\f306\fbidi \fswiss\fcharset177\fprq2 Arial (Hebrew);}{\f307\fbidi \fswiss\fcharset178\fprq2 Arial (Arabic);}_x000d__x000a_{\f308\fbidi \fswiss\fcharset186\fprq2 Arial Baltic;}{\f309\fbidi \fswiss\fcharset163\fprq2 Arial (Vietnamese);}{\f631\fbidi \froman\fcharset238\fprq2 Cambria Math CE;}{\f632\fbidi \froman\fcharset204\fprq2 Cambria Math Cyr;}_x000d__x000a_{\f634\fbidi \froman\fcharset161\fprq2 Cambria Math Greek;}{\f635\fbidi \froman\fcharset162\fprq2 Cambria Math Tur;}{\f638\fbidi \froman\fcharset186\fprq2 Cambria Math Baltic;}{\f63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243446 HideTWBExt;}{\*\cs18 \additive \v\f1\fs20\cf15 _x000d__x000a_\spriority0 \styrsid2243446 HideTWBInt;}{\s19\ql \li0\ri0\sa120\nowidctlpar\wrapdefault\aspalpha\aspnum\faauto\adjustright\rin0\lin0\itap0 \rtlch\fcs1 \af0\afs20\alang1025 \ltrch\fcs0 \fs24\lang2057\langfe2057\cgrid\langnp2057\langfenp2057 _x000d__x000a_\sbasedon0 \snext19 \spriority0 \styrsid2243446 Normal6a;}{\s20\ql \li0\ri0\nowidctlpar\wrapdefault\aspalpha\aspnum\faauto\adjustright\rin0\lin0\itap0 \rtlch\fcs1 \af0\afs20\alang1025 \ltrch\fcs0 \b\fs24\lang2057\langfe2057\cgrid\langnp2057\langfenp2057 _x000d__x000a_\sbasedon0 \snext20 \spriority0 \styrsid2243446 NormalBold;}{\s21\qr \li0\ri0\sb240\sa240\nowidctlpar\wrapdefault\aspalpha\aspnum\faauto\adjustright\rin0\lin0\itap0 \rtlch\fcs1 \af0\afs20\alang1025 \ltrch\fcs0 _x000d__x000a_\fs24\lang2057\langfe2057\cgrid\langnp2057\langfenp2057 \sbasedon0 \snext21 \spriority0 \styrsid2243446 AmOrLang;}{\s22\qc \li0\ri0\sa240\nowidctlpar\wrapdefault\aspalpha\aspnum\faauto\adjustright\rin0\lin0\itap0 \rtlch\fcs1 \af0\afs20\alang1025 _x000d__x000a_\ltrch\fcs0 \i\fs24\lang2057\langfe2057\cgrid\langnp2057\langfenp2057 \sbasedon0 \snext22 \spriority0 \styrsid224344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2243446 AmNumberTabs;}}{\*\rsidtbl \rsid24658\rsid223860\rsid735077\rsid1718133\rsid2243446\rsid2892074\rsid3565327\rsid4666813\rsid6641733_x000d__x000a_\rsid7823322\rsid9636012\rsid10035709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CONIAC Cristina Elena}{\operator CONIAC Cristina Elena}{\creatim\yr2020\mo12\dy7\hr16\min48}{\revtim\yr2020\mo12\dy7\hr16\min48}{\version1}{\edmins0}{\nofpages1}{\nofwords70}_x000d__x000a_{\nofchars404}{\nofcharsws473}{\vern10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24344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CRI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03570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03570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03570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03570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2243446 \rtlch\fcs1 _x000d__x000a_\af0\afs20\alang1025 \ltrch\fcs0 \b\fs24\lang2057\langfe2057\cgrid\langnp2057\langfenp2057 {\rtlch\fcs1 \af0 \ltrch\fcs0 \cs17\b0\v\fs20\cf9\loch\af1\hich\af1\dbch\af31501\insrsid2243446\charrsid2957979 {\*\bkmkstart restartA}_x000d__x000a_\hich\af1\dbch\af31501\loch\f1 &lt;AmendA&gt;}{\rtlch\fcs1 \af0 \ltrch\fcs0 \insrsid2243446\charrsid2957979 Amendment\tab \tab }{\rtlch\fcs1 \af0 \ltrch\fcs0 \cs17\b0\v\fs20\cf9\loch\af1\hich\af1\dbch\af31501\insrsid2243446\charrsid2957979 _x000d__x000a_\hich\af1\dbch\af31501\loch\f1 &lt;NumAmA&gt;}{\rtlch\fcs1 \af0 \ltrch\fcs0 \insrsid2243446\charrsid2957979 #}{\rtlch\fcs1 \af1 \ltrch\fcs0 \cs18\v\f1\fs20\cf15\insrsid2243446\charrsid2957979 ENMIENDA@NRAM@}{\rtlch\fcs1 \af0 \ltrch\fcs0 _x000d__x000a_\insrsid2243446\charrsid2957979 #}{\rtlch\fcs1 \af0 \ltrch\fcs0 \cs17\b0\v\fs20\cf9\loch\af1\hich\af1\dbch\af31501\insrsid2243446\charrsid2957979 \hich\af1\dbch\af31501\loch\f1 &lt;/NumAmA&gt;}{\rtlch\fcs1 \af0 \ltrch\fcs0 \insrsid2243446\charrsid2957979 _x000d__x000a__x000d__x000a_\par }\pard\plain \ltrpar\s20\ql \li0\ri0\nowidctlpar\wrapdefault\aspalpha\aspnum\faauto\adjustright\rin0\lin0\itap0\pararsid2243446 \rtlch\fcs1 \af0\afs20\alang1025 \ltrch\fcs0 \b\fs24\lang2057\langfe2057\cgrid\langnp2057\langfenp2057 {\rtlch\fcs1 \af0 _x000d__x000a_\ltrch\fcs0 \cs17\b0\v\fs20\cf9\loch\af1\hich\af1\dbch\af31501\insrsid2243446\charrsid2957979 \hich\af1\dbch\af31501\loch\f1 &lt;RepeatBlock-By&gt;}{\rtlch\fcs1 \af0 \ltrch\fcs0 \insrsid2243446\charrsid2957979 #}{\rtlch\fcs1 \af1 \ltrch\fcs0 _x000d__x000a_\cs18\v\f1\fs20\cf15\insrsid2243446\charrsid2957979 (MOD@InsideLoop()}{\rtlch\fcs1 \af0 \ltrch\fcs0 \insrsid2243446\charrsid2957979 ##}{\rtlch\fcs1 \af1 \ltrch\fcs0 \cs18\v\f1\fs20\cf15\insrsid2243446\charrsid2957979 &gt;&gt;&gt;@[ZMEMBERSMSG]@}{\rtlch\fcs1 \af0 _x000d__x000a_\ltrch\fcs0 \insrsid2243446\charrsid2957979 #}{\rtlch\fcs1 \af0 \ltrch\fcs0 \cs17\b0\v\fs20\cf9\loch\af1\hich\af1\dbch\af31501\insrsid2243446\charrsid2957979 \hich\af1\dbch\af31501\loch\f1 &lt;Members&gt;}{\rtlch\fcs1 \af0 \ltrch\fcs0 _x000d__x000a_\insrsid2243446\charrsid2957979 #}{\rtlch\fcs1 \af1 \ltrch\fcs0 \cs18\v\f1\fs20\cf15\insrsid2243446\charrsid2957979 (MOD@InsideLoop(\'a7)}{\rtlch\fcs1 \af0 \ltrch\fcs0 \insrsid2243446\charrsid2957979 #}{\rtlch\fcs1 \af0 \ltrch\fcs0 _x000d__x000a_\cf10\insrsid2243446\charrsid2957979 \u9668\'3f}{\rtlch\fcs1 \af0 \ltrch\fcs0 \insrsid2243446\charrsid2957979 #}{\rtlch\fcs1 \af1 \ltrch\fcs0 \cs18\v\f1\fs20\cf15\insrsid2243446\charrsid2957979 TVTMEMBERS\'a7@MEMBERS@}{\rtlch\fcs1 \af0 \ltrch\fcs0 _x000d__x000a_\insrsid2243446\charrsid2957979 #}{\rtlch\fcs1 \af0 \ltrch\fcs0 \cf10\insrsid2243446\charrsid2957979 \u9658\'3f}{\rtlch\fcs1 \af0 \ltrch\fcs0 \cs17\b0\v\fs20\cf9\loch\af1\hich\af1\dbch\af31501\insrsid2243446\charrsid2957979 \hich\af1\dbch\af31501\loch\f1 _x000d__x000a_&lt;/Members&gt;}{\rtlch\fcs1 \af0 \ltrch\fcs0 \insrsid2243446\charrsid2957979 _x000d__x000a_\par }\pard\plain \ltrpar\ql \li0\ri0\widctlpar\wrapdefault\aspalpha\aspnum\faauto\adjustright\rin0\lin0\itap0\pararsid2243446 \rtlch\fcs1 \af0\afs20\alang1025 \ltrch\fcs0 \fs24\lang2057\langfe2057\cgrid\langnp2057\langfenp2057 {\rtlch\fcs1 \af0 \ltrch\fcs0 _x000d__x000a_\cs17\v\fs20\cf9\loch\af1\hich\af1\dbch\af31501\insrsid2243446\charrsid2957979 \hich\af1\dbch\af31501\loch\f1 &lt;AuNomDe&gt;&lt;OptDel&gt;}{\rtlch\fcs1 \af0 \ltrch\fcs0 \insrsid2243446\charrsid2957979 #}{\rtlch\fcs1 \af1 \ltrch\fcs0 _x000d__x000a_\cs18\v\f1\fs20\cf15\insrsid2243446\charrsid2957979 MNU[ONBEHALFYES][NOTAPP]@CHOICE@}{\rtlch\fcs1 \af0 \ltrch\fcs0 \insrsid2243446\charrsid2957979 #}{\rtlch\fcs1 \af0 \ltrch\fcs0 _x000d__x000a_\cs17\v\fs20\cf9\loch\af1\hich\af1\dbch\af31501\insrsid2243446\charrsid2957979 \hich\af1\dbch\af31501\loch\f1 &lt;/OptDel&gt;&lt;/AuNomDe&gt;}{\rtlch\fcs1 \af0 \ltrch\fcs0 \insrsid2243446\charrsid2957979 _x000d__x000a_\par &lt;&lt;&lt;}{\rtlch\fcs1 \af0 \ltrch\fcs0 \cs17\v\fs20\cf9\loch\af1\hich\af1\dbch\af31501\insrsid2243446\charrsid2957979 \hich\af1\dbch\af31501\loch\f1 &lt;/RepeatBlock-By&gt;}{\rtlch\fcs1 \af0 \ltrch\fcs0 \insrsid2243446\charrsid2957979 _x000d__x000a_\par }\pard\plain \ltrpar\s20\ql \li0\ri0\nowidctlpar\wrapdefault\aspalpha\aspnum\faauto\adjustright\rin0\lin0\itap0\pararsid2243446 \rtlch\fcs1 \af0\afs20\alang1025 \ltrch\fcs0 \b\fs24\lang2057\langfe2057\cgrid\langnp2057\langfenp2057 {\rtlch\fcs1 \af0 _x000d__x000a_\ltrch\fcs0 \cs17\b0\v\fs20\cf9\loch\af1\hich\af1\dbch\af31501\insrsid2243446\charrsid2957979 \hich\af1\dbch\af31501\loch\f1 &lt;DocAmend&gt;}{\rtlch\fcs1 \af0 \ltrch\fcs0 \insrsid2243446\charrsid2957979 Draft legislative resolution}{\rtlch\fcs1 \af0 _x000d__x000a_\ltrch\fcs0 \cs17\b0\v\fs20\cf9\loch\af1\hich\af1\dbch\af31501\insrsid2243446\charrsid2957979 \hich\af1\dbch\af31501\loch\f1 &lt;/DocAmend&gt;}{\rtlch\fcs1 \af0 \ltrch\fcs0 \insrsid2243446\charrsid2957979 _x000d__x000a_\par }{\rtlch\fcs1 \af0 \ltrch\fcs0 \cs17\b0\v\fs20\cf9\loch\af1\hich\af1\dbch\af31501\insrsid2243446\charrsid2957979 \hich\af1\dbch\af31501\loch\f1 &lt;Article&gt;}{\rtlch\fcs1 \af0 \ltrch\fcs0 \cf10\insrsid2243446\charrsid2957979 \u9668\'3f}{\rtlch\fcs1 \af0 _x000d__x000a_\ltrch\fcs0 \insrsid2243446\charrsid2957979 #}{\rtlch\fcs1 \af1 \ltrch\fcs0 \cs18\v\f1\fs20\cf15\insrsid2243446\charrsid2957979 TVTRESPART@RESPART@}{\rtlch\fcs1 \af0 \ltrch\fcs0 \insrsid2243446\charrsid2957979 #}{\rtlch\fcs1 \af0 \ltrch\fcs0 _x000d__x000a_\cf10\insrsid2243446\charrsid2957979 \u9658\'3f}{\rtlch\fcs1 \af0 \ltrch\fcs0 \cs17\b0\v\fs20\cf9\loch\af1\hich\af1\dbch\af31501\insrsid2243446\charrsid2957979 \hich\af1\dbch\af31501\loch\f1 &lt;/Article&gt;}{\rtlch\fcs1 \af0 \ltrch\fcs0 _x000d__x000a_\insrsid2243446\charrsid2957979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2243446\charrsid2957979 \cell }\pard\plain \ltrpar\ql \li0\ri0\widctlpar\intbl\wrapdefault\aspalpha\aspnum\faauto\adjustright\rin0\lin0 \rtlch\fcs1 _x000d__x000a_\af0\afs20\alang1025 \ltrch\fcs0 \fs24\lang2057\langfe2057\cgrid\langnp2057\langfenp2057 {\rtlch\fcs1 \af0 \ltrch\fcs0 \insrsid2243446\charrsid2957979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2243446\charrsid2957979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2243446\charrsid2957979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2243446\charrsid2957979 ##\cell ##}{\rtlch\fcs1 \af0\afs24 \ltrch\fcs0 \insrsid2243446\charrsid2957979 \cell }\pard\plain \ltrpar\ql \li0\ri0\widctlpar\intbl\wrapdefault\aspalpha\aspnum\faauto\adjustright\rin0\lin0 \rtlch\fcs1 _x000d__x000a_\af0\afs20\alang1025 \ltrch\fcs0 \fs24\lang2057\langfe2057\cgrid\langnp2057\langfenp2057 {\rtlch\fcs1 \af0 \ltrch\fcs0 \insrsid2243446\charrsid2957979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2243446 \rtlch\fcs1 \af0\afs20\alang1025 \ltrch\fcs0 \fs24\lang2057\langfe2057\cgrid\langnp2057\langfenp2057 {\rtlch\fcs1 \af0 \ltrch\fcs0 _x000d__x000a_\insrsid2243446\charrsid2957979 Or. }{\rtlch\fcs1 \af0 \ltrch\fcs0 \cs17\v\fs20\cf9\loch\af1\hich\af1\dbch\af31501\insrsid2243446\charrsid2957979 \hich\af1\dbch\af31501\loch\f1 &lt;Original&gt;}{\rtlch\fcs1 \af0 \ltrch\fcs0 \insrsid2243446\charrsid2957979 #}{_x000d__x000a_\rtlch\fcs1 \af1 \ltrch\fcs0 \cs18\v\f1\fs20\cf15\insrsid2243446\charrsid2957979 KEY(MAIN/LANGMIN)sh@ORLANGMSG@}{\rtlch\fcs1 \af0 \ltrch\fcs0 \insrsid2243446\charrsid2957979 #}{\rtlch\fcs1 \af0 \ltrch\fcs0 _x000d__x000a_\cs17\v\fs20\cf9\loch\af1\hich\af1\dbch\af31501\insrsid2243446\charrsid2957979 \hich\af1\dbch\af31501\loch\f1 &lt;/Original&gt;}{\rtlch\fcs1 \af0 \ltrch\fcs0 \insrsid2243446\charrsid2957979 _x000d__x000a_\par }\pard\plain \ltrpar\ql \li0\ri0\widctlpar\wrapdefault\aspalpha\aspnum\faauto\adjustright\rin0\lin0\itap0\pararsid2243446 \rtlch\fcs1 \af0\afs20\alang1025 \ltrch\fcs0 \fs24\lang2057\langfe2057\cgrid\langnp2057\langfenp2057 {\rtlch\fcs1 \af0 \ltrch\fcs0 _x000d__x000a_\cs17\v\fs20\cf9\loch\af1\hich\af1\dbch\af31501\insrsid2243446\charrsid2957979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c_x000d__x000a_4e6b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1\fbidi \froman\fcharset238\fprq2 Times New Roman CE;}{\f292\fbidi \froman\fcharset204\fprq2 Times New Roman Cyr;}_x000d__x000a_{\f294\fbidi \froman\fcharset161\fprq2 Times New Roman Greek;}{\f295\fbidi \froman\fcharset162\fprq2 Times New Roman Tur;}{\f296\fbidi \froman\fcharset177\fprq2 Times New Roman (Hebrew);}{\f297\fbidi \froman\fcharset178\fprq2 Times New Roman (Arabic);}_x000d__x000a_{\f298\fbidi \froman\fcharset186\fprq2 Times New Roman Baltic;}{\f299\fbidi \froman\fcharset163\fprq2 Times New Roman (Vietnamese);}{\f301\fbidi \fswiss\fcharset238\fprq2 Arial CE;}{\f302\fbidi \fswiss\fcharset204\fprq2 Arial Cyr;}_x000d__x000a_{\f304\fbidi \fswiss\fcharset161\fprq2 Arial Greek;}{\f305\fbidi \fswiss\fcharset162\fprq2 Arial Tur;}{\f306\fbidi \fswiss\fcharset177\fprq2 Arial (Hebrew);}{\f307\fbidi \fswiss\fcharset178\fprq2 Arial (Arabic);}_x000d__x000a_{\f308\fbidi \fswiss\fcharset186\fprq2 Arial Baltic;}{\f309\fbidi \fswiss\fcharset163\fprq2 Arial (Vietnamese);}{\f631\fbidi \froman\fcharset238\fprq2 Cambria Math CE;}{\f632\fbidi \froman\fcharset204\fprq2 Cambria Math Cyr;}_x000d__x000a_{\f634\fbidi \froman\fcharset161\fprq2 Cambria Math Greek;}{\f635\fbidi \froman\fcharset162\fprq2 Cambria Math Tur;}{\f638\fbidi \froman\fcharset186\fprq2 Cambria Math Baltic;}{\f63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784077 HideTWBExt;}{\*\cs18 \additive \v\f1\fs20\cf15 _x000d__x000a_\spriority0 \styrsid13784077 HideTWBInt;}{\s19\ql \li0\ri0\sa120\nowidctlpar\wrapdefault\aspalpha\aspnum\faauto\adjustright\rin0\lin0\itap0 \rtlch\fcs1 \af0\afs20\alang1025 \ltrch\fcs0 \fs24\lang2057\langfe2057\cgrid\langnp2057\langfenp2057 _x000d__x000a_\sbasedon0 \snext19 \spriority0 \styrsid13784077 Normal6a;}{\s20\ql \li0\ri0\nowidctlpar\wrapdefault\aspalpha\aspnum\faauto\adjustright\rin0\lin0\itap0 \rtlch\fcs1 \af0\afs20\alang1025 \ltrch\fcs0 \b\fs24\lang2057\langfe2057\cgrid\langnp2057\langfenp2057 _x000d__x000a_\sbasedon0 \snext20 \spriority0 \styrsid13784077 NormalBold;}{\s21\ql \li0\ri0\sa240\nowidctlpar\wrapdefault\aspalpha\aspnum\faauto\adjustright\rin0\lin0\itap0 \rtlch\fcs1 \af0\afs20\alang1025 \ltrch\fcs0 _x000d__x000a_\i\fs24\lang2057\langfe2057\cgrid\langnp2057\langfenp2057 \sbasedon0 \snext21 \spriority0 \styrsid13784077 AmJustText;}{\s22\qc \li0\ri0\sb240\sa240\nowidctlpar\wrapdefault\aspalpha\aspnum\faauto\adjustright\rin0\lin0\itap0 \rtlch\fcs1 _x000d__x000a_\af0\afs20\alang1025 \ltrch\fcs0 \i\fs24\lang2057\langfe2057\cgrid\langnp2057\langfenp2057 \sbasedon0 \snext22 \spriority0 \styrsid1378407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3784077 AmJustTitle;}{\s24\qr \li0\ri0\sb240\sa240\nowidctlpar\wrapdefault\aspalpha\aspnum\faauto\adjustright\rin0\lin0\itap0 \rtlch\fcs1 \af0\afs20\alang1025 \ltrch\fcs0 _x000d__x000a_\fs24\lang2057\langfe2057\cgrid\langnp2057\langfenp2057 \sbasedon0 \snext24 \spriority0 \styrsid13784077 AmOrLang;}{\s25\qc \li0\ri0\sa240\nowidctlpar\wrapdefault\aspalpha\aspnum\faauto\adjustright\rin0\lin0\itap0 \rtlch\fcs1 \af0\afs20\alang1025 _x000d__x000a_\ltrch\fcs0 \i\fs24\lang2057\langfe2057\cgrid\langnp2057\langfenp2057 \sbasedon0 \snext25 \spriority0 \styrsid1378407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3784077 AmNumberTabs;}}{\*\rsidtbl \rsid24658\rsid223860\rsid735077\rsid1718133\rsid2892074\rsid3565327\rsid4666813\rsid6641733\rsid7605314_x000d__x000a_\rsid7823322\rsid9636012\rsid10377208\rsid11215221\rsid11549030\rsid12154954\rsid13784077\rsid14382809\rsid14424199\rsid15204470\rsid15285974\rsid15950462\rsid16324206\rsid16662270}{\mmathPr\mmathFont34\mbrkBin0\mbrkBinSub0\msmallFrac0\mdispDef1\mlMargin0_x000d__x000a_\mrMargin0\mdefJc1\mwrapIndent1440\mintLim0\mnaryLim1}{\info{\author CONIAC Cristina Elena}{\operator CONIAC Cristina Elena}{\creatim\yr2020\mo12\dy7\hr16\min48}{\revtim\yr2020\mo12\dy7\hr16\min48}{\version1}{\edmins0}{\nofpages1}{\nofwords131}_x000d__x000a_{\nofchars748}{\nofcharsws878}{\vern10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378407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CRIS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60531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60531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60531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60531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3784077 \rtlch\fcs1 _x000d__x000a_\af0\afs20\alang1025 \ltrch\fcs0 \b\fs24\lang2057\langfe2057\cgrid\langnp2057\langfenp2057 {\rtlch\fcs1 \af0 \ltrch\fcs0 \cs17\b0\v\fs20\cf9\loch\af1\hich\af1\dbch\af31501\insrsid13784077\charrsid2957979 {\*\bkmkstart restartB}_x000d__x000a_\hich\af1\dbch\af31501\loch\f1 &lt;AmendB&gt;}{\rtlch\fcs1 \af0 \ltrch\fcs0 \insrsid13784077\charrsid2957979 Amendment\tab \tab }{\rtlch\fcs1 \af0 \ltrch\fcs0 \cs17\b0\v\fs20\cf9\loch\af1\hich\af1\dbch\af31501\insrsid13784077\charrsid2957979 _x000d__x000a_\hich\af1\dbch\af31501\loch\f1 &lt;NumAmB&gt;}{\rtlch\fcs1 \af0 \ltrch\fcs0 \insrsid13784077\charrsid2957979 #}{\rtlch\fcs1 \af1 \ltrch\fcs0 \cs18\v\f1\fs20\cf15\insrsid13784077\charrsid2957979 ENMIENDA@NRAM@}{\rtlch\fcs1 \af0 \ltrch\fcs0 _x000d__x000a_\insrsid13784077\charrsid2957979 #}{\rtlch\fcs1 \af0 \ltrch\fcs0 \cs17\b0\v\fs20\cf9\loch\af1\hich\af1\dbch\af31501\insrsid13784077\charrsid2957979 \hich\af1\dbch\af31501\loch\f1 &lt;/NumAmB&gt;}{\rtlch\fcs1 \af0 \ltrch\fcs0 \insrsid13784077\charrsid2957979 _x000d__x000a__x000d__x000a_\par }\pard\plain \ltrpar\s20\ql \li0\ri0\nowidctlpar\wrapdefault\aspalpha\aspnum\faauto\adjustright\rin0\lin0\itap0\pararsid13784077 \rtlch\fcs1 \af0\afs20\alang1025 \ltrch\fcs0 \b\fs24\lang2057\langfe2057\cgrid\langnp2057\langfenp2057 {\rtlch\fcs1 \af0 _x000d__x000a_\ltrch\fcs0 \cs17\b0\v\fs20\cf9\loch\af1\hich\af1\dbch\af31501\insrsid13784077\charrsid2957979 \hich\af1\dbch\af31501\loch\f1 &lt;RepeatBlock-By&gt;}{\rtlch\fcs1 \af0 \ltrch\fcs0 \insrsid13784077\charrsid2957979 #}{\rtlch\fcs1 \af1 \ltrch\fcs0 _x000d__x000a_\cs18\v\f1\fs20\cf15\insrsid13784077\charrsid2957979 (MOD@InsideLoop()}{\rtlch\fcs1 \af0 \ltrch\fcs0 \insrsid13784077\charrsid2957979 ##}{\rtlch\fcs1 \af1 \ltrch\fcs0 \cs18\v\f1\fs20\cf15\insrsid13784077\charrsid2957979 &gt;&gt;&gt;@[ZMEMBERSMSG]@}{\rtlch\fcs1 _x000d__x000a_\af0 \ltrch\fcs0 \insrsid13784077\charrsid2957979 #}{\rtlch\fcs1 \af0 \ltrch\fcs0 \cs17\b0\v\fs20\cf9\loch\af1\hich\af1\dbch\af31501\insrsid13784077\charrsid2957979 \hich\af1\dbch\af31501\loch\f1 &lt;Members&gt;}{\rtlch\fcs1 \af0 \ltrch\fcs0 _x000d__x000a_\insrsid13784077\charrsid2957979 #}{\rtlch\fcs1 \af1 \ltrch\fcs0 \cs18\v\f1\fs20\cf15\insrsid13784077\charrsid2957979 (MOD@InsideLoop(\'a7)}{\rtlch\fcs1 \af0 \ltrch\fcs0 \insrsid13784077\charrsid2957979 #}{\rtlch\fcs1 \af0 \ltrch\fcs0 _x000d__x000a_\cf10\insrsid13784077\charrsid2957979 \u9668\'3f}{\rtlch\fcs1 \af0 \ltrch\fcs0 \insrsid13784077\charrsid2957979 #}{\rtlch\fcs1 \af1 \ltrch\fcs0 \cs18\v\f1\fs20\cf15\insrsid13784077\charrsid2957979 TVTMEMBERS\'a7@MEMBERS@}{\rtlch\fcs1 \af0 \ltrch\fcs0 _x000d__x000a_\insrsid13784077\charrsid2957979 #}{\rtlch\fcs1 \af0 \ltrch\fcs0 \cf10\insrsid13784077\charrsid2957979 \u9658\'3f}{\rtlch\fcs1 \af0 \ltrch\fcs0 \cs17\b0\v\fs20\cf9\loch\af1\hich\af1\dbch\af31501\insrsid13784077\charrsid2957979 _x000d__x000a_\hich\af1\dbch\af31501\loch\f1 &lt;/Members&gt;}{\rtlch\fcs1 \af0 \ltrch\fcs0 \insrsid13784077\charrsid2957979 _x000d__x000a_\par }\pard\plain \ltrpar\ql \li0\ri0\widctlpar\wrapdefault\aspalpha\aspnum\faauto\adjustright\rin0\lin0\itap0\pararsid13784077 \rtlch\fcs1 \af0\afs20\alang1025 \ltrch\fcs0 \fs24\lang2057\langfe2057\cgrid\langnp2057\langfenp2057 {\rtlch\fcs1 \af0 \ltrch\fcs0 _x000d__x000a_\cs17\v\fs20\cf9\loch\af1\hich\af1\dbch\af31501\insrsid13784077\charrsid2957979 \hich\af1\dbch\af31501\loch\f1 &lt;AuNomDe&gt;&lt;OptDel&gt;}{\rtlch\fcs1 \af0 \ltrch\fcs0 \insrsid13784077\charrsid2957979 #}{\rtlch\fcs1 \af1 \ltrch\fcs0 _x000d__x000a_\cs18\v\f1\fs20\cf15\insrsid13784077\charrsid2957979 MNU[ONBEHALFYES][NOTAPP]@CHOICE@}{\rtlch\fcs1 \af0 \ltrch\fcs0 \insrsid13784077\charrsid2957979 #}{\rtlch\fcs1 \af0 \ltrch\fcs0 _x000d__x000a_\cs17\v\fs20\cf9\loch\af1\hich\af1\dbch\af31501\insrsid13784077\charrsid2957979 \hich\af1\dbch\af31501\loch\f1 &lt;/OptDel&gt;&lt;/AuNomDe&gt;}{\rtlch\fcs1 \af0 \ltrch\fcs0 \insrsid13784077\charrsid2957979 _x000d__x000a_\par &lt;&lt;&lt;}{\rtlch\fcs1 \af0 \ltrch\fcs0 \cs17\v\fs20\cf9\loch\af1\hich\af1\dbch\af31501\insrsid13784077\charrsid2957979 \hich\af1\dbch\af31501\loch\f1 &lt;/RepeatBlock-By&gt;}{\rtlch\fcs1 \af0 \ltrch\fcs0 \insrsid13784077\charrsid2957979 _x000d__x000a_\par }\pard\plain \ltrpar\s20\ql \li0\ri0\nowidctlpar\wrapdefault\aspalpha\aspnum\faauto\adjustright\rin0\lin0\itap0\pararsid13784077 \rtlch\fcs1 \af0\afs20\alang1025 \ltrch\fcs0 \b\fs24\lang2057\langfe2057\cgrid\langnp2057\langfenp2057 {\rtlch\fcs1 \af0 _x000d__x000a_\ltrch\fcs0 \cs17\b0\v\fs20\cf9\loch\af1\hich\af1\dbch\af31501\insrsid13784077\charrsid2957979 \hich\af1\dbch\af31501\loch\f1 &lt;DocAmend&gt;}{\rtlch\fcs1 \af0 \ltrch\fcs0 \insrsid13784077\charrsid2957979 #}{\rtlch\fcs1 \af1 \ltrch\fcs0 _x000d__x000a_\cs18\v\f1\fs20\cf15\insrsid13784077\charrsid2957979 MNU[OPTPROPOSALCOD][OPTPROPOSALCNS][OPTPROPOSALNLE]@CHOICE@CODEMNU}{\rtlch\fcs1 \af0 \ltrch\fcs0 \insrsid13784077\charrsid2957979 #}{\rtlch\fcs1 \af0 \ltrch\fcs0 _x000d__x000a_\cs17\b0\v\fs20\cf9\loch\af1\hich\af1\dbch\af31501\insrsid13784077\charrsid2957979 \hich\af1\dbch\af31501\loch\f1 &lt;/DocAmend&gt;}{\rtlch\fcs1 \af0 \ltrch\fcs0 \insrsid13784077\charrsid2957979 _x000d__x000a_\par }\pard \ltrpar\s20\ql \li0\ri0\keepn\nowidctlpar\wrapdefault\aspalpha\aspnum\faauto\adjustright\rin0\lin0\itap0\pararsid13784077 {\rtlch\fcs1 \af0 \ltrch\fcs0 \cs17\b0\v\fs20\cf9\loch\af1\hich\af1\dbch\af31501\insrsid13784077\charrsid2957979 _x000d__x000a_\hich\af1\dbch\af31501\loch\f1 &lt;Article&gt;}{\rtlch\fcs1 \af0 \ltrch\fcs0 \insrsid13784077\charrsid2957979 #}{\rtlch\fcs1 \af1 \ltrch\fcs0 \cs18\v\f1\fs20\cf15\insrsid13784077\charrsid2957979 MNU[AMACTPARTYES][AMACTPARTNO]@CHOICE@AMACTMNU}{\rtlch\fcs1 \af0 _x000d__x000a_\ltrch\fcs0 \insrsid13784077\charrsid2957979 #}{\rtlch\fcs1 \af0 \ltrch\fcs0 \cs17\b0\v\fs20\cf9\loch\af1\hich\af1\dbch\af31501\insrsid13784077\charrsid2957979 \hich\af1\dbch\af31501\loch\f1 &lt;/Article&gt;}{\rtlch\fcs1 \af0 \ltrch\fcs0 _x000d__x000a_\insrsid13784077\charrsid2957979 _x000d__x000a_\par }\pard\plain \ltrpar\ql \li0\ri0\keepn\widctlpar\wrapdefault\aspalpha\aspnum\faauto\adjustright\rin0\lin0\itap0\pararsid13784077 \rtlch\fcs1 \af0\afs20\alang1025 \ltrch\fcs0 \fs24\lang2057\langfe2057\cgrid\langnp2057\langfenp2057 {\rtlch\fcs1 \af0 _x000d__x000a_\ltrch\fcs0 \cs17\v\fs20\cf9\loch\af1\hich\af1\dbch\af31501\insrsid13784077\charrsid2957979 \hich\af1\dbch\af31501\loch\f1 &lt;DocAmend2&gt;&lt;OptDel&gt;}{\rtlch\fcs1 \af0 \ltrch\fcs0 \insrsid13784077\charrsid2957979 #}{\rtlch\fcs1 \af1 \ltrch\fcs0 _x000d__x000a_\cs18\v\f1\fs20\cf15\insrsid13784077\charrsid2957979 MNU[OPTNRACTYES][NOTAPP]@CHOICE@AMACTMNU}{\rtlch\fcs1 \af0 \ltrch\fcs0 \insrsid13784077\charrsid2957979 #}{\rtlch\fcs1 \af0 \ltrch\fcs0 _x000d__x000a_\cs17\v\fs20\cf9\loch\af1\hich\af1\dbch\af31501\insrsid13784077\charrsid2957979 \hich\af1\dbch\af31501\loch\f1 &lt;/OptDel&gt;&lt;/DocAmend2&gt;}{\rtlch\fcs1 \af0 \ltrch\fcs0 \insrsid13784077\charrsid2957979 _x000d__x000a_\par }\pard \ltrpar\ql \li0\ri0\widctlpar\wrapdefault\aspalpha\aspnum\faauto\adjustright\rin0\lin0\itap0\pararsid13784077 {\rtlch\fcs1 \af0 \ltrch\fcs0 \cs17\v\fs20\cf9\loch\af1\hich\af1\dbch\af31501\insrsid13784077\charrsid2957979 _x000d__x000a_\hich\af1\dbch\af31501\loch\f1 &lt;Article2&gt;&lt;OptDel&gt;}{\rtlch\fcs1 \af0 \ltrch\fcs0 \insrsid13784077\charrsid2957979 #}{\rtlch\fcs1 \af1 \ltrch\fcs0 \cs18\v\f1\fs20\cf15\insrsid13784077\charrsid2957979 MNU[OPTACTPARTYES][NOTAPP]@CHOICE@AMACTMNU}{\rtlch\fcs1 _x000d__x000a_\af0 \ltrch\fcs0 \insrsid13784077\charrsid2957979 #}{\rtlch\fcs1 \af0 \ltrch\fcs0 \cs17\v\fs20\cf9\loch\af1\hich\af1\dbch\af31501\insrsid13784077\charrsid2957979 \hich\af1\dbch\af31501\loch\f1 &lt;/OptDel&gt;&lt;/Article2&gt;}{\rtlch\fcs1 \af0 \ltrch\fcs0 _x000d__x000a_\insrsid13784077\charrsid2957979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784077\charrsid2957979 \cell }\pard\plain \ltrpar\ql \li0\ri0\widctlpar\intbl\wrapdefault\aspalpha\aspnum\faauto\adjustright\rin0\lin0 \rtlch\fcs1 _x000d__x000a_\af0\afs20\alang1025 \ltrch\fcs0 \fs24\lang2057\langfe2057\cgrid\langnp2057\langfenp2057 {\rtlch\fcs1 \af0 \ltrch\fcs0 \insrsid13784077\charrsid2957979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3784077\charrsid2957979 #}{\rtlch\fcs1 \af1 \ltrch\fcs0 \cs18\v\f1\fs20\cf15\insrsid13784077\charrsid2957979 MNU[OPTLEFTAMACT][LEFTPROP]@CHOICE@AMACTMNU}{_x000d__x000a_\rtlch\fcs1 \af0 \ltrch\fcs0 \insrsid13784077\charrsid295797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784077\charrsid2957979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784077\charrsid2957979 ##\cell ##}{\rtlch\fcs1 \af0\afs24 \ltrch\fcs0 \insrsid13784077\charrsid2957979 \cell }\pard\plain \ltrpar\ql \li0\ri0\widctlpar\intbl\wrapdefault\aspalpha\aspnum\faauto\adjustright\rin0\lin0 \rtlch\fcs1 _x000d__x000a_\af0\afs20\alang1025 \ltrch\fcs0 \fs24\lang2057\langfe2057\cgrid\langnp2057\langfenp2057 {\rtlch\fcs1 \af0 \ltrch\fcs0 \insrsid13784077\charrsid2957979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3784077 \rtlch\fcs1 \af0\afs20\alang1025 \ltrch\fcs0 \fs24\lang2057\langfe2057\cgrid\langnp2057\langfenp2057 {\rtlch\fcs1 \af0 \ltrch\fcs0 _x000d__x000a_\insrsid13784077\charrsid2957979 Or. }{\rtlch\fcs1 \af0 \ltrch\fcs0 \cs17\v\fs20\cf9\loch\af1\hich\af1\dbch\af31501\insrsid13784077\charrsid2957979 \hich\af1\dbch\af31501\loch\f1 &lt;Original&gt;}{\rtlch\fcs1 \af0 \ltrch\fcs0 \insrsid13784077\charrsid2957979 #}_x000d__x000a_{\rtlch\fcs1 \af1 \ltrch\fcs0 \cs18\v\f1\fs20\cf15\insrsid13784077\charrsid2957979 KEY(MAIN/LANGMIN)sh@ORLANGMSG@}{\rtlch\fcs1 \af0 \ltrch\fcs0 \insrsid13784077\charrsid2957979 #}{\rtlch\fcs1 \af0 \ltrch\fcs0 _x000d__x000a_\cs17\v\fs20\cf9\loch\af1\hich\af1\dbch\af31501\insrsid13784077\charrsid2957979 \hich\af1\dbch\af31501\loch\f1 &lt;/Original&gt;}{\rtlch\fcs1 \af0 \ltrch\fcs0 \insrsid13784077\charrsid2957979 _x000d__x000a_\par }\pard\plain \ltrpar\s22\qc \li0\ri0\sb240\sa240\nowidctlpar\wrapdefault\aspalpha\aspnum\faauto\adjustright\rin0\lin0\itap0\pararsid13784077 \rtlch\fcs1 \af0\afs20\alang1025 \ltrch\fcs0 \i\fs24\lang2057\langfe2057\cgrid\langnp2057\langfenp2057 {_x000d__x000a_\rtlch\fcs1 \af0 \ltrch\fcs0 \cs17\i0\v\fs20\cf9\loch\af1\hich\af1\dbch\af31501\insrsid13784077\charrsid2957979 \hich\af1\dbch\af31501\loch\f1 &lt;OptDel&gt;}{\rtlch\fcs1 \af0 \ltrch\fcs0 \insrsid13784077\charrsid2957979 #}{\rtlch\fcs1 \af1 \ltrch\fcs0 _x000d__x000a_\cs18\v\f1\fs20\cf15\insrsid13784077\charrsid2957979 MNU[CROSSREFNO][CROSSREFYES]@CHOICE@}{\rtlch\fcs1 \af0 \ltrch\fcs0 \insrsid13784077\charrsid2957979 #}{\rtlch\fcs1 \af0 \ltrch\fcs0 _x000d__x000a_\cs17\i0\v\fs20\cf9\loch\af1\hich\af1\dbch\af31501\insrsid13784077\charrsid2957979 \hich\af1\dbch\af31501\loch\f1 &lt;/OptDel&gt;}{\rtlch\fcs1 \af0 \ltrch\fcs0 \insrsid13784077\charrsid2957979 _x000d__x000a_\par }\pard\plain \ltrpar\s23\qc \li0\ri0\sb240\sa240\keepn\nowidctlpar\wrapdefault\aspalpha\aspnum\faauto\adjustright\rin0\lin0\itap0\pararsid13784077 \rtlch\fcs1 \af0\afs20\alang1025 \ltrch\fcs0 \i\fs24\lang2057\langfe2057\cgrid\langnp2057\langfenp2057 {_x000d__x000a_\rtlch\fcs1 \af0 \ltrch\fcs0 \cs17\i0\v\fs20\cf9\loch\af1\hich\af1\dbch\af31501\insrsid13784077\charrsid2957979 \hich\af1\dbch\af31501\loch\f1 &lt;TitreJust&gt;}{\rtlch\fcs1 \af0 \ltrch\fcs0 \insrsid13784077\charrsid2957979 Justification}{\rtlch\fcs1 \af0 _x000d__x000a_\ltrch\fcs0 \cs17\i0\v\fs20\cf9\loch\af1\hich\af1\dbch\af31501\insrsid13784077\charrsid2957979 \hich\af1\dbch\af31501\loch\f1 &lt;/TitreJust&gt;}{\rtlch\fcs1 \af0 \ltrch\fcs0 \insrsid13784077\charrsid2957979 _x000d__x000a_\par }\pard\plain \ltrpar\s21\ql \li0\ri0\sa240\nowidctlpar\wrapdefault\aspalpha\aspnum\faauto\adjustright\rin0\lin0\itap0\pararsid13784077 \rtlch\fcs1 \af0\afs20\alang1025 \ltrch\fcs0 \i\fs24\lang2057\langfe2057\cgrid\langnp2057\langfenp2057 {\rtlch\fcs1 _x000d__x000a_\af0 \ltrch\fcs0 \cs17\i0\v\fs20\cf9\loch\af1\hich\af1\dbch\af31501\insrsid13784077\charrsid2957979 \hich\af1\dbch\af31501\loch\f1 &lt;OptDelPrev&gt;}{\rtlch\fcs1 \af0 \ltrch\fcs0 \insrsid13784077\charrsid2957979 #}{\rtlch\fcs1 \af1 \ltrch\fcs0 _x000d__x000a_\cs18\v\f1\fs20\cf15\insrsid13784077\charrsid2957979 MNU[TEXTJUSTYES][TEXTJUSTNO]@CHOICE@}{\rtlch\fcs1 \af0 \ltrch\fcs0 \insrsid13784077\charrsid2957979 #}{\rtlch\fcs1 \af0 \ltrch\fcs0 _x000d__x000a_\cs17\i0\v\fs20\cf9\loch\af1\hich\af1\dbch\af31501\insrsid13784077\charrsid2957979 \hich\af1\dbch\af31501\loch\f1 &lt;/OptDelPrev&gt;}{\rtlch\fcs1 \af0 \ltrch\fcs0 \insrsid13784077\charrsid2957979 _x000d__x000a_\par }\pard\plain \ltrpar\ql \li0\ri0\widctlpar\wrapdefault\aspalpha\aspnum\faauto\adjustright\rin0\lin0\itap0\pararsid13784077 \rtlch\fcs1 \af0\afs20\alang1025 \ltrch\fcs0 \fs24\lang2057\langfe2057\cgrid\langnp2057\langfenp2057 {\rtlch\fcs1 \af0 \ltrch\fcs0 _x000d__x000a_\cs17\v\fs20\cf9\loch\af1\hich\af1\dbch\af31501\insrsid13784077\charrsid2957979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d_x000d__x000a_8a6c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3\fbidi \froman\fcharset238\fprq2 Times New Roman CE;}{\f294\fbidi \froman\fcharset204\fprq2 Times New Roman Cyr;}_x000d__x000a_{\f296\fbidi \froman\fcharset161\fprq2 Times New Roman Greek;}{\f297\fbidi \froman\fcharset162\fprq2 Times New Roman Tur;}{\f298\fbidi \froman\fcharset177\fprq2 Times New Roman (Hebrew);}{\f299\fbidi \froman\fcharset178\fprq2 Times New Roman (Arabic);}_x000d__x000a_{\f300\fbidi \froman\fcharset186\fprq2 Times New Roman Baltic;}{\f301\fbidi \froman\fcharset163\fprq2 Times New Roman (Vietnamese);}{\f303\fbidi \fswiss\fcharset238\fprq2 Arial CE;}{\f304\fbidi \fswiss\fcharset204\fprq2 Arial Cyr;}_x000d__x000a_{\f306\fbidi \fswiss\fcharset161\fprq2 Arial Greek;}{\f307\fbidi \fswiss\fcharset162\fprq2 Arial Tur;}{\f308\fbidi \fswiss\fcharset177\fprq2 Arial (Hebrew);}{\f309\fbidi \fswiss\fcharset178\fprq2 Arial (Arabic);}_x000d__x000a_{\f310\fbidi \fswiss\fcharset186\fprq2 Arial Baltic;}{\f311\fbidi \fswiss\fcharset163\fprq2 Arial (Vietnamese);}{\f633\fbidi \froman\fcharset238\fprq2 Cambria Math CE;}{\f634\fbidi \froman\fcharset204\fprq2 Cambria Math Cyr;}_x000d__x000a_{\f636\fbidi \froman\fcharset161\fprq2 Cambria Math Greek;}{\f637\fbidi \froman\fcharset162\fprq2 Cambria Math Tur;}{\f640\fbidi \froman\fcharset186\fprq2 Cambria Math Baltic;}{\f64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41982 HideTWBExt;}{\*\cs18 \additive \v\f1\fs20\cf15 _x000d__x000a_\spriority0 \styrsid941982 HideTWBInt;}{\s19\ql \li0\ri0\sa120\nowidctlpar\wrapdefault\aspalpha\aspnum\faauto\adjustright\rin0\lin0\itap0 \rtlch\fcs1 \af0\afs20\alang1025 \ltrch\fcs0 \fs24\lang2057\langfe2057\cgrid\langnp2057\langfenp2057 _x000d__x000a_\sbasedon0 \snext19 \spriority0 \styrsid941982 Normal6a;}{\s20\ql \li0\ri0\nowidctlpar\wrapdefault\aspalpha\aspnum\faauto\adjustright\rin0\lin0\itap0 \rtlch\fcs1 \af0\afs20\alang1025 \ltrch\fcs0 \b\fs24\lang2057\langfe2057\cgrid\langnp2057\langfenp2057 _x000d__x000a_\sbasedon0 \snext20 \spriority0 \styrsid941982 NormalBold;}{\s21\ql \li0\ri0\sa240\nowidctlpar\wrapdefault\aspalpha\aspnum\faauto\adjustright\rin0\lin0\itap0 \rtlch\fcs1 \af0\afs20\alang1025 \ltrch\fcs0 _x000d__x000a_\i\fs24\lang2057\langfe2057\cgrid\langnp2057\langfenp2057 \sbasedon0 \snext21 \spriority0 \styrsid941982 AmJustText;}{\s22\qc \li0\ri0\sb240\sa240\nowidctlpar\wrapdefault\aspalpha\aspnum\faauto\adjustright\rin0\lin0\itap0 \rtlch\fcs1 \af0\afs20\alang1025 _x000d__x000a_\ltrch\fcs0 \i\fs24\lang2057\langfe2057\cgrid\langnp2057\langfenp2057 \sbasedon0 \snext22 \spriority0 \styrsid941982 AmCrossRef;}{\s23\qc \li0\ri0\sb240\sa240\keepn\nowidctlpar\wrapdefault\aspalpha\aspnum\faauto\adjustright\rin0\lin0\itap0 \rtlch\fcs1 _x000d__x000a_\af0\afs20\alang1025 \ltrch\fcs0 \i\fs24\lang2057\langfe2057\cgrid\langnp2057\langfenp2057 \sbasedon0 \snext21 \spriority0 \styrsid941982 AmJustTitle;}{_x000d__x000a_\s24\qr \li0\ri0\sb240\sa240\nowidctlpar\wrapdefault\aspalpha\aspnum\faauto\adjustright\rin0\lin0\itap0 \rtlch\fcs1 \af0\afs20\alang1025 \ltrch\fcs0 \fs24\lang2057\langfe2057\cgrid\langnp2057\langfenp2057 \sbasedon0 \snext24 \spriority0 \styrsid941982 _x000d__x000a_AmOrLang;}{\s25\qc \li0\ri0\sa240\nowidctlpar\wrapdefault\aspalpha\aspnum\faauto\adjustright\rin0\lin0\itap0 \rtlch\fcs1 \af0\afs20\alang1025 \ltrch\fcs0 \i\fs24\lang2057\langfe2057\cgrid\langnp2057\langfenp2057 _x000d__x000a_\sbasedon0 \snext25 \spriority0 \styrsid94198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941982 AmNumberTabs;}}{\*\rsidtbl \rsid24658\rsid223860\rsid735077\rsid941982\rsid1718133\rsid2892074\rsid3565327\rsid4666813\rsid6641733_x000d__x000a_\rsid7823322\rsid9636012\rsid10377208\rsid11215221\rsid11549030\rsid12154954\rsid14382809\rsid14424199\rsid15204470\rsid15273638\rsid15285974\rsid15950462\rsid16324206\rsid16662270}{\mmathPr\mmathFont34\mbrkBin0\mbrkBinSub0\msmallFrac0\mdispDef1\mlMargin0_x000d__x000a_\mrMargin0\mdefJc1\mwrapIndent1440\mintLim0\mnaryLim1}{\info{\author CONIAC Cristina Elena}{\operator CONIAC Cristina Elena}{\creatim\yr2020\mo12\dy7\hr17\min7}{\revtim\yr2020\mo12\dy7\hr17\min7}{\version1}{\edmins0}{\nofpages1}{\nofwords130}_x000d__x000a_{\nofchars745}{\nofcharsws874}{\vern10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941982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CCRIST~1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2736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736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736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736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941982 \rtlch\fcs1 _x000d__x000a_\af0\afs20\alang1025 \ltrch\fcs0 \b\fs24\lang2057\langfe2057\cgrid\langnp2057\langfenp2057 {\rtlch\fcs1 \af0 \ltrch\fcs0 \cs17\b0\v\fs20\cf9\loch\af1\hich\af1\dbch\af31501\insrsid941982\charrsid2957979 {\*\bkmkstart restart}\hich\af1\dbch\af31501\loch\f1 _x000d__x000a_&lt;}{\rtlch\fcs1 \af0 \ltrch\fcs0 \cs17\b0\v\fs20\cf9\lang1024\langfe1024\loch\af1\hich\af1\dbch\af31501\noproof\insrsid941982 \hich\af1\dbch\af31501\loch\f1 Amend}{\rtlch\fcs1 \af0 \ltrch\fcs0 _x000d__x000a_\cs17\b0\v\fs20\cf9\loch\af1\hich\af1\dbch\af31501\insrsid941982\charrsid2957979 \hich\af1\dbch\af31501\loch\f1 &gt;}{\rtlch\fcs1 \af0 \ltrch\fcs0 \insrsid941982\charrsid2957979 Amendment\tab \tab }{\rtlch\fcs1 \af0 \ltrch\fcs0 _x000d__x000a_\cs17\b0\v\fs20\cf9\loch\af1\hich\af1\dbch\af31501\insrsid941982\charrsid2957979 \hich\af1\dbch\af31501\loch\f1 &lt;}{\rtlch\fcs1 \af0 \ltrch\fcs0 \cs17\b0\v\fs20\cf9\lang1024\langfe1024\loch\af1\hich\af1\dbch\af31501\noproof\insrsid941982 _x000d__x000a_\hich\af1\dbch\af31501\loch\f1 NumAm&gt;}{\rtlch\fcs1 \af0 \ltrch\fcs0 \insrsid941982\charrsid2957979 #}{\rtlch\fcs1 \af1 \ltrch\fcs0 \cs18\v\f1\fs20\cf15\insrsid941982\charrsid2957979 ENMIENDA@NRAM@}{\rtlch\fcs1 \af0 \ltrch\fcs0 _x000d__x000a_\insrsid941982\charrsid2957979 #}{\rtlch\fcs1 \af0 \ltrch\fcs0 \cs17\b0\v\fs20\cf9\loch\af1\hich\af1\dbch\af31501\insrsid941982\charrsid2957979 \hich\af1\dbch\af31501\loch\f1 &lt;/}{\rtlch\fcs1 \af0 \ltrch\fcs0 _x000d__x000a_\cs17\b0\v\fs20\cf9\lang1024\langfe1024\loch\af1\hich\af1\dbch\af31501\noproof\insrsid941982 \hich\af1\dbch\af31501\loch\f1 NumAm&gt;}{\rtlch\fcs1 \af0 \ltrch\fcs0 \insrsid941982\charrsid2957979 _x000d__x000a_\par }\pard\plain \ltrpar\s20\ql \li0\ri0\nowidctlpar\wrapdefault\aspalpha\aspnum\faauto\adjustright\rin0\lin0\itap0\pararsid941982 \rtlch\fcs1 \af0\afs20\alang1025 \ltrch\fcs0 \b\fs24\lang2057\langfe2057\cgrid\langnp2057\langfenp2057 {\rtlch\fcs1 \af0 _x000d__x000a_\ltrch\fcs0 \cs17\b0\v\fs20\cf9\loch\af1\hich\af1\dbch\af31501\insrsid941982\charrsid2957979 \hich\af1\dbch\af31501\loch\f1 &lt;\hich\af1\dbch\af31501\loch\f1 RepeatBlock-By&gt;}{\rtlch\fcs1 \af0 \ltrch\fcs0 \insrsid941982\charrsid2957979 #}{\rtlch\fcs1 \af1 _x000d__x000a_\ltrch\fcs0 \cs18\v\f1\fs20\cf15\insrsid941982\charrsid2957979 (MOD@InsideLoop()}{\rtlch\fcs1 \af0 \ltrch\fcs0 \insrsid941982\charrsid2957979 ##}{\rtlch\fcs1 \af1 \ltrch\fcs0 \cs18\v\f1\fs20\cf15\insrsid941982\charrsid2957979 &gt;&gt;&gt;@[ZMEMBERSMSG]@}{_x000d__x000a_\rtlch\fcs1 \af0 \ltrch\fcs0 \insrsid941982\charrsid2957979 #}{\rtlch\fcs1 \af0 \ltrch\fcs0 \cs17\b0\v\fs20\cf9\loch\af1\hich\af1\dbch\af31501\insrsid941982\charrsid2957979 \hich\af1\dbch\af31501\loch\f1 &lt;Members&gt;}{\rtlch\fcs1 \af0 \ltrch\fcs0 _x000d__x000a_\insrsid941982\charrsid2957979 #}{\rtlch\fcs1 \af1 \ltrch\fcs0 \cs18\v\f1\fs20\cf15\insrsid941982\charrsid2957979 (MOD@InsideLoop(\'a7)}{\rtlch\fcs1 \af0 \ltrch\fcs0 \insrsid941982\charrsid2957979 #}{\rtlch\fcs1 \af0 \ltrch\fcs0 _x000d__x000a_\cf10\insrsid941982\charrsid15485799 \u9668\'3f}{\rtlch\fcs1 \af0 \ltrch\fcs0 \insrsid941982\charrsid2957979 #}{\rtlch\fcs1 \af1 \ltrch\fcs0 \cs18\v\f1\fs20\cf15\insrsid941982\charrsid2957979 TVTMEMBERS\'a7@MEMBERS@}{\rtlch\fcs1 \af0 \ltrch\fcs0 _x000d__x000a_\insrsid941982\charrsid2957979 #}{\rtlch\fcs1 \af0 \ltrch\fcs0 \cf10\insrsid941982\charrsid15485799 \u9658\'3f}{\rtlch\fcs1 \af0 \ltrch\fcs0 \cs17\b0\v\fs20\cf9\loch\af1\hich\af1\dbch\af31501\insrsid941982\charrsid2957979 \hich\af1\dbch\af31501\loch\f1 _x000d__x000a_&lt;/Members&gt;}{\rtlch\fcs1 \af0 \ltrch\fcs0 \insrsid941982\charrsid2957979 _x000d__x000a_\par }\pard\plain \ltrpar\ql \li0\ri0\widctlpar\wrapdefault\aspalpha\aspnum\faauto\adjustright\rin0\lin0\itap0\pararsid941982 \rtlch\fcs1 \af0\afs20\alang1025 \ltrch\fcs0 \fs24\lang2057\langfe2057\cgrid\langnp2057\langfenp2057 {\rtlch\fcs1 \af0 \ltrch\fcs0 _x000d__x000a_\cs17\v\fs20\cf9\loch\af1\hich\af1\dbch\af31501\insrsid941982\charrsid2957979 \hich\af1\dbch\af31501\loch\f1 &lt;AuNomDe&gt;&lt;OptDel&gt;}{\rtlch\fcs1 \af0 \ltrch\fcs0 \insrsid941982\charrsid2957979 #}{\rtlch\fcs1 \af1 \ltrch\fcs0 _x000d__x000a_\cs18\v\f1\fs20\cf15\insrsid941982\charrsid2957979 MNU[ONBEHALFYES][NOTAPP]@CHOICE@}{\rtlch\fcs1 \af0 \ltrch\fcs0 \insrsid941982\charrsid2957979 #}{\rtlch\fcs1 \af0 \ltrch\fcs0 \cs17\v\fs20\cf9\loch\af1\hich\af1\dbch\af31501\insrsid941982\charrsid2957979 _x000d__x000a_\hich\af1\dbch\af31501\loch\f1 &lt;/OptDel&gt;&lt;/AuNomDe&gt;}{\rtlch\fcs1 \af0 \ltrch\fcs0 \insrsid941982\charrsid2957979 _x000d__x000a_\par &lt;&lt;&lt;}{\rtlch\fcs1 \af0 \ltrch\fcs0 \cs17\v\fs20\cf9\loch\af1\hich\af1\dbch\af31501\insrsid941982\charrsid2957979 \hich\af1\dbch\af31501\loch\f1 &lt;/RepeatBlock-By&gt;}{\rtlch\fcs1 \af0 \ltrch\fcs0 \insrsid941982\charrsid2957979 _x000d__x000a_\par }\pard\plain \ltrpar\s20\ql \li0\ri0\nowidctlpar\wrapdefault\aspalpha\aspnum\faauto\adjustright\rin0\lin0\itap0\pararsid941982 \rtlch\fcs1 \af0\afs20\alang1025 \ltrch\fcs0 \b\fs24\lang2057\langfe2057\cgrid\langnp2057\langfenp2057 {\rtlch\fcs1 \af0 _x000d__x000a_\ltrch\fcs0 \cs17\b0\v\fs20\cf9\loch\af1\hich\af1\dbch\af31501\insrsid941982\charrsid2957979 \hich\af1\dbch\af31501\loch\f1 &lt;DocAmend&gt;}{\rtlch\fcs1 \af0 \ltrch\fcs0 \insrsid941982\charrsid2957979 #}{\rtlch\fcs1 \af1 \ltrch\fcs0 _x000d__x000a_\cs18\v\f1\fs20\cf15\insrsid941982\charrsid2957979 MNU[OPTPROPOSALCOD][OPTPROPOSALCNS][OPTPROPOSALNLE]@CHOICE@CODEMNU}{\rtlch\fcs1 \af0 \ltrch\fcs0 \insrsid941982\charrsid2957979 #}{\rtlch\fcs1 \af0 \ltrch\fcs0 _x000d__x000a_\cs17\b0\v\fs20\cf9\loch\af1\hich\af1\dbch\af31501\insrsid941982\charrsid2957979 \hich\af1\dbch\af31501\loch\f1 &lt;/DocAmend&gt;}{\rtlch\fcs1 \af0 \ltrch\fcs0 \insrsid941982\charrsid2957979 _x000d__x000a_\par }\pard \ltrpar\s20\ql \li0\ri0\keepn\nowidctlpar\wrapdefault\aspalpha\aspnum\faauto\adjustright\rin0\lin0\itap0\pararsid941982 {\rtlch\fcs1 \af0 \ltrch\fcs0 \cs17\b0\v\fs20\cf9\loch\af1\hich\af1\dbch\af31501\insrsid941982\charrsid2957979 _x000d__x000a_\hich\af1\dbch\af31501\loch\f1 &lt;Article&gt;}{\rtlch\fcs1 \af0 \ltrch\fcs0 \insrsid941982\charrsid2957979 #}{\rtlch\fcs1 \af1 \ltrch\fcs0 \cs18\v\f1\fs20\cf15\insrsid941982\charrsid2957979 MNU[AMACTPARTYES][AMACTPARTNO]@CHOICE@AMACTMNU}{\rtlch\fcs1 \af0 _x000d__x000a_\ltrch\fcs0 \insrsid941982\charrsid2957979 #}{\rtlch\fcs1 \af0 \ltrch\fcs0 \cs17\b0\v\fs20\cf9\loch\af1\hich\af1\dbch\af31501\insrsid941982\charrsid2957979 \hich\af1\dbch\af31501\loch\f1 &lt;/Article&gt;}{\rtlch\fcs1 \af0 \ltrch\fcs0 _x000d__x000a_\insrsid941982\charrsid2957979 _x000d__x000a_\par }\pard\plain \ltrpar\ql \li0\ri0\keepn\widctlpar\wrapdefault\aspalpha\aspnum\faauto\adjustright\rin0\lin0\itap0\pararsid941982 \rtlch\fcs1 \af0\afs20\alang1025 \ltrch\fcs0 \fs24\lang2057\langfe2057\cgrid\langnp2057\langfenp2057 {\rtlch\fcs1 \af0 _x000d__x000a_\ltrch\fcs0 \cs17\v\fs20\cf9\loch\af1\hich\af1\dbch\af31501\insrsid941982\charrsid2957979 \hich\af1\dbch\af31501\loch\f1 &lt;DocAmend2&gt;&lt;OptDel&gt;}{\rtlch\fcs1 \af0 \ltrch\fcs0 \insrsid941982\charrsid2957979 #}{\rtlch\fcs1 \af1 \ltrch\fcs0 _x000d__x000a_\cs18\v\f1\fs20\cf15\insrsid941982\charrsid2957979 MNU[OPTNRACTYES][NOTAPP]@CHOICE@AMACTMNU}{\rtlch\fcs1 \af0 \ltrch\fcs0 \insrsid941982\charrsid2957979 #}{\rtlch\fcs1 \af0 \ltrch\fcs0 _x000d__x000a_\cs17\v\fs20\cf9\loch\af1\hich\af1\dbch\af31501\insrsid941982\charrsid2957979 \hich\af1\dbch\af31501\loch\f1 &lt;/OptDel&gt;&lt;/DocAmend2&gt;}{\rtlch\fcs1 \af0 \ltrch\fcs0 \insrsid941982\charrsid2957979 _x000d__x000a_\par }\pard \ltrpar\ql \li0\ri0\widctlpar\wrapdefault\aspalpha\aspnum\faauto\adjustright\rin0\lin0\itap0\pararsid941982 {\rtlch\fcs1 \af0 \ltrch\fcs0 \cs17\v\fs20\cf9\loch\af1\hich\af1\dbch\af31501\insrsid941982\charrsid2957979 \hich\af1\dbch\af31501\loch\f1 _x000d__x000a_&lt;Article2&gt;&lt;OptDel&gt;}{\rtlch\fcs1 \af0 \ltrch\fcs0 \insrsid941982\charrsid2957979 #}{\rtlch\fcs1 \af1 \ltrch\fcs0 \cs18\v\f1\fs20\cf15\insrsid941982\charrsid2957979 MNU[OPTACTPARTYES][NOTAPP]@CHOICE@AMACTMNU}{\rtlch\fcs1 \af0 \ltrch\fcs0 _x000d__x000a_\insrsid941982\charrsid2957979 #}{\rtlch\fcs1 \af0 \ltrch\fcs0 \cs17\v\fs20\cf9\loch\af1\hich\af1\dbch\af31501\insrsid941982\charrsid2957979 \hich\af1\dbch\af31501\loch\f1 &lt;/OptDel&gt;&lt;/Article2&gt;}{\rtlch\fcs1 \af0 \ltrch\fcs0 \insrsid941982\charrsid2957979 _x000d__x000a_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941982\charrsid2957979 \cell }\pard\plain \ltrpar\ql \li0\ri0\widctlpar\intbl\wrapdefault\aspalpha\aspnum\faauto\adjustright\rin0\lin0 \rtlch\fcs1 _x000d__x000a_\af0\afs20\alang1025 \ltrch\fcs0 \fs24\lang2057\langfe2057\cgrid\langnp2057\langfenp2057 {\rtlch\fcs1 \af0 \ltrch\fcs0 \insrsid941982\charrsid2957979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941982\charrsid2957979 #}{\rtlch\fcs1 \af1 \ltrch\fcs0 \cs18\v\f1\fs20\cf15\insrsid941982\charrsid2957979 MNU[OPTLEFTAMACT][LEFTPROP]@CHOICE@AMACTMNU}{_x000d__x000a_\rtlch\fcs1 \af0 \ltrch\fcs0 \insrsid941982\charrsid295797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941982\charrsid2957979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941982\charrsid2957979 ##\cell ##}{\rtlch\fcs1 \af0\afs24 \ltrch\fcs0 \insrsid941982\charrsid2957979 \cell }\pard\plain \ltrpar\ql \li0\ri0\widctlpar\intbl\wrapdefault\aspalpha\aspnum\faauto\adjustright\rin0\lin0 \rtlch\fcs1 \af0\afs20\alang1025 _x000d__x000a_\ltrch\fcs0 \fs24\lang2057\langfe2057\cgrid\langnp2057\langfenp2057 {\rtlch\fcs1 \af0 \ltrch\fcs0 \insrsid941982\charrsid2957979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941982 \rtlch\fcs1 \af0\afs20\alang1025 \ltrch\fcs0 \fs24\lang2057\langfe2057\cgrid\langnp2057\langfenp2057 {\rtlch\fcs1 \af0 \ltrch\fcs0 _x000d__x000a_\insrsid941982\charrsid2957979 Or. }{\rtlch\fcs1 \af0 \ltrch\fcs0 \cs17\v\fs20\cf9\loch\af1\hich\af1\dbch\af31501\insrsid941982\charrsid2957979 \hich\af1\dbch\af31501\loch\f1 &lt;Original&gt;}{\rtlch\fcs1 \af0 \ltrch\fcs0 \insrsid941982\charrsid2957979 #}{_x000d__x000a_\rtlch\fcs1 \af1 \ltrch\fcs0 \cs18\v\f1\fs20\cf15\insrsid941982\charrsid2957979 KEY(MAIN/LANGMIN)sh@ORLANGMSG@}{\rtlch\fcs1 \af0 \ltrch\fcs0 \insrsid941982\charrsid2957979 #}{\rtlch\fcs1 \af0 \ltrch\fcs0 _x000d__x000a_\cs17\v\fs20\cf9\loch\af1\hich\af1\dbch\af31501\insrsid941982\charrsid2957979 \hich\af1\dbch\af31501\loch\f1 &lt;/Original&gt;}{\rtlch\fcs1 \af0 \ltrch\fcs0 \insrsid941982\charrsid2957979 _x000d__x000a_\par }\pard\plain \ltrpar\s22\qc \li0\ri0\sb240\sa240\nowidctlpar\wrapdefault\aspalpha\aspnum\faauto\adjustright\rin0\lin0\itap0\pararsid941982 \rtlch\fcs1 \af0\afs20\alang1025 \ltrch\fcs0 \i\fs24\lang2057\langfe2057\cgrid\langnp2057\langfenp2057 {\rtlch\fcs1 _x000d__x000a_\af0 \ltrch\fcs0 \cs17\i0\v\fs20\cf9\loch\af1\hich\af1\dbch\af31501\insrsid941982\charrsid2957979 \hich\af1\dbch\af31501\loch\f1 &lt;OptDel&gt;}{\rtlch\fcs1 \af0 \ltrch\fcs0 \insrsid941982\charrsid2957979 #}{\rtlch\fcs1 \af1 \ltrch\fcs0 _x000d__x000a_\cs18\v\f1\fs20\cf15\insrsid941982\charrsid2957979 MNU[CROSSREFNO][CROSSREFYES]@CHOICE@}{\rtlch\fcs1 \af0 \ltrch\fcs0 \insrsid941982\charrsid2957979 #}{\rtlch\fcs1 \af0 \ltrch\fcs0 _x000d__x000a_\cs17\i0\v\fs20\cf9\loch\af1\hich\af1\dbch\af31501\insrsid941982\charrsid2957979 \hich\af1\dbch\af31501\loch\f1 &lt;/OptDel&gt;}{\rtlch\fcs1 \af0 \ltrch\fcs0 \insrsid941982\charrsid2957979 _x000d__x000a_\par }\pard\plain \ltrpar\s23\qc \li0\ri0\sb240\sa240\keepn\nowidctlpar\wrapdefault\aspalpha\aspnum\faauto\adjustright\rin0\lin0\itap0\pararsid941982 \rtlch\fcs1 \af0\afs20\alang1025 \ltrch\fcs0 \i\fs24\lang2057\langfe2057\cgrid\langnp2057\langfenp2057 {_x000d__x000a_\rtlch\fcs1 \af0 \ltrch\fcs0 \cs17\i0\v\fs20\cf9\loch\af1\hich\af1\dbch\af31501\insrsid941982\charrsid2957979 \hich\af1\dbch\af31501\loch\f1 &lt;TitreJust&gt;}{\rtlch\fcs1 \af0 \ltrch\fcs0 \insrsid941982\charrsid2957979 Justification}{\rtlch\fcs1 \af0 _x000d__x000a_\ltrch\fcs0 \cs17\i0\v\fs20\cf9\loch\af1\hich\af1\dbch\af31501\insrsid941982\charrsid2957979 \hich\af1\dbch\af31501\loch\f1 &lt;/TitreJust&gt;}{\rtlch\fcs1 \af0 \ltrch\fcs0 \insrsid941982\charrsid2957979 _x000d__x000a_\par }\pard\plain \ltrpar\s21\ql \li0\ri0\sa240\nowidctlpar\wrapdefault\aspalpha\aspnum\faauto\adjustright\rin0\lin0\itap0\pararsid941982 \rtlch\fcs1 \af0\afs20\alang1025 \ltrch\fcs0 \i\fs24\lang2057\langfe2057\cgrid\langnp2057\langfenp2057 {\rtlch\fcs1 \af0 _x000d__x000a_\ltrch\fcs0 \cs17\i0\v\fs20\cf9\loch\af1\hich\af1\dbch\af31501\insrsid941982\charrsid2957979 \hich\af1\dbch\af31501\loch\f1 &lt;OptDelPrev&gt;}{\rtlch\fcs1 \af0 \ltrch\fcs0 \insrsid941982\charrsid2957979 #}{\rtlch\fcs1 \af1 \ltrch\fcs0 _x000d__x000a_\cs18\v\f1\fs20\cf15\insrsid941982\charrsid2957979 MNU[TEXTJUSTYES][TEXTJUSTNO]@CHOICE@}{\rtlch\fcs1 \af0 \ltrch\fcs0 \insrsid941982\charrsid2957979 #}{\rtlch\fcs1 \af0 \ltrch\fcs0 _x000d__x000a_\cs17\i0\v\fs20\cf9\loch\af1\hich\af1\dbch\af31501\insrsid941982\charrsid2957979 \hich\af1\dbch\af31501\loch\f1 &lt;/OptDelPrev&gt;}{\rtlch\fcs1 \af0 \ltrch\fcs0 \insrsid941982\charrsid2957979 _x000d__x000a_\par }\pard\plain \ltrpar\ql \li0\ri0\widctlpar\wrapdefault\aspalpha\aspnum\faauto\adjustright\rin0\lin0\itap0\pararsid941982 \rtlch\fcs1 \af0\afs20\alang1025 \ltrch\fcs0 \fs24\lang2057\langfe2057\cgrid\langnp2057\langfenp2057 {\rtlch\fcs1 \af0 \ltrch\fcs0 _x000d__x000a_\cs17\v\fs20\cf9\loch\af1\hich\af1\dbch\af31501\insrsid941982\charrsid2957979 \hich\af1\dbch\af31501\loch\f1 &lt;/}{\rtlch\fcs1 \af0 \ltrch\fcs0 \cs17\v\fs20\cf9\lang1024\langfe1024\loch\af1\hich\af1\dbch\af31501\noproof\insrsid941982 _x000d__x000a_\hich\af1\dbch\af31501\loch\f1 Amend}{\rtlch\fcs1 \af0 \ltrch\fcs0 \cs17\v\fs20\cf9\loch\af1\hich\af1\dbch\af31501\insrsid941982\charrsid2957979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ae08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20"/>
    <w:docVar w:name="TVTMEMBERS1" w:val="MEP"/>
    <w:docVar w:name="TXTAUTHOR" w:val="Jorge Buxadé Villalba"/>
    <w:docVar w:name="TXTLANGUE" w:val="EN"/>
    <w:docVar w:name="TXTLANGUEMIN" w:val="en"/>
    <w:docVar w:name="TXTNRC" w:val="01"/>
    <w:docVar w:name="TXTNRCOM" w:val="COM(2016)0272 - COM (2020)0614 – C8-0179/2016 "/>
    <w:docVar w:name="TXTNRFIRSTAM" w:val="1"/>
    <w:docVar w:name="TXTNRLASTAM" w:val="6"/>
    <w:docVar w:name="TXTNRPE" w:val="661.979"/>
    <w:docVar w:name="TXTNRPE2" w:val="597.620"/>
    <w:docVar w:name="TXTNRPROC" w:val="2016/0132"/>
    <w:docVar w:name="TXTPEorAP" w:val="PE"/>
    <w:docVar w:name="TXTROUTE" w:val="AM\1220068EN.docx"/>
    <w:docVar w:name="TXTTITLE" w:val="Establishment of 'Eurodac' for the comparison of fingerprints for the effective application of Regulation (EU) No 604/2013, for identifying an illegally staying third-country national or stateless person and on requests for the comparison with Eurodac data by Member States' law enforcement authorities and Europol for law enforcement purposes (recast)"/>
    <w:docVar w:name="TXTVERSION" w:val="01-00"/>
    <w:docVar w:name="TXTVERSION2" w:val="02-00"/>
  </w:docVars>
  <w:rsids>
    <w:rsidRoot w:val="002D229B"/>
    <w:rsid w:val="000111BD"/>
    <w:rsid w:val="00012BE8"/>
    <w:rsid w:val="000212C3"/>
    <w:rsid w:val="00073830"/>
    <w:rsid w:val="00075CA9"/>
    <w:rsid w:val="00075DBE"/>
    <w:rsid w:val="000819E7"/>
    <w:rsid w:val="00085245"/>
    <w:rsid w:val="00085BBD"/>
    <w:rsid w:val="000A0287"/>
    <w:rsid w:val="000B0781"/>
    <w:rsid w:val="000B1AD6"/>
    <w:rsid w:val="000D446F"/>
    <w:rsid w:val="000E4A39"/>
    <w:rsid w:val="000E5D83"/>
    <w:rsid w:val="000E71E6"/>
    <w:rsid w:val="000E7234"/>
    <w:rsid w:val="000F2A80"/>
    <w:rsid w:val="000F7815"/>
    <w:rsid w:val="001176D3"/>
    <w:rsid w:val="00126BC4"/>
    <w:rsid w:val="00146302"/>
    <w:rsid w:val="0014715B"/>
    <w:rsid w:val="00150057"/>
    <w:rsid w:val="00166CCB"/>
    <w:rsid w:val="001754B8"/>
    <w:rsid w:val="001809DD"/>
    <w:rsid w:val="001A4802"/>
    <w:rsid w:val="001A515A"/>
    <w:rsid w:val="001B761C"/>
    <w:rsid w:val="001C2054"/>
    <w:rsid w:val="001C502E"/>
    <w:rsid w:val="001D13C9"/>
    <w:rsid w:val="001D5CC4"/>
    <w:rsid w:val="001D7A49"/>
    <w:rsid w:val="001E539B"/>
    <w:rsid w:val="001E753B"/>
    <w:rsid w:val="001F0FDD"/>
    <w:rsid w:val="00201C84"/>
    <w:rsid w:val="0020367C"/>
    <w:rsid w:val="00211B52"/>
    <w:rsid w:val="00222325"/>
    <w:rsid w:val="00231EA7"/>
    <w:rsid w:val="00236619"/>
    <w:rsid w:val="002472F6"/>
    <w:rsid w:val="00250308"/>
    <w:rsid w:val="002574CB"/>
    <w:rsid w:val="002618A9"/>
    <w:rsid w:val="002635EC"/>
    <w:rsid w:val="00264C57"/>
    <w:rsid w:val="00277AB3"/>
    <w:rsid w:val="00280EA6"/>
    <w:rsid w:val="002A1C82"/>
    <w:rsid w:val="002A44B1"/>
    <w:rsid w:val="002B6A7B"/>
    <w:rsid w:val="002C5761"/>
    <w:rsid w:val="002D229B"/>
    <w:rsid w:val="002E3F68"/>
    <w:rsid w:val="002E4311"/>
    <w:rsid w:val="003003A7"/>
    <w:rsid w:val="00302974"/>
    <w:rsid w:val="003113D4"/>
    <w:rsid w:val="00315664"/>
    <w:rsid w:val="00322475"/>
    <w:rsid w:val="00360F08"/>
    <w:rsid w:val="00363AD3"/>
    <w:rsid w:val="003743DE"/>
    <w:rsid w:val="0037660F"/>
    <w:rsid w:val="00384E84"/>
    <w:rsid w:val="0038706C"/>
    <w:rsid w:val="003923F7"/>
    <w:rsid w:val="003A5102"/>
    <w:rsid w:val="003C6E39"/>
    <w:rsid w:val="003D24AA"/>
    <w:rsid w:val="003D466C"/>
    <w:rsid w:val="003D70F2"/>
    <w:rsid w:val="003E08BF"/>
    <w:rsid w:val="003E43AC"/>
    <w:rsid w:val="003F21EB"/>
    <w:rsid w:val="003F3B0C"/>
    <w:rsid w:val="004206ED"/>
    <w:rsid w:val="00422BB2"/>
    <w:rsid w:val="004367B3"/>
    <w:rsid w:val="00441413"/>
    <w:rsid w:val="00441D7D"/>
    <w:rsid w:val="00460CB0"/>
    <w:rsid w:val="00461E32"/>
    <w:rsid w:val="00464338"/>
    <w:rsid w:val="00495E20"/>
    <w:rsid w:val="004964A2"/>
    <w:rsid w:val="004A67DD"/>
    <w:rsid w:val="004B5B2E"/>
    <w:rsid w:val="004B700C"/>
    <w:rsid w:val="004C210F"/>
    <w:rsid w:val="004C4462"/>
    <w:rsid w:val="004C647A"/>
    <w:rsid w:val="004E0AAC"/>
    <w:rsid w:val="004E1C4C"/>
    <w:rsid w:val="004E4907"/>
    <w:rsid w:val="004F03F0"/>
    <w:rsid w:val="004F2903"/>
    <w:rsid w:val="004F77B3"/>
    <w:rsid w:val="00504B15"/>
    <w:rsid w:val="005246D8"/>
    <w:rsid w:val="005373C9"/>
    <w:rsid w:val="00547F73"/>
    <w:rsid w:val="00555D0D"/>
    <w:rsid w:val="00557617"/>
    <w:rsid w:val="00571479"/>
    <w:rsid w:val="00584170"/>
    <w:rsid w:val="005A0F10"/>
    <w:rsid w:val="005A7205"/>
    <w:rsid w:val="005A77E8"/>
    <w:rsid w:val="005A7EB4"/>
    <w:rsid w:val="005B32E3"/>
    <w:rsid w:val="005E50C2"/>
    <w:rsid w:val="00607ABE"/>
    <w:rsid w:val="006337D4"/>
    <w:rsid w:val="006354F4"/>
    <w:rsid w:val="00636AAB"/>
    <w:rsid w:val="00637384"/>
    <w:rsid w:val="006516F4"/>
    <w:rsid w:val="0066168A"/>
    <w:rsid w:val="00665DDA"/>
    <w:rsid w:val="00672807"/>
    <w:rsid w:val="006746CD"/>
    <w:rsid w:val="006860DC"/>
    <w:rsid w:val="00687070"/>
    <w:rsid w:val="00695CC1"/>
    <w:rsid w:val="006965BE"/>
    <w:rsid w:val="006A02EE"/>
    <w:rsid w:val="006A2838"/>
    <w:rsid w:val="006B4B58"/>
    <w:rsid w:val="006B5EB5"/>
    <w:rsid w:val="006B6438"/>
    <w:rsid w:val="006C1CE1"/>
    <w:rsid w:val="006C6C5B"/>
    <w:rsid w:val="006D69C2"/>
    <w:rsid w:val="006D6B15"/>
    <w:rsid w:val="006F1261"/>
    <w:rsid w:val="006F3F81"/>
    <w:rsid w:val="006F4B73"/>
    <w:rsid w:val="00702F62"/>
    <w:rsid w:val="007059E9"/>
    <w:rsid w:val="00706049"/>
    <w:rsid w:val="00714DA0"/>
    <w:rsid w:val="007152AF"/>
    <w:rsid w:val="00730ED8"/>
    <w:rsid w:val="00736FBA"/>
    <w:rsid w:val="0074160E"/>
    <w:rsid w:val="007432CA"/>
    <w:rsid w:val="007659AC"/>
    <w:rsid w:val="00771FD7"/>
    <w:rsid w:val="00777FBC"/>
    <w:rsid w:val="0079060C"/>
    <w:rsid w:val="007A42AB"/>
    <w:rsid w:val="007A5844"/>
    <w:rsid w:val="007B459C"/>
    <w:rsid w:val="007C71DE"/>
    <w:rsid w:val="00813143"/>
    <w:rsid w:val="00822C94"/>
    <w:rsid w:val="008363E4"/>
    <w:rsid w:val="00851460"/>
    <w:rsid w:val="00864131"/>
    <w:rsid w:val="0087052C"/>
    <w:rsid w:val="00870CF2"/>
    <w:rsid w:val="00874862"/>
    <w:rsid w:val="00875A9C"/>
    <w:rsid w:val="00887FDC"/>
    <w:rsid w:val="008964C7"/>
    <w:rsid w:val="008A3CDB"/>
    <w:rsid w:val="008B251A"/>
    <w:rsid w:val="008D0533"/>
    <w:rsid w:val="008D6D06"/>
    <w:rsid w:val="008F0DDD"/>
    <w:rsid w:val="008F3912"/>
    <w:rsid w:val="008F6F39"/>
    <w:rsid w:val="00900CAE"/>
    <w:rsid w:val="00904AD5"/>
    <w:rsid w:val="00907CCA"/>
    <w:rsid w:val="009154FF"/>
    <w:rsid w:val="00917A85"/>
    <w:rsid w:val="009616B6"/>
    <w:rsid w:val="00966038"/>
    <w:rsid w:val="00983807"/>
    <w:rsid w:val="009846C9"/>
    <w:rsid w:val="009A65D8"/>
    <w:rsid w:val="009B0305"/>
    <w:rsid w:val="009C1C7A"/>
    <w:rsid w:val="009E117F"/>
    <w:rsid w:val="009E5DA0"/>
    <w:rsid w:val="009F230F"/>
    <w:rsid w:val="00A15973"/>
    <w:rsid w:val="00A233E9"/>
    <w:rsid w:val="00A3568E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D73D3"/>
    <w:rsid w:val="00AD7945"/>
    <w:rsid w:val="00AE4459"/>
    <w:rsid w:val="00AE4575"/>
    <w:rsid w:val="00AF25FC"/>
    <w:rsid w:val="00AF2819"/>
    <w:rsid w:val="00B0638A"/>
    <w:rsid w:val="00B10564"/>
    <w:rsid w:val="00B41B4D"/>
    <w:rsid w:val="00B53FFA"/>
    <w:rsid w:val="00B77A45"/>
    <w:rsid w:val="00B8066A"/>
    <w:rsid w:val="00B81817"/>
    <w:rsid w:val="00B81EC9"/>
    <w:rsid w:val="00B82DF1"/>
    <w:rsid w:val="00B85286"/>
    <w:rsid w:val="00B87B8E"/>
    <w:rsid w:val="00B90B7F"/>
    <w:rsid w:val="00B9188F"/>
    <w:rsid w:val="00BA48D2"/>
    <w:rsid w:val="00BC1B1F"/>
    <w:rsid w:val="00BE0C84"/>
    <w:rsid w:val="00BE5062"/>
    <w:rsid w:val="00C10F61"/>
    <w:rsid w:val="00C2257C"/>
    <w:rsid w:val="00C22CC4"/>
    <w:rsid w:val="00C2336C"/>
    <w:rsid w:val="00C35E35"/>
    <w:rsid w:val="00C37BC0"/>
    <w:rsid w:val="00C41E32"/>
    <w:rsid w:val="00C735FB"/>
    <w:rsid w:val="00C85317"/>
    <w:rsid w:val="00C92798"/>
    <w:rsid w:val="00CA73CB"/>
    <w:rsid w:val="00CB34F1"/>
    <w:rsid w:val="00CB7B07"/>
    <w:rsid w:val="00CC3983"/>
    <w:rsid w:val="00CD183E"/>
    <w:rsid w:val="00CD280B"/>
    <w:rsid w:val="00CD7BAF"/>
    <w:rsid w:val="00D00CC7"/>
    <w:rsid w:val="00D100D1"/>
    <w:rsid w:val="00D14FCE"/>
    <w:rsid w:val="00D15308"/>
    <w:rsid w:val="00D1583C"/>
    <w:rsid w:val="00D15D1E"/>
    <w:rsid w:val="00D34F90"/>
    <w:rsid w:val="00D42398"/>
    <w:rsid w:val="00D44842"/>
    <w:rsid w:val="00D61CAC"/>
    <w:rsid w:val="00D677D5"/>
    <w:rsid w:val="00D755F1"/>
    <w:rsid w:val="00D767AC"/>
    <w:rsid w:val="00D82FCC"/>
    <w:rsid w:val="00D87B31"/>
    <w:rsid w:val="00DB429F"/>
    <w:rsid w:val="00DB65C2"/>
    <w:rsid w:val="00DC239C"/>
    <w:rsid w:val="00DC4160"/>
    <w:rsid w:val="00DC6A1B"/>
    <w:rsid w:val="00DE672F"/>
    <w:rsid w:val="00DE7DC9"/>
    <w:rsid w:val="00E0793F"/>
    <w:rsid w:val="00E15A86"/>
    <w:rsid w:val="00E25DC5"/>
    <w:rsid w:val="00E44BB0"/>
    <w:rsid w:val="00E471BE"/>
    <w:rsid w:val="00E57F50"/>
    <w:rsid w:val="00E660E2"/>
    <w:rsid w:val="00E733C7"/>
    <w:rsid w:val="00EA25AE"/>
    <w:rsid w:val="00EB0CE3"/>
    <w:rsid w:val="00EB3A71"/>
    <w:rsid w:val="00EB4A63"/>
    <w:rsid w:val="00EB675A"/>
    <w:rsid w:val="00EC4B67"/>
    <w:rsid w:val="00EC5E5B"/>
    <w:rsid w:val="00EE011D"/>
    <w:rsid w:val="00EE05D3"/>
    <w:rsid w:val="00EE2DB4"/>
    <w:rsid w:val="00EE3E0D"/>
    <w:rsid w:val="00EF03A3"/>
    <w:rsid w:val="00EF11AD"/>
    <w:rsid w:val="00EF3617"/>
    <w:rsid w:val="00F11DE9"/>
    <w:rsid w:val="00F27170"/>
    <w:rsid w:val="00F459F7"/>
    <w:rsid w:val="00F5496F"/>
    <w:rsid w:val="00F61969"/>
    <w:rsid w:val="00F92B49"/>
    <w:rsid w:val="00FA192C"/>
    <w:rsid w:val="00FB0587"/>
    <w:rsid w:val="00FB4DDF"/>
    <w:rsid w:val="00FC1B08"/>
    <w:rsid w:val="00FD05BD"/>
    <w:rsid w:val="00FD675F"/>
    <w:rsid w:val="00FE03B4"/>
    <w:rsid w:val="00FF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CC9DCC"/>
  <w15:chartTrackingRefBased/>
  <w15:docId w15:val="{08B10F9A-6586-4A86-907A-D5AFC367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rsid w:val="006C1CE1"/>
    <w:rPr>
      <w:b/>
      <w:sz w:val="24"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Char">
    <w:name w:val="Normal6 Char"/>
    <w:link w:val="Normal6"/>
    <w:locked/>
    <w:rsid w:val="00EE05D3"/>
    <w:rPr>
      <w:sz w:val="24"/>
    </w:rPr>
  </w:style>
  <w:style w:type="paragraph" w:customStyle="1" w:styleId="Normal6">
    <w:name w:val="Normal6"/>
    <w:basedOn w:val="Normal"/>
    <w:link w:val="Normal6Char"/>
    <w:rsid w:val="00EE05D3"/>
    <w:pPr>
      <w:spacing w:after="120"/>
    </w:pPr>
  </w:style>
  <w:style w:type="paragraph" w:customStyle="1" w:styleId="EntPE">
    <w:name w:val="EntPE"/>
    <w:basedOn w:val="Normal12"/>
    <w:rsid w:val="006C1CE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C1CE1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C1CE1"/>
    <w:rPr>
      <w:noProof/>
      <w:sz w:val="24"/>
    </w:rPr>
  </w:style>
  <w:style w:type="paragraph" w:customStyle="1" w:styleId="Normal12Italic">
    <w:name w:val="Normal12Italic"/>
    <w:basedOn w:val="Normal12"/>
    <w:rsid w:val="006C1CE1"/>
    <w:rPr>
      <w:i/>
    </w:rPr>
  </w:style>
  <w:style w:type="character" w:customStyle="1" w:styleId="FooterChar">
    <w:name w:val="Footer Char"/>
    <w:basedOn w:val="DefaultParagraphFont"/>
    <w:link w:val="Footer"/>
    <w:rsid w:val="006C1CE1"/>
    <w:rPr>
      <w:sz w:val="22"/>
    </w:rPr>
  </w:style>
  <w:style w:type="paragraph" w:styleId="Footer">
    <w:name w:val="footer"/>
    <w:link w:val="FooterChar"/>
    <w:rsid w:val="006C1CE1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paragraph" w:customStyle="1" w:styleId="Footer2">
    <w:name w:val="Footer2"/>
    <w:basedOn w:val="Normal12"/>
    <w:rsid w:val="006C1CE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NumberTabs0">
    <w:name w:val="AMNumberTabs"/>
    <w:basedOn w:val="Normal"/>
    <w:rsid w:val="006C1C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C1CE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C1CE1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C1CE1"/>
    <w:pPr>
      <w:keepNext/>
      <w:spacing w:before="240" w:after="240"/>
      <w:jc w:val="center"/>
    </w:pPr>
    <w:rPr>
      <w:i/>
      <w:noProof/>
    </w:rPr>
  </w:style>
  <w:style w:type="paragraph" w:customStyle="1" w:styleId="Corps">
    <w:name w:val="Corps"/>
    <w:rsid w:val="00983807"/>
    <w:pPr>
      <w:spacing w:before="120" w:after="120"/>
      <w:jc w:val="both"/>
    </w:pPr>
    <w:rPr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Point0">
    <w:name w:val="Point 0"/>
    <w:rsid w:val="00983807"/>
    <w:pPr>
      <w:spacing w:before="120" w:after="120"/>
      <w:ind w:left="850" w:hanging="850"/>
      <w:jc w:val="both"/>
    </w:pPr>
    <w:rPr>
      <w:rFonts w:eastAsia="Arial Unicode MS" w:cs="Arial Unicode MS"/>
      <w:color w:val="000000"/>
      <w:sz w:val="24"/>
      <w:szCs w:val="24"/>
      <w:u w:color="000000"/>
    </w:rPr>
  </w:style>
  <w:style w:type="paragraph" w:customStyle="1" w:styleId="Titrearticle">
    <w:name w:val="Titre article"/>
    <w:next w:val="Corps"/>
    <w:rsid w:val="00983807"/>
    <w:pPr>
      <w:keepNext/>
      <w:spacing w:before="360" w:after="120"/>
      <w:jc w:val="center"/>
    </w:pPr>
    <w:rPr>
      <w:rFonts w:eastAsia="Arial Unicode MS" w:cs="Arial Unicode MS"/>
      <w:i/>
      <w:iCs/>
      <w:color w:val="000000"/>
      <w:sz w:val="24"/>
      <w:szCs w:val="24"/>
      <w:u w:color="000000"/>
    </w:rPr>
  </w:style>
  <w:style w:type="paragraph" w:customStyle="1" w:styleId="SectionTitle">
    <w:name w:val="SectionTitle"/>
    <w:next w:val="Normal"/>
    <w:rsid w:val="00983807"/>
    <w:pPr>
      <w:keepNext/>
      <w:spacing w:before="120" w:after="360"/>
      <w:jc w:val="center"/>
    </w:pPr>
    <w:rPr>
      <w:rFonts w:eastAsia="Arial Unicode MS" w:cs="Arial Unicode MS"/>
      <w:b/>
      <w:bCs/>
      <w:smallCaps/>
      <w:color w:val="000000"/>
      <w:sz w:val="28"/>
      <w:szCs w:val="28"/>
      <w:u w:color="000000"/>
    </w:rPr>
  </w:style>
  <w:style w:type="character" w:customStyle="1" w:styleId="Aucun">
    <w:name w:val="Aucun"/>
    <w:rsid w:val="00983807"/>
    <w:rPr>
      <w:lang w:val="pl-PL"/>
    </w:rPr>
  </w:style>
  <w:style w:type="character" w:styleId="CommentReference">
    <w:name w:val="annotation reference"/>
    <w:basedOn w:val="DefaultParagraphFont"/>
    <w:rsid w:val="00EB4A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4A6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4A6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B4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B4A63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EB4A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B4A63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36AAB"/>
    <w:rPr>
      <w:i/>
      <w:iCs/>
    </w:rPr>
  </w:style>
  <w:style w:type="character" w:styleId="Hyperlink">
    <w:name w:val="Hyperlink"/>
    <w:basedOn w:val="DefaultParagraphFont"/>
    <w:rsid w:val="00636A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RIST~1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FA665-6E6C-4451-8D39-0700490EC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28</Pages>
  <Words>6774</Words>
  <Characters>43086</Characters>
  <Application>Microsoft Office Word</Application>
  <DocSecurity>0</DocSecurity>
  <Lines>1723</Lines>
  <Paragraphs>547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2021-04-08T13:13:00Z</dcterms:created>
  <dcterms:modified xsi:type="dcterms:W3CDTF">2021-04-08T13:13:00Z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1220068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9.9.1 Build [20200705]</vt:lpwstr>
  </property>
  <property fmtid="{D5CDD505-2E9C-101B-9397-08002B2CF9AE}" pid="9" name="FooterPath">
    <vt:lpwstr>AM\1220068PL.docx</vt:lpwstr>
  </property>
  <property fmtid="{D5CDD505-2E9C-101B-9397-08002B2CF9AE}" pid="10" name="LastEdited with">
    <vt:lpwstr>9.9.1 Build [20200705]</vt:lpwstr>
  </property>
  <property fmtid="{D5CDD505-2E9C-101B-9397-08002B2CF9AE}" pid="11" name="PE number">
    <vt:lpwstr>661.979</vt:lpwstr>
  </property>
  <property fmtid="{D5CDD505-2E9C-101B-9397-08002B2CF9AE}" pid="12" name="SDLStudio">
    <vt:lpwstr/>
  </property>
  <property fmtid="{D5CDD505-2E9C-101B-9397-08002B2CF9AE}" pid="13" name="SendToEpades">
    <vt:lpwstr>OK - 2021/03/19 12:30</vt:lpwstr>
  </property>
  <property fmtid="{D5CDD505-2E9C-101B-9397-08002B2CF9AE}" pid="14" name="Bookout">
    <vt:lpwstr>OK - 2021/04/08 15:13</vt:lpwstr>
  </property>
</Properties>
</file>