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71F44" w:rsidTr="00AC1DCD">
        <w:trPr>
          <w:trHeight w:hRule="exact" w:val="1418"/>
        </w:trPr>
        <w:tc>
          <w:tcPr>
            <w:tcW w:w="6804" w:type="dxa"/>
            <w:shd w:val="clear" w:color="auto" w:fill="auto"/>
            <w:vAlign w:val="center"/>
          </w:tcPr>
          <w:p w:rsidR="00BE5062" w:rsidRPr="00E66FD7" w:rsidRDefault="00191DDA" w:rsidP="00AC1DCD">
            <w:pPr>
              <w:pStyle w:val="EPName"/>
            </w:pPr>
            <w:r>
              <w:t>Euroopa Parlament</w:t>
            </w:r>
          </w:p>
          <w:p w:rsidR="00BE5062" w:rsidRPr="00E66FD7" w:rsidRDefault="00191DDA" w:rsidP="00AC1DCD">
            <w:pPr>
              <w:pStyle w:val="EPTerm"/>
            </w:pPr>
            <w:r>
              <w:t>2019-2024</w:t>
            </w:r>
          </w:p>
        </w:tc>
        <w:tc>
          <w:tcPr>
            <w:tcW w:w="2268" w:type="dxa"/>
            <w:shd w:val="clear" w:color="auto" w:fill="auto"/>
          </w:tcPr>
          <w:p w:rsidR="00BE5062" w:rsidRPr="00E66FD7" w:rsidRDefault="00191DDA" w:rsidP="00AC1DCD">
            <w:pPr>
              <w:pStyle w:val="EPLogo"/>
            </w:pPr>
            <w:r w:rsidRPr="00E66FD7">
              <w:rPr>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9466"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E66FD7" w:rsidRDefault="000E7234" w:rsidP="000E7234">
      <w:pPr>
        <w:pStyle w:val="LineTop"/>
      </w:pPr>
    </w:p>
    <w:p w:rsidR="000E7234" w:rsidRPr="00E66FD7" w:rsidRDefault="00191DDA" w:rsidP="000E7234">
      <w:pPr>
        <w:pStyle w:val="EPBody"/>
      </w:pPr>
      <w:r w:rsidRPr="00640177">
        <w:rPr>
          <w:rStyle w:val="HideTWBExt"/>
          <w:i w:val="0"/>
          <w:szCs w:val="20"/>
        </w:rPr>
        <w:t>&lt;Commission&gt;</w:t>
      </w:r>
      <w:r w:rsidRPr="00640177">
        <w:rPr>
          <w:rStyle w:val="HideTWBInt"/>
          <w:i w:val="0"/>
          <w:szCs w:val="20"/>
        </w:rPr>
        <w:t>{LIBE}</w:t>
      </w:r>
      <w:r>
        <w:t>Kodanikuvabaduste, justiits- ja siseasjade komisjon</w:t>
      </w:r>
      <w:r w:rsidRPr="00640177">
        <w:rPr>
          <w:rStyle w:val="HideTWBExt"/>
          <w:i w:val="0"/>
          <w:szCs w:val="20"/>
        </w:rPr>
        <w:t>&lt;/Commission&gt;</w:t>
      </w:r>
    </w:p>
    <w:p w:rsidR="000E7234" w:rsidRPr="00E66FD7" w:rsidRDefault="000E7234" w:rsidP="000E7234">
      <w:pPr>
        <w:pStyle w:val="LineBottom"/>
      </w:pPr>
    </w:p>
    <w:p w:rsidR="00B85286" w:rsidRPr="00E66FD7" w:rsidRDefault="00191DDA">
      <w:pPr>
        <w:pStyle w:val="CoverReference"/>
      </w:pPr>
      <w:r w:rsidRPr="00640177">
        <w:rPr>
          <w:rStyle w:val="HideTWBExt"/>
          <w:b w:val="0"/>
        </w:rPr>
        <w:t>&lt;RefProc&gt;</w:t>
      </w:r>
      <w:r>
        <w:t>2016/0132</w:t>
      </w:r>
      <w:r w:rsidRPr="00640177">
        <w:rPr>
          <w:rStyle w:val="HideTWBExt"/>
          <w:b w:val="0"/>
        </w:rPr>
        <w:t>&lt;/RefProc&gt;&lt;RefTypeProc&gt;</w:t>
      </w:r>
      <w:r>
        <w:t>(COD)</w:t>
      </w:r>
      <w:r w:rsidRPr="00640177">
        <w:rPr>
          <w:rStyle w:val="HideTWBExt"/>
          <w:b w:val="0"/>
        </w:rPr>
        <w:t>&lt;/RefTypeProc&gt;</w:t>
      </w:r>
    </w:p>
    <w:p w:rsidR="00B85286" w:rsidRPr="00E66FD7" w:rsidRDefault="00191DDA">
      <w:pPr>
        <w:pStyle w:val="CoverDate"/>
      </w:pPr>
      <w:r w:rsidRPr="00640177">
        <w:rPr>
          <w:rStyle w:val="HideTWBExt"/>
        </w:rPr>
        <w:t>&lt;Date&gt;</w:t>
      </w:r>
      <w:r w:rsidRPr="00640177">
        <w:rPr>
          <w:rStyle w:val="HideTWBInt"/>
        </w:rPr>
        <w:t>{29/04/2021}</w:t>
      </w:r>
      <w:r>
        <w:t>29.4.2021</w:t>
      </w:r>
      <w:bookmarkStart w:id="0" w:name="_GoBack"/>
      <w:bookmarkEnd w:id="0"/>
      <w:r w:rsidRPr="00640177">
        <w:rPr>
          <w:rStyle w:val="HideTWBExt"/>
        </w:rPr>
        <w:t>&lt;/Date&gt;</w:t>
      </w:r>
    </w:p>
    <w:p w:rsidR="009B0305" w:rsidRPr="00E66FD7" w:rsidRDefault="00191DDA" w:rsidP="009B0305">
      <w:pPr>
        <w:pStyle w:val="CoverDocType"/>
      </w:pPr>
      <w:r w:rsidRPr="00640177">
        <w:rPr>
          <w:rStyle w:val="HideTWBExt"/>
          <w:b w:val="0"/>
        </w:rPr>
        <w:t>&lt;TypeAM&gt;</w:t>
      </w:r>
      <w:r>
        <w:t>MUUDATUSETTEPANEKUD</w:t>
      </w:r>
      <w:r w:rsidRPr="00640177">
        <w:rPr>
          <w:rStyle w:val="HideTWBExt"/>
          <w:b w:val="0"/>
        </w:rPr>
        <w:t>&lt;/TypeAM&gt;</w:t>
      </w:r>
    </w:p>
    <w:p w:rsidR="00B85286" w:rsidRPr="00E66FD7" w:rsidRDefault="00191DDA" w:rsidP="001C2054">
      <w:pPr>
        <w:pStyle w:val="CoverDocType24a"/>
      </w:pPr>
      <w:r w:rsidRPr="00640177">
        <w:rPr>
          <w:rStyle w:val="HideTWBExt"/>
          <w:b w:val="0"/>
        </w:rPr>
        <w:t>&lt;RangeAM&gt;</w:t>
      </w:r>
      <w:r w:rsidR="00640177">
        <w:t>38–</w:t>
      </w:r>
      <w:r>
        <w:t>281</w:t>
      </w:r>
      <w:r w:rsidRPr="00640177">
        <w:rPr>
          <w:rStyle w:val="HideTWBExt"/>
          <w:b w:val="0"/>
        </w:rPr>
        <w:t>&lt;/RangeAM&gt;</w:t>
      </w:r>
    </w:p>
    <w:p w:rsidR="001C2054" w:rsidRPr="00E66FD7" w:rsidRDefault="00191DDA" w:rsidP="00A93F8C">
      <w:pPr>
        <w:pStyle w:val="CoverBold"/>
      </w:pPr>
      <w:r w:rsidRPr="00640177">
        <w:rPr>
          <w:rStyle w:val="HideTWBExt"/>
          <w:b w:val="0"/>
        </w:rPr>
        <w:t>&lt;TitreType&gt;</w:t>
      </w:r>
      <w:r>
        <w:t>Raporti projekt</w:t>
      </w:r>
      <w:r w:rsidRPr="00640177">
        <w:rPr>
          <w:rStyle w:val="HideTWBExt"/>
          <w:b w:val="0"/>
        </w:rPr>
        <w:t>&lt;/TitreType&gt;</w:t>
      </w:r>
    </w:p>
    <w:p w:rsidR="00B85286" w:rsidRPr="00E66FD7" w:rsidRDefault="00191DDA" w:rsidP="00A93F8C">
      <w:pPr>
        <w:pStyle w:val="CoverBold"/>
      </w:pPr>
      <w:r w:rsidRPr="00640177">
        <w:rPr>
          <w:rStyle w:val="HideTWBExt"/>
          <w:b w:val="0"/>
        </w:rPr>
        <w:t>&lt;Rapporteur&gt;</w:t>
      </w:r>
      <w:r>
        <w:t>Jorge Buxadé Villalba</w:t>
      </w:r>
      <w:r w:rsidRPr="00640177">
        <w:rPr>
          <w:rStyle w:val="HideTWBExt"/>
          <w:b w:val="0"/>
        </w:rPr>
        <w:t>&lt;/Rapporteur&gt;</w:t>
      </w:r>
    </w:p>
    <w:p w:rsidR="00B85286" w:rsidRPr="00E66FD7" w:rsidRDefault="00191DDA">
      <w:pPr>
        <w:pStyle w:val="CoverNormal24a"/>
      </w:pPr>
      <w:r w:rsidRPr="00640177">
        <w:rPr>
          <w:rStyle w:val="HideTWBExt"/>
        </w:rPr>
        <w:t>&lt;DocRefPE&gt;</w:t>
      </w:r>
      <w:r>
        <w:t>(PE597.620v03-00)</w:t>
      </w:r>
      <w:r w:rsidRPr="00640177">
        <w:rPr>
          <w:rStyle w:val="HideTWBExt"/>
        </w:rPr>
        <w:t>&lt;/DocRefPE&gt;</w:t>
      </w:r>
    </w:p>
    <w:p w:rsidR="00B85286" w:rsidRPr="00E66FD7" w:rsidRDefault="00191DDA">
      <w:pPr>
        <w:pStyle w:val="CoverNormal24a"/>
      </w:pPr>
      <w:r w:rsidRPr="00640177">
        <w:rPr>
          <w:rStyle w:val="HideTWBExt"/>
        </w:rPr>
        <w:t>&lt;Titre&gt;</w:t>
      </w:r>
      <w:r>
        <w:t xml:space="preserve">Euroopa Parlamendi ja nõukogu määrus, millega kehtestatakse biomeetriliste andmete võrdlemise Eurodac-süsteem määruse (EL) nr XXX/XXX [varjupaiga- ja rändehalduse määrus] ja määruse (EL) nr XXX/XXX [ümberasustamise määrus] tõhusaks kohaldamiseks, et tuvastada ebaseaduslikult riigis viibivad kolmandate riikide kodanikud ja kodakondsuseta isikud, ning mis käsitleb liikmesriikide õiguskaitseasutuste ja Europoli taotlusi sõrmejälgede andmete võrdlemiseks Eurodac-süsteemi andmetega õiguskaitse eesmärgil ning millega muudetakse määrust (EL) 2018/1240 ja määrust (EL) 2019/818 </w:t>
      </w:r>
      <w:r w:rsidRPr="00640177">
        <w:rPr>
          <w:rStyle w:val="HideTWBExt"/>
        </w:rPr>
        <w:t>&lt;/Titre&gt;</w:t>
      </w:r>
    </w:p>
    <w:p w:rsidR="006337D4" w:rsidRPr="00E66FD7" w:rsidRDefault="00191DDA" w:rsidP="006337D4">
      <w:pPr>
        <w:pStyle w:val="CoverNormal"/>
      </w:pPr>
      <w:r w:rsidRPr="00640177">
        <w:rPr>
          <w:rStyle w:val="HideTWBExt"/>
        </w:rPr>
        <w:t>&lt;DocAmend&gt;</w:t>
      </w:r>
      <w:r>
        <w:t>Muudetud ettepanek võtta vastu määrus</w:t>
      </w:r>
      <w:r w:rsidRPr="00640177">
        <w:rPr>
          <w:rStyle w:val="HideTWBExt"/>
        </w:rPr>
        <w:t>&lt;/DocAmend&gt;</w:t>
      </w:r>
    </w:p>
    <w:p w:rsidR="00B85286" w:rsidRPr="00E66FD7" w:rsidRDefault="00191DDA" w:rsidP="00AC1DCD">
      <w:pPr>
        <w:pStyle w:val="CoverNormal24a"/>
      </w:pPr>
      <w:r w:rsidRPr="00640177">
        <w:rPr>
          <w:rStyle w:val="HideTWBExt"/>
        </w:rPr>
        <w:t>&lt;DocRef&gt;</w:t>
      </w:r>
      <w:r w:rsidR="00167072">
        <w:t>COM</w:t>
      </w:r>
      <w:r>
        <w:t>(2020)0614 – C8-0179/2016 – 2016/0132(COD)</w:t>
      </w:r>
      <w:r w:rsidRPr="00640177">
        <w:rPr>
          <w:rStyle w:val="HideTWBExt"/>
        </w:rPr>
        <w:t>&lt;/DocRef&gt;</w:t>
      </w:r>
    </w:p>
    <w:p w:rsidR="00B85286" w:rsidRPr="00E66FD7" w:rsidRDefault="00191DDA" w:rsidP="00E660E2">
      <w:pPr>
        <w:widowControl/>
        <w:tabs>
          <w:tab w:val="center" w:pos="4677"/>
        </w:tabs>
      </w:pPr>
      <w:r>
        <w:br w:type="page"/>
      </w:r>
      <w:r>
        <w:lastRenderedPageBreak/>
        <w:t>AM_Com_LegReport</w:t>
      </w:r>
    </w:p>
    <w:p w:rsidR="00F528F9" w:rsidRPr="00E66FD7" w:rsidRDefault="00191DDA" w:rsidP="00F528F9">
      <w:pPr>
        <w:pStyle w:val="AMNumberTabs0"/>
        <w:keepNext/>
      </w:pPr>
      <w:r>
        <w:br w:type="page"/>
      </w:r>
      <w:r w:rsidR="00F528F9" w:rsidRPr="00640177">
        <w:rPr>
          <w:rStyle w:val="HideTWBExt"/>
          <w:b w:val="0"/>
        </w:rPr>
        <w:lastRenderedPageBreak/>
        <w:t>&lt;RepeatBlock-Amend&gt;&lt;Amend&gt;</w:t>
      </w:r>
      <w:r w:rsidR="00F528F9">
        <w:t>Muudatusettepanek</w:t>
      </w:r>
      <w:r w:rsidR="00F528F9">
        <w:tab/>
      </w:r>
      <w:r w:rsidR="00F528F9">
        <w:tab/>
      </w:r>
      <w:r w:rsidR="00F528F9" w:rsidRPr="00640177">
        <w:rPr>
          <w:rStyle w:val="HideTWBExt"/>
          <w:b w:val="0"/>
        </w:rPr>
        <w:t>&lt;NumAm&gt;</w:t>
      </w:r>
      <w:r w:rsidR="00F528F9">
        <w:t>38</w:t>
      </w:r>
      <w:r w:rsidR="00F528F9"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tcPr>
          <w:p w:rsidR="00F528F9" w:rsidRPr="00E66FD7" w:rsidRDefault="00F528F9" w:rsidP="00167072">
            <w:pPr>
              <w:pStyle w:val="ColumnHeading"/>
              <w:keepNext/>
            </w:pPr>
          </w:p>
        </w:tc>
        <w:tc>
          <w:tcPr>
            <w:tcW w:w="4876" w:type="dxa"/>
            <w:hideMark/>
          </w:tcPr>
          <w:p w:rsidR="00F528F9" w:rsidRPr="00E66FD7" w:rsidRDefault="00F528F9" w:rsidP="00167072">
            <w:pPr>
              <w:pStyle w:val="ColumnHeading"/>
              <w:keepNext/>
            </w:pPr>
            <w:r>
              <w:t>Tagasilükkamisettepanek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Euroopa Parlament lükkab komisjoni ettepaneku tagasi.</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39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Pealkiri 1</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Muudetud ettepanek: EUROOPA PARLAMENDI JA NÕUKOGU MÄÄRUS, millega kehtestatakse biomeetriliste andmete võrdlemise Eurodac-süsteem määruse (EL) nr XXX/XXX [varjupaiga- ja rändehalduse määrus] ja määruse (EL) nr XXX/XXX [ümberasustamise määrus] tõhusaks kohaldamiseks, et tuvastada </w:t>
            </w:r>
            <w:r>
              <w:rPr>
                <w:b/>
                <w:i/>
              </w:rPr>
              <w:t>ebaseaduslikult riigis</w:t>
            </w:r>
            <w:r>
              <w:t xml:space="preserve"> viibivad kolmandate riikide kodanikud ja kodakondsuseta isikud, ning mis käsitleb liikmesriikide õiguskaitseasutuste ja Europoli taotlusi sõrmejälgede andmete võrdlemiseks Eurodac-süsteemi andmetega õiguskaitse eesmärgil ning millega muudetakse määrust (EL) 2018/1240 ja määrust (EL) 2019/818</w:t>
            </w:r>
          </w:p>
        </w:tc>
        <w:tc>
          <w:tcPr>
            <w:tcW w:w="4876" w:type="dxa"/>
            <w:hideMark/>
          </w:tcPr>
          <w:p w:rsidR="00F528F9" w:rsidRPr="00E66FD7" w:rsidRDefault="00F528F9" w:rsidP="00167072">
            <w:pPr>
              <w:pStyle w:val="Normal6"/>
              <w:rPr>
                <w:szCs w:val="24"/>
              </w:rPr>
            </w:pPr>
            <w:r>
              <w:t xml:space="preserve">Muudetud ettepanek: EUROOPA PARLAMENDI JA NÕUKOGU MÄÄRUS, millega kehtestatakse biomeetriliste andmete võrdlemise Eurodac-süsteem määruse (EL) nr XXX/XXX [varjupaiga- ja rändehalduse määrus] ja määruse (EL) nr XXX/XXX [ümberasustamise määrus] tõhusaks kohaldamiseks, et tuvastada </w:t>
            </w:r>
            <w:r>
              <w:rPr>
                <w:b/>
                <w:i/>
              </w:rPr>
              <w:t>riigis seadusliku aluseta</w:t>
            </w:r>
            <w:r>
              <w:t xml:space="preserve"> viibivad kolmandate riikide kodanikud ja kodakondsuseta isikud, ning mis käsitleb liikmesriikide õiguskaitseasutuste ja Europoli taotlusi sõrmejälgede andmete võrdlemiseks Eurodac-süsteemi andmetega õiguskaitse eesmärgil ning millega muudetakse määrust (EL) 2018/1240 ja määrust (EL) 2019/818</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40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lastRenderedPageBreak/>
        <w:t>&lt;DocAmend&gt;</w:t>
      </w:r>
      <w:r>
        <w:t>Ettepanek võtta vastu määrus</w:t>
      </w:r>
      <w:r w:rsidRPr="00640177">
        <w:rPr>
          <w:rStyle w:val="HideTWBExt"/>
          <w:b w:val="0"/>
        </w:rPr>
        <w:t>&lt;/DocAmend&gt;</w:t>
      </w:r>
    </w:p>
    <w:p w:rsidR="00F528F9" w:rsidRPr="00E66FD7" w:rsidRDefault="00F528F9" w:rsidP="00F528F9">
      <w:pPr>
        <w:pStyle w:val="NormalBold"/>
        <w:keepNext/>
      </w:pPr>
      <w:r w:rsidRPr="00640177">
        <w:rPr>
          <w:rStyle w:val="HideTWBExt"/>
          <w:b w:val="0"/>
        </w:rPr>
        <w:t>&lt;Article&gt;</w:t>
      </w:r>
      <w:r>
        <w:t>Preambul – punkt 1 – põhjendus 4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4a)</w:t>
            </w:r>
            <w:r>
              <w:tab/>
              <w:t xml:space="preserve">Lisaks sellele on määruse (EL) XXX/XXX [ varjupaiga- ja rändehalduse määrus] tõhusaks kohaldamiseks ja kooskõlas nimetatud määruse sätetega vaja Eurodac-süsteemis selgelt ära märkida asjaolu, et toimunud on vastutuse üleminek ühelt liikmesriigilt teisele, muu hulgas ümberpaigutamisjuhtumite korral. </w:t>
            </w:r>
            <w:r>
              <w:rPr>
                <w:b/>
                <w:i/>
              </w:rPr>
              <w:t>Selleks et kajastada täpselt liikmesriikide kohustusi korraldada otsingu- ja päästeoperatsioone ning et aidata neid liikmesriike nende ees seisvate spetsiifiliste probleemide lahendamisel, kuna nad ei saa nimetatud operatsioonide järel maabunud isikute puhul kasutada samu vahendeid nagu ebaseadusliku piiriületuse korral maa- või õhuteed pidi, on lisaks sellele vaja registreerida otsingu- ja päästeoperatsiooni järel maabunud kolmandate riikide kodanikud või kodakondsuseta isikud Eurodac-süsteemis eraldi kategooriana.</w:t>
            </w:r>
          </w:p>
        </w:tc>
        <w:tc>
          <w:tcPr>
            <w:tcW w:w="4876" w:type="dxa"/>
            <w:hideMark/>
          </w:tcPr>
          <w:p w:rsidR="00F528F9" w:rsidRPr="00E66FD7" w:rsidRDefault="00F528F9" w:rsidP="00167072">
            <w:pPr>
              <w:pStyle w:val="Normal6"/>
              <w:rPr>
                <w:szCs w:val="24"/>
              </w:rPr>
            </w:pPr>
            <w:r>
              <w:t>4a)</w:t>
            </w:r>
            <w:r>
              <w:tab/>
              <w:t>Lisaks sellele on määruse (EL) XXX/XXX [ varjupaiga- ja rändehalduse määrus] tõhusaks kohaldamiseks ja kooskõlas nimetatud määruse sätetega vaja Eurodac-süsteemis selgelt ära märkida asjaolu, et toimunud on vastutuse üleminek ühelt liikmesriigilt teisele, muu hulgas ümberpaigutamisjuhtumite korral.</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41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1 – põhjendus 4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4a)</w:t>
            </w:r>
            <w:r>
              <w:tab/>
              <w:t xml:space="preserve">Lisaks sellele on määruse (EL) XXX/XXX [ varjupaiga- ja rändehalduse määrus] tõhusaks kohaldamiseks ja kooskõlas nimetatud määruse sätetega vaja Eurodac-süsteemis selgelt ära märkida asjaolu, et toimunud on vastutuse üleminek ühelt liikmesriigilt teisele, muu hulgas ümberpaigutamisjuhtumite korral. Selleks </w:t>
            </w:r>
            <w:r>
              <w:lastRenderedPageBreak/>
              <w:t>et kajastada täpselt liikmesriikide kohustusi korraldada otsingu- ja päästeoperatsioone</w:t>
            </w:r>
            <w:r>
              <w:rPr>
                <w:b/>
                <w:i/>
              </w:rPr>
              <w:t xml:space="preserve"> ning et aidata neid liikmesriike nende ees seisvate spetsiifiliste probleemide lahendamisel, kuna nad ei saa nimetatud operatsioonide järel maabunud</w:t>
            </w:r>
            <w:r>
              <w:t xml:space="preserve"> isikute </w:t>
            </w:r>
            <w:r>
              <w:rPr>
                <w:b/>
                <w:i/>
              </w:rPr>
              <w:t>puhul kasutada samu vahendeid nagu ebaseadusliku piiriületuse korral maa- või õhuteed pidi</w:t>
            </w:r>
            <w:r>
              <w:t xml:space="preserve">, </w:t>
            </w:r>
            <w:r>
              <w:rPr>
                <w:b/>
                <w:i/>
              </w:rPr>
              <w:t>on lisaks sellele vaja registreerida otsingu-</w:t>
            </w:r>
            <w:r>
              <w:t xml:space="preserve"> ja </w:t>
            </w:r>
            <w:r>
              <w:rPr>
                <w:b/>
                <w:i/>
              </w:rPr>
              <w:t>päästeoperatsiooni järel maabunud kolmandate riikide kodanikud või kodakondsuseta isikud Eurodac-süsteemis eraldi kategooriana.</w:t>
            </w:r>
          </w:p>
        </w:tc>
        <w:tc>
          <w:tcPr>
            <w:tcW w:w="4876" w:type="dxa"/>
            <w:hideMark/>
          </w:tcPr>
          <w:p w:rsidR="00F528F9" w:rsidRPr="00E66FD7" w:rsidRDefault="00F528F9" w:rsidP="00167072">
            <w:pPr>
              <w:pStyle w:val="Normal6"/>
              <w:rPr>
                <w:szCs w:val="24"/>
              </w:rPr>
            </w:pPr>
            <w:r>
              <w:lastRenderedPageBreak/>
              <w:t>4a)</w:t>
            </w:r>
            <w:r>
              <w:tab/>
              <w:t xml:space="preserve">Lisaks sellele on määruse (EL) XXX/XXX [ varjupaiga- ja rändehalduse määrus] tõhusaks kohaldamiseks ja kooskõlas nimetatud määruse sätetega vaja Eurodac-süsteemis selgelt ära märkida asjaolu, et toimunud on vastutuse üleminek ühelt liikmesriigilt teisele, muu hulgas ümberpaigutamisjuhtumite korral. Selleks </w:t>
            </w:r>
            <w:r>
              <w:lastRenderedPageBreak/>
              <w:t>et kajastada täpselt liikmesriikide kohustusi korraldada otsingu- ja päästeoperatsioone</w:t>
            </w:r>
            <w:r>
              <w:rPr>
                <w:b/>
                <w:i/>
              </w:rPr>
              <w:t>, on lisaks sellele vaja registreerida otsingu- ja päästeoperatsiooni järel maabunud kolmandate riikide kodanikud või kodakondsuseta isikud Eurodac-süsteemis eraldi kategooriana.</w:t>
            </w:r>
            <w:r>
              <w:t xml:space="preserve"> </w:t>
            </w:r>
            <w:r>
              <w:rPr>
                <w:b/>
                <w:i/>
              </w:rPr>
              <w:t>Selleks et võtta nõuetekohaselt arvesse otsingu- ja päästeoperatsiooni järel maabunud isikute erilist haavatavust ning tõhusalt kohaldada liikmesriikide kohustust viia läbi asjakohane haavatavuse hindamine, sealhulgas maabumise konkreetsed asjaolud ning maabunud isikute füüsilise ja vaimse tervisega arvestamine, tuleks enne biomeetriliste andmete kogumist, töötlemist ja edastamist kehtestada täiendavad kaitsemeetmed;</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42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Tom Vandendriessche</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1 – põhjendus 4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4a)</w:t>
            </w:r>
            <w:r>
              <w:tab/>
              <w:t xml:space="preserve">Lisaks sellele on määruse (EL) XXX/XXX [ varjupaiga- ja rändehalduse määrus] tõhusaks kohaldamiseks ja kooskõlas nimetatud määruse sätetega vaja Eurodac-süsteemis selgelt ära märkida asjaolu, et toimunud on vastutuse üleminek ühelt liikmesriigilt teisele, muu hulgas ümberpaigutamisjuhtumite korral. Selleks et kajastada täpselt liikmesriikide kohustusi korraldada otsingu- ja päästeoperatsioone ning et aidata neid liikmesriike nende ees seisvate spetsiifiliste probleemide lahendamisel, kuna nad ei saa nimetatud operatsioonide järel maabunud isikute puhul kasutada samu vahendeid nagu ebaseadusliku piiriületuse korral maa- või õhuteed pidi, on lisaks sellele vaja </w:t>
            </w:r>
            <w:r>
              <w:lastRenderedPageBreak/>
              <w:t>registreerida otsingu- ja päästeoperatsiooni järel maabunud kolmandate riikide kodanikud või kodakondsuseta isikud Eurodac-süsteemis eraldi kategooriana.</w:t>
            </w:r>
          </w:p>
        </w:tc>
        <w:tc>
          <w:tcPr>
            <w:tcW w:w="4876" w:type="dxa"/>
            <w:hideMark/>
          </w:tcPr>
          <w:p w:rsidR="00F528F9" w:rsidRPr="00E66FD7" w:rsidRDefault="00F528F9" w:rsidP="00F528F9">
            <w:pPr>
              <w:pStyle w:val="Normal6"/>
              <w:rPr>
                <w:szCs w:val="24"/>
              </w:rPr>
            </w:pPr>
            <w:r>
              <w:rPr>
                <w:i/>
              </w:rPr>
              <w:lastRenderedPageBreak/>
              <w:t>(Ei puuduta eestikeelset versiooni.)</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{NL}</w:t>
      </w:r>
      <w:r w:rsidRPr="00E66FD7">
        <w:rPr>
          <w:noProof w:val="0"/>
        </w:rPr>
        <w:t>nl</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43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1 – põhjendus 4 b</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4b)</w:t>
            </w:r>
            <w:r>
              <w:rPr>
                <w:b/>
                <w:i/>
              </w:rPr>
              <w:tab/>
              <w:t>Määruse (EL) XXX/XXX [varjupaiga- ja rändehalduse määrus] kohaldamise eesmärgil on lisaks sellele vaja ära märkida, kas taustakontrolli käigus tehtava julgeolekukontrolli järel näib, et isik võib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44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1 – põhjendus 4 b</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4b)</w:t>
            </w:r>
            <w:r>
              <w:rPr>
                <w:b/>
                <w:i/>
              </w:rPr>
              <w:tab/>
              <w:t>Määruse (EL) XXX/XXX [varjupaiga- ja rändehalduse määrus] kohaldamise eesmärgil on lisaks sellele vaja ära märkida, kas taustakontrolli käigus tehtava julgeolekukontrolli järel näib, et isik võib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45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1 – põhjendus 4 b</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4b)</w:t>
            </w:r>
            <w:r>
              <w:rPr>
                <w:b/>
                <w:i/>
              </w:rPr>
              <w:tab/>
              <w:t>Määruse (EL) XXX/XXX [varjupaiga- ja rändehalduse määrus] kohaldamise eesmärgil on lisaks sellele vaja ära märkida, kas taustakontrolli käigus tehtava julgeolekukontrolli järel näib, et isik võib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46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Tom Vandendriessche</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1 – põhjendus 4 b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4ba)</w:t>
            </w:r>
            <w:r>
              <w:rPr>
                <w:b/>
                <w:i/>
              </w:rPr>
              <w:tab/>
              <w:t>Käesolevat ettepanekut tuleb käsitada sammuna vajaliku DNA andmebaasi loomise suunas, et teha rändajate isik üheselt kindlaks.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{NL}</w:t>
      </w:r>
      <w:r w:rsidRPr="00E66FD7">
        <w:rPr>
          <w:noProof w:val="0"/>
        </w:rPr>
        <w:t>nl</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47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Tom Vandendriessche</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1 – põhjendus 4 b b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4bb)</w:t>
            </w:r>
            <w:r>
              <w:rPr>
                <w:b/>
                <w:i/>
              </w:rPr>
              <w:tab/>
              <w:t xml:space="preserve">Isegi Eurodaci nõuetekohasest toimimisest praeguses olukorras ei piisa, et kontrollida peamiselt ebaseaduslikke rändevoogusid. Mitmed ajakirjanduses </w:t>
            </w:r>
            <w:r>
              <w:rPr>
                <w:b/>
                <w:i/>
              </w:rPr>
              <w:lastRenderedPageBreak/>
              <w:t>ilmunud artiklid näitavad, et paljudel varjupaigataotlejatel on tavaks oma sõrmejälgi tahtlikult muuta, näiteks sõrmi kõrvetades või viilides. Sel viisil muutuvad andmefailides olevad sõrmejäljed kasutuks.</w:t>
            </w:r>
            <w:r>
              <w:t xml:space="preserve"> </w:t>
            </w:r>
            <w:r>
              <w:rPr>
                <w:b/>
                <w:i/>
                <w:vertAlign w:val="superscript"/>
              </w:rPr>
              <w:t>1a</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__________________</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460029" w:rsidP="00167072">
            <w:pPr>
              <w:pStyle w:val="Normal6"/>
              <w:rPr>
                <w:szCs w:val="24"/>
              </w:rPr>
            </w:pPr>
            <w:r>
              <w:rPr>
                <w:b/>
                <w:i/>
                <w:vertAlign w:val="superscript"/>
              </w:rPr>
              <w:t>1a</w:t>
            </w:r>
            <w:r>
              <w:rPr>
                <w:b/>
                <w:i/>
              </w:rPr>
              <w:t xml:space="preserve"> </w:t>
            </w:r>
            <w:r w:rsidR="00F528F9">
              <w:rPr>
                <w:b/>
                <w:i/>
              </w:rPr>
              <w:t xml:space="preserve">https://www.theguardian.com/world/2011/oct/07/dublin-regulation-european-asylum-seekers. https://www.trouw.nl/nieuws/meer-kans-op-asiel-vijl-je-vinger-wat-af~b812f87c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{NL}</w:t>
      </w:r>
      <w:r w:rsidRPr="00E66FD7">
        <w:rPr>
          <w:noProof w:val="0"/>
        </w:rPr>
        <w:t>nl</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48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Tom Vandendriessche</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1 – põhjendus 4 b c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4bc)</w:t>
            </w:r>
            <w:r>
              <w:rPr>
                <w:b/>
                <w:i/>
              </w:rPr>
              <w:tab/>
              <w:t>Lisaks sellisele tahtlikule moonutamisele muutuvad sõrmejäljed naha vananemise tõttu vähem täpseks. Naha elastsus väheneb, servad muutuvad kõvemaks ja sõrmeots õhemaks. Seetõttu halveneb sõrmejälgede kvaliteet.</w:t>
            </w:r>
            <w:r>
              <w:t xml:space="preserve"> </w:t>
            </w:r>
            <w:r>
              <w:rPr>
                <w:b/>
                <w:i/>
                <w:vertAlign w:val="superscript"/>
              </w:rPr>
              <w:t>1a</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__________________</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vertAlign w:val="superscript"/>
              </w:rPr>
              <w:t>1a</w:t>
            </w:r>
            <w:r>
              <w:rPr>
                <w:b/>
                <w:i/>
              </w:rPr>
              <w:t xml:space="preserve"> https://www.scientificamerican.com/article/lose-your-fingerprints/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{NL}</w:t>
      </w:r>
      <w:r w:rsidRPr="00E66FD7">
        <w:rPr>
          <w:noProof w:val="0"/>
        </w:rPr>
        <w:t>nl</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49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Tom Vandendriessche</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1 – põhjendus 4 b d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4bd)</w:t>
            </w:r>
            <w:r>
              <w:rPr>
                <w:b/>
                <w:i/>
              </w:rPr>
              <w:tab/>
              <w:t>Kolmandate riikide kodanikud ja kodakondsuseta isikud ning nende esindajad ja huviorganisatsioonid on kohustatud tegutsema kooskõlas selle nõude eesmärkidega. Pettuse tõendamise korral kaotavad petturid varjupaiga, rände, elamise, perekonna taasühinemise ja kodakondsuse saamisega seotud praegused ja tulevased sisulised ja menetlusõigused, ilma et see piiraks kriminaalõiguse võimalikku kohaldamist asjaomases liikmesriigis.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{NL}</w:t>
      </w:r>
      <w:r w:rsidRPr="00E66FD7">
        <w:rPr>
          <w:noProof w:val="0"/>
        </w:rPr>
        <w:t>nl</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5a)</w:t>
            </w:r>
            <w:r>
              <w:tab/>
              <w:t xml:space="preserve">Samuti tuleb </w:t>
            </w:r>
            <w:r>
              <w:rPr>
                <w:b/>
                <w:i/>
              </w:rPr>
              <w:t>kehtestada sätted</w:t>
            </w:r>
            <w:r>
              <w:t xml:space="preserve">, </w:t>
            </w:r>
            <w:r>
              <w:rPr>
                <w:b/>
                <w:i/>
              </w:rPr>
              <w:t>mis tagaksid</w:t>
            </w:r>
            <w:r>
              <w:t xml:space="preserve"> nimetatud </w:t>
            </w:r>
            <w:r>
              <w:rPr>
                <w:b/>
                <w:i/>
              </w:rPr>
              <w:t>süsteemi toimimise</w:t>
            </w:r>
            <w:r>
              <w:t xml:space="preserve"> Euroopa Parlamendi ja nõukogu määrusega (EL) 2019/817</w:t>
            </w:r>
            <w:r>
              <w:rPr>
                <w:vertAlign w:val="superscript"/>
              </w:rPr>
              <w:t>25</w:t>
            </w:r>
            <w:r>
              <w:t xml:space="preserve"> ja Euroopa Parlamendi ja nõukogu määrusega 2019/818</w:t>
            </w:r>
            <w:r>
              <w:rPr>
                <w:vertAlign w:val="superscript"/>
              </w:rPr>
              <w:t>26</w:t>
            </w:r>
            <w:r>
              <w:t xml:space="preserve"> loodud koostalitlusvõime raamistikus.</w:t>
            </w:r>
          </w:p>
        </w:tc>
        <w:tc>
          <w:tcPr>
            <w:tcW w:w="4876" w:type="dxa"/>
            <w:hideMark/>
          </w:tcPr>
          <w:p w:rsidR="00F528F9" w:rsidRPr="00E66FD7" w:rsidRDefault="00F528F9" w:rsidP="00167072">
            <w:pPr>
              <w:pStyle w:val="Normal6"/>
              <w:rPr>
                <w:szCs w:val="24"/>
              </w:rPr>
            </w:pPr>
            <w:r>
              <w:t>5a)</w:t>
            </w:r>
            <w:r>
              <w:tab/>
              <w:t xml:space="preserve">Samuti tuleb </w:t>
            </w:r>
            <w:r>
              <w:rPr>
                <w:b/>
                <w:i/>
              </w:rPr>
              <w:t>tagada</w:t>
            </w:r>
            <w:r>
              <w:t xml:space="preserve">, </w:t>
            </w:r>
            <w:r>
              <w:rPr>
                <w:b/>
                <w:i/>
              </w:rPr>
              <w:t>et</w:t>
            </w:r>
            <w:r>
              <w:t xml:space="preserve"> nimetatud </w:t>
            </w:r>
            <w:r>
              <w:rPr>
                <w:b/>
                <w:i/>
              </w:rPr>
              <w:t>süsteem toimiks</w:t>
            </w:r>
            <w:r>
              <w:t xml:space="preserve"> Euroopa Parlamendi ja nõukogu määrusega (EL) 2019/81725 ja Euroopa Parlamendi ja nõukogu määrusega 2019/81826 loodud koostalitlusvõime raamistikus</w:t>
            </w:r>
            <w:r>
              <w:rPr>
                <w:b/>
                <w:i/>
              </w:rPr>
              <w:t xml:space="preserve"> kehtiva määruse sätete kohaselt kooskõlas isikuandmete kaitse üldmäärusega 2016/679 ning eelkõige vajalikkuse, proportsionaalsuse ja eesmärgi piiramise põhimõtetega.</w:t>
            </w:r>
            <w:r>
              <w:t xml:space="preserve"> </w:t>
            </w:r>
            <w:r>
              <w:rPr>
                <w:b/>
                <w:i/>
              </w:rPr>
              <w:t>Lisaks tuleb kehtestada selged sätted, mille kohaselt liikmesriikide määratud riigiasutused ja liidu asutused, kellel on juurdepääs Eurodac-süsteemile, saaksid näha üksnes andmeid, mis on rangelt asjakohased nende konkreetse ülesande täitmisel.</w:t>
            </w:r>
          </w:p>
        </w:tc>
      </w:tr>
      <w:tr w:rsidR="00F528F9" w:rsidTr="00167072">
        <w:trPr>
          <w:jc w:val="center"/>
        </w:trPr>
        <w:tc>
          <w:tcPr>
            <w:tcW w:w="4876" w:type="dxa"/>
            <w:hideMark/>
          </w:tcPr>
          <w:p w:rsidR="00F528F9" w:rsidRPr="00E66FD7" w:rsidRDefault="00F528F9" w:rsidP="00167072">
            <w:pPr>
              <w:pStyle w:val="Normal6"/>
            </w:pPr>
            <w:r>
              <w:t>__________________</w:t>
            </w:r>
          </w:p>
        </w:tc>
        <w:tc>
          <w:tcPr>
            <w:tcW w:w="4876" w:type="dxa"/>
            <w:hideMark/>
          </w:tcPr>
          <w:p w:rsidR="00F528F9" w:rsidRPr="00E66FD7" w:rsidRDefault="00F528F9" w:rsidP="00167072">
            <w:pPr>
              <w:pStyle w:val="Normal6"/>
              <w:rPr>
                <w:szCs w:val="24"/>
              </w:rPr>
            </w:pPr>
            <w:r>
              <w:t>__________________</w:t>
            </w:r>
          </w:p>
        </w:tc>
      </w:tr>
      <w:tr w:rsidR="00F528F9" w:rsidTr="00167072">
        <w:trPr>
          <w:jc w:val="center"/>
        </w:trPr>
        <w:tc>
          <w:tcPr>
            <w:tcW w:w="4876" w:type="dxa"/>
            <w:hideMark/>
          </w:tcPr>
          <w:p w:rsidR="00F528F9" w:rsidRPr="00E66FD7" w:rsidRDefault="00F528F9" w:rsidP="00167072">
            <w:pPr>
              <w:pStyle w:val="Normal6"/>
            </w:pPr>
            <w:r>
              <w:rPr>
                <w:vertAlign w:val="superscript"/>
              </w:rPr>
              <w:t>25</w:t>
            </w:r>
            <w:r>
              <w:t xml:space="preserve"> Euroopa Parlamendi ja nõukogu 20. mai </w:t>
            </w:r>
            <w:r>
              <w:lastRenderedPageBreak/>
              <w:t>2019. aasta määrus (EL) 2019/817, millega luuakse ELi infosüsteemide koostalitlusvõime raamistik piiride ja viisade valdkonnas ning muudetakse Euroopa Parlamendi ja nõukogu määrusi (EÜ) nr 767/2008, (EL) 2016/399, (EL) 2017/2226, (EL) 2018/1240, (EL) 2018/1726, (EL) 2018/1861 ning nõukogu otsuseid 2004/512/EÜ ja 2008/633/JSK (ELT L 135, 22.5.2019, lk 27–84).</w:t>
            </w:r>
          </w:p>
        </w:tc>
        <w:tc>
          <w:tcPr>
            <w:tcW w:w="4876" w:type="dxa"/>
            <w:hideMark/>
          </w:tcPr>
          <w:p w:rsidR="00F528F9" w:rsidRPr="00E66FD7" w:rsidRDefault="00F528F9" w:rsidP="00167072">
            <w:pPr>
              <w:pStyle w:val="Normal6"/>
              <w:rPr>
                <w:szCs w:val="24"/>
              </w:rPr>
            </w:pPr>
            <w:r>
              <w:rPr>
                <w:vertAlign w:val="superscript"/>
              </w:rPr>
              <w:lastRenderedPageBreak/>
              <w:t>25</w:t>
            </w:r>
            <w:r>
              <w:t xml:space="preserve"> Euroopa Parlamendi ja nõukogu 20. mai </w:t>
            </w:r>
            <w:r>
              <w:lastRenderedPageBreak/>
              <w:t>2019. aasta määrus (EL) 2019/817, millega luuakse ELi infosüsteemide koostalitlusvõime raamistik piiride ja viisade valdkonnas ning muudetakse Euroopa Parlamendi ja nõukogu määrusi (EÜ) nr 767/2008, (EL) 2016/399, (EL) 2017/2226, (EL) 2018/1240, (EL) 2018/1726, (EL) 2018/1861 ning nõukogu otsuseid 2004/512/EÜ ja 2008/633/JSK (ELT L 135, 22.5.2019, lk 27–84).</w:t>
            </w:r>
          </w:p>
        </w:tc>
      </w:tr>
      <w:tr w:rsidR="00F528F9" w:rsidTr="00167072">
        <w:trPr>
          <w:jc w:val="center"/>
        </w:trPr>
        <w:tc>
          <w:tcPr>
            <w:tcW w:w="4876" w:type="dxa"/>
            <w:hideMark/>
          </w:tcPr>
          <w:p w:rsidR="00F528F9" w:rsidRPr="00E66FD7" w:rsidRDefault="00F528F9" w:rsidP="00167072">
            <w:pPr>
              <w:pStyle w:val="Normal6"/>
            </w:pPr>
            <w:r>
              <w:rPr>
                <w:vertAlign w:val="superscript"/>
              </w:rPr>
              <w:lastRenderedPageBreak/>
              <w:t>26</w:t>
            </w:r>
            <w:r>
              <w:t xml:space="preserve"> Euroopa Parlamendi ja nõukogu 20. mai 2019. aasta määrus (EL) 2019/818, millega luuakse ELi infosüsteemide koostalitlusvõime raamistik politsei- ja õiguskoostöö, varjupaiga ja rände valdkonnas ning muudetakse määrusi (EL) 2018/1726, (EL) 2018/1862 ja (EL) 2019/816 (ELT L 135, 22.5.2019, lk 85–135).</w:t>
            </w:r>
          </w:p>
        </w:tc>
        <w:tc>
          <w:tcPr>
            <w:tcW w:w="4876" w:type="dxa"/>
            <w:hideMark/>
          </w:tcPr>
          <w:p w:rsidR="00F528F9" w:rsidRPr="00E66FD7" w:rsidRDefault="00F528F9" w:rsidP="00167072">
            <w:pPr>
              <w:pStyle w:val="Normal6"/>
              <w:rPr>
                <w:szCs w:val="24"/>
              </w:rPr>
            </w:pPr>
            <w:r>
              <w:rPr>
                <w:vertAlign w:val="superscript"/>
              </w:rPr>
              <w:t>26</w:t>
            </w:r>
            <w:r>
              <w:t xml:space="preserve"> Euroopa Parlamendi ja nõukogu 20. mai 2019. aasta määrus (EL) 2019/818, millega luuakse ELi infosüsteemide koostalitlusvõime raamistik politsei- ja õiguskoostöö, varjupaiga ja rände valdkonnas ning muudetakse määrusi (EL) 2018/1726, (EL) 2018/1862 ja (EL) 2019/816 (ELT L 135, 22.5.2019, lk 85–135).</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5a)</w:t>
            </w:r>
            <w:r>
              <w:tab/>
            </w:r>
            <w:r>
              <w:rPr>
                <w:b/>
                <w:i/>
              </w:rPr>
              <w:t>Samuti tuleb kehtestada sätted, mis tagaksid nimetatud süsteemi toimimise</w:t>
            </w:r>
            <w:r>
              <w:t xml:space="preserve"> Euroopa Parlamendi ja nõukogu määrusega (EL) 2019/817</w:t>
            </w:r>
            <w:r>
              <w:rPr>
                <w:vertAlign w:val="superscript"/>
              </w:rPr>
              <w:t>25</w:t>
            </w:r>
            <w:r>
              <w:t xml:space="preserve"> ja Euroopa Parlamendi ja nõukogu määrusega 2019/818</w:t>
            </w:r>
            <w:r>
              <w:rPr>
                <w:vertAlign w:val="superscript"/>
              </w:rPr>
              <w:t>26</w:t>
            </w:r>
            <w:r>
              <w:t xml:space="preserve"> </w:t>
            </w:r>
            <w:r>
              <w:rPr>
                <w:b/>
                <w:i/>
              </w:rPr>
              <w:t>loodud</w:t>
            </w:r>
            <w:r>
              <w:t xml:space="preserve"> koostalitlusvõime </w:t>
            </w:r>
            <w:r>
              <w:rPr>
                <w:b/>
                <w:i/>
              </w:rPr>
              <w:t>raamistikus</w:t>
            </w:r>
            <w:r>
              <w:t>.</w:t>
            </w:r>
          </w:p>
        </w:tc>
        <w:tc>
          <w:tcPr>
            <w:tcW w:w="4876" w:type="dxa"/>
            <w:hideMark/>
          </w:tcPr>
          <w:p w:rsidR="00F528F9" w:rsidRPr="00E66FD7" w:rsidRDefault="00F528F9" w:rsidP="00167072">
            <w:pPr>
              <w:pStyle w:val="Normal6"/>
              <w:rPr>
                <w:szCs w:val="24"/>
              </w:rPr>
            </w:pPr>
            <w:r>
              <w:t>5a)</w:t>
            </w:r>
            <w:r>
              <w:tab/>
            </w:r>
            <w:r>
              <w:rPr>
                <w:b/>
                <w:i/>
              </w:rPr>
              <w:t>Pärast</w:t>
            </w:r>
            <w:r>
              <w:t xml:space="preserve"> Euroopa Parlamendi ja nõukogu määrusega (EL) 2019/81725 ja Euroopa Parlamendi ja nõukogu määrusega 2019/81826 </w:t>
            </w:r>
            <w:r>
              <w:rPr>
                <w:b/>
                <w:i/>
              </w:rPr>
              <w:t>kehtestatud</w:t>
            </w:r>
            <w:r>
              <w:t xml:space="preserve"> koostalitlusvõime </w:t>
            </w:r>
            <w:r>
              <w:rPr>
                <w:b/>
                <w:i/>
              </w:rPr>
              <w:t>raamistiku vastuvõtmist võivad vajalikuks osutuda sätted, millega tagatakse kõnealuse süsteemi toimimine.</w:t>
            </w:r>
            <w:r>
              <w:t xml:space="preserve"> </w:t>
            </w:r>
            <w:r>
              <w:rPr>
                <w:b/>
                <w:i/>
              </w:rPr>
              <w:t xml:space="preserve">Sellega seoses on väga oluline tagada proportsionaalsuse ja vajalikkuse põhimõtete järgimine ning see, et liikmesriikide ametiasutustel ja liidu asutustel on jätkuvalt võimalik näha ainult andmeid, mis on asjakohased nende konkreetsete ülesannete täitmisel, isegi kui andmed on kättesaadavad eri </w:t>
            </w:r>
            <w:r>
              <w:rPr>
                <w:b/>
                <w:i/>
              </w:rPr>
              <w:lastRenderedPageBreak/>
              <w:t>andmebaaside kaudu.</w:t>
            </w:r>
          </w:p>
        </w:tc>
      </w:tr>
      <w:tr w:rsidR="00F528F9" w:rsidTr="00167072">
        <w:trPr>
          <w:jc w:val="center"/>
        </w:trPr>
        <w:tc>
          <w:tcPr>
            <w:tcW w:w="4876" w:type="dxa"/>
            <w:hideMark/>
          </w:tcPr>
          <w:p w:rsidR="00F528F9" w:rsidRPr="00E66FD7" w:rsidRDefault="00F528F9" w:rsidP="00167072">
            <w:pPr>
              <w:pStyle w:val="Normal6"/>
            </w:pPr>
            <w:r>
              <w:lastRenderedPageBreak/>
              <w:t>__________________</w:t>
            </w:r>
          </w:p>
        </w:tc>
        <w:tc>
          <w:tcPr>
            <w:tcW w:w="4876" w:type="dxa"/>
            <w:hideMark/>
          </w:tcPr>
          <w:p w:rsidR="00F528F9" w:rsidRPr="00E66FD7" w:rsidRDefault="00F528F9" w:rsidP="00167072">
            <w:pPr>
              <w:pStyle w:val="Normal6"/>
              <w:rPr>
                <w:szCs w:val="24"/>
              </w:rPr>
            </w:pPr>
            <w:r>
              <w:t>__________________</w:t>
            </w:r>
          </w:p>
        </w:tc>
      </w:tr>
      <w:tr w:rsidR="00F528F9" w:rsidTr="00167072">
        <w:trPr>
          <w:jc w:val="center"/>
        </w:trPr>
        <w:tc>
          <w:tcPr>
            <w:tcW w:w="4876" w:type="dxa"/>
            <w:hideMark/>
          </w:tcPr>
          <w:p w:rsidR="00F528F9" w:rsidRPr="00E66FD7" w:rsidRDefault="00F528F9" w:rsidP="00167072">
            <w:pPr>
              <w:pStyle w:val="Normal6"/>
            </w:pPr>
            <w:r>
              <w:rPr>
                <w:vertAlign w:val="superscript"/>
              </w:rPr>
              <w:t>25</w:t>
            </w:r>
            <w:r>
              <w:t xml:space="preserve"> Euroopa Parlamendi ja nõukogu 20. mai 2019. aasta määrus (EL) 2019/817, millega luuakse ELi infosüsteemide koostalitlusvõime raamistik piiride ja viisade valdkonnas ning muudetakse Euroopa Parlamendi ja nõukogu määrusi (EÜ) nr 767/2008, (EL) 2016/399, (EL) 2017/2226, (EL) 2018/1240, (EL) 2018/1726, (EL) 2018/1861 ning nõukogu otsuseid 2004/512/EÜ ja 2008/633/JSK (ELT L 135, 22.5.2019, lk 27–84).</w:t>
            </w:r>
          </w:p>
        </w:tc>
        <w:tc>
          <w:tcPr>
            <w:tcW w:w="4876" w:type="dxa"/>
            <w:hideMark/>
          </w:tcPr>
          <w:p w:rsidR="00F528F9" w:rsidRPr="00E66FD7" w:rsidRDefault="00F528F9" w:rsidP="00167072">
            <w:pPr>
              <w:pStyle w:val="Normal6"/>
              <w:rPr>
                <w:szCs w:val="24"/>
              </w:rPr>
            </w:pPr>
            <w:r>
              <w:rPr>
                <w:vertAlign w:val="superscript"/>
              </w:rPr>
              <w:t>25</w:t>
            </w:r>
            <w:r>
              <w:t xml:space="preserve"> Euroopa Parlamendi ja nõukogu 20. mai 2019. aasta määrus (EL) 2019/817, millega luuakse ELi infosüsteemide koostalitlusvõime raamistik piiride ja viisade valdkonnas ning muudetakse Euroopa Parlamendi ja nõukogu määrusi (EÜ) nr 767/2008, (EL) 2016/399, (EL) 2017/2226, (EL) 2018/1240, (EL) 2018/1726, (EL) 2018/1861 ning nõukogu otsuseid 2004/512/EÜ ja 2008/633/JSK (ELT L 135, 22.5.2019, lk 27–84).</w:t>
            </w:r>
          </w:p>
        </w:tc>
      </w:tr>
      <w:tr w:rsidR="00F528F9" w:rsidTr="00167072">
        <w:trPr>
          <w:jc w:val="center"/>
        </w:trPr>
        <w:tc>
          <w:tcPr>
            <w:tcW w:w="4876" w:type="dxa"/>
            <w:hideMark/>
          </w:tcPr>
          <w:p w:rsidR="00F528F9" w:rsidRPr="00E66FD7" w:rsidRDefault="00F528F9" w:rsidP="00167072">
            <w:pPr>
              <w:pStyle w:val="Normal6"/>
            </w:pPr>
            <w:r>
              <w:rPr>
                <w:vertAlign w:val="superscript"/>
              </w:rPr>
              <w:t>26</w:t>
            </w:r>
            <w:r>
              <w:t xml:space="preserve"> Euroopa Parlamendi ja nõukogu 20. mai 2019. aasta määrus (EL) 2019/818, millega luuakse ELi infosüsteemide koostalitlusvõime raamistik politsei- ja õiguskoostöö, varjupaiga ja rände valdkonnas ning muudetakse määrusi (EL) 2018/1726, (EL) 2018/1862 ja (EL) 2019/816 (ELT L 135, 22.5.2019, lk 85–135).</w:t>
            </w:r>
          </w:p>
        </w:tc>
        <w:tc>
          <w:tcPr>
            <w:tcW w:w="4876" w:type="dxa"/>
            <w:hideMark/>
          </w:tcPr>
          <w:p w:rsidR="00F528F9" w:rsidRPr="00E66FD7" w:rsidRDefault="00F528F9" w:rsidP="00167072">
            <w:pPr>
              <w:pStyle w:val="Normal6"/>
              <w:rPr>
                <w:szCs w:val="24"/>
              </w:rPr>
            </w:pPr>
            <w:r>
              <w:rPr>
                <w:vertAlign w:val="superscript"/>
              </w:rPr>
              <w:t>26</w:t>
            </w:r>
            <w:r>
              <w:t xml:space="preserve"> Euroopa Parlamendi ja nõukogu 20. mai 2019. aasta määrus (EL) 2019/818, millega luuakse ELi infosüsteemide koostalitlusvõime raamistik politsei- ja õiguskoostöö, varjupaiga ja rände valdkonnas ning muudetakse määrusi (EL) 2018/1726, (EL) 2018/1862 ja (EL) 2019/816 (ELT L 135, 22.5.2019, lk 85–135).</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5a)</w:t>
            </w:r>
            <w:r>
              <w:tab/>
              <w:t>Samuti tuleb kehtestada sätted, mis tagaksid nimetatud süsteemi toimimise Euroopa Parlamendi ja nõukogu määrusega (EL) 2019/817</w:t>
            </w:r>
            <w:r>
              <w:rPr>
                <w:vertAlign w:val="superscript"/>
              </w:rPr>
              <w:t>25</w:t>
            </w:r>
            <w:r>
              <w:t xml:space="preserve"> ja Euroopa Parlamendi ja nõukogu määrusega 2019/818</w:t>
            </w:r>
            <w:r>
              <w:rPr>
                <w:vertAlign w:val="superscript"/>
              </w:rPr>
              <w:t>26</w:t>
            </w:r>
            <w:r>
              <w:t xml:space="preserve"> loodud koostalitlusvõime raamistikus.</w:t>
            </w:r>
          </w:p>
        </w:tc>
        <w:tc>
          <w:tcPr>
            <w:tcW w:w="4876" w:type="dxa"/>
            <w:hideMark/>
          </w:tcPr>
          <w:p w:rsidR="00F528F9" w:rsidRPr="00E66FD7" w:rsidRDefault="00F528F9" w:rsidP="00167072">
            <w:pPr>
              <w:pStyle w:val="Normal6"/>
              <w:rPr>
                <w:szCs w:val="24"/>
              </w:rPr>
            </w:pPr>
            <w:r>
              <w:t>5a)</w:t>
            </w:r>
            <w:r>
              <w:tab/>
              <w:t>Samuti tuleb kehtestada sätted, mis tagaksid nimetatud süsteemi toimimise Euroopa Parlamendi ja nõukogu määrusega (EL) 2019/817</w:t>
            </w:r>
            <w:r>
              <w:rPr>
                <w:vertAlign w:val="superscript"/>
              </w:rPr>
              <w:t>25</w:t>
            </w:r>
            <w:r>
              <w:t xml:space="preserve"> ja Euroopa Parlamendi ja nõukogu määrusega 2019/818</w:t>
            </w:r>
            <w:r>
              <w:rPr>
                <w:vertAlign w:val="superscript"/>
              </w:rPr>
              <w:t>26</w:t>
            </w:r>
            <w:r>
              <w:t xml:space="preserve"> loodud koostalitlusvõime raamistikus</w:t>
            </w:r>
            <w:r>
              <w:rPr>
                <w:b/>
                <w:i/>
              </w:rPr>
              <w:t>, tagades samal ajal, et asjaomaste ametiasutuste juurdepääsuõigusi reguleerivad aluseks olevad õigusaktid</w:t>
            </w:r>
            <w:r>
              <w:t>.</w:t>
            </w:r>
          </w:p>
        </w:tc>
      </w:tr>
      <w:tr w:rsidR="00F528F9" w:rsidTr="00167072">
        <w:trPr>
          <w:jc w:val="center"/>
        </w:trPr>
        <w:tc>
          <w:tcPr>
            <w:tcW w:w="4876" w:type="dxa"/>
            <w:hideMark/>
          </w:tcPr>
          <w:p w:rsidR="00F528F9" w:rsidRPr="00E66FD7" w:rsidRDefault="00F528F9" w:rsidP="00167072">
            <w:pPr>
              <w:pStyle w:val="Normal6"/>
            </w:pPr>
            <w:r>
              <w:t>__________________</w:t>
            </w:r>
          </w:p>
        </w:tc>
        <w:tc>
          <w:tcPr>
            <w:tcW w:w="4876" w:type="dxa"/>
            <w:hideMark/>
          </w:tcPr>
          <w:p w:rsidR="00F528F9" w:rsidRPr="00E66FD7" w:rsidRDefault="00F528F9" w:rsidP="00167072">
            <w:pPr>
              <w:pStyle w:val="Normal6"/>
              <w:rPr>
                <w:szCs w:val="24"/>
              </w:rPr>
            </w:pPr>
            <w:r>
              <w:t>__________________</w:t>
            </w:r>
          </w:p>
        </w:tc>
      </w:tr>
      <w:tr w:rsidR="00F528F9" w:rsidTr="00167072">
        <w:trPr>
          <w:jc w:val="center"/>
        </w:trPr>
        <w:tc>
          <w:tcPr>
            <w:tcW w:w="4876" w:type="dxa"/>
            <w:hideMark/>
          </w:tcPr>
          <w:p w:rsidR="00F528F9" w:rsidRPr="00E66FD7" w:rsidRDefault="00F528F9" w:rsidP="00167072">
            <w:pPr>
              <w:pStyle w:val="Normal6"/>
            </w:pPr>
            <w:r>
              <w:rPr>
                <w:vertAlign w:val="superscript"/>
              </w:rPr>
              <w:lastRenderedPageBreak/>
              <w:t>25</w:t>
            </w:r>
            <w:r>
              <w:t xml:space="preserve"> Euroopa Parlamendi ja nõukogu 20. mai 2019. aasta määrus (EL) 2019/817, millega luuakse ELi infosüsteemide koostalitlusvõime raamistik piiride ja viisade valdkonnas ning muudetakse Euroopa Parlamendi ja nõukogu määrusi (EÜ) nr 767/2008, (EL) 2016/399, (EL) 2017/2226, (EL) 2018/1240, (EL) 2018/1726, (EL) 2018/1861 ning nõukogu otsuseid 2004/512/EÜ ja 2008/633/JSK (ELT L 135, 22.5.2019, lk 27–84).</w:t>
            </w:r>
          </w:p>
        </w:tc>
        <w:tc>
          <w:tcPr>
            <w:tcW w:w="4876" w:type="dxa"/>
            <w:hideMark/>
          </w:tcPr>
          <w:p w:rsidR="00F528F9" w:rsidRPr="00E66FD7" w:rsidRDefault="00F528F9" w:rsidP="00167072">
            <w:pPr>
              <w:pStyle w:val="Normal6"/>
              <w:rPr>
                <w:szCs w:val="24"/>
              </w:rPr>
            </w:pPr>
            <w:r>
              <w:rPr>
                <w:vertAlign w:val="superscript"/>
              </w:rPr>
              <w:t>25</w:t>
            </w:r>
            <w:r>
              <w:t xml:space="preserve"> Euroopa Parlamendi ja nõukogu 20. mai 2019. aasta määrus (EL) 2019/817, millega luuakse ELi infosüsteemide koostalitlusvõime raamistik piiride ja viisade valdkonnas ning muudetakse Euroopa Parlamendi ja nõukogu määrusi (EÜ) nr 767/2008, (EL) 2016/399, (EL) 2017/2226, (EL) 2018/1240, (EL) 2018/1726, (EL) 2018/1861 ning nõukogu otsuseid 2004/512/EÜ ja 2008/633/JSK (ELT L 135, 22.5.2019, lk 27–84).</w:t>
            </w:r>
          </w:p>
        </w:tc>
      </w:tr>
      <w:tr w:rsidR="00F528F9" w:rsidTr="00167072">
        <w:trPr>
          <w:jc w:val="center"/>
        </w:trPr>
        <w:tc>
          <w:tcPr>
            <w:tcW w:w="4876" w:type="dxa"/>
            <w:hideMark/>
          </w:tcPr>
          <w:p w:rsidR="00F528F9" w:rsidRPr="00E66FD7" w:rsidRDefault="00F528F9" w:rsidP="00167072">
            <w:pPr>
              <w:pStyle w:val="Normal6"/>
            </w:pPr>
            <w:r>
              <w:rPr>
                <w:vertAlign w:val="superscript"/>
              </w:rPr>
              <w:t>26</w:t>
            </w:r>
            <w:r>
              <w:t xml:space="preserve"> Euroopa Parlamendi ja nõukogu 20. mai 2019. aasta määrus (EL) 2019/818, millega luuakse ELi infosüsteemide koostalitlusvõime raamistik politsei- ja õiguskoostöö, varjupaiga ja rände valdkonnas ning muudetakse määrusi (EL) 2018/1726, (EL) 2018/1862 ja (EL) 2019/816 (ELT L 135, 22.5.2019, lk 85–135).</w:t>
            </w:r>
          </w:p>
        </w:tc>
        <w:tc>
          <w:tcPr>
            <w:tcW w:w="4876" w:type="dxa"/>
            <w:hideMark/>
          </w:tcPr>
          <w:p w:rsidR="00F528F9" w:rsidRPr="00E66FD7" w:rsidRDefault="00F528F9" w:rsidP="00167072">
            <w:pPr>
              <w:pStyle w:val="Normal6"/>
              <w:rPr>
                <w:szCs w:val="24"/>
              </w:rPr>
            </w:pPr>
            <w:r>
              <w:rPr>
                <w:vertAlign w:val="superscript"/>
              </w:rPr>
              <w:t>26</w:t>
            </w:r>
            <w:r>
              <w:t xml:space="preserve"> Euroopa Parlamendi ja nõukogu 20. mai 2019. aasta määrus (EL) 2019/818, millega luuakse ELi infosüsteemide koostalitlusvõime raamistik politsei- ja õiguskoostöö, varjupaiga ja rände valdkonnas ning muudetakse määrusi (EL) 2018/1726, (EL) 2018/1862 ja (EL) 2019/816 (ELT L 135, 22.5.2019, lk 85–135).</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b</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5b)</w:t>
            </w:r>
            <w:r>
              <w:rPr>
                <w:b/>
                <w:i/>
              </w:rPr>
              <w:tab/>
            </w:r>
            <w:r w:rsidRPr="00897D42">
              <w:rPr>
                <w:b/>
                <w:i/>
              </w:rPr>
              <w:t>Lisaks on vaja kehtestada sätted, mille raames toimuks Euroopa reisiinfo ja -lubade süsteemi (ETIAS) riiklike üksuste ja viisasid väljastavate pädevate asutuste juurdepääs Eurodac-süsteemile kooskõlas Euroopa Parlamendi ja nõukogu määrusega (EL) 2018/1240</w:t>
            </w:r>
            <w:r w:rsidRPr="00897D42">
              <w:rPr>
                <w:b/>
                <w:i/>
                <w:vertAlign w:val="superscript"/>
              </w:rPr>
              <w:t>27</w:t>
            </w:r>
            <w:r w:rsidRPr="00897D42">
              <w:rPr>
                <w:b/>
                <w:i/>
              </w:rPr>
              <w:t xml:space="preserve"> ning Euroopa Parlamendi ja nõukogu määrusega (EÜ) 767/2008</w:t>
            </w:r>
            <w:r w:rsidRPr="00897D42">
              <w:rPr>
                <w:b/>
                <w:i/>
                <w:vertAlign w:val="superscript"/>
              </w:rPr>
              <w:t>28</w:t>
            </w:r>
            <w:r w:rsidRPr="00897D42">
              <w:rPr>
                <w:b/>
                <w:i/>
              </w:rPr>
              <w:t>.</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__________________</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897D42" w:rsidRDefault="00F528F9" w:rsidP="00167072">
            <w:pPr>
              <w:pStyle w:val="Normal6"/>
            </w:pPr>
            <w:r w:rsidRPr="00897D42">
              <w:rPr>
                <w:b/>
                <w:i/>
                <w:vertAlign w:val="superscript"/>
              </w:rPr>
              <w:t>27</w:t>
            </w:r>
            <w:r w:rsidRPr="00897D42">
              <w:rPr>
                <w:b/>
                <w:i/>
              </w:rPr>
              <w:t xml:space="preserve"> Euroopa Parlamendi ja nõukogu 12. septembri 2018. aasta määrus (EL) 2018/1240, millega luuakse Euroopa </w:t>
            </w:r>
            <w:r w:rsidRPr="00897D42">
              <w:rPr>
                <w:b/>
                <w:i/>
              </w:rPr>
              <w:lastRenderedPageBreak/>
              <w:t>reisiinfo ja -lubade süsteem (ETIAS) ning muudetakse määrusi (EL) nr 1077/2011,</w:t>
            </w:r>
            <w:r w:rsidRPr="00897D42">
              <w:t xml:space="preserve"> </w:t>
            </w:r>
            <w:r w:rsidRPr="00897D42">
              <w:rPr>
                <w:b/>
                <w:i/>
              </w:rPr>
              <w:t>(EL) nr 515/2014, (EL) 2016/399, (EL) 2016/1624 ja (EL) 2017/2226 (ELT L 236, 19.9.2018, lk 1–71).</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897D42" w:rsidRDefault="00F528F9" w:rsidP="00167072">
            <w:pPr>
              <w:pStyle w:val="Normal6"/>
              <w:rPr>
                <w:b/>
                <w:i/>
              </w:rPr>
            </w:pPr>
            <w:r w:rsidRPr="00897D42">
              <w:rPr>
                <w:b/>
                <w:i/>
                <w:vertAlign w:val="superscript"/>
              </w:rPr>
              <w:t>28</w:t>
            </w:r>
            <w:r w:rsidRPr="00897D42">
              <w:rPr>
                <w:b/>
                <w:i/>
              </w:rPr>
              <w:t xml:space="preserve"> Euroopa Parlamendi ja nõukogu 9. juuli 2008. aasta määrus (EÜ) nr 767/2008, mis käsitleb viisainfosüsteemi (VIS) ja liikmesriikidevahelist teabevahetust lühiajaliste viisade kohta (VIS määrus) (ELT L 218, 13.8.2008, lk 60–81).</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Roberta Metsola, Karlo Ressler</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b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5ba)</w:t>
            </w:r>
            <w:r>
              <w:rPr>
                <w:b/>
                <w:i/>
              </w:rPr>
              <w:tab/>
              <w:t>Euroopa Parlamendi ja nõukogu määruses (EL) 2019/1896</w:t>
            </w:r>
            <w:r>
              <w:rPr>
                <w:b/>
                <w:i/>
                <w:vertAlign w:val="superscript"/>
              </w:rPr>
              <w:t>1a</w:t>
            </w:r>
            <w:r>
              <w:rPr>
                <w:b/>
                <w:i/>
              </w:rPr>
              <w:t xml:space="preserve"> sätestatud ülesannete täitmiseks on samuti vaja, et Euroopa piiri- ja rannikuvalve alalisel korpusel ning Euroopa varjupaigaküsimuste tugirühmadel oleks juurdepääs Eurodac-süsteemile, et otsida andmeid oma tehnilise liidese kaudu, mille eu-LISA peaks välja töötama ja mida ta peaks haldama koostöös Euroopa Piiri- ja Rannikuvalve Ameti ning Euroopa Varjupaigaküsimuste Tugiametiga. Euroopa Piiri- ja Rannikuvalve Ameti ning Euroopa Varjupaigaküsimuste Tugiameti töötajate varasemate lähetuste käigus saadud kogemused näitavad, et rühmade liikmetel on olnud õiguslikust, tehnilisest ja praktilisest seisukohast raskusi siseriiklike IT-süsteemide või liideste kasutamisel Eurodac-süsteemile juurdepääsu saamiseks. Operatiivtoe ja -suutlikkuse maksimeerimiseks peaks Euroopa Piiri- ja </w:t>
            </w:r>
            <w:r>
              <w:rPr>
                <w:b/>
                <w:i/>
              </w:rPr>
              <w:lastRenderedPageBreak/>
              <w:t>Rannikuvalve Amet ning Euroopa Varjupaigaküsimuste Tugiamet saama toetuda omaenda suutlikkusele, mis hõlmab ka nõuetekohaselt toimivaid IT-süsteeme.</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5c)</w:t>
            </w:r>
            <w:r>
              <w:tab/>
              <w:t xml:space="preserve">Samuti on </w:t>
            </w:r>
            <w:r>
              <w:rPr>
                <w:b/>
                <w:i/>
              </w:rPr>
              <w:t xml:space="preserve">ebaseadusliku rände haldamiseks </w:t>
            </w:r>
            <w:r>
              <w:t>vaja,</w:t>
            </w:r>
            <w:r>
              <w:rPr>
                <w:b/>
                <w:i/>
              </w:rPr>
              <w:t xml:space="preserve"> et</w:t>
            </w:r>
            <w:r>
              <w:t xml:space="preserve"> eu-LISA-le antaks võimalus koostada </w:t>
            </w:r>
            <w:r>
              <w:rPr>
                <w:b/>
                <w:i/>
              </w:rPr>
              <w:t xml:space="preserve">süsteemiülene </w:t>
            </w:r>
            <w:r>
              <w:t>statistika, kasutades Eurodac-süsteemi</w:t>
            </w:r>
            <w:r>
              <w:rPr>
                <w:b/>
                <w:i/>
              </w:rPr>
              <w:t>, viisainfosüsteemi, ETIASe ning riiki sisenemise ja riigist lahkumise süsteemi andmeid</w:t>
            </w:r>
            <w:r>
              <w:t xml:space="preserve">. Selleks et määrata kindlaks sellise </w:t>
            </w:r>
            <w:r>
              <w:rPr>
                <w:b/>
                <w:i/>
              </w:rPr>
              <w:t xml:space="preserve">süsteemiülese </w:t>
            </w:r>
            <w:r>
              <w:t xml:space="preserve">statistika sisu, tuleks komisjonile anda </w:t>
            </w:r>
            <w:r>
              <w:rPr>
                <w:b/>
                <w:i/>
              </w:rPr>
              <w:t>rakendamisvolitused.</w:t>
            </w:r>
            <w:r>
              <w:t xml:space="preserve"> </w:t>
            </w:r>
            <w:r>
              <w:rPr>
                <w:b/>
                <w:i/>
              </w:rPr>
              <w:t>Kõnealuseid volitusi tuleks kasutada vastavalt Euroopa Parlamendi ja nõukogu 16. veebruari 2011. aasta määrusele (EL) 182/2011, millega kehtestatakse eeskirjad ja üldpõhimõtted, mis käsitlevad liikmesriikide läbiviidava kontrolli mehhanisme, mida kohaldatakse komisjoni rakendamisvolituste teostamise suhtes.“;</w:t>
            </w:r>
          </w:p>
        </w:tc>
        <w:tc>
          <w:tcPr>
            <w:tcW w:w="4876" w:type="dxa"/>
            <w:hideMark/>
          </w:tcPr>
          <w:p w:rsidR="00F528F9" w:rsidRPr="00E66FD7" w:rsidRDefault="00F528F9" w:rsidP="00167072">
            <w:pPr>
              <w:pStyle w:val="Normal6"/>
              <w:rPr>
                <w:szCs w:val="24"/>
              </w:rPr>
            </w:pPr>
            <w:r>
              <w:t>5c)</w:t>
            </w:r>
            <w:r>
              <w:tab/>
              <w:t xml:space="preserve">Samuti on vaja, eu-LISA-le antaks võimalus koostada statistika, kasutades Eurodac-süsteemi. Selleks et määrata kindlaks sellise statistika sisu, tuleks komisjonile anda </w:t>
            </w:r>
            <w:r>
              <w:rPr>
                <w:b/>
                <w:i/>
              </w:rPr>
              <w:t>delegeeritud volitused</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5c)</w:t>
            </w:r>
            <w:r>
              <w:tab/>
              <w:t xml:space="preserve">Samuti on </w:t>
            </w:r>
            <w:r>
              <w:rPr>
                <w:b/>
                <w:i/>
              </w:rPr>
              <w:t xml:space="preserve">ebaseadusliku rände haldamiseks </w:t>
            </w:r>
            <w:r>
              <w:t xml:space="preserve">vaja, et eu-LISA-le antaks võimalus koostada süsteemiülene statistika, kasutades Eurodac-süsteemi, viisainfosüsteemi, ETIASe ning riiki sisenemise ja riigist lahkumise süsteemi andmeid. Selleks et määrata kindlaks sellise süsteemiülese statistika sisu, tuleks komisjonile anda </w:t>
            </w:r>
            <w:r>
              <w:rPr>
                <w:b/>
                <w:i/>
              </w:rPr>
              <w:t>rakendamisvolitused.</w:t>
            </w:r>
            <w:r>
              <w:t xml:space="preserve"> </w:t>
            </w:r>
            <w:r>
              <w:rPr>
                <w:b/>
                <w:i/>
              </w:rPr>
              <w:t>Kõnealuseid volitusi tuleks kasutada vastavalt Euroopa Parlamendi ja nõukogu 16</w:t>
            </w:r>
            <w:r>
              <w:t>.</w:t>
            </w:r>
            <w:r>
              <w:rPr>
                <w:b/>
                <w:i/>
              </w:rPr>
              <w:t> veebruari 2011. aasta määrusele (EL) 182/2011, millega kehtestatakse eeskirjad ja üldpõhimõtted, mis käsitlevad liikmesriikide läbiviidava kontrolli mehhanisme, mida kohaldatakse komisjoni rakendamisvolituste teostamise suhtes.“</w:t>
            </w:r>
            <w:r>
              <w:t>;</w:t>
            </w:r>
          </w:p>
        </w:tc>
        <w:tc>
          <w:tcPr>
            <w:tcW w:w="4876" w:type="dxa"/>
            <w:hideMark/>
          </w:tcPr>
          <w:p w:rsidR="00F528F9" w:rsidRPr="00E66FD7" w:rsidRDefault="00F528F9" w:rsidP="00167072">
            <w:pPr>
              <w:pStyle w:val="Normal6"/>
              <w:rPr>
                <w:szCs w:val="24"/>
              </w:rPr>
            </w:pPr>
            <w:r>
              <w:t>5c)</w:t>
            </w:r>
            <w:r>
              <w:tab/>
              <w:t xml:space="preserve">Samuti on vaja, et eu-LISA-le antaks võimalus koostada süsteemiülene statistika, kasutades Eurodac-süsteemi, viisainfosüsteemi, ETIASe ning riiki sisenemise ja riigist lahkumise süsteemi andmeid. Selleks et määrata kindlaks sellise süsteemiülese statistika sisu, tuleks komisjonile anda </w:t>
            </w:r>
            <w:r>
              <w:rPr>
                <w:b/>
                <w:i/>
              </w:rPr>
              <w:t>delegeeritud volitused</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5c)</w:t>
            </w:r>
            <w:r>
              <w:tab/>
              <w:t xml:space="preserve">Samuti on </w:t>
            </w:r>
            <w:r>
              <w:rPr>
                <w:b/>
                <w:i/>
              </w:rPr>
              <w:t xml:space="preserve">ebaseadusliku </w:t>
            </w:r>
            <w:r>
              <w:t xml:space="preserve">rände haldamiseks </w:t>
            </w:r>
            <w:r>
              <w:rPr>
                <w:b/>
                <w:i/>
              </w:rPr>
              <w:t>vaja</w:t>
            </w:r>
            <w:r>
              <w:t xml:space="preserve">, et </w:t>
            </w:r>
            <w:r>
              <w:rPr>
                <w:b/>
                <w:i/>
              </w:rPr>
              <w:t>eu-LISA-le antaks võimalus</w:t>
            </w:r>
            <w:r>
              <w:t xml:space="preserve"> koostada </w:t>
            </w:r>
            <w:r>
              <w:rPr>
                <w:b/>
                <w:i/>
              </w:rPr>
              <w:t>süsteemiülene statistika</w:t>
            </w:r>
            <w:r>
              <w:t xml:space="preserve">, kasutades Eurodac-süsteemi, viisainfosüsteemi, ETIASe ning riiki sisenemise ja riigist lahkumise süsteemi andmeid. Selleks et määrata kindlaks sellise süsteemiülese statistika sisu, tuleks komisjonile anda rakendamisvolitused. Kõnealuseid volitusi tuleks kasutada vastavalt Euroopa Parlamendi ja nõukogu 16. veebruari 2011. aasta määrusele (EL) 182/2011, millega kehtestatakse eeskirjad ja üldpõhimõtted, mis käsitlevad </w:t>
            </w:r>
            <w:r>
              <w:lastRenderedPageBreak/>
              <w:t>liikmesriikide läbiviidava kontrolli mehhanisme, mida kohaldatakse komisjoni rakendamisvolituste teostamise suhtes.“;</w:t>
            </w:r>
          </w:p>
        </w:tc>
        <w:tc>
          <w:tcPr>
            <w:tcW w:w="4876" w:type="dxa"/>
            <w:hideMark/>
          </w:tcPr>
          <w:p w:rsidR="00F528F9" w:rsidRPr="00E66FD7" w:rsidRDefault="00F528F9" w:rsidP="00167072">
            <w:pPr>
              <w:pStyle w:val="Normal6"/>
              <w:rPr>
                <w:szCs w:val="24"/>
              </w:rPr>
            </w:pPr>
            <w:r>
              <w:lastRenderedPageBreak/>
              <w:t>5c)</w:t>
            </w:r>
            <w:r>
              <w:tab/>
              <w:t xml:space="preserve">Samuti on rände haldamiseks </w:t>
            </w:r>
            <w:r>
              <w:rPr>
                <w:b/>
                <w:i/>
              </w:rPr>
              <w:t>ning kasuliku statistika andmiseks poliitikakujundajatele</w:t>
            </w:r>
            <w:r>
              <w:t xml:space="preserve">, et </w:t>
            </w:r>
            <w:r>
              <w:rPr>
                <w:b/>
                <w:i/>
              </w:rPr>
              <w:t>soodustada tõendipõhist poliitikakujundamist, vaja, et eu-LISA saaks</w:t>
            </w:r>
            <w:r>
              <w:t xml:space="preserve"> koostada </w:t>
            </w:r>
            <w:r>
              <w:rPr>
                <w:b/>
                <w:i/>
              </w:rPr>
              <w:t>süsteemiülest statistikat</w:t>
            </w:r>
            <w:r>
              <w:t xml:space="preserve">, kasutades Eurodac-süsteemi, viisainfosüsteemi, ETIASe ning riiki sisenemise ja riigist lahkumise süsteemi andmeid. Selleks et määrata kindlaks sellise süsteemiülese statistika sisu, tuleks komisjonile anda rakendamisvolitused. Kõnealuseid volitusi tuleks kasutada vastavalt Euroopa Parlamendi ja nõukogu 16. veebruari 2011. aasta määrusele (EL) </w:t>
            </w:r>
            <w:r>
              <w:lastRenderedPageBreak/>
              <w:t>182/2011, millega kehtestatakse eeskirjad ja üldpõhimõtted, mis käsitlevad liikmesriikide läbiviidava kontrolli mehhanisme, mida kohaldatakse komisjoni rakendamisvolituste teostamise suhtes.“;</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Karlo Ressler</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5c)</w:t>
            </w:r>
            <w:r>
              <w:tab/>
              <w:t>Samuti on ebaseadusliku rände haldamiseks vaja, et eu-LISA-le antaks võimalus koostada süsteemiülene statistika, kasutades Eurodac-süsteemi, viisainfosüsteemi, ETIASe</w:t>
            </w:r>
            <w:r>
              <w:rPr>
                <w:b/>
                <w:i/>
              </w:rPr>
              <w:t xml:space="preserve"> ning</w:t>
            </w:r>
            <w:r>
              <w:t xml:space="preserve"> riiki sisenemise ja riigist lahkumise süsteemi andmeid. Selleks et määrata kindlaks sellise süsteemiülese statistika sisu, tuleks komisjonile anda rakendamisvolitused. Kõnealuseid volitusi tuleks kasutada vastavalt Euroopa Parlamendi ja nõukogu 16. veebruari 2011. aasta määrusele (EL) 182/2011, millega kehtestatakse eeskirjad ja üldpõhimõtted, mis käsitlevad liikmesriikide läbiviidava kontrolli mehhanisme, mida kohaldatakse komisjoni rakendamisvolituste teostamise suhtes.“;</w:t>
            </w:r>
          </w:p>
        </w:tc>
        <w:tc>
          <w:tcPr>
            <w:tcW w:w="4876" w:type="dxa"/>
            <w:hideMark/>
          </w:tcPr>
          <w:p w:rsidR="00F528F9" w:rsidRPr="00E66FD7" w:rsidRDefault="00F528F9" w:rsidP="00167072">
            <w:pPr>
              <w:pStyle w:val="Normal6"/>
              <w:rPr>
                <w:szCs w:val="24"/>
              </w:rPr>
            </w:pPr>
            <w:r>
              <w:t>5c)</w:t>
            </w:r>
            <w:r>
              <w:tab/>
              <w:t>Samuti on ebaseadusliku rände haldamiseks vaja, et eu-LISA-le antaks võimalus koostada süsteemiülene statistika, kasutades Eurodac-süsteemi, viisainfosüsteemi, ETIASe</w:t>
            </w:r>
            <w:r>
              <w:rPr>
                <w:b/>
                <w:i/>
              </w:rPr>
              <w:t>,</w:t>
            </w:r>
            <w:r>
              <w:t xml:space="preserve"> riiki sisenemise ja riigist lahkumise süsteemi</w:t>
            </w:r>
            <w:r>
              <w:rPr>
                <w:b/>
                <w:i/>
              </w:rPr>
              <w:t>, ECRIS-TCN-süsteemi ja Schengeni infosüsteemi</w:t>
            </w:r>
            <w:r>
              <w:t xml:space="preserve"> andmeid. Selleks et määrata kindlaks sellise süsteemiülese statistika sisu, tuleks komisjonile anda rakendamisvolitused. Kõnealuseid volitusi tuleks kasutada vastavalt Euroopa Parlamendi ja nõukogu 16. veebruari 2011. aasta määrusele (EL) 182/2011, millega kehtestatakse eeskirjad ja üldpõhimõtted, mis käsitlevad liikmesriikide läbiviidava kontrolli mehhanisme, mida kohaldatakse komisjoni rakendamisvolituste teostamise suhtes.“;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59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Tom Vandendriessche</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2 – põhjendus 5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5c)</w:t>
            </w:r>
            <w:r>
              <w:tab/>
              <w:t>Samuti on ebaseadusliku rände haldamiseks vaja, et eu-LISA-le antaks võimalus koostada süsteemiülene statistika, kasutades Eurodac-süsteemi, viisainfosüsteemi, ETIASe ning riiki sisenemise ja riigist lahkumise süsteemi andmeid. Selleks et määrata kindlaks sellise süsteemiülese statistika sisu, tuleks komisjonile anda rakendamisvolitused. Kõnealuseid volitusi tuleks kasutada vastavalt Euroopa Parlamendi ja nõukogu 16. veebruari 2011. aasta määrusele (EL) 182/2011, millega kehtestatakse eeskirjad ja üldpõhimõtted, mis käsitlevad liikmesriikide läbiviidava kontrolli mehhanisme, mida kohaldatakse komisjoni rakendamisvolituste teostamise suhtes.“;</w:t>
            </w:r>
          </w:p>
        </w:tc>
        <w:tc>
          <w:tcPr>
            <w:tcW w:w="4876" w:type="dxa"/>
            <w:hideMark/>
          </w:tcPr>
          <w:p w:rsidR="00F528F9" w:rsidRPr="00E66FD7" w:rsidRDefault="00F528F9" w:rsidP="00167072">
            <w:pPr>
              <w:pStyle w:val="Normal6"/>
              <w:rPr>
                <w:szCs w:val="24"/>
              </w:rPr>
            </w:pPr>
            <w:r>
              <w:rPr>
                <w:i/>
              </w:rPr>
              <w:t>(Ei puuduta eestikeelset versiooni.)</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{NL}</w:t>
      </w:r>
      <w:r w:rsidRPr="00E66FD7">
        <w:rPr>
          <w:noProof w:val="0"/>
        </w:rPr>
        <w:t>nl</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60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4 – põhjendus 11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(4)</w:t>
            </w:r>
            <w:r>
              <w:rPr>
                <w:b/>
                <w:i/>
              </w:rPr>
              <w:tab/>
              <w:t>põhjenduse 11 järele lisatakse järgmine põhjendus:</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11a)</w:t>
            </w:r>
            <w:r>
              <w:rPr>
                <w:b/>
                <w:i/>
              </w:rPr>
              <w:tab/>
              <w:t>Samuti on sel eesmärgil vaja Eurodac-süsteemis selgelt ära märkida asjaolu, et rahvusvahelise kaitse taotlus on tagasi lükatud, kui kolmanda riigi kodanikul või kodakondsuseta isikul puudub õigus riiki jääda ja talle ei ole antud luba riiki jääda kooskõlas määrusega (EL) XXX/XXX [varjupaigamenetluse määrus].’;</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61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4 – põhjendus 11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rPr>
                <w:b/>
                <w:i/>
              </w:rPr>
            </w:pPr>
            <w:r>
              <w:rPr>
                <w:b/>
                <w:i/>
              </w:rPr>
              <w:t>põhjenduse 11 järele lisatakse järgmine põhjendus:</w:t>
            </w:r>
          </w:p>
        </w:tc>
        <w:tc>
          <w:tcPr>
            <w:tcW w:w="4876" w:type="dxa"/>
          </w:tcPr>
          <w:p w:rsidR="00F528F9" w:rsidRPr="00E66FD7" w:rsidRDefault="00F528F9" w:rsidP="00167072">
            <w:pPr>
              <w:pStyle w:val="Normal6"/>
              <w:rPr>
                <w:b/>
                <w:i/>
              </w:rPr>
            </w:pPr>
          </w:p>
        </w:tc>
      </w:tr>
      <w:tr w:rsidR="00F528F9" w:rsidTr="00167072">
        <w:trPr>
          <w:jc w:val="center"/>
        </w:trPr>
        <w:tc>
          <w:tcPr>
            <w:tcW w:w="4876" w:type="dxa"/>
            <w:hideMark/>
          </w:tcPr>
          <w:p w:rsidR="00F528F9" w:rsidRPr="00E66FD7" w:rsidRDefault="00F528F9" w:rsidP="00167072">
            <w:pPr>
              <w:pStyle w:val="Normal6"/>
            </w:pPr>
            <w:r>
              <w:rPr>
                <w:b/>
                <w:i/>
              </w:rPr>
              <w:t>11a)</w:t>
            </w:r>
            <w:r>
              <w:rPr>
                <w:b/>
                <w:i/>
              </w:rPr>
              <w:tab/>
              <w:t>Samuti on sel eesmärgil vaja Eurodac-süsteemis selgelt ära märkida asjaolu, et rahvusvahelise kaitse taotlus on tagasi lükatud, kui kolmanda riigi kodanikul või kodakondsuseta isikul puudub õigus riiki jääda ja talle ei ole antud luba riiki jääda kooskõlas määrusega (EL) XXX/XXX [varjupaigamenetluse määrus].’;</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62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4 – põhjendus 11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11a)</w:t>
            </w:r>
            <w:r>
              <w:tab/>
              <w:t>Samuti on sel eesmärgil vaja Eurodac-süsteemis selgelt ära märkida asjaolu, et rahvusvahelise kaitse taotlus on tagasi lükatud</w:t>
            </w:r>
            <w:r>
              <w:rPr>
                <w:b/>
                <w:i/>
              </w:rPr>
              <w:t>, kui kolmanda riigi kodanikul või kodakondsuseta isikul puudub õigus riiki jääda ja talle ei ole antud luba riiki jääda kooskõlas määrusega (EL) XXX/XXX</w:t>
            </w:r>
            <w:r>
              <w:t xml:space="preserve"> [varjupaigamenetluse määrus].’;</w:t>
            </w:r>
          </w:p>
        </w:tc>
        <w:tc>
          <w:tcPr>
            <w:tcW w:w="4876" w:type="dxa"/>
            <w:hideMark/>
          </w:tcPr>
          <w:p w:rsidR="00F528F9" w:rsidRPr="00E66FD7" w:rsidRDefault="00F528F9" w:rsidP="00167072">
            <w:pPr>
              <w:pStyle w:val="Normal6"/>
              <w:rPr>
                <w:szCs w:val="24"/>
              </w:rPr>
            </w:pPr>
            <w:r>
              <w:t>11a)</w:t>
            </w:r>
            <w:r>
              <w:tab/>
              <w:t>Samuti on sel eesmärgil vaja Eurodac-süsteemis selgelt ära märkida asjaolu, et rahvusvahelise kaitse taotlus on tagasi lükatud [varjupaigamenetluse määrus].’;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63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 xml:space="preserve">Hilde Vautmans, Jan-Christoph Oetjen, Sophia in 't Veld, </w:t>
      </w:r>
      <w:r>
        <w:lastRenderedPageBreak/>
        <w:t>Yana Toom</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4 a (uus) – põhjendus 13 a b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(4a)</w:t>
            </w:r>
            <w:r>
              <w:rPr>
                <w:b/>
                <w:i/>
              </w:rPr>
              <w:tab/>
              <w:t>Põhjenduse 13a järele lisatakse järgmine põhjendus:</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13ab) Liikmesriikide ametiasutustel ja liidu asutustel peaks jätkuvalt olema võimalik näha ainult andmeid, mis on asjakohased nende konkreetsete ülesannete täitmisel, isegi kui andmekogumid on lingitud jadasse.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Kavandatud muudatused koos Eurodacis töödeldavate isikuandmete uute kategooriatega ja ulatuslikult laiendatud loeteluga asutustest, kellel on andmetele juurdepääs seoses suuremahuliste IT-süsteemide koostalitlusvõimega, avaldavad asjaomastele isikutele olulist mõju. Lisariskide leevendamiseks ja meetme proportsionaalsuse tagamiseks on vaja asjakohaseid ja tõhusaid kaitsemeetmeid.</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64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5 – põhjendus 14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14)</w:t>
            </w:r>
            <w:r>
              <w:rPr>
                <w:b/>
                <w:i/>
              </w:rPr>
              <w:tab/>
              <w:t>Selleks et Eurodac-süsteem saaks tulemuslikult kaasa aidata ebaseadusliku rände kontrollile ja teisese ELi sisese liikumise kindlakstegemisele, tuleb süsteemile anda võimalus loendada lisaks taotlustele ka taotlejaid, linkides kõik ühele isikule vastavad andmekogumid nende kategooriast sõltumata ühte jadasse.“;</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lastRenderedPageBreak/>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65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5 – põhjendus 14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14)</w:t>
            </w:r>
            <w:r>
              <w:tab/>
              <w:t>Selleks et Eurodac-süsteem saaks tulemuslikult kaasa aidata ebaseadusliku rände kontrollile ja teisese ELi sisese liikumise kindlakstegemisele, tuleb süsteemile anda võimalus loendada lisaks taotlustele ka taotlejaid, linkides kõik ühele isikule vastavad andmekogumid nende kategooriast sõltumata ühte jadasse.“;</w:t>
            </w:r>
          </w:p>
        </w:tc>
        <w:tc>
          <w:tcPr>
            <w:tcW w:w="4876" w:type="dxa"/>
            <w:hideMark/>
          </w:tcPr>
          <w:p w:rsidR="00F528F9" w:rsidRPr="00E66FD7" w:rsidRDefault="00F528F9" w:rsidP="00167072">
            <w:pPr>
              <w:pStyle w:val="Normal6"/>
              <w:rPr>
                <w:szCs w:val="24"/>
              </w:rPr>
            </w:pPr>
            <w:r>
              <w:t>14)</w:t>
            </w:r>
            <w:r>
              <w:tab/>
              <w:t xml:space="preserve">Selleks et Eurodac-süsteem saaks tulemuslikult kaasa aidata ebaseadusliku rände kontrollile ja teisese ELi sisese liikumise kindlakstegemisele, tuleb süsteemile anda võimalus loendada lisaks taotlustele ka taotlejaid, linkides kõik ühele isikule vastavad andmekogumid nende kategooriast sõltumata ühte jadasse. </w:t>
            </w:r>
            <w:r>
              <w:rPr>
                <w:b/>
                <w:i/>
              </w:rPr>
              <w:t>Liikmesriikide ametiasutustel ja liidu asutustel peaks olema võimalik näha ainult isikuandmeid, mis on nende ülesannete täitmiseks rangelt asjakohased, isegi kui andmed on lingitud jadasse. See ei mõjuta ühegi andmekogumi säilitamisaega.</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66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Tom Vandendriessche</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5 – põhjendus 14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14)</w:t>
            </w:r>
            <w:r>
              <w:tab/>
              <w:t>Selleks et Eurodac-süsteem saaks tulemuslikult kaasa aidata ebaseadusliku rände kontrollile ja teisese ELi sisese liikumise kindlakstegemisele, tuleb süsteemile anda võimalus loendada lisaks taotlustele ka taotlejaid, linkides kõik ühele isikule vastavad andmekogumid nende kategooriast sõltumata ühte jadasse.“;</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{NL}</w:t>
      </w:r>
      <w:r w:rsidRPr="00E66FD7">
        <w:rPr>
          <w:noProof w:val="0"/>
        </w:rPr>
        <w:t>nl</w:t>
      </w:r>
      <w:r w:rsidRPr="00640177">
        <w:rPr>
          <w:rStyle w:val="HideTWBExt"/>
        </w:rPr>
        <w:t>&lt;/Original&gt;</w:t>
      </w:r>
    </w:p>
    <w:p w:rsidR="00F528F9" w:rsidRPr="00E66FD7" w:rsidRDefault="00F528F9" w:rsidP="00F528F9">
      <w:r w:rsidRPr="00640177">
        <w:rPr>
          <w:rStyle w:val="HideTWBExt"/>
        </w:rPr>
        <w:lastRenderedPageBreak/>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67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Hilde Vautmans, Jan-Christoph Oetjen, Sophia in 't Veld, Yana Toom</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5 a (uus) – põhjendus 19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(5a)</w:t>
            </w:r>
            <w:r>
              <w:rPr>
                <w:b/>
                <w:i/>
              </w:rPr>
              <w:tab/>
              <w:t>Põhjenduse 19 järele lisatakse järgmine põhjendus:</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19a) Käesoleva määruse kohaldamisel pööratakse tähelepanu lapse parimatele huvide kaitsmisele. See hõlmab asjakohaste sätete ja lapse õiguste kaitsemeetmete rakendamist käesoleva määruse kohaldamisel isiku suhtes, kes kinnitab, et ta on laps, või, olenevalt juhtumist, isiku suhtes, kelle puhul on põhjust uskuda, et ta on laps, ning puuduvad tõendid vanuse kohta; kui lapse vanusega seoses tekib kahtlusi, peaksid ametiasutused suhtuma isikusse heauskselt, nii et kui on võimalik, et laps on alla 6-aastane, tuleks teda sellisena kohelda.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Sellise sätte lisamisega tagatakse, et lapsi koheldakse vastavalt käesolevas määruses sätestatud kõige rangematele kaitsemeetmetele, lisamata määrusesse uut vanuse hindamise menetlust. Vanuse hindamine kuuluks muude asjakohaste määruste, sealhulgas varjupaigamenetluste määruse kohaldamisalasse.</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68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6 – põhjendus 24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(6)</w:t>
            </w:r>
            <w:r>
              <w:rPr>
                <w:b/>
                <w:i/>
              </w:rPr>
              <w:tab/>
              <w:t>põhjenduse 24 järele lisatakse järgmine põhjendus:</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24a)</w:t>
            </w:r>
            <w:r>
              <w:rPr>
                <w:b/>
                <w:i/>
              </w:rPr>
              <w:tab/>
              <w:t>Seoses käesoleva määruse kohaldamisega tuletatakse meelde, et isikut tuleb lugeda ebaseaduslikult ümberpaigutamise sihtliikmesriigi territooriumil viibivaks, kui kõnealune isik ei taotle ümberpaigutamise järel rahvusvahelist kaitset või muul viisil ei täida või enam ei täida määruse (EL) 2016/399 artiklis 6 sätestatud sisenemistingimusi või muid ümberpaigutamise sihtliikmesriiki sisenemise või seal viibimise või elamise tingimusi.“;</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69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6 – põhjendus 24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24a)</w:t>
            </w:r>
            <w:r>
              <w:rPr>
                <w:b/>
                <w:i/>
              </w:rPr>
              <w:tab/>
              <w:t>Seoses käesoleva määruse kohaldamisega tuletatakse meelde, et isikut tuleb lugeda ebaseaduslikult ümberpaigutamise sihtliikmesriigi territooriumil viibivaks, kui kõnealune isik ei taotle ümberpaigutamise järel rahvusvahelist kaitset või muul viisil ei täida või enam ei täida määruse (EL) 2016/399 artiklis 6 sätestatud sisenemistingimusi või muid ümberpaigutamise sihtliikmesriiki sisenemise või seal viibimise või elamise tingimusi.“;</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70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6 – põhjendus 24 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24a)</w:t>
            </w:r>
            <w:r>
              <w:rPr>
                <w:b/>
                <w:i/>
              </w:rPr>
              <w:tab/>
              <w:t>Seoses käesoleva määruse kohaldamisega tuletatakse meelde, et isikut tuleb lugeda ebaseaduslikult ümberpaigutamise sihtliikmesriigi territooriumil viibivaks, kui kõnealune isik ei taotle ümberpaigutamise järel rahvusvahelist kaitset või muul viisil ei täida või enam ei täida määruse (EL) 2016/399 artiklis 6 sätestatud sisenemistingimusi või muid ümberpaigutamise sihtliikmesriiki sisenemise või seal viibimise või elamise tingimusi.“;</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71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Hilde Vautmans, Jan-Christoph Oetjen, Sophia in 't Veld, Yana Toom</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6 a (uus) – põhjendus 27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(6a)</w:t>
            </w:r>
            <w:r>
              <w:rPr>
                <w:b/>
                <w:i/>
              </w:rPr>
              <w:tab/>
              <w:t>Põhjenduse 27 järele lisatakse järgmine põhjendus:</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27a) Lapsi puudutavate andmete edastamisel, säilitamisel või võrdlemisel tuleb järgida lastekaitse eesmärki ning seda saab teha üksnes kooskõlas kohustusega pidada esmatähtsaks lapse parimaid huve;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lastRenderedPageBreak/>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72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Hilde Vautmans, Jan-Christoph Oetjen, Sophia in 't Veld, Yana Toom</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6 b (uus) – põhjendus 30 b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(6b)</w:t>
            </w:r>
            <w:r>
              <w:rPr>
                <w:b/>
                <w:i/>
              </w:rPr>
              <w:tab/>
              <w:t>Põhjenduse 30a järele lisatakse järgmine põhjendus:</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30b) Ühtki last ei tohiks kinni pidada ühelgi põhjusel, sealhulgas selleks, et teha kindlaks tema isik või kontrollida tema biomeetrilisi andmeid, olenemata tema vanusest ja sellest, kas ta on saatjata või koos oma perekonnaga. Kui asi puudutab lapsi ja nende perekondi, tuleks kinnipidamisele alati rakendada kogukonnapõhiseid, vabadusekaotuseta alternatiive.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According to Article 37 of the UN Convention on the Rights of the Child, children may be deprived of liberty “only as a measure of last resort and for the shortest appropriate period of time”. Regardless of the ground for detention, when interpreting Article 5 of the ECHR, the ECtHR held that the detention of children (whether accompanied by their parents or not) is arbitrary in facilities which are inadequate to cater for their specific needs.29 In light of human rights law development against immigration detention of children it is difficult to justify deprivation of liberty of a child to coerce him or her to give fingerprints or to take his/her facial image.</w:t>
      </w:r>
    </w:p>
    <w:p w:rsidR="00F528F9" w:rsidRPr="00E66FD7" w:rsidRDefault="00F528F9" w:rsidP="00F528F9">
      <w:r w:rsidRPr="00640177">
        <w:rPr>
          <w:rStyle w:val="HideTWBExt"/>
        </w:rPr>
        <w:lastRenderedPageBreak/>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73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Hilde Vautmans, Jan-Christoph Oetjen, Sophia in 't Veld, Yana Toom</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Preambul – punkt 6 c (uus) – põhjendus 57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rFonts w:ascii="Calibri" w:hAnsi="Calibri" w:cs="Calibri"/>
                <w:b/>
                <w:bCs/>
                <w:color w:val="1F497D"/>
                <w:sz w:val="20"/>
              </w:rPr>
            </w:pPr>
            <w:r>
              <w:rPr>
                <w:b/>
                <w:i/>
              </w:rPr>
              <w:t>(6c)</w:t>
            </w:r>
            <w:r>
              <w:rPr>
                <w:b/>
                <w:i/>
              </w:rPr>
              <w:tab/>
            </w:r>
            <w:r>
              <w:rPr>
                <w:b/>
                <w:bCs/>
                <w:i/>
                <w:iCs/>
              </w:rPr>
              <w:t>Põhjenduse 57 järele lisatakse järgmine põhjendus:</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bCs/>
                <w:i/>
                <w:iCs/>
              </w:rPr>
              <w:t>57a)</w:t>
            </w:r>
            <w:r>
              <w:rPr>
                <w:b/>
                <w:i/>
              </w:rPr>
              <w:tab/>
            </w:r>
            <w:r>
              <w:rPr>
                <w:b/>
                <w:bCs/>
                <w:i/>
                <w:iCs/>
              </w:rPr>
              <w:t>Euroopa Parlament, nõukogu ja komisjon peaksid tagama, et olemasolevad rahalised vahendid ja inimressursid vastavad komisjoni finantsselgituses seoses käesoleva määrusega osutatud tasemele, mis võimaldab eu-LISA-l alustada rakendamisprotsessi pärast käesoleva määruse jõustumist.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Web"/>
        <w:spacing w:before="0" w:beforeAutospacing="0" w:after="90" w:afterAutospacing="0"/>
        <w:jc w:val="both"/>
        <w:rPr>
          <w:i/>
        </w:rPr>
      </w:pPr>
      <w:r>
        <w:rPr>
          <w:i/>
        </w:rPr>
        <w:t>The Commission proposal reads that eu-LISA is supposed to receive certain amount of budget for implementation of EURODAC Recast already in 2021, which is however not possible since the recast legislative proposal has not yet entered into force, moreover, the negotiations on the proposal are still on a preliminary stage. This on its side triggers a risk that has been already highlighted by the European Court of Auditors (and, by the LIBE Committee in its Opinion on the eu-LISA 2019 Discharge) that the late adoption and entry into force of certain legislative acts created a significant difference between the actual timeline for their implementation compared with the timeline set by the Commission in the respective legislative financial statements. In this sense, the LIBE Opinion recommends the Commission to involve and consult the Agency at the earliest stage of preparation of relevant legislative proposals in order to improve the assumptions underpinning the financial planning and thereby improve alignment of budgetary planning with the timing of the related legal acts. Therefore, including the above suggested recital will avoid the situation that the Agency would have formally budget that cannot use since its availability is not in sync with the timing of the adoption of the legal proposal.</w:t>
      </w:r>
    </w:p>
    <w:p w:rsidR="00F528F9" w:rsidRPr="00E66FD7" w:rsidRDefault="00F528F9" w:rsidP="00F528F9">
      <w:pPr>
        <w:pStyle w:val="Normal12Italic"/>
        <w:rPr>
          <w:noProof w:val="0"/>
        </w:rPr>
      </w:pPr>
      <w:r>
        <w:rPr>
          <w:noProof w:val="0"/>
        </w:rPr>
        <w: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74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lastRenderedPageBreak/>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b</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(b)</w:t>
            </w:r>
            <w:r>
              <w:tab/>
              <w:t xml:space="preserve">aidata kaasa määruse (EL) XXX/XXX [ümberasustamise määrus] </w:t>
            </w:r>
            <w:r>
              <w:rPr>
                <w:b/>
                <w:i/>
              </w:rPr>
              <w:t>kohaldamisele</w:t>
            </w:r>
            <w:r>
              <w:t xml:space="preserve"> käesolevas määruses sätestatud tingimustel;</w:t>
            </w:r>
          </w:p>
        </w:tc>
        <w:tc>
          <w:tcPr>
            <w:tcW w:w="4876" w:type="dxa"/>
            <w:hideMark/>
          </w:tcPr>
          <w:p w:rsidR="00F528F9" w:rsidRPr="00E66FD7" w:rsidRDefault="00F528F9" w:rsidP="00167072">
            <w:pPr>
              <w:pStyle w:val="Normal6"/>
              <w:rPr>
                <w:szCs w:val="24"/>
              </w:rPr>
            </w:pPr>
            <w:r>
              <w:t>(b)</w:t>
            </w:r>
            <w:r>
              <w:tab/>
              <w:t xml:space="preserve">aidata kaasa määruse (EL) XXX/XXX [ümberasustamise määrus] </w:t>
            </w:r>
            <w:r>
              <w:rPr>
                <w:b/>
                <w:i/>
              </w:rPr>
              <w:t>kohaldamisel ümberasustatud kolmandate riikide kodanike teisese rände tuvastamisele</w:t>
            </w:r>
            <w:r>
              <w:t xml:space="preserve"> käesolevas määruses sätestatud tingimustel;</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75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artikkel 1 – lõige 1 – punkt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(c)</w:t>
            </w:r>
            <w:r>
              <w:rPr>
                <w:b/>
                <w:i/>
              </w:rPr>
              <w:tab/>
              <w:t>aidata ohjeldada ebaseaduslikku sisserännet liitu ja kindlaks teha teisest rännet liidu piires ning aidata ebaseaduslikult liidus viibivate kolmandate riikide kodanike ja kodakondsuseta isikute tuvastamisel, et määrata kindlaks asjakohased meetmed, mida liikmesriigid peavad võtma;</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76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(c)</w:t>
            </w:r>
            <w:r>
              <w:rPr>
                <w:b/>
                <w:i/>
              </w:rPr>
              <w:tab/>
              <w:t xml:space="preserve">aidata ohjeldada ebaseaduslikku sisserännet liitu ja kindlaks teha teisest rännet liidu piires ning aidata ebaseaduslikult liidus viibivate </w:t>
            </w:r>
            <w:r>
              <w:rPr>
                <w:b/>
                <w:i/>
              </w:rPr>
              <w:lastRenderedPageBreak/>
              <w:t>kolmandate riikide kodanike ja kodakondsuseta isikute tuvastamisel, et määrata kindlaks asjakohased meetmed, mida liikmesriigid peavad võtma;</w:t>
            </w:r>
          </w:p>
        </w:tc>
        <w:tc>
          <w:tcPr>
            <w:tcW w:w="4876" w:type="dxa"/>
            <w:hideMark/>
          </w:tcPr>
          <w:p w:rsidR="00F528F9" w:rsidRPr="00E66FD7" w:rsidRDefault="00F528F9" w:rsidP="00167072">
            <w:pPr>
              <w:pStyle w:val="Normal6"/>
              <w:rPr>
                <w:szCs w:val="24"/>
              </w:rPr>
            </w:pPr>
            <w:r>
              <w:rPr>
                <w:b/>
                <w:i/>
              </w:rPr>
              <w:lastRenderedPageBreak/>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77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(c)</w:t>
            </w:r>
            <w:r>
              <w:tab/>
              <w:t xml:space="preserve">aidata </w:t>
            </w:r>
            <w:r>
              <w:rPr>
                <w:b/>
                <w:i/>
              </w:rPr>
              <w:t>ohjeldada ebaseaduslikku</w:t>
            </w:r>
            <w:r>
              <w:t xml:space="preserve"> sisserännet liitu ja kindlaks teha teisest rännet liidu piires ning aidata </w:t>
            </w:r>
            <w:r>
              <w:rPr>
                <w:b/>
                <w:i/>
              </w:rPr>
              <w:t>ebaseaduslikult</w:t>
            </w:r>
            <w:r>
              <w:t xml:space="preserve"> liidus viibivate kolmandate riikide kodanike ja kodakondsuseta isikute tuvastamisel, et määrata kindlaks asjakohased meetmed, mida liikmesriigid peavad võtma;</w:t>
            </w:r>
          </w:p>
        </w:tc>
        <w:tc>
          <w:tcPr>
            <w:tcW w:w="4876" w:type="dxa"/>
            <w:hideMark/>
          </w:tcPr>
          <w:p w:rsidR="00F528F9" w:rsidRPr="00E66FD7" w:rsidRDefault="00F528F9" w:rsidP="00167072">
            <w:pPr>
              <w:pStyle w:val="Normal6"/>
              <w:rPr>
                <w:szCs w:val="24"/>
              </w:rPr>
            </w:pPr>
            <w:r>
              <w:t>(c)</w:t>
            </w:r>
            <w:r>
              <w:tab/>
              <w:t xml:space="preserve">aidata </w:t>
            </w:r>
            <w:r>
              <w:rPr>
                <w:b/>
                <w:i/>
              </w:rPr>
              <w:t>jälgida seadusliku aluseta</w:t>
            </w:r>
            <w:r>
              <w:t xml:space="preserve"> sisserännet liitu ja kindlaks teha teisest rännet liidu piires ning aidata </w:t>
            </w:r>
            <w:r>
              <w:rPr>
                <w:b/>
                <w:i/>
              </w:rPr>
              <w:t>seadusliku aluseta</w:t>
            </w:r>
            <w:r>
              <w:t xml:space="preserve"> liidus viibivate kolmandate riikide kodanike ja kodakondsuseta isikute tuvastamisel, et määrata kindlaks asjakohased meetmed, mida liikmesriigid peavad võtma;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78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Tom Vandendriessche</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(c)</w:t>
            </w:r>
            <w:r>
              <w:tab/>
              <w:t>aidata ohjeldada ebaseaduslikku sisserännet liitu ja kindlaks teha teisest rännet liidu piires ning aidata ebaseaduslikult liidus viibivate kolmandate riikide kodanike ja kodakondsuseta isikute tuvastamisel, et määrata kindlaks asjakohased meetmed, mida liikmesriigid peavad võtma;</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{NL}</w:t>
      </w:r>
      <w:r w:rsidRPr="00E66FD7">
        <w:rPr>
          <w:noProof w:val="0"/>
        </w:rPr>
        <w:t>nl</w:t>
      </w:r>
      <w:r w:rsidRPr="00640177">
        <w:rPr>
          <w:rStyle w:val="HideTWBExt"/>
        </w:rPr>
        <w:t>&lt;/Original&gt;</w:t>
      </w:r>
    </w:p>
    <w:p w:rsidR="00F528F9" w:rsidRPr="00E66FD7" w:rsidRDefault="00F528F9" w:rsidP="00F528F9">
      <w:r w:rsidRPr="00640177">
        <w:rPr>
          <w:rStyle w:val="HideTWBExt"/>
        </w:rPr>
        <w:lastRenderedPageBreak/>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79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Hilde Vautmans, Jan-Christoph Oetjen, Sophia in 't Veld, Yana Toom</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c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(ca)</w:t>
            </w:r>
            <w:r>
              <w:rPr>
                <w:b/>
                <w:i/>
              </w:rPr>
              <w:tab/>
              <w:t>kaitsta inimkaubanduse lapsohvreid ning tuvastada kadunud lapsed ja neid kaitsta;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these measures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w:t>
      </w:r>
      <w:r>
        <w:t xml:space="preserve">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d</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(d)</w:t>
            </w:r>
            <w:r>
              <w:rPr>
                <w:b/>
                <w:i/>
              </w:rPr>
              <w:tab/>
              <w:t>sätestada tingimused, mille alusel liikmesriikide määratud asutused ja Euroopa Politseiamet (Europol) võivad taotleda biomeetriliste või tähtnumbriliste andmete võrdlemist kesksüsteemi andmetega õiguskaitse eesmärkidel terroriaktide või muude raskete kuritegude ennetamiseks, avastamiseks või uurimiseks;</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w:t>
      </w:r>
      <w:r>
        <w:t xml:space="preserve">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e</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(e)</w:t>
            </w:r>
            <w:r>
              <w:rPr>
                <w:b/>
                <w:i/>
              </w:rPr>
              <w:tab/>
              <w:t>aidata kaasa Eurodac-süsteemis registreeritud isikute õigele tuvastamisele määruse (EL) 2019/818 artiklis 20 viidatud tingimustel ja eesmärkidel, salvestades isikuandmeid, reisidokumentide andmeid ja biomeetrilisi andmeid nimetatud määrusega loodud ühisesse isikuandmete hoidlasse;</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w:t>
      </w:r>
      <w:r>
        <w:t xml:space="preserve">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f</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(f)</w:t>
            </w:r>
            <w:r>
              <w:rPr>
                <w:b/>
                <w:i/>
              </w:rPr>
              <w:tab/>
              <w:t>toetada määrusega (EL) 2018/1240 loodud Euroopa reisiinfo ja -lubade süsteemi (ETIAS) eesmärke;</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f</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(f)</w:t>
            </w:r>
            <w:r>
              <w:rPr>
                <w:b/>
                <w:i/>
              </w:rPr>
              <w:tab/>
              <w:t>toetada määrusega (EL) 2018/1240 loodud Euroopa reisiinfo ja -lubade süsteemi (ETIAS) eesmärke;</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w:t>
      </w:r>
      <w:r>
        <w:t xml:space="preserve">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f</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(f)</w:t>
            </w:r>
            <w:r>
              <w:tab/>
              <w:t xml:space="preserve">toetada määrusega (EL) 2018/1240 loodud Euroopa reisiinfo ja -lubade </w:t>
            </w:r>
            <w:r>
              <w:rPr>
                <w:b/>
                <w:i/>
              </w:rPr>
              <w:t>süsteemi</w:t>
            </w:r>
            <w:r>
              <w:t xml:space="preserve"> (ETIAS)</w:t>
            </w:r>
            <w:r>
              <w:rPr>
                <w:b/>
                <w:i/>
              </w:rPr>
              <w:t xml:space="preserve"> eesmärke</w:t>
            </w:r>
            <w:r>
              <w:t>;</w:t>
            </w:r>
          </w:p>
        </w:tc>
        <w:tc>
          <w:tcPr>
            <w:tcW w:w="4876" w:type="dxa"/>
            <w:hideMark/>
          </w:tcPr>
          <w:p w:rsidR="00F528F9" w:rsidRPr="00E66FD7" w:rsidRDefault="00F528F9" w:rsidP="00167072">
            <w:pPr>
              <w:pStyle w:val="Normal6"/>
              <w:rPr>
                <w:szCs w:val="24"/>
              </w:rPr>
            </w:pPr>
            <w:r>
              <w:t>(f)</w:t>
            </w:r>
            <w:r>
              <w:tab/>
              <w:t xml:space="preserve">toetada </w:t>
            </w:r>
            <w:r>
              <w:rPr>
                <w:b/>
                <w:i/>
              </w:rPr>
              <w:t xml:space="preserve">teabe jagamist </w:t>
            </w:r>
            <w:r>
              <w:t xml:space="preserve">määrusega (EL) 2018/1240 loodud Euroopa reisiinfo ja -lubade </w:t>
            </w:r>
            <w:r>
              <w:rPr>
                <w:b/>
                <w:i/>
              </w:rPr>
              <w:t>süsteemiga</w:t>
            </w:r>
            <w:r>
              <w:t xml:space="preserve"> (ETIAS);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9 – artikkel 1 – lõige 1 – punkt g</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(g)</w:t>
            </w:r>
            <w:r>
              <w:rPr>
                <w:b/>
                <w:i/>
              </w:rPr>
              <w:tab/>
              <w:t>toetada määruses (EÜ) nr 767/2008 osutatud viisainfosüsteemi eesmärke.</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w:t>
      </w:r>
      <w:r>
        <w:t xml:space="preserve">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g</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(g)</w:t>
            </w:r>
            <w:r>
              <w:rPr>
                <w:b/>
                <w:i/>
              </w:rPr>
              <w:tab/>
              <w:t>toetada määruses (EÜ) nr 767/2008 osutatud viisainfosüsteemi eesmärke.</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g</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(g)</w:t>
            </w:r>
            <w:r>
              <w:tab/>
              <w:t xml:space="preserve">toetada määruses (EÜ) nr 767/2008 osutatud </w:t>
            </w:r>
            <w:r>
              <w:rPr>
                <w:b/>
                <w:i/>
              </w:rPr>
              <w:t>viisainfosüsteemi eesmärke.</w:t>
            </w:r>
          </w:p>
        </w:tc>
        <w:tc>
          <w:tcPr>
            <w:tcW w:w="4876" w:type="dxa"/>
            <w:hideMark/>
          </w:tcPr>
          <w:p w:rsidR="00F528F9" w:rsidRPr="00E66FD7" w:rsidRDefault="00F528F9" w:rsidP="00167072">
            <w:pPr>
              <w:pStyle w:val="Normal6"/>
              <w:rPr>
                <w:szCs w:val="24"/>
              </w:rPr>
            </w:pPr>
            <w:r>
              <w:t>(g)</w:t>
            </w:r>
            <w:r>
              <w:tab/>
              <w:t xml:space="preserve">toetada </w:t>
            </w:r>
            <w:r>
              <w:rPr>
                <w:b/>
                <w:i/>
              </w:rPr>
              <w:t xml:space="preserve">teabe jagamist </w:t>
            </w:r>
            <w:r>
              <w:t xml:space="preserve">määruses (EÜ) nr 767/2008 osutatud </w:t>
            </w:r>
            <w:r>
              <w:rPr>
                <w:b/>
                <w:i/>
              </w:rPr>
              <w:t>viisainfosüsteemiga.</w:t>
            </w:r>
            <w:r>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1 – punkt g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(ga)</w:t>
            </w:r>
            <w:r>
              <w:rPr>
                <w:b/>
                <w:i/>
              </w:rPr>
              <w:tab/>
              <w:t>koguda statistikat rahvusvahelist kaitset taotlevate isikute, seadusliku aluseta liitu saabuvate isikute, otsingu- ja päästeoperatsioonide järel liidus maabunud isikute, ümberasustamise või humanitaarsetel põhjustel vastuvõtmise eesmärgil saabuvate isikute ning rahvusvahelise kaitse saanud ja selle andmisest keeldutud isikute kohta, et toetada tõenditel põhinevat liidu varjupaiga- ja rändepoliitika kujundamist.</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89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Biomeetrilisi andmeid ja muid isikuandmeid võib Eurodac-süsteemis töödelda üksnes käesolevas määruses, määruses (EL) XXX/XXX [varjupaiga-ja rändehalduse määrus ja määruses (EL) XXX/XXX [ümberasustamise määrus] sätestatud eesmärkidel</w:t>
            </w:r>
            <w:r>
              <w:rPr>
                <w:b/>
                <w:i/>
              </w:rPr>
              <w:t>, ilma et see piiraks päritoluliikmesriigi õigust töödelda Eurodac-süsteemi jaoks mõeldud andmeid oma siseriiklike õigusnormide alusel koostatud andmebaasides</w:t>
            </w:r>
            <w:r>
              <w:t>.“;</w:t>
            </w:r>
          </w:p>
        </w:tc>
        <w:tc>
          <w:tcPr>
            <w:tcW w:w="4876" w:type="dxa"/>
            <w:hideMark/>
          </w:tcPr>
          <w:p w:rsidR="00F528F9" w:rsidRPr="00E66FD7" w:rsidRDefault="00F528F9" w:rsidP="00167072">
            <w:pPr>
              <w:pStyle w:val="Normal6"/>
              <w:rPr>
                <w:szCs w:val="24"/>
              </w:rPr>
            </w:pPr>
            <w:r>
              <w:t>2.</w:t>
            </w:r>
            <w:r>
              <w:tab/>
              <w:t xml:space="preserve">Biomeetrilisi andmeid ja muid </w:t>
            </w:r>
            <w:r>
              <w:rPr>
                <w:b/>
                <w:i/>
              </w:rPr>
              <w:t xml:space="preserve">Eurodac-süsteemi jaoks kogutud </w:t>
            </w:r>
            <w:r>
              <w:t>isikuandmeid võib Eurodac-süsteemis töödelda üksnes käesolevas määruses, määruses (EL) XXX/XXX [varjupaiga-ja rändehalduse määrus ja määruses (EL) XXX/XXX [ümberasustamise määrus] sätestatud eesmärkidel.“;</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90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2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2a.</w:t>
            </w:r>
            <w:r>
              <w:rPr>
                <w:b/>
                <w:i/>
              </w:rPr>
              <w:tab/>
              <w:t>Eurodac-süsteemis toimuva isikuandmete kogumise ja töötlemise käigus pädevate asutuste poolt ei tohi artiklitega 10, 13, 14 ja 14a hõlmatud isikuid diskrimineerida soo ja soolise identiteedi, rassi, nahavärvi, etnilise või sotsiaalse päritolu, geneetiliste omaduste, keele, usutunnistuse või veendumuste, poliitiliste või muude seisukohtade, rahvusvähemusse kuulumise, varalise seisundi, sünnipära, puude, vanuse või seksuaalse sättumuse alusel.</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Käesolevas määruses tuleb täiel määral austada inimväärikust ja põhiõigusi ning järgida Euroopa Liidu põhiõiguste hartas sätestatud põhimõtteid, sealhulgas õigust eraelu puutumatusele, isikuandmete kaitsele, varjupaigale ning välja- või tagasisaatmise lubamatust.</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Erilist tähelepanu tuleb pöörata lastele, eakatele, puuetega inimestele, rasedatele, kaitsetutele inimestele ning rahvusvahelist kaitset vajavatele isikutele. Käesoleva määruse rakendamisel on liikmesriikide esmane kohus kaitsta lapse parimad huve.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91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9 – artikkel 1 – lõige 2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2a.</w:t>
            </w:r>
            <w:r>
              <w:rPr>
                <w:b/>
                <w:i/>
              </w:rPr>
              <w:tab/>
              <w:t>Eurodac-süsteemis toimuva isikuandmete kogumise ja töötlemise käigus pädevate asutuste poolt ei tohi artiklitega 10, 13, 14 ja 14a hõlmatud isikuid diskrimineerida soo, rassi, nahavärvi, etnilise või sotsiaalse päritolu, geneetiliste omaduste, keele, usutunnistuse või veendumuste, poliitiliste või muude seisukohtade, rahvusvähemusse kuulumise, varalise seisundi, sünnipära, puude, vanuse või seksuaalse sättumuse või sooväljenduse alusel.</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 xml:space="preserve">Käesolevas määruses tuleb täiel määral austada inimväärikust ja põhiõigusi ning järgida Euroopa Liidu põhiõiguste hartas sätestatud põhimõtteid, sealhulgas õigust eraelu puutumatusele, isikuandmete kaitsele, varjupaigale, välja- või tagasisaatmise lubamatust ning piinamise, ebainimliku või inimväärikust </w:t>
            </w:r>
            <w:r>
              <w:rPr>
                <w:b/>
                <w:i/>
              </w:rPr>
              <w:lastRenderedPageBreak/>
              <w:t>alandava kohtlemise keeldu.</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Erilist tähelepanu tuleb pöörata lastele, eakatele ja puuetega inimestele ning rahvusvahelist kaitset vajavatele isikutele. Esmajärjekorras tuleb arvesse võtta lapse huve.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92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9 – artikkel 1 – lõige 2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2a.</w:t>
            </w:r>
            <w:r>
              <w:rPr>
                <w:b/>
                <w:i/>
              </w:rPr>
              <w:tab/>
              <w:t>Käesoleva määruse rakendamisel tuleb täiel määral austada põhiõiguste hartat, sealhulgas õigust eraelu puutumatusele ja isikuandmete kaitsele. Sellega seoses ei tohi isikuandmete töötlemine põhjustada diskrimineerimist soolise identiteedi, rassi, nahavärvuse, etnilise või sotsiaalse päritolu, varalise seisundi, sünnipära, puude, vanuse või seksuaalse sättumuse alusel.</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93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rPr>
          <w:b w:val="0"/>
          <w:sz w:val="16"/>
          <w:szCs w:val="16"/>
        </w:rPr>
      </w:pPr>
      <w:r w:rsidRPr="00640177">
        <w:rPr>
          <w:rStyle w:val="HideTWBExt"/>
          <w:b w:val="0"/>
        </w:rPr>
        <w:t>&lt;Article&gt;</w:t>
      </w:r>
      <w:r w:rsidR="00460029">
        <w:t>Regulatiivosa</w:t>
      </w:r>
      <w:r>
        <w:t xml:space="preserve"> – punkt 10 (a)</w:t>
      </w:r>
      <w:r w:rsidR="00460029">
        <w:t xml:space="preserve"> </w:t>
      </w:r>
      <w:r>
        <w:t>– artikkel 3 – lõige 1 – punkt b – alapunkt iv</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a)</w:t>
            </w:r>
            <w:r>
              <w:rPr>
                <w:b/>
                <w:i/>
              </w:rPr>
              <w:tab/>
              <w:t>lõike 1 punkti b lisatakse alapunkt iv:</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 xml:space="preserve"> </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iv)</w:t>
            </w:r>
            <w:r>
              <w:rPr>
                <w:b/>
                <w:i/>
              </w:rPr>
              <w:tab/>
              <w:t xml:space="preserve">artikli 14a lõikega 1 hõlmatud </w:t>
            </w:r>
            <w:r>
              <w:rPr>
                <w:b/>
                <w:i/>
              </w:rPr>
              <w:lastRenderedPageBreak/>
              <w:t>isiku korral liikmesriik, kes edastab tema isikuandmed kesksüsteemi ja ühisele isikuandmete hoidlale ning võtab vastu võrdlustulemused;“;</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 xml:space="preserve"> </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94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10 (a) (uus) – artikkel 3 – lõige 1 – punkt a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a)</w:t>
            </w:r>
            <w:r>
              <w:rPr>
                <w:b/>
                <w:i/>
              </w:rPr>
              <w:tab/>
              <w:t>lõikesse 1 lisatakse punkt aa:</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aa) „ümberasustatud kolmanda riigi kodanik või kodakondsuseta isik“ – kolmanda riigi kodanik või kodakondsuseta isik, kes saabub pärast siseriikliku õiguse või [määruse XXX/XXX] kohast ümberasustamismenetlust ümberasustamise liikmesriigi territooriumile.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95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10 (b) – sissejuhatav osa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b)</w:t>
            </w:r>
            <w:r>
              <w:tab/>
              <w:t>lõikele 1 lisatakse punktid p, q ja </w:t>
            </w:r>
            <w:r>
              <w:rPr>
                <w:b/>
                <w:i/>
              </w:rPr>
              <w:t>r</w:t>
            </w:r>
            <w:r>
              <w:t>:</w:t>
            </w:r>
          </w:p>
        </w:tc>
        <w:tc>
          <w:tcPr>
            <w:tcW w:w="4876" w:type="dxa"/>
            <w:hideMark/>
          </w:tcPr>
          <w:p w:rsidR="00F528F9" w:rsidRPr="00E66FD7" w:rsidRDefault="00F528F9" w:rsidP="00167072">
            <w:pPr>
              <w:pStyle w:val="Normal6"/>
              <w:rPr>
                <w:szCs w:val="24"/>
              </w:rPr>
            </w:pPr>
            <w:r>
              <w:t>b)</w:t>
            </w:r>
            <w:r>
              <w:tab/>
              <w:t>lõikele 1 lisatakse punktid p, q</w:t>
            </w:r>
            <w:r>
              <w:rPr>
                <w:b/>
                <w:i/>
              </w:rPr>
              <w:t>, r</w:t>
            </w:r>
            <w:r>
              <w:t xml:space="preserve"> ja </w:t>
            </w:r>
            <w:r>
              <w:rPr>
                <w:b/>
                <w:i/>
              </w:rPr>
              <w:t>ra</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96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10 (b) – artikkel 3 – lõige 1 – punkt p </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p)</w:t>
            </w:r>
            <w:r>
              <w:tab/>
              <w:t>„ühine isikuandmete hoidla“ – määruse (EL) 2019/818 artiklis 17 määratletud ühine isikuandmete hoidla;</w:t>
            </w:r>
          </w:p>
        </w:tc>
        <w:tc>
          <w:tcPr>
            <w:tcW w:w="4876" w:type="dxa"/>
            <w:hideMark/>
          </w:tcPr>
          <w:p w:rsidR="00F528F9" w:rsidRPr="00E66FD7" w:rsidRDefault="00F528F9" w:rsidP="00167072">
            <w:pPr>
              <w:pStyle w:val="Normal6"/>
              <w:rPr>
                <w:szCs w:val="24"/>
              </w:rPr>
            </w:pPr>
            <w:r>
              <w:t>p)</w:t>
            </w:r>
            <w:r>
              <w:tab/>
              <w:t>„ühine isikuandmete hoidla“ – määruse (EL) 2019/818 artiklis 17 määratletud ühine isikuandmete hoidla</w:t>
            </w:r>
            <w:r>
              <w:rPr>
                <w:b/>
                <w:i/>
              </w:rPr>
              <w:t>, mis asendab Eurodaci kesksüsteemi niivõrd, kuivõrd selles säilitatakse kõnealuse määruse artiklis 18 osutatud isikuandmeid</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97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10 (b) – artikkel 3 – lõige 1 – punkt q</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q)</w:t>
            </w:r>
            <w:r>
              <w:tab/>
              <w:t>„identiteediandmed“ – artikli 12 punktides c–f ja h</w:t>
            </w:r>
            <w:r>
              <w:rPr>
                <w:b/>
                <w:i/>
              </w:rPr>
              <w:t>,</w:t>
            </w:r>
            <w:r>
              <w:t xml:space="preserve"> artikli 13 lõike 2</w:t>
            </w:r>
            <w:r>
              <w:rPr>
                <w:b/>
                <w:i/>
              </w:rPr>
              <w:t xml:space="preserve"> punktides c–f ja h, artikli 14 lõike 2 punktides c–f ja h ning artikli 14a</w:t>
            </w:r>
            <w:r>
              <w:t xml:space="preserve"> punktides c–f ja h osutatud teave;</w:t>
            </w:r>
          </w:p>
        </w:tc>
        <w:tc>
          <w:tcPr>
            <w:tcW w:w="4876" w:type="dxa"/>
            <w:hideMark/>
          </w:tcPr>
          <w:p w:rsidR="00F528F9" w:rsidRPr="00E66FD7" w:rsidRDefault="00F528F9" w:rsidP="00167072">
            <w:pPr>
              <w:pStyle w:val="Normal6"/>
              <w:rPr>
                <w:szCs w:val="24"/>
              </w:rPr>
            </w:pPr>
            <w:r>
              <w:t>q)</w:t>
            </w:r>
            <w:r>
              <w:tab/>
              <w:t>„identiteediandmed“ – artikli 12 punktides c–f ja h</w:t>
            </w:r>
            <w:r>
              <w:rPr>
                <w:b/>
                <w:i/>
              </w:rPr>
              <w:t xml:space="preserve"> ning</w:t>
            </w:r>
            <w:r>
              <w:t xml:space="preserve"> artikli 13 lõike 2 punktides c–f ja h osutatud teave;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Artiklite 14 ja 14a väljajätmise korral tuleb vastavad muudatused teha läbivalt kogu tekstis.</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98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10 (b) – artikkel 3 – lõige 1 – punkt q</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q)</w:t>
            </w:r>
            <w:r>
              <w:tab/>
              <w:t>„identiteediandmed“ – artikli 12 punktides c–f ja h, artikli 13 lõike 2 punktides c–f ja h</w:t>
            </w:r>
            <w:r>
              <w:rPr>
                <w:b/>
                <w:i/>
              </w:rPr>
              <w:t>, artikli 14 lõike 2 punktides c–f ja h</w:t>
            </w:r>
            <w:r>
              <w:t xml:space="preserve"> ning artikli 14a punktides c–f ja h osutatud teave;</w:t>
            </w:r>
          </w:p>
        </w:tc>
        <w:tc>
          <w:tcPr>
            <w:tcW w:w="4876" w:type="dxa"/>
            <w:hideMark/>
          </w:tcPr>
          <w:p w:rsidR="00F528F9" w:rsidRPr="00E66FD7" w:rsidRDefault="00F528F9" w:rsidP="00167072">
            <w:pPr>
              <w:pStyle w:val="Normal6"/>
              <w:rPr>
                <w:szCs w:val="24"/>
              </w:rPr>
            </w:pPr>
            <w:r>
              <w:t>q)</w:t>
            </w:r>
            <w:r>
              <w:tab/>
              <w:t>„identiteediandmed“ – artikli 12 punktides c–f ja h, artikli 13 lõike 2 punktides c–f ja h ning artikli 14a punktides c–f ja h osutatud teave;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99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10 (b) – artikkel 3 – lõige 1 – punkt r</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r)</w:t>
            </w:r>
            <w:r>
              <w:tab/>
              <w:t>„andmekogum“ – artiklite 12</w:t>
            </w:r>
            <w:r>
              <w:rPr>
                <w:b/>
                <w:i/>
              </w:rPr>
              <w:t>, 13, 14</w:t>
            </w:r>
            <w:r>
              <w:t xml:space="preserve"> või </w:t>
            </w:r>
            <w:r>
              <w:rPr>
                <w:b/>
                <w:i/>
              </w:rPr>
              <w:t>14a</w:t>
            </w:r>
            <w:r>
              <w:t xml:space="preserve"> kohaselt salvestatud teave, mis vastab ühele andmesubjekti sõrmejäljekomplektile </w:t>
            </w:r>
            <w:r>
              <w:rPr>
                <w:b/>
                <w:i/>
              </w:rPr>
              <w:t>ja</w:t>
            </w:r>
            <w:r>
              <w:t xml:space="preserve"> koosneb biomeetrilistest</w:t>
            </w:r>
            <w:r>
              <w:rPr>
                <w:b/>
                <w:i/>
              </w:rPr>
              <w:t xml:space="preserve"> andmetest, tähtnumbrilistest</w:t>
            </w:r>
            <w:r>
              <w:t xml:space="preserve"> andmetest ja </w:t>
            </w:r>
            <w:r>
              <w:rPr>
                <w:b/>
                <w:i/>
              </w:rPr>
              <w:t>olemasolu korral isikut tõendava või reisidokumendi skaneeritud värvikoopiast</w:t>
            </w:r>
            <w:r>
              <w:t>.“;</w:t>
            </w:r>
          </w:p>
        </w:tc>
        <w:tc>
          <w:tcPr>
            <w:tcW w:w="4876" w:type="dxa"/>
            <w:hideMark/>
          </w:tcPr>
          <w:p w:rsidR="00F528F9" w:rsidRPr="00E66FD7" w:rsidRDefault="00F528F9" w:rsidP="00167072">
            <w:pPr>
              <w:pStyle w:val="Normal6"/>
              <w:rPr>
                <w:szCs w:val="24"/>
              </w:rPr>
            </w:pPr>
            <w:r>
              <w:t>r)</w:t>
            </w:r>
            <w:r>
              <w:tab/>
              <w:t xml:space="preserve">„andmekogum“ – artiklite 12 või </w:t>
            </w:r>
            <w:r>
              <w:rPr>
                <w:b/>
                <w:i/>
              </w:rPr>
              <w:t>13</w:t>
            </w:r>
            <w:r>
              <w:t xml:space="preserve"> kohaselt salvestatud teave, mis vastab ühele andmesubjekti sõrmejäljekomplektile </w:t>
            </w:r>
            <w:r>
              <w:rPr>
                <w:b/>
                <w:i/>
              </w:rPr>
              <w:t>ning</w:t>
            </w:r>
            <w:r>
              <w:t xml:space="preserve"> koosneb biomeetrilistest andmetest ja </w:t>
            </w:r>
            <w:r>
              <w:rPr>
                <w:b/>
                <w:i/>
              </w:rPr>
              <w:t>tähtnumbrilistest andmetest</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100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10 (b) – artikkel 3 – lõige 1 – punkt r</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r)</w:t>
            </w:r>
            <w:r>
              <w:tab/>
              <w:t>„andmekogum“ – artiklite 12, 13</w:t>
            </w:r>
            <w:r>
              <w:rPr>
                <w:b/>
                <w:i/>
              </w:rPr>
              <w:t>, 14</w:t>
            </w:r>
            <w:r>
              <w:t xml:space="preserve"> või 14a kohaselt salvestatud teave, mis vastab ühele andmesubjekti sõrmejäljekomplektile </w:t>
            </w:r>
            <w:r>
              <w:rPr>
                <w:b/>
                <w:i/>
              </w:rPr>
              <w:t>ja</w:t>
            </w:r>
            <w:r>
              <w:t xml:space="preserve"> koosneb biomeetrilistest andmetest</w:t>
            </w:r>
            <w:r>
              <w:rPr>
                <w:b/>
                <w:i/>
              </w:rPr>
              <w:t>, tähtnumbrilistest andmetest</w:t>
            </w:r>
            <w:r>
              <w:t xml:space="preserve"> ja </w:t>
            </w:r>
            <w:r>
              <w:rPr>
                <w:b/>
                <w:i/>
              </w:rPr>
              <w:t xml:space="preserve">olemasolu korral isikut tõendava või reisidokumendi </w:t>
            </w:r>
            <w:r>
              <w:rPr>
                <w:b/>
                <w:i/>
              </w:rPr>
              <w:lastRenderedPageBreak/>
              <w:t>skaneeritud värvikoopiast</w:t>
            </w:r>
            <w:r>
              <w:t>.“;</w:t>
            </w:r>
          </w:p>
        </w:tc>
        <w:tc>
          <w:tcPr>
            <w:tcW w:w="4876" w:type="dxa"/>
            <w:hideMark/>
          </w:tcPr>
          <w:p w:rsidR="00F528F9" w:rsidRPr="00E66FD7" w:rsidRDefault="00F528F9" w:rsidP="00167072">
            <w:pPr>
              <w:pStyle w:val="Normal6"/>
              <w:rPr>
                <w:szCs w:val="24"/>
              </w:rPr>
            </w:pPr>
            <w:r>
              <w:lastRenderedPageBreak/>
              <w:t>r)</w:t>
            </w:r>
            <w:r>
              <w:tab/>
              <w:t xml:space="preserve">„andmekogum“ – artiklite 12, 13 või 14a kohaselt salvestatud teave, mis vastab ühele andmesubjekti sõrmejäljekomplektile </w:t>
            </w:r>
            <w:r>
              <w:rPr>
                <w:b/>
                <w:i/>
              </w:rPr>
              <w:t>ning</w:t>
            </w:r>
            <w:r>
              <w:t xml:space="preserve"> koosneb biomeetrilistest andmetest ja </w:t>
            </w:r>
            <w:r>
              <w:rPr>
                <w:b/>
                <w:i/>
              </w:rPr>
              <w:t>tähtnumbrilistest andmetest</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101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460029">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10 (b) – artikkel 3 – lõige 1 – punkt r a (uus)</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ra)</w:t>
            </w:r>
            <w:r>
              <w:rPr>
                <w:b/>
                <w:i/>
              </w:rPr>
              <w:tab/>
              <w:t>„laps“ – iga alla kaheksateistkümneaastane inimene, nagu on määratletud lapse õiguste konventsioonis, mis võeti vastu ja avati allakirjutamiseks, ratifitseerimiseks ja ühinemiseks ÜRO Peaassamblee 20. novembri 1989. aasta resolutsiooniga 44/25 ning mis jõustus 2. septembril 1990.</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102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1 – punkt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c)</w:t>
            </w:r>
            <w:r>
              <w:tab/>
              <w:t>määruse 2019/818 artikli 17 lõikes 2 osutatud ühisest isikuandmete hoidlast;</w:t>
            </w:r>
          </w:p>
        </w:tc>
        <w:tc>
          <w:tcPr>
            <w:tcW w:w="4876" w:type="dxa"/>
            <w:hideMark/>
          </w:tcPr>
          <w:p w:rsidR="00F528F9" w:rsidRPr="00E66FD7" w:rsidRDefault="00F528F9" w:rsidP="00167072">
            <w:pPr>
              <w:pStyle w:val="Normal6"/>
              <w:rPr>
                <w:szCs w:val="24"/>
              </w:rPr>
            </w:pPr>
            <w:r>
              <w:t>c)</w:t>
            </w:r>
            <w:r>
              <w:tab/>
              <w:t>määruse 2019/818 artikli 17 lõikes 2 osutatud ühisest isikuandmete hoidlast</w:t>
            </w:r>
            <w:r>
              <w:rPr>
                <w:b/>
                <w:i/>
              </w:rPr>
              <w:t>, mis asendab kesksüsteemi niivõrd, kuivõrd selles säilitatakse kõnealuse määruse artiklis 18 osutatud isikuandmeid</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103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lastRenderedPageBreak/>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Ühine isikuandmete hoidla sisaldab artikli 12 punktides a–f, h ja i</w:t>
            </w:r>
            <w:r>
              <w:rPr>
                <w:b/>
                <w:i/>
              </w:rPr>
              <w:t>,</w:t>
            </w:r>
            <w:r>
              <w:t xml:space="preserve"> artikli 13 lõike 2</w:t>
            </w:r>
            <w:r>
              <w:rPr>
                <w:b/>
                <w:i/>
              </w:rPr>
              <w:t xml:space="preserve"> punktides a–f, h ja i, artikli 14 lõike 2 punktides a–f, h ja i ning artikli 14a</w:t>
            </w:r>
            <w:r>
              <w:t xml:space="preserve"> punktides a–f, h ja i osutatud teavet. Ülejäänud Eurodac-süsteemi andmeid hoitakse kesksüsteemis.</w:t>
            </w:r>
          </w:p>
        </w:tc>
        <w:tc>
          <w:tcPr>
            <w:tcW w:w="4876" w:type="dxa"/>
            <w:hideMark/>
          </w:tcPr>
          <w:p w:rsidR="00F528F9" w:rsidRPr="00E66FD7" w:rsidRDefault="00F528F9" w:rsidP="00167072">
            <w:pPr>
              <w:pStyle w:val="Normal6"/>
              <w:rPr>
                <w:szCs w:val="24"/>
              </w:rPr>
            </w:pPr>
            <w:r>
              <w:t>2.</w:t>
            </w:r>
            <w:r>
              <w:tab/>
              <w:t>Ühine isikuandmete hoidla sisaldab artikli 12 punktides a–f, h ja i</w:t>
            </w:r>
            <w:r>
              <w:rPr>
                <w:b/>
                <w:i/>
              </w:rPr>
              <w:t xml:space="preserve"> ning</w:t>
            </w:r>
            <w:r>
              <w:t xml:space="preserve"> artikli 13 lõike 2 punktides a–f, h ja i osutatud teavet. Ülejäänud Eurodac-süsteemi andmeid hoitakse kesksüsteemis.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104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Ühine isikuandmete hoidla sisaldab artikli 12 punktides a–f, h ja i, artikli 13 lõike 2 punktides a–f, h ja i, artikli 14 lõike 2 punktides a–f, h ja i ning artikli 14a punktides a–f, h ja i osutatud </w:t>
            </w:r>
            <w:r>
              <w:rPr>
                <w:b/>
                <w:i/>
              </w:rPr>
              <w:t>teavet</w:t>
            </w:r>
            <w:r>
              <w:t>. Ülejäänud Eurodac-süsteemi andmeid hoitakse kesksüsteemis.</w:t>
            </w:r>
          </w:p>
        </w:tc>
        <w:tc>
          <w:tcPr>
            <w:tcW w:w="4876" w:type="dxa"/>
            <w:hideMark/>
          </w:tcPr>
          <w:p w:rsidR="00F528F9" w:rsidRPr="00E66FD7" w:rsidRDefault="00F528F9" w:rsidP="00167072">
            <w:pPr>
              <w:pStyle w:val="Normal6"/>
              <w:rPr>
                <w:szCs w:val="24"/>
              </w:rPr>
            </w:pPr>
            <w:r>
              <w:t>2.</w:t>
            </w:r>
            <w:r>
              <w:tab/>
              <w:t xml:space="preserve">Ühine isikuandmete hoidla sisaldab artikli 12 punktides a–f, h ja i, artikli 13 lõike 2 punktides a–f, h ja i, artikli 14 lõike 2 punktides a–f, h ja i ning artikli 14a punktides a–f, h ja i osutatud </w:t>
            </w:r>
            <w:r>
              <w:rPr>
                <w:b/>
                <w:i/>
              </w:rPr>
              <w:t>isikuandmeid</w:t>
            </w:r>
            <w:r>
              <w:t>. Ülejäänud Eurodac-süsteemi andmeid hoitakse kesksüsteemis.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105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Ühine isikuandmete hoidla sisaldab artikli 12 punktides a–f, h ja i, artikli 13 lõike 2 punktides a–f, h ja i</w:t>
            </w:r>
            <w:r>
              <w:rPr>
                <w:b/>
                <w:i/>
              </w:rPr>
              <w:t>, artikli 14 lõike 2 punktides a–f, h ja i</w:t>
            </w:r>
            <w:r>
              <w:t xml:space="preserve"> ning </w:t>
            </w:r>
            <w:r>
              <w:lastRenderedPageBreak/>
              <w:t>artikli 14a punktides a–f, h ja i osutatud teavet. Ülejäänud Eurodac-süsteemi andmeid hoitakse kesksüsteemis.</w:t>
            </w:r>
          </w:p>
        </w:tc>
        <w:tc>
          <w:tcPr>
            <w:tcW w:w="4876" w:type="dxa"/>
            <w:hideMark/>
          </w:tcPr>
          <w:p w:rsidR="00F528F9" w:rsidRPr="00E66FD7" w:rsidRDefault="00F528F9" w:rsidP="00167072">
            <w:pPr>
              <w:pStyle w:val="Normal6"/>
              <w:rPr>
                <w:szCs w:val="24"/>
              </w:rPr>
            </w:pPr>
            <w:r>
              <w:lastRenderedPageBreak/>
              <w:t>2.</w:t>
            </w:r>
            <w:r>
              <w:tab/>
              <w:t xml:space="preserve">Ühine isikuandmete hoidla sisaldab artikli 12 punktides a–f, h ja i, artikli 13 lõike 2 punktides a–f, h ja i ning artikli 14a punktides a–f, h ja i osutatud teavet. </w:t>
            </w:r>
            <w:r>
              <w:lastRenderedPageBreak/>
              <w:t>Ülejäänud</w:t>
            </w:r>
            <w:r>
              <w:rPr>
                <w:b/>
                <w:i/>
              </w:rPr>
              <w:t xml:space="preserve"> artiklites 12, 13 ja 14a loetletud</w:t>
            </w:r>
            <w:r>
              <w:t xml:space="preserve"> Eurodac-süsteemi andmeid hoitakse kesksüsteemis.</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106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 xml:space="preserve">Igal liikmesriigil on üks riiklik juurdepääsupunkt. </w:t>
            </w:r>
            <w:r>
              <w:rPr>
                <w:b/>
                <w:i/>
              </w:rPr>
              <w:t>Europolil on ühtne Europoli juurdepääsupunkt.</w:t>
            </w:r>
          </w:p>
        </w:tc>
        <w:tc>
          <w:tcPr>
            <w:tcW w:w="4876" w:type="dxa"/>
            <w:hideMark/>
          </w:tcPr>
          <w:p w:rsidR="00F528F9" w:rsidRPr="00E66FD7" w:rsidRDefault="00F528F9" w:rsidP="00167072">
            <w:pPr>
              <w:pStyle w:val="Normal6"/>
              <w:rPr>
                <w:szCs w:val="24"/>
              </w:rPr>
            </w:pPr>
            <w:r>
              <w:t>4.</w:t>
            </w:r>
            <w:r>
              <w:tab/>
              <w:t>Igal liikmesriigil on üks riiklik juurdepääsupunkt.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107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5</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w:t>
            </w:r>
            <w:r>
              <w:tab/>
              <w:t>Artikli 10 lõikega 1, artikli 13 lõikega 1, artikli 14 lõikega 1 ja 14a lõikega 1 hõlmatud isikute andmeid, mida töödeldakse kesksüsteemis, töödeldakse päritoluliikmesriigi nimel vastavalt käesolevas määruses sätestatud tingimustele ja üksteisest asjakohaste tehniliste vahenditega</w:t>
            </w:r>
            <w:r>
              <w:rPr>
                <w:b/>
                <w:i/>
              </w:rPr>
              <w:t xml:space="preserve"> eraldatult</w:t>
            </w:r>
            <w:r>
              <w:t>.</w:t>
            </w:r>
          </w:p>
        </w:tc>
        <w:tc>
          <w:tcPr>
            <w:tcW w:w="4876" w:type="dxa"/>
            <w:hideMark/>
          </w:tcPr>
          <w:p w:rsidR="00F528F9" w:rsidRPr="00E66FD7" w:rsidRDefault="00F528F9" w:rsidP="00167072">
            <w:pPr>
              <w:pStyle w:val="Normal6"/>
              <w:rPr>
                <w:szCs w:val="24"/>
              </w:rPr>
            </w:pPr>
            <w:r>
              <w:t>5.</w:t>
            </w:r>
            <w:r>
              <w:tab/>
              <w:t xml:space="preserve">Artikli 10 lõikega 1, artikli 13 lõikega 1, artikli 14 lõikega 1 ja 14a lõikega 1 hõlmatud isikute </w:t>
            </w:r>
            <w:r>
              <w:rPr>
                <w:b/>
                <w:i/>
              </w:rPr>
              <w:t xml:space="preserve">biomeetrilisi </w:t>
            </w:r>
            <w:r>
              <w:t xml:space="preserve">andmeid, mida töödeldakse kesksüsteemis, töödeldakse päritoluliikmesriigi nimel vastavalt käesolevas määruses sätestatud tingimustele </w:t>
            </w:r>
            <w:r>
              <w:rPr>
                <w:b/>
                <w:i/>
              </w:rPr>
              <w:t xml:space="preserve">ning vastavalt vajadusele kooskõlas määrusega (EL) 2016/679, määrusega (EL) 2018/1725 </w:t>
            </w:r>
            <w:r>
              <w:t xml:space="preserve">ja </w:t>
            </w:r>
            <w:r>
              <w:rPr>
                <w:b/>
                <w:i/>
              </w:rPr>
              <w:t xml:space="preserve">direktiiviga (EL) 2016/680, ja need eraldatakse </w:t>
            </w:r>
            <w:r>
              <w:t>üksteisest asjakohaste tehniliste vahenditega.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108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5</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w:t>
            </w:r>
            <w:r>
              <w:tab/>
              <w:t>Artikli 10 lõikega 1</w:t>
            </w:r>
            <w:r>
              <w:rPr>
                <w:b/>
                <w:i/>
              </w:rPr>
              <w:t>,</w:t>
            </w:r>
            <w:r>
              <w:t xml:space="preserve"> artikli 13</w:t>
            </w:r>
            <w:r>
              <w:rPr>
                <w:b/>
                <w:i/>
              </w:rPr>
              <w:t xml:space="preserve"> lõikega 1, artikli 14 lõikega 1 ja 14a</w:t>
            </w:r>
            <w:r>
              <w:t xml:space="preserve"> lõikega 1 hõlmatud isikute andmeid, mida töödeldakse kesksüsteemis, töödeldakse päritoluliikmesriigi nimel vastavalt käesolevas määruses sätestatud tingimustele ja üksteisest asjakohaste tehniliste vahenditega eraldatult.</w:t>
            </w:r>
          </w:p>
        </w:tc>
        <w:tc>
          <w:tcPr>
            <w:tcW w:w="4876" w:type="dxa"/>
            <w:hideMark/>
          </w:tcPr>
          <w:p w:rsidR="00F528F9" w:rsidRPr="00E66FD7" w:rsidRDefault="00F528F9" w:rsidP="00167072">
            <w:pPr>
              <w:pStyle w:val="Normal6"/>
              <w:rPr>
                <w:szCs w:val="24"/>
              </w:rPr>
            </w:pPr>
            <w:r>
              <w:t>5.</w:t>
            </w:r>
            <w:r>
              <w:tab/>
              <w:t>Artikli 10 lõikega 1</w:t>
            </w:r>
            <w:r>
              <w:rPr>
                <w:b/>
                <w:i/>
              </w:rPr>
              <w:t xml:space="preserve"> ja</w:t>
            </w:r>
            <w:r>
              <w:t xml:space="preserve"> artikli 13 lõikega 1 hõlmatud isikute andmeid, mida töödeldakse kesksüsteemis, töödeldakse päritoluliikmesriigi nimel vastavalt käesolevas määruses sätestatud tingimustele ja üksteisest asjakohaste tehniliste vahenditega eraldatult.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109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6</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6.</w:t>
            </w:r>
            <w:r>
              <w:tab/>
              <w:t xml:space="preserve">Kõik Eurodac-süsteemis registreeritud andmekogumid, mis puudutavad üht ja sama kolmanda riigi kodanikku või kodakondsuseta isikut, lingitakse üheks jadaks. Kui kolmanda riigi kodaniku või kodakondsuseta isiku andmekogumis olevate sõrmejälgede põhjal päringut tehes leitakse kokkulangevus vähemalt ühe sõrmejäljekomplektiga mõnes teises andmekogumis, mis vastab sellelesamale kolmanda riigi kodanikule või kodakondsuseta isikule, lingib Eurodac-süsteem need andmekogumid sõrmejälgede võrdlemise põhjal automaatselt. </w:t>
            </w:r>
            <w:r>
              <w:rPr>
                <w:b/>
                <w:i/>
              </w:rPr>
              <w:t>Vajaduse korral kontrollib</w:t>
            </w:r>
            <w:r>
              <w:t xml:space="preserve"> ja </w:t>
            </w:r>
            <w:r>
              <w:rPr>
                <w:b/>
                <w:i/>
              </w:rPr>
              <w:t>kinnitab</w:t>
            </w:r>
            <w:r>
              <w:t xml:space="preserve"> sõrmejälgede võrdlust kooskõlas artikliga 26 sõrmejäljeekspert. Kui vastuvõttev liikmesriik kokkulangevuse kinnitab, </w:t>
            </w:r>
            <w:r>
              <w:lastRenderedPageBreak/>
              <w:t>saadab ta teate eu-LISA-le, kes kinnitab linkimise.</w:t>
            </w:r>
          </w:p>
        </w:tc>
        <w:tc>
          <w:tcPr>
            <w:tcW w:w="4876" w:type="dxa"/>
            <w:hideMark/>
          </w:tcPr>
          <w:p w:rsidR="00F528F9" w:rsidRPr="00E66FD7" w:rsidRDefault="00F528F9" w:rsidP="00167072">
            <w:pPr>
              <w:pStyle w:val="Normal6"/>
              <w:rPr>
                <w:szCs w:val="24"/>
              </w:rPr>
            </w:pPr>
            <w:r>
              <w:lastRenderedPageBreak/>
              <w:t>6.</w:t>
            </w:r>
            <w:r>
              <w:tab/>
              <w:t xml:space="preserve">Kõik Eurodac-süsteemis registreeritud andmekogumid, mis puudutavad üht ja sama kolmanda riigi kodanikku või kodakondsuseta isikut, lingitakse üheks jadaks. Kui kolmanda riigi kodaniku või kodakondsuseta isiku andmekogumis olevate sõrmejälgede põhjal päringut tehes leitakse kokkulangevus vähemalt ühe sõrmejäljekomplektiga mõnes teises andmekogumis, mis vastab sellelesamale kolmanda riigi kodanikule või kodakondsuseta isikule, lingib Eurodac-süsteem need andmekogumid sõrmejälgede võrdlemise põhjal automaatselt. </w:t>
            </w:r>
            <w:r>
              <w:rPr>
                <w:b/>
                <w:i/>
              </w:rPr>
              <w:t xml:space="preserve">Andmekogumite linkimine ei pikenda mingil juhul käesoleva määruse artiklites 17 ja 18 osutatud andmete säilitamist kauemaks kui iga konkreetse </w:t>
            </w:r>
            <w:r>
              <w:rPr>
                <w:b/>
                <w:i/>
              </w:rPr>
              <w:lastRenderedPageBreak/>
              <w:t>andmekogumi jaoks ette nähtud ajavahemik, mis ei tohi olla pikem kui viis aastat alates biomeetriliste andmete esmakordsest võtmisest. Lingi olemasolu kustutatakse ühisest isikuandmete hoidlast ja kesksüsteemist kohe, kui andmesubjekti andmed Eurodac-süsteemist kustutatakse.</w:t>
            </w:r>
            <w:r>
              <w:t xml:space="preserve"> Sõrmejälgede võrdlust </w:t>
            </w:r>
            <w:r>
              <w:rPr>
                <w:b/>
                <w:i/>
              </w:rPr>
              <w:t xml:space="preserve">kontrollib ja kinnitab </w:t>
            </w:r>
            <w:r>
              <w:t>kooskõlas artikliga 26 sõrmejäljeekspert.</w:t>
            </w:r>
            <w:r>
              <w:rPr>
                <w:b/>
                <w:i/>
              </w:rPr>
              <w:t xml:space="preserve"> </w:t>
            </w:r>
            <w:r>
              <w:t xml:space="preserve">Kui </w:t>
            </w:r>
            <w:r>
              <w:rPr>
                <w:b/>
                <w:i/>
              </w:rPr>
              <w:t>saadud tulemus ei ole kindel, peaks kaalutlusruum olema alati kasulik taotlejale.</w:t>
            </w:r>
            <w:r>
              <w:t xml:space="preserve"> </w:t>
            </w:r>
            <w:r>
              <w:rPr>
                <w:b/>
                <w:i/>
              </w:rPr>
              <w:t xml:space="preserve">Kui </w:t>
            </w:r>
            <w:r>
              <w:t xml:space="preserve">vastuvõttev liikmesriik kokkulangevuse kinnitab, saadab ta teate eu-LISA-le, kes kinnitab linkimise. </w:t>
            </w:r>
            <w:r>
              <w:rPr>
                <w:b/>
                <w:i/>
              </w:rPr>
              <w:t>Linkimine ei muuda riiklike pädevate asutuste ning ELi ametite ja organite juurdepääsu Eurodac-süsteemi andmetele, nagu on ette nähtud käesoleva määrusega, ning see piirdub sellega, et andmed on vajalikud nende ülesannete täitmiseks kooskõlas kõnealuste eesmärkidega ja proportsionaalsed taotletavate eesmärkidega.</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6</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6.</w:t>
            </w:r>
            <w:r>
              <w:tab/>
              <w:t xml:space="preserve">Kõik Eurodac-süsteemis registreeritud andmekogumid, mis puudutavad üht ja sama kolmanda riigi kodanikku või kodakondsuseta isikut, lingitakse üheks jadaks. Kui kolmanda riigi kodaniku või kodakondsuseta isiku andmekogumis olevate sõrmejälgede põhjal päringut tehes leitakse kokkulangevus vähemalt ühe sõrmejäljekomplektiga mõnes teises andmekogumis, mis vastab sellelesamale </w:t>
            </w:r>
            <w:r>
              <w:lastRenderedPageBreak/>
              <w:t xml:space="preserve">kolmanda riigi kodanikule või kodakondsuseta isikule, lingib Eurodac-süsteem need andmekogumid sõrmejälgede võrdlemise põhjal automaatselt. </w:t>
            </w:r>
            <w:r>
              <w:rPr>
                <w:b/>
                <w:i/>
              </w:rPr>
              <w:t>Vajaduse korral</w:t>
            </w:r>
            <w:r>
              <w:t xml:space="preserve"> kontrollib ja kinnitab</w:t>
            </w:r>
            <w:r>
              <w:rPr>
                <w:b/>
                <w:i/>
              </w:rPr>
              <w:t xml:space="preserve"> sõrmejälgede võrdlust</w:t>
            </w:r>
            <w:r>
              <w:t xml:space="preserve"> kooskõlas artikliga 26 sõrmejäljeekspert. Kui vastuvõttev liikmesriik kokkulangevuse kinnitab, saadab ta teate eu-LISA-le, kes kinnitab linkimise.</w:t>
            </w:r>
          </w:p>
        </w:tc>
        <w:tc>
          <w:tcPr>
            <w:tcW w:w="4876" w:type="dxa"/>
            <w:hideMark/>
          </w:tcPr>
          <w:p w:rsidR="00F528F9" w:rsidRPr="00E66FD7" w:rsidRDefault="00F528F9" w:rsidP="00167072">
            <w:pPr>
              <w:pStyle w:val="Normal6"/>
              <w:rPr>
                <w:szCs w:val="24"/>
              </w:rPr>
            </w:pPr>
            <w:r>
              <w:lastRenderedPageBreak/>
              <w:t>6.</w:t>
            </w:r>
            <w:r>
              <w:tab/>
              <w:t xml:space="preserve">Kõik Eurodac-süsteemis registreeritud andmekogumid, mis puudutavad üht ja sama kolmanda riigi kodanikku või kodakondsuseta isikut, lingitakse üheks jadaks. Kui kolmanda riigi kodaniku või kodakondsuseta isiku andmekogumis olevate sõrmejälgede põhjal päringut tehes leitakse kokkulangevus vähemalt ühe sõrmejäljekomplektiga mõnes teises andmekogumis, mis vastab sellelesamale </w:t>
            </w:r>
            <w:r>
              <w:lastRenderedPageBreak/>
              <w:t xml:space="preserve">kolmanda riigi kodanikule või kodakondsuseta isikule, lingib Eurodac-süsteem need andmekogumid sõrmejälgede võrdlemise põhjal automaatselt. </w:t>
            </w:r>
            <w:r>
              <w:rPr>
                <w:b/>
                <w:i/>
              </w:rPr>
              <w:t>Sõrmejälgede võrdlust</w:t>
            </w:r>
            <w:r>
              <w:t xml:space="preserve"> kontrollib ja kinnitab kooskõlas artikliga 26 sõrmejäljeekspert. Kui vastuvõttev liikmesriik kokkulangevuse kinnitab, saadab ta teate eu-LISA-le, kes kinnitab linkimise. </w:t>
            </w:r>
            <w:r>
              <w:rPr>
                <w:b/>
                <w:i/>
              </w:rPr>
              <w:t>Andmekogumite linkimine ei pikenda mingil juhul käesoleva määruse artiklites 17 ja 18 osutatud andmete säilitamist kauemaks kui iga konkreetse andmekogumi jaoks ette nähtud ajavahemik, mis ei tohi olla pikem kui viis aastat alates biomeetriliste andmete esmakordsest võtmisest. Lingi olemasolu tuleks automaatselt kustutada, kui kirje on kustutatud, ning see ei tohiks olla pädevatele riiklikele asutustele ega ELi asutustele nähtav. Kui liikmesriikide määratud asutused ja ELi asutused teevad päringuid ühisest isikuandmete hoidlast või Eurodaci kesksüsteemist, on neil õigus pääseda juurde ainult andmetele, mis on rangelt vajalikud nende eriülesannete täitmiseks, isegi kui need on lingitud muude järjestikku olevate kirjetega.</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6</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6.</w:t>
            </w:r>
            <w:r>
              <w:tab/>
              <w:t xml:space="preserve">Kõik Eurodac-süsteemis registreeritud andmekogumid, mis puudutavad üht ja sama kolmanda riigi kodanikku või kodakondsuseta isikut, lingitakse üheks jadaks. Kui kolmanda riigi kodaniku või kodakondsuseta isiku andmekogumis olevate sõrmejälgede </w:t>
            </w:r>
            <w:r>
              <w:lastRenderedPageBreak/>
              <w:t xml:space="preserve">põhjal päringut tehes leitakse kokkulangevus vähemalt ühe sõrmejäljekomplektiga mõnes teises andmekogumis, mis vastab sellelesamale kolmanda riigi kodanikule või kodakondsuseta isikule, lingib Eurodac-süsteem need andmekogumid sõrmejälgede võrdlemise põhjal automaatselt. </w:t>
            </w:r>
            <w:r>
              <w:rPr>
                <w:b/>
                <w:i/>
              </w:rPr>
              <w:t>Vajaduse korral</w:t>
            </w:r>
            <w:r>
              <w:t xml:space="preserve"> kontrollib ja kinnitab sõrmejälgede võrdlust kooskõlas artikliga 26 sõrmejäljeekspert. Kui vastuvõttev liikmesriik kokkulangevuse kinnitab, saadab ta teate eu-LISA-le, kes kinnitab linkimise.</w:t>
            </w:r>
          </w:p>
        </w:tc>
        <w:tc>
          <w:tcPr>
            <w:tcW w:w="4876" w:type="dxa"/>
            <w:hideMark/>
          </w:tcPr>
          <w:p w:rsidR="00F528F9" w:rsidRPr="00E66FD7" w:rsidRDefault="00F528F9" w:rsidP="00167072">
            <w:pPr>
              <w:pStyle w:val="Normal6"/>
              <w:rPr>
                <w:szCs w:val="24"/>
              </w:rPr>
            </w:pPr>
            <w:r>
              <w:lastRenderedPageBreak/>
              <w:t>6.</w:t>
            </w:r>
            <w:r>
              <w:tab/>
              <w:t xml:space="preserve">Kõik Eurodac-süsteemis registreeritud andmekogumid, mis puudutavad üht ja sama kolmanda riigi kodanikku või kodakondsuseta isikut, lingitakse üheks jadaks. Kui kolmanda riigi kodaniku või kodakondsuseta isiku andmekogumis olevate sõrmejälgede </w:t>
            </w:r>
            <w:r>
              <w:lastRenderedPageBreak/>
              <w:t xml:space="preserve">põhjal päringut tehes leitakse kokkulangevus vähemalt ühe sõrmejäljekomplektiga mõnes teises andmekogumis, mis vastab sellelesamale kolmanda riigi kodanikule või kodakondsuseta isikule, lingib Eurodac-süsteem need andmekogumid sõrmejälgede võrdlemise põhjal automaatselt. </w:t>
            </w:r>
            <w:r>
              <w:rPr>
                <w:b/>
                <w:i/>
              </w:rPr>
              <w:t>Siiski peab nii liikmesriikide määratud ametiasutuste kui ka Euroopa Liidu volitatud asutuste juurdepääs olema rangelt reguleeritud, et kaitsta tõhusalt isiku õigust eraelu puutumatusele ja andmekaitsele. Seega peab selline juurdepääs olema ajaliselt piiratud ja piirduma andmetega, mis on asjakohased nende ülesannete väga spetsiifilisel täitmisel. Lisaks</w:t>
            </w:r>
            <w:r>
              <w:t xml:space="preserve"> kontrollib ja kinnitab </w:t>
            </w:r>
            <w:r>
              <w:rPr>
                <w:b/>
                <w:i/>
              </w:rPr>
              <w:t xml:space="preserve">kahtluse korral </w:t>
            </w:r>
            <w:r>
              <w:t>sõrmejälgede võrdlust kooskõlas artikliga 26 sõrmejäljeekspert</w:t>
            </w:r>
            <w:r>
              <w:rPr>
                <w:b/>
                <w:i/>
              </w:rPr>
              <w:t>. Kui Eurodac-süsteemis registreeritud andmekogum kustutatakse, kustutatakse automaatselt ka lingi olemasolu sellele andmekogumile</w:t>
            </w:r>
            <w:r>
              <w:t>. Kui vastuvõttev liikmesriik kokkulangevuse kinnitab, saadab ta teate eu-LISA-le, kes kinnitab linkimise.</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Hilde Vautmans, Jan-Christoph Oetjen, Sophia in 't Veld, Yana Toom</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6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6a.</w:t>
            </w:r>
            <w:r>
              <w:rPr>
                <w:b/>
                <w:i/>
              </w:rPr>
              <w:tab/>
              <w:t xml:space="preserve">Alaealiste puhul peaks juurdepääs Eurodac-süsteemile olema ainult lastega kaubitsemise ennetamise, avastamise ja uurimise eest vastutavatel riiklikel õiguskaitseasutustel ning Europolil, et kaitsta inimkaubanduse lapsohvreid. Küsimust, kas alla 14-aastaste laste puhul on üldine juurdepääs Eurodac-süsteemile </w:t>
            </w:r>
            <w:r>
              <w:rPr>
                <w:b/>
                <w:i/>
              </w:rPr>
              <w:lastRenderedPageBreak/>
              <w:t>õiguskaitseasutuste jaoks artikli 1 lõike 1 punkti d alusel proportsionaalne, hinnatakse lisatõendite põhjal, mis tõendavad nende andmete asjakohasust terrorismi ja muude raskete kuritegude vastu võitlemisel.</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 artikkel 4 – lõige 7</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7.</w:t>
            </w:r>
            <w:r>
              <w:tab/>
              <w:t>Eurodac-süsteemi reguleerivaid eeskirju kohaldatakse ka liikmesriikide toimingute suhtes alates andmete edastamisest kesksüsteemi kuni võrdlustulemuste kasutamiseni.“;</w:t>
            </w:r>
          </w:p>
        </w:tc>
        <w:tc>
          <w:tcPr>
            <w:tcW w:w="4876" w:type="dxa"/>
            <w:hideMark/>
          </w:tcPr>
          <w:p w:rsidR="00F528F9" w:rsidRPr="00E66FD7" w:rsidRDefault="00F528F9" w:rsidP="00167072">
            <w:pPr>
              <w:pStyle w:val="Normal6"/>
              <w:rPr>
                <w:szCs w:val="24"/>
              </w:rPr>
            </w:pPr>
            <w:r>
              <w:t>7.</w:t>
            </w:r>
            <w:r>
              <w:tab/>
              <w:t xml:space="preserve">Eurodac-süsteemi reguleerivaid eeskirju kohaldatakse ka liikmesriikide toimingute suhtes alates andmete edastamisest kesksüsteemi </w:t>
            </w:r>
            <w:r>
              <w:rPr>
                <w:b/>
                <w:i/>
              </w:rPr>
              <w:t xml:space="preserve">või ühisesse isikuandmete hoidlasse </w:t>
            </w:r>
            <w:r>
              <w:t>kuni võrdlustulemuste kasutamiseni.“;</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Jan-Christoph Oetjen, Sophia in 't Veld, Hilde Vautmans, Yana Toom</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11 a (uus) – artikkel 5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(11a)</w:t>
            </w:r>
            <w:r>
              <w:rPr>
                <w:b/>
                <w:i/>
              </w:rPr>
              <w:tab/>
              <w:t xml:space="preserve"> Artikli 5 lõige 1 asendatakse järgmisega:</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1. Enne muudetud Eurodac-süsteemi kasutuselevõtmist tuleb nõuetekohaselt ajakohastada Eurodaci äri- ja tehnilise keskkonna turvaraamistikku kooskõlas ELi andmekaitsedirektiivi</w:t>
            </w:r>
            <w:r>
              <w:rPr>
                <w:b/>
                <w:i/>
                <w:vertAlign w:val="superscript"/>
              </w:rPr>
              <w:t>1a</w:t>
            </w:r>
            <w:r>
              <w:rPr>
                <w:b/>
                <w:i/>
              </w:rPr>
              <w:t xml:space="preserve"> artikliga 33. Amet eu-LISA vastutab Eurodaci operatiivjuhtimise eest.</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__________________</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sidRPr="00323D3E">
              <w:rPr>
                <w:b/>
                <w:i/>
                <w:vertAlign w:val="superscript"/>
              </w:rPr>
              <w:t>1a</w:t>
            </w:r>
            <w:r>
              <w:rPr>
                <w:b/>
                <w:i/>
              </w:rPr>
              <w:t xml:space="preserve"> Euroopa Parlamendi ja nõukogu 23. oktoobri 2018. aasta määruse (EL) 2018/1725 (mis käsitleb füüsiliste isikute kaitset isikuandmete töötlemisel liidu institutsioonides, organites ja asutustes ning isikuandmete vaba liikumist, ning millega tunnistatakse kehtetuks määrus (EÜ) nr 45/2001 ja otsus nr 1247/2002/EÜ) artikkel 33.</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Eurodaci laiendatud kohaldamisala ja biomeetriliste andmete säilitamine koos muude isikut tõendavate andmete ja isikut tõendavate dokumentide värvikoopiatega suurendavad märkimisväärselt riske isikuandmetega seotud rikkumiste või muude turvaintsidentide korral.</w:t>
      </w:r>
    </w:p>
    <w:p w:rsidR="00F528F9"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12 – artikkel 8a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jc w:val="center"/>
            </w:pPr>
            <w:r>
              <w:rPr>
                <w:b/>
                <w:i/>
              </w:rPr>
              <w:t>Artikkel 8a</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jc w:val="center"/>
            </w:pPr>
            <w:r>
              <w:rPr>
                <w:b/>
                <w:i/>
              </w:rPr>
              <w:t>Koostalitlusvõime ETIASega</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1.</w:t>
            </w:r>
            <w:r>
              <w:rPr>
                <w:b/>
                <w:i/>
              </w:rPr>
              <w:tab/>
              <w:t xml:space="preserve">Alates [käesoleva määruse kohaldamise alguskuupäev] on Eurodac-süsteemi kesksüsteem ühendatud määruse </w:t>
            </w:r>
            <w:r>
              <w:rPr>
                <w:b/>
                <w:i/>
              </w:rPr>
              <w:lastRenderedPageBreak/>
              <w:t>(EL) 2019/818 artiklis 6 osutatud Euroopa otsinguportaaliga, et võimaldada määruse (EL) 2018/1240 artiklis 11 osutatud automaatset menetlemist.</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2.</w:t>
            </w:r>
            <w:r>
              <w:rPr>
                <w:b/>
                <w:i/>
              </w:rPr>
              <w:tab/>
              <w:t>Määruse (EL) 2018/1240 artiklis 11 osutatud automaatne menetlemine võimaldab teha kõnealuse määruse artiklis 20 osutatud kontrolle ning nimetatud määruse artiklites 22 ja 26 osutatud järgnevaid kontrolle.</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Määruse (EL) 2018/1240 artikli 20 lõike 2 punktis k osutatud kontrolli tegemise eesmärgil kasutab ETIASe kesksüsteem Euroopa otsinguportaali, et võrrelda ETIASe andmeid Eurodac-süsteemi andmetega, mis on kogutud käesoleva määruse artiklite 12, 13, 14 ja 14a alusel ja mis puudutavad isikuid, kes on liikmesriikide territooriumilt lahkunud või sealt välja saadetud vastavalt tagasisaatmisotsusele või väljasaatmiskorraldusele, ja kasutades käesoleva määruse II lisas esitatud vastavustabelit.</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Kontrollide tegemine ei piira määruse (EL) 2018/1240 artikli 24 lõikes 3 sätestatud erieeskirjade kohaldamist.</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8a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Alates [käesoleva määruse kohaldamise alguskuupäev] on Eurodac-süsteemi </w:t>
            </w:r>
            <w:r>
              <w:rPr>
                <w:b/>
                <w:i/>
              </w:rPr>
              <w:t>kesksüsteem</w:t>
            </w:r>
            <w:r>
              <w:t xml:space="preserve"> ühendatud määruse (EL) 2019/818 artiklis 6 osutatud Euroopa otsinguportaaliga, et võimaldada määruse (EL) 2018/1240 artiklis </w:t>
            </w:r>
            <w:r>
              <w:rPr>
                <w:b/>
                <w:i/>
              </w:rPr>
              <w:t>11</w:t>
            </w:r>
            <w:r>
              <w:t xml:space="preserve"> osutatud </w:t>
            </w:r>
            <w:r>
              <w:lastRenderedPageBreak/>
              <w:t>automaatset menetlemist.</w:t>
            </w:r>
          </w:p>
        </w:tc>
        <w:tc>
          <w:tcPr>
            <w:tcW w:w="4876" w:type="dxa"/>
            <w:hideMark/>
          </w:tcPr>
          <w:p w:rsidR="00F528F9" w:rsidRPr="00E66FD7" w:rsidRDefault="00F528F9" w:rsidP="00167072">
            <w:pPr>
              <w:pStyle w:val="Normal6"/>
              <w:rPr>
                <w:szCs w:val="24"/>
              </w:rPr>
            </w:pPr>
            <w:r>
              <w:lastRenderedPageBreak/>
              <w:t>1.</w:t>
            </w:r>
            <w:r>
              <w:tab/>
              <w:t xml:space="preserve">Alates [käesoleva määruse kohaldamise alguskuupäev] on Eurodac-süsteemi </w:t>
            </w:r>
            <w:r>
              <w:rPr>
                <w:b/>
                <w:i/>
              </w:rPr>
              <w:t>ühine isikuandmete hoidla (CIR)</w:t>
            </w:r>
            <w:r>
              <w:t xml:space="preserve"> ühendatud määruse (EL) 2019/818 artiklis 6 osutatud Euroopa otsinguportaaliga, et võimaldada määruse (EL) 2018/1240 artiklis </w:t>
            </w:r>
            <w:r>
              <w:rPr>
                <w:b/>
                <w:i/>
              </w:rPr>
              <w:t>20</w:t>
            </w:r>
            <w:r>
              <w:t xml:space="preserve"> osutatud </w:t>
            </w:r>
            <w:r>
              <w:lastRenderedPageBreak/>
              <w:t>automaatset menetlemist.</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8a – lõige 2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Määruse (EL) 2018/1240 artiklis </w:t>
            </w:r>
            <w:r>
              <w:rPr>
                <w:b/>
                <w:i/>
              </w:rPr>
              <w:t>11</w:t>
            </w:r>
            <w:r>
              <w:t xml:space="preserve"> osutatud automaatne menetlemine võimaldab teha kõnealuse määruse artiklis 20 osutatud kontrolle ning nimetatud määruse artiklites 22 ja 26 osutatud järgnevaid kontrolle.</w:t>
            </w:r>
          </w:p>
        </w:tc>
        <w:tc>
          <w:tcPr>
            <w:tcW w:w="4876" w:type="dxa"/>
            <w:hideMark/>
          </w:tcPr>
          <w:p w:rsidR="00F528F9" w:rsidRPr="00E66FD7" w:rsidRDefault="00F528F9" w:rsidP="00167072">
            <w:pPr>
              <w:pStyle w:val="Normal6"/>
              <w:rPr>
                <w:szCs w:val="24"/>
              </w:rPr>
            </w:pPr>
            <w:r>
              <w:t>2.</w:t>
            </w:r>
            <w:r>
              <w:tab/>
              <w:t>Määruse (EL) 2018/1240 artiklis </w:t>
            </w:r>
            <w:r>
              <w:rPr>
                <w:b/>
                <w:i/>
              </w:rPr>
              <w:t>20</w:t>
            </w:r>
            <w:r>
              <w:t xml:space="preserve"> osutatud automaatne menetlemine võimaldab teha kõnealuse määruse artiklis 20 osutatud kontrolle ning nimetatud määruse artiklites 22 ja 26 osutatud järgnevaid kontrolle.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8a – lõige 2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Määruse (EL) 2018/1240 artikli 20 lõike 2 punktis k osutatud kontrolli tegemise eesmärgil kasutab ETIASe kesküsteem Euroopa otsinguportaali, et võrrelda ETIASe andmeid Eurodac-süsteemi andmetega, mis on kogutud käesoleva määruse artiklite 12, 13</w:t>
            </w:r>
            <w:r>
              <w:rPr>
                <w:b/>
                <w:i/>
              </w:rPr>
              <w:t>, 14</w:t>
            </w:r>
            <w:r>
              <w:t xml:space="preserve"> ja 14a alusel </w:t>
            </w:r>
            <w:r>
              <w:rPr>
                <w:b/>
                <w:i/>
              </w:rPr>
              <w:t>ja mis puudutavad isikuid</w:t>
            </w:r>
            <w:r>
              <w:t xml:space="preserve">, </w:t>
            </w:r>
            <w:r>
              <w:rPr>
                <w:b/>
                <w:i/>
              </w:rPr>
              <w:t xml:space="preserve">kes on liikmesriikide territooriumilt lahkunud või sealt välja saadetud vastavalt tagasisaatmisotsusele või väljasaatmiskorraldusele, ja </w:t>
            </w:r>
            <w:r>
              <w:t>kasutades käesoleva määruse II lisas esitatud vastavustabelit.</w:t>
            </w:r>
          </w:p>
        </w:tc>
        <w:tc>
          <w:tcPr>
            <w:tcW w:w="4876" w:type="dxa"/>
            <w:hideMark/>
          </w:tcPr>
          <w:p w:rsidR="00F528F9" w:rsidRPr="00E66FD7" w:rsidRDefault="00F528F9" w:rsidP="00167072">
            <w:pPr>
              <w:pStyle w:val="Normal6"/>
              <w:rPr>
                <w:szCs w:val="24"/>
              </w:rPr>
            </w:pPr>
            <w:r>
              <w:t xml:space="preserve">Määruse (EL) 2018/1240 artikli 20 lõike 2 punktis k osutatud kontrolli tegemise eesmärgil kasutab ETIASe kesküsteem Euroopa otsinguportaali, et võrrelda ETIASe andmeid Eurodac-süsteemi andmetega, mis on kogutud käesoleva määruse artiklite 12, 13 ja 14a alusel </w:t>
            </w:r>
            <w:r>
              <w:rPr>
                <w:b/>
                <w:i/>
              </w:rPr>
              <w:t>kirjutuskaitstud vormis</w:t>
            </w:r>
            <w:r>
              <w:t xml:space="preserve">, kasutades käesoleva määruse II lisas esitatud vastavustabelit. </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119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8b</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jc w:val="center"/>
            </w:pPr>
            <w:r>
              <w:rPr>
                <w:b/>
                <w:i/>
              </w:rPr>
              <w:t>Artikkel 8b</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jc w:val="center"/>
            </w:pPr>
            <w:r>
              <w:rPr>
                <w:b/>
                <w:i/>
              </w:rPr>
              <w:t>Eurodac-süsteemi kasutamine taotluste mitteautomaatseks menetlemiseks ETIASe riiklikes üksustes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1.</w:t>
            </w:r>
            <w:r>
              <w:rPr>
                <w:b/>
                <w:i/>
              </w:rPr>
              <w:tab/>
              <w:t>Eurodac-süsteemis päringute tegemiseks kasutavad ETIASe riiklikud üksused samu tähtnumbrilisi andmeid, mida kasutatakse artiklis 8a osutatud automaatseks menetlemiseks.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2.</w:t>
            </w:r>
            <w:r>
              <w:rPr>
                <w:b/>
                <w:i/>
              </w:rPr>
              <w:tab/>
              <w:t>Artikli 1 lõike 1 punkti f kohaldamisel saavad ETIASe riiklikud üksused reisiloataotluste läbivaatamiseks juurdepääsu riiki sisenemise ja riigist lahkumise süsteemile ning võimaluse selle andmetega kirjutuskaitstud vormis tutvuda. Eelkõige võivad ETIASe riiklikud üksused tutvuda artiklites 12, 13, 14 ja 14a osutatud andmetega.</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3.</w:t>
            </w:r>
            <w:r>
              <w:rPr>
                <w:b/>
                <w:i/>
              </w:rPr>
              <w:tab/>
              <w:t>Pärast päringu tegemist ja Eurodac-süsteemi kasutamist vastavalt käesoleva artikli lõigetele 1 ja 2 registreeritakse hindamise tulemus ainult ETIASe taotlustoimikutes.</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8b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r>
            <w:r>
              <w:rPr>
                <w:b/>
                <w:i/>
              </w:rPr>
              <w:t>Artikli 1 lõike 1 punkti f kohaldamisel saavad ETIASe</w:t>
            </w:r>
            <w:r>
              <w:t xml:space="preserve"> riiklikud üksused reisiloataotluste läbivaatamiseks juurdepääsu </w:t>
            </w:r>
            <w:r>
              <w:rPr>
                <w:b/>
                <w:i/>
              </w:rPr>
              <w:t>riiki sisenemise</w:t>
            </w:r>
            <w:r>
              <w:t xml:space="preserve"> ja</w:t>
            </w:r>
            <w:r>
              <w:rPr>
                <w:b/>
                <w:i/>
              </w:rPr>
              <w:t xml:space="preserve"> riigist lahkumise süsteemile ning</w:t>
            </w:r>
            <w:r>
              <w:t xml:space="preserve"> võimaluse selle andmetega kirjutuskaitstud vormis tutvuda. Eelkõige võivad ETIASe riiklikud üksused tutvuda artiklites 12, 13, 14 ja 14a osutatud andmetega.</w:t>
            </w:r>
          </w:p>
        </w:tc>
        <w:tc>
          <w:tcPr>
            <w:tcW w:w="4876" w:type="dxa"/>
            <w:hideMark/>
          </w:tcPr>
          <w:p w:rsidR="00F528F9" w:rsidRPr="00E66FD7" w:rsidRDefault="00F528F9" w:rsidP="00167072">
            <w:pPr>
              <w:pStyle w:val="Normal6"/>
              <w:rPr>
                <w:szCs w:val="24"/>
              </w:rPr>
            </w:pPr>
            <w:r>
              <w:t>2.</w:t>
            </w:r>
            <w:r>
              <w:tab/>
            </w:r>
            <w:r>
              <w:rPr>
                <w:b/>
                <w:i/>
              </w:rPr>
              <w:t>ETIASe</w:t>
            </w:r>
            <w:r>
              <w:t xml:space="preserve"> riiklikud üksused</w:t>
            </w:r>
            <w:r>
              <w:rPr>
                <w:b/>
                <w:i/>
              </w:rPr>
              <w:t xml:space="preserve"> saavad</w:t>
            </w:r>
            <w:r>
              <w:t xml:space="preserve"> reisiloataotluste läbivaatamiseks juurdepääsu </w:t>
            </w:r>
            <w:r>
              <w:rPr>
                <w:b/>
                <w:i/>
              </w:rPr>
              <w:t>Eurodac-süsteemile</w:t>
            </w:r>
            <w:r>
              <w:t xml:space="preserve"> ja võimaluse selle andmetega kirjutuskaitstud vormis tutvuda. Eelkõige võivad ETIASe riiklikud üksused tutvuda artiklites 12, 13, 14 ja 14a osutatud andmetega.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8b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Artikli 1 lõike 1 punkti f kohaldamisel saavad ETIASe riiklikud üksused reisiloataotluste läbivaatamiseks </w:t>
            </w:r>
            <w:r>
              <w:rPr>
                <w:b/>
                <w:i/>
              </w:rPr>
              <w:t>juurdepääsu riiki sisenemise ja riigist lahkumise süsteemile</w:t>
            </w:r>
            <w:r>
              <w:t xml:space="preserve"> ning võimaluse selle andmetega kirjutuskaitstud vormis tutvuda. Eelkõige võivad ETIASe riiklikud üksused tutvuda artiklites 12, 13</w:t>
            </w:r>
            <w:r>
              <w:rPr>
                <w:b/>
                <w:i/>
              </w:rPr>
              <w:t>, 14</w:t>
            </w:r>
            <w:r>
              <w:t xml:space="preserve"> ja 14a osutatud andmetega.</w:t>
            </w:r>
          </w:p>
        </w:tc>
        <w:tc>
          <w:tcPr>
            <w:tcW w:w="4876" w:type="dxa"/>
            <w:hideMark/>
          </w:tcPr>
          <w:p w:rsidR="00F528F9" w:rsidRPr="00E66FD7" w:rsidRDefault="00F528F9" w:rsidP="00167072">
            <w:pPr>
              <w:pStyle w:val="Normal6"/>
              <w:rPr>
                <w:szCs w:val="24"/>
              </w:rPr>
            </w:pPr>
            <w:r>
              <w:t>2.</w:t>
            </w:r>
            <w:r>
              <w:tab/>
              <w:t xml:space="preserve">Artikli 1 lõike 1 punkti f kohaldamisel saavad ETIASe riiklikud üksused reisiloataotluste läbivaatamiseks </w:t>
            </w:r>
            <w:r>
              <w:rPr>
                <w:b/>
                <w:i/>
              </w:rPr>
              <w:t>ajutiselt juurdepääsu Eurodac-süsteemile</w:t>
            </w:r>
            <w:r>
              <w:t xml:space="preserve"> ning võimaluse selle andmetega kirjutuskaitstud vormis tutvuda. Eelkõige võivad ETIASe riiklikud üksused tutvuda artiklites 12, 13 ja 14a osutatud andmetega.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jc w:val="center"/>
            </w:pPr>
            <w:r>
              <w:rPr>
                <w:b/>
                <w:i/>
              </w:rPr>
              <w:t>Artikkel 8c</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jc w:val="center"/>
            </w:pPr>
            <w:r>
              <w:rPr>
                <w:b/>
                <w:i/>
              </w:rPr>
              <w:lastRenderedPageBreak/>
              <w:t>Viisasid väljastavate pädevate asutuste juurdepääs Eurodac-süsteemile</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Viisainfosüsteemi poolt vastavalt määruse (EÜ) nr 767/2008 artiklitele [9a ja 9c] tehtud automaatpäringute tulemusena leitud kokkulangevuste käsitsi kontrolliks ning viisataotluste läbivaatamiseks ja nende kohta otsuste tegemiseks vastavalt Euroopa Parlamendi ja nõukogu määruse (EÜ) nr 810/2009</w:t>
            </w:r>
            <w:r>
              <w:rPr>
                <w:b/>
                <w:i/>
                <w:vertAlign w:val="superscript"/>
              </w:rPr>
              <w:t>30</w:t>
            </w:r>
            <w:r>
              <w:rPr>
                <w:b/>
                <w:i/>
              </w:rPr>
              <w:t xml:space="preserve"> artiklile 21 on viisasid väljastavatel pädevatel asutustel juurdepääs Eurodac-süsteemile, et tutvuda kirjutuskaitstud vormis andmetega.</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__________________</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vertAlign w:val="superscript"/>
              </w:rPr>
              <w:t>30</w:t>
            </w:r>
            <w:r>
              <w:rPr>
                <w:b/>
                <w:i/>
              </w:rPr>
              <w:t xml:space="preserve"> Euroopa Parlamendi ja nõukogu 13. juuli 2009. aasta määrus (EÜ) nr 810/2009, millega kehtestatakse ühenduse viisaeeskiri (viisaeeskiri) (ELT L 243, 15.9.2009, lk 1–58).</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Viisainfosüsteemi poolt vastavalt määruse (EÜ) nr 767/2008 artiklitele [9a ja 9c] tehtud automaatpäringute tulemusena leitud kokkulangevuste käsitsi kontrolliks ning viisataotluste läbivaatamiseks ja nende kohta otsuste tegemiseks vastavalt Euroopa Parlamendi ja nõukogu määruse (EÜ) nr 810/2009</w:t>
            </w:r>
            <w:r>
              <w:rPr>
                <w:vertAlign w:val="superscript"/>
              </w:rPr>
              <w:t>30</w:t>
            </w:r>
            <w:r>
              <w:t xml:space="preserve"> artiklile 21 on viisasid väljastavatel pädevatel asutustel juurdepääs Eurodac-süsteemile, et tutvuda kirjutuskaitstud vormis andmetega.</w:t>
            </w:r>
          </w:p>
        </w:tc>
        <w:tc>
          <w:tcPr>
            <w:tcW w:w="4876" w:type="dxa"/>
            <w:hideMark/>
          </w:tcPr>
          <w:p w:rsidR="00F528F9" w:rsidRPr="00E66FD7" w:rsidRDefault="00F528F9" w:rsidP="00167072">
            <w:pPr>
              <w:pStyle w:val="Normal6"/>
              <w:rPr>
                <w:szCs w:val="24"/>
              </w:rPr>
            </w:pPr>
            <w:r>
              <w:t>Viisainfosüsteemi poolt vastavalt määruse (EÜ) nr 767/2008 artiklitele [9a ja 9c] tehtud automaatpäringute tulemusena leitud kokkulangevuste käsitsi kontrolliks ning viisataotluste läbivaatamiseks ja nende kohta otsuste tegemiseks vastavalt Euroopa Parlamendi ja nõukogu määruse (EÜ) nr 810/2009</w:t>
            </w:r>
            <w:r w:rsidRPr="00323D3E">
              <w:rPr>
                <w:b/>
                <w:i/>
                <w:vertAlign w:val="superscript"/>
              </w:rPr>
              <w:t>30a</w:t>
            </w:r>
            <w:r>
              <w:t xml:space="preserve"> artiklile 21 on viisasid väljastavatel pädevatel asutustel </w:t>
            </w:r>
            <w:r>
              <w:rPr>
                <w:b/>
                <w:i/>
              </w:rPr>
              <w:t xml:space="preserve">ajutine </w:t>
            </w:r>
            <w:r>
              <w:t xml:space="preserve">juurdepääs Eurodac-süsteemile, et tutvuda kirjutuskaitstud vormis andmetega. </w:t>
            </w:r>
          </w:p>
        </w:tc>
      </w:tr>
      <w:tr w:rsidR="00F528F9" w:rsidTr="00167072">
        <w:trPr>
          <w:jc w:val="center"/>
        </w:trPr>
        <w:tc>
          <w:tcPr>
            <w:tcW w:w="4876" w:type="dxa"/>
            <w:hideMark/>
          </w:tcPr>
          <w:p w:rsidR="00F528F9" w:rsidRPr="00E66FD7" w:rsidRDefault="00F528F9" w:rsidP="00167072">
            <w:pPr>
              <w:pStyle w:val="Normal6"/>
            </w:pPr>
            <w:r>
              <w:t>__________________</w:t>
            </w:r>
          </w:p>
        </w:tc>
        <w:tc>
          <w:tcPr>
            <w:tcW w:w="4876" w:type="dxa"/>
            <w:hideMark/>
          </w:tcPr>
          <w:p w:rsidR="00F528F9" w:rsidRPr="00E66FD7" w:rsidRDefault="00F528F9" w:rsidP="00167072">
            <w:pPr>
              <w:pStyle w:val="Normal6"/>
              <w:rPr>
                <w:szCs w:val="24"/>
              </w:rPr>
            </w:pPr>
            <w:r>
              <w:t>__________________</w:t>
            </w:r>
          </w:p>
        </w:tc>
      </w:tr>
      <w:tr w:rsidR="00F528F9" w:rsidTr="00167072">
        <w:trPr>
          <w:jc w:val="center"/>
        </w:trPr>
        <w:tc>
          <w:tcPr>
            <w:tcW w:w="4876" w:type="dxa"/>
            <w:hideMark/>
          </w:tcPr>
          <w:p w:rsidR="00F528F9" w:rsidRPr="00E66FD7" w:rsidRDefault="00F528F9" w:rsidP="00167072">
            <w:pPr>
              <w:pStyle w:val="Normal6"/>
            </w:pPr>
            <w:r>
              <w:rPr>
                <w:b/>
                <w:i/>
                <w:vertAlign w:val="superscript"/>
              </w:rPr>
              <w:t>30</w:t>
            </w:r>
            <w:r>
              <w:rPr>
                <w:b/>
                <w:i/>
              </w:rPr>
              <w:t xml:space="preserve"> Euroopa Parlamendi ja nõukogu </w:t>
            </w:r>
            <w:r>
              <w:rPr>
                <w:b/>
                <w:i/>
              </w:rPr>
              <w:lastRenderedPageBreak/>
              <w:t>13. juuli 2009. aasta määrus (EÜ) nr 810/2009, millega kehtestatakse ühenduse viisaeeskiri (viisaeeskiri) (ELT L 243, 15.9.2009, lk 1–58).</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vertAlign w:val="superscript"/>
              </w:rPr>
              <w:t>30a</w:t>
            </w:r>
            <w:r>
              <w:rPr>
                <w:b/>
                <w:i/>
              </w:rPr>
              <w:t xml:space="preserve"> Euroopa Parlamendi ja nõukogu 13. juuli 2009. aasta määrus (EÜ) nr 810/2009, millega kehtestatakse ühenduse viisaeeskiri (viisaeeskiri) (ELT L 243, 15.9.2009, lk 1).</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8d</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jc w:val="center"/>
            </w:pPr>
            <w:r>
              <w:rPr>
                <w:b/>
                <w:i/>
              </w:rPr>
              <w:t>Artikkel 8d</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jc w:val="center"/>
            </w:pPr>
            <w:r>
              <w:rPr>
                <w:b/>
                <w:i/>
              </w:rPr>
              <w:t>Koostalitlusvõime viisainfosüsteemiga</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Alates [määruse (EL) XXX/XXX (millega muudetakse VISi määrust) kohaldamise alguskuupäev] ühendatakse Eurodac-süsteem vastavalt kõnealuse määruse artiklile [9] määruse (EL) 2019/817 artiklis 6 osutatud Euroopa otsinguportaaliga, et võimaldada määruse (EÜ) nr 767/2008 artiklis [9a] osutatud automaatset menetlemist, et esitada Eurodac-süsteemis päringuid ja võrrelda viisainfosüsteemi asjaomaseid andmeid Eurodac-süsteemi asjaomaste andmetega. Kontrollide tegemine ei piira määruse 767/2008 artikli 9 punktis b sätestatud erieeskirjade kohaldamist.</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lastRenderedPageBreak/>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12 – artikkel 8d</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Alates [määruse (EL) XXX/XXX (millega muudetakse VISi määrust) kohaldamise alguskuupäev] ühendatakse Eurodac-süsteem vastavalt kõnealuse määruse artiklile [9] määruse (EL) 2019/817 artiklis 6 osutatud Euroopa otsinguportaaliga, et võimaldada määruse (EÜ) nr 767/2008 artiklis [9a] osutatud automaatset menetlemist, </w:t>
            </w:r>
            <w:r>
              <w:rPr>
                <w:b/>
                <w:i/>
              </w:rPr>
              <w:t xml:space="preserve">et </w:t>
            </w:r>
            <w:r>
              <w:t>esitada Eurodac-süsteemis päringuid ja võrrelda viisainfosüsteemi asjaomaseid andmeid Eurodac-süsteemi asjaomaste andmetega. Kontrollide tegemine ei piira määruse 767/2008 artikli 9 punktis b sätestatud erieeskirjade kohaldamist.</w:t>
            </w:r>
          </w:p>
        </w:tc>
        <w:tc>
          <w:tcPr>
            <w:tcW w:w="4876" w:type="dxa"/>
            <w:hideMark/>
          </w:tcPr>
          <w:p w:rsidR="00F528F9" w:rsidRPr="00E66FD7" w:rsidRDefault="00F528F9" w:rsidP="00167072">
            <w:pPr>
              <w:pStyle w:val="Normal6"/>
              <w:rPr>
                <w:szCs w:val="24"/>
              </w:rPr>
            </w:pPr>
            <w:r>
              <w:t>Alates [määruse (EL) XXX/XXX (millega muudetakse VISi määrust) kohaldamise alguskuupäev] ühendatakse Eurodac-süsteem vastavalt kõnealuse määruse artiklile [9] määruse (EL) 2019/817 artiklis 6 osutatud Euroopa otsinguportaaliga, et võimaldada määruse (EÜ) nr 767/2008 artiklis [9a] osutatud automaatset menetlemist, esitada Eurodac-süsteemis päringuid ja võrrelda viisainfosüsteemi asjaomaseid andmeid Eurodac-süsteemi asjaomaste andmetega. Kontrollide tegemine ei piira määruse 767/2008 artikli 9 punktis b sätestatud erieeskirjade kohaldamist.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b</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b)</w:t>
            </w:r>
            <w:r>
              <w:tab/>
              <w:t>tagasilükatud taotluse esitanute arv, mis saadakse artikli 4 lõikes 6 osutatud linkimisprotsessi tulemusena ja vastavalt artikli 12 punktile </w:t>
            </w:r>
            <w:r>
              <w:rPr>
                <w:b/>
                <w:i/>
              </w:rPr>
              <w:t>za</w:t>
            </w:r>
            <w:r>
              <w:t>;</w:t>
            </w:r>
          </w:p>
        </w:tc>
        <w:tc>
          <w:tcPr>
            <w:tcW w:w="4876" w:type="dxa"/>
            <w:hideMark/>
          </w:tcPr>
          <w:p w:rsidR="00F528F9" w:rsidRPr="00E66FD7" w:rsidRDefault="00F528F9" w:rsidP="00167072">
            <w:pPr>
              <w:pStyle w:val="Normal6"/>
              <w:rPr>
                <w:szCs w:val="24"/>
              </w:rPr>
            </w:pPr>
            <w:r>
              <w:t>b)</w:t>
            </w:r>
            <w:r>
              <w:tab/>
              <w:t>tagasilükatud taotluse esitanute arv, mis saadakse artikli 4 lõikes 6 osutatud linkimisprotsessi tulemusena ja vastavalt artikli 12 punktile </w:t>
            </w:r>
            <w:r>
              <w:rPr>
                <w:b/>
                <w:i/>
              </w:rPr>
              <w:t>x</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c)</w:t>
            </w:r>
            <w:r>
              <w:tab/>
              <w:t>artikli 10 lõikes 1</w:t>
            </w:r>
            <w:r>
              <w:rPr>
                <w:b/>
                <w:i/>
              </w:rPr>
              <w:t>,</w:t>
            </w:r>
            <w:r>
              <w:t xml:space="preserve"> artikli 13 lõikes 1, artikli</w:t>
            </w:r>
            <w:r>
              <w:rPr>
                <w:b/>
                <w:i/>
              </w:rPr>
              <w:t> 14</w:t>
            </w:r>
            <w:r>
              <w:t xml:space="preserve"> lõikes</w:t>
            </w:r>
            <w:r>
              <w:rPr>
                <w:b/>
                <w:i/>
              </w:rPr>
              <w:t> </w:t>
            </w:r>
            <w:r>
              <w:t xml:space="preserve">1 </w:t>
            </w:r>
            <w:r>
              <w:rPr>
                <w:b/>
                <w:i/>
              </w:rPr>
              <w:t>ja</w:t>
            </w:r>
            <w:r>
              <w:t xml:space="preserve"> artikli 14</w:t>
            </w:r>
            <w:r>
              <w:rPr>
                <w:b/>
                <w:i/>
              </w:rPr>
              <w:t>a</w:t>
            </w:r>
            <w:r>
              <w:t xml:space="preserve"> lõikes 1 nimetatud isikuid käsitlevate edastatud andmekogumite arv;</w:t>
            </w:r>
          </w:p>
        </w:tc>
        <w:tc>
          <w:tcPr>
            <w:tcW w:w="4876" w:type="dxa"/>
            <w:hideMark/>
          </w:tcPr>
          <w:p w:rsidR="00F528F9" w:rsidRPr="00E66FD7" w:rsidRDefault="00F528F9" w:rsidP="00167072">
            <w:pPr>
              <w:pStyle w:val="Normal6"/>
              <w:rPr>
                <w:szCs w:val="24"/>
              </w:rPr>
            </w:pPr>
            <w:r>
              <w:t>c)</w:t>
            </w:r>
            <w:r>
              <w:tab/>
              <w:t>artikli 10 lõikes 1</w:t>
            </w:r>
            <w:r>
              <w:rPr>
                <w:b/>
                <w:i/>
              </w:rPr>
              <w:t xml:space="preserve"> ja</w:t>
            </w:r>
            <w:r>
              <w:t xml:space="preserve"> artikli 13 lõikes 1</w:t>
            </w:r>
            <w:r>
              <w:rPr>
                <w:b/>
                <w:i/>
              </w:rPr>
              <w:t xml:space="preserve"> nimetatud isikuid käsitlevate edastatud andmekogumite arv</w:t>
            </w:r>
            <w:r>
              <w:t xml:space="preserve">, </w:t>
            </w:r>
            <w:r>
              <w:rPr>
                <w:b/>
                <w:i/>
              </w:rPr>
              <w:t xml:space="preserve">niivõrd kui need isikud ei ole hõlmatud </w:t>
            </w:r>
            <w:r>
              <w:t>artikli</w:t>
            </w:r>
            <w:r>
              <w:rPr>
                <w:b/>
                <w:i/>
              </w:rPr>
              <w:t xml:space="preserve"> 10</w:t>
            </w:r>
            <w:r>
              <w:t xml:space="preserve"> lõikes</w:t>
            </w:r>
            <w:r>
              <w:rPr>
                <w:b/>
                <w:i/>
              </w:rPr>
              <w:t xml:space="preserve"> </w:t>
            </w:r>
            <w:r>
              <w:t xml:space="preserve">1 </w:t>
            </w:r>
            <w:r>
              <w:rPr>
                <w:b/>
                <w:i/>
              </w:rPr>
              <w:t>osutatud andmekogumitega, ning</w:t>
            </w:r>
            <w:r>
              <w:t xml:space="preserve"> artikli 14 lõikes 1 nimetatud isikuid käsitlevate edastatud andmekogumite arv</w:t>
            </w:r>
            <w:r>
              <w:rPr>
                <w:b/>
                <w:i/>
              </w:rPr>
              <w:t>, niivõrd kui need isikud ei ole hõlmatud artikli 10 lõikes 1 ja artikli 14a lõikes 1 osutatud andmekogumitega</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1 – punkt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c)</w:t>
            </w:r>
            <w:r>
              <w:tab/>
              <w:t>artikli</w:t>
            </w:r>
            <w:r>
              <w:rPr>
                <w:b/>
                <w:i/>
              </w:rPr>
              <w:t> </w:t>
            </w:r>
            <w:r>
              <w:t>10 lõikes</w:t>
            </w:r>
            <w:r>
              <w:rPr>
                <w:b/>
                <w:i/>
              </w:rPr>
              <w:t> 1,</w:t>
            </w:r>
            <w:r>
              <w:t xml:space="preserve"> </w:t>
            </w:r>
            <w:r>
              <w:rPr>
                <w:b/>
                <w:i/>
              </w:rPr>
              <w:t>artikli 13 lõikes 1, artikli 14 lõikes </w:t>
            </w:r>
            <w:r>
              <w:t>1 ja artikli</w:t>
            </w:r>
            <w:r>
              <w:rPr>
                <w:b/>
                <w:i/>
              </w:rPr>
              <w:t> 14a</w:t>
            </w:r>
            <w:r>
              <w:t xml:space="preserve"> lõikes 1 nimetatud isikuid käsitlevate edastatud andmekogumite arv;</w:t>
            </w:r>
          </w:p>
        </w:tc>
        <w:tc>
          <w:tcPr>
            <w:tcW w:w="4876" w:type="dxa"/>
            <w:hideMark/>
          </w:tcPr>
          <w:p w:rsidR="00F528F9" w:rsidRPr="00E66FD7" w:rsidRDefault="00F528F9" w:rsidP="00167072">
            <w:pPr>
              <w:pStyle w:val="Normal6"/>
              <w:rPr>
                <w:szCs w:val="24"/>
              </w:rPr>
            </w:pPr>
            <w:r>
              <w:t>c)</w:t>
            </w:r>
            <w:r>
              <w:tab/>
              <w:t>artikli</w:t>
            </w:r>
            <w:r>
              <w:rPr>
                <w:b/>
                <w:i/>
              </w:rPr>
              <w:t xml:space="preserve"> </w:t>
            </w:r>
            <w:r>
              <w:t>10 lõikes 1 ja artikli</w:t>
            </w:r>
            <w:r>
              <w:rPr>
                <w:b/>
                <w:i/>
              </w:rPr>
              <w:t xml:space="preserve"> 13</w:t>
            </w:r>
            <w:r>
              <w:t xml:space="preserve"> lõikes 1 nimetatud isikuid käsitlevate edastatud andmekogumite arv;</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129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1 – punkt c</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c)</w:t>
            </w:r>
            <w:r>
              <w:tab/>
              <w:t>artikli 10 lõikes 1, artikli 13 lõikes 1</w:t>
            </w:r>
            <w:r>
              <w:rPr>
                <w:b/>
                <w:i/>
              </w:rPr>
              <w:t>, artikli 14 lõikes 1</w:t>
            </w:r>
            <w:r>
              <w:t xml:space="preserve"> ja artikli 14a lõikes 1 nimetatud isikuid käsitlevate edastatud andmekogumite arv;</w:t>
            </w:r>
          </w:p>
        </w:tc>
        <w:tc>
          <w:tcPr>
            <w:tcW w:w="4876" w:type="dxa"/>
            <w:hideMark/>
          </w:tcPr>
          <w:p w:rsidR="00F528F9" w:rsidRPr="00E66FD7" w:rsidRDefault="00F528F9" w:rsidP="00167072">
            <w:pPr>
              <w:pStyle w:val="Normal6"/>
              <w:rPr>
                <w:szCs w:val="24"/>
              </w:rPr>
            </w:pPr>
            <w:r>
              <w:t>c)</w:t>
            </w:r>
            <w:r>
              <w:tab/>
              <w:t>artikli 10 lõikes 1, artikli 13 lõikes 1 ja artikli 14a lõikes 1 nimetatud isikuid käsitlevate edastatud andmekogumite arv;</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130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d – alapunkt iii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iii)</w:t>
            </w:r>
            <w:r>
              <w:rPr>
                <w:b/>
                <w:i/>
              </w:rPr>
              <w:tab/>
              <w:t>kes viibisid liikmesriigis ebaseaduslikult,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131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d – alapunkt iii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iii)</w:t>
            </w:r>
            <w:r>
              <w:rPr>
                <w:b/>
                <w:i/>
              </w:rPr>
              <w:tab/>
              <w:t>kes viibisid liikmesriigis ebaseaduslikult,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132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1 – punkt d iii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iii)</w:t>
            </w:r>
            <w:r>
              <w:tab/>
              <w:t>kes viibisid liikmesriigis ebaseaduslikult,</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133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1 – punkt d – alapunkt iv</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iv)</w:t>
            </w:r>
            <w:r>
              <w:rPr>
                <w:b/>
                <w:i/>
              </w:rPr>
              <w:tab/>
              <w:t>kes maabusid otsingu- ja päästeoperatsiooni järel;</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134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d – alapunkt iv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iva)</w:t>
            </w:r>
            <w:r>
              <w:rPr>
                <w:b/>
                <w:i/>
              </w:rPr>
              <w:tab/>
              <w:t xml:space="preserve">kellele on liikmesriigis antud rahvusvaheline kaitse;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135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d alapunkt iv b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ivb)</w:t>
            </w:r>
            <w:r>
              <w:rPr>
                <w:b/>
                <w:i/>
              </w:rPr>
              <w:tab/>
              <w:t xml:space="preserve">kes olid andmestiku Eurodac-süsteemis registreerimise ajal alaealised;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136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lastRenderedPageBreak/>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1 – punkt e – alapunkt iii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iii)</w:t>
            </w:r>
            <w:r>
              <w:rPr>
                <w:b/>
                <w:i/>
              </w:rPr>
              <w:tab/>
              <w:t>kes viibisid liikmesriigis ebaseaduslikult,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137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1 – punkt e – alapunkt iii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iii)</w:t>
            </w:r>
            <w:r>
              <w:rPr>
                <w:b/>
                <w:i/>
              </w:rPr>
              <w:tab/>
              <w:t>kes viibisid liikmesriigis ebaseaduslikult,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138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e – alapunkt iii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iii)</w:t>
            </w:r>
            <w:r>
              <w:tab/>
              <w:t>kes viibisid liikmesriigis ebaseaduslikult,</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139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e – alapunkt iv</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iv)</w:t>
            </w:r>
            <w:r>
              <w:rPr>
                <w:b/>
                <w:i/>
              </w:rPr>
              <w:tab/>
              <w:t>kes maabusid otsingu- ja päästeoperatsiooni järel;</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140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e – alapunkt iv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iva)</w:t>
            </w:r>
            <w:r>
              <w:rPr>
                <w:b/>
                <w:i/>
              </w:rPr>
              <w:tab/>
              <w:t>kellele on liikmesriigis antud rahvusvaheline kaitse;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141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e – alapunkt iv b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ivb)</w:t>
            </w:r>
            <w:r>
              <w:rPr>
                <w:b/>
                <w:i/>
              </w:rPr>
              <w:tab/>
              <w:t>kes olid andmestiku Eurodac-süsteemis registreerimise ajal alaealised;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142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f</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f)</w:t>
            </w:r>
            <w:r>
              <w:rPr>
                <w:b/>
                <w:i/>
              </w:rPr>
              <w:tab/>
              <w:t>kokkulangevuste arv artikli 14 lõikes 1 osutatud isikute osas:</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i)</w:t>
            </w:r>
            <w:r>
              <w:rPr>
                <w:b/>
                <w:i/>
              </w:rPr>
              <w:tab/>
              <w:t>kelle kohta on registreeritud rahvusvahelise kaitse taotlus teises liikmesriigis,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ii)</w:t>
            </w:r>
            <w:r>
              <w:rPr>
                <w:b/>
                <w:i/>
              </w:rPr>
              <w:tab/>
              <w:t>kes on peetud kinni seoses välispiiri ebaseadusliku ületamisega,</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iii)</w:t>
            </w:r>
            <w:r>
              <w:rPr>
                <w:b/>
                <w:i/>
              </w:rPr>
              <w:tab/>
              <w:t>kes viibisid liikmesriigis ebaseaduslikult,</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iv)</w:t>
            </w:r>
            <w:r>
              <w:rPr>
                <w:b/>
                <w:i/>
              </w:rPr>
              <w:tab/>
              <w:t>kes maabusid otsingu- ja päästeoperatsiooni järel;</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143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f</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f)</w:t>
            </w:r>
            <w:r>
              <w:rPr>
                <w:b/>
                <w:i/>
              </w:rPr>
              <w:tab/>
              <w:t>kokkulangevuste arv artikli 14 lõikes 1 osutatud isikute osas:</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i)</w:t>
            </w:r>
            <w:r>
              <w:rPr>
                <w:b/>
                <w:i/>
              </w:rPr>
              <w:tab/>
              <w:t>kelle kohta on registreeritud rahvusvahelise kaitse taotlus teises liikmesriigis,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ii)</w:t>
            </w:r>
            <w:r>
              <w:rPr>
                <w:b/>
                <w:i/>
              </w:rPr>
              <w:tab/>
              <w:t>kes on peetud kinni seoses välispiiri ebaseadusliku ületamisega,</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iii)</w:t>
            </w:r>
            <w:r>
              <w:rPr>
                <w:b/>
                <w:i/>
              </w:rPr>
              <w:tab/>
              <w:t>kes viibisid liikmesriigis ebaseaduslikult,</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iv)</w:t>
            </w:r>
            <w:r>
              <w:rPr>
                <w:b/>
                <w:i/>
              </w:rPr>
              <w:tab/>
              <w:t>kes maabusid otsingu- ja päästeoperatsiooni järel;</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144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lastRenderedPageBreak/>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f – alapunkt iii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iii)</w:t>
            </w:r>
            <w:r>
              <w:tab/>
              <w:t>kes viibisid liikmesriigis ebaseaduslikult,</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145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f – alapunkt iv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 xml:space="preserve">iva) kellele on liikmesriigis antud rahvusvaheline kaitse;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146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1 – punkt f – alapunkt iv b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ivb)</w:t>
            </w:r>
            <w:r>
              <w:rPr>
                <w:b/>
                <w:i/>
              </w:rPr>
              <w:tab/>
              <w:t>kes olid andmestiku Eurodac-süsteemis registreerimise ajal alaealised;</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&lt;TitreJust&gt;&lt;/TitreJust&gt;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147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g</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g)</w:t>
            </w:r>
            <w:r>
              <w:rPr>
                <w:b/>
                <w:i/>
              </w:rPr>
              <w:tab/>
              <w:t>kokkulangevuste arv artikli 14a lõikes 1 osutatud isikute osas:</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i)</w:t>
            </w:r>
            <w:r>
              <w:rPr>
                <w:b/>
                <w:i/>
              </w:rPr>
              <w:tab/>
              <w:t>kelle kohta on registreeritud rahvusvahelise kaitse taotlus;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ii)</w:t>
            </w:r>
            <w:r>
              <w:rPr>
                <w:b/>
                <w:i/>
              </w:rPr>
              <w:tab/>
              <w:t>kes on peetud kinni seoses välispiiri ebaseadusliku ületamisega,</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iii)</w:t>
            </w:r>
            <w:r>
              <w:rPr>
                <w:b/>
                <w:i/>
              </w:rPr>
              <w:tab/>
              <w:t>kes viibisid liikmesriigis ebaseaduslikult,</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iv)</w:t>
            </w:r>
            <w:r>
              <w:rPr>
                <w:b/>
                <w:i/>
              </w:rPr>
              <w:tab/>
              <w:t>kes maabusid otsingu- ja päästeoperatsiooni järel;</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148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g – alapunkt iii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iii)</w:t>
            </w:r>
            <w:r>
              <w:rPr>
                <w:b/>
                <w:i/>
              </w:rPr>
              <w:tab/>
              <w:t>kes viibisid liikmesriigis ebaseaduslikult,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149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g – alapunkt iii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iii)</w:t>
            </w:r>
            <w:r>
              <w:tab/>
              <w:t xml:space="preserve">kes viibisid liikmesriigis </w:t>
            </w:r>
            <w:r>
              <w:lastRenderedPageBreak/>
              <w:t>ebaseaduslikult,</w:t>
            </w:r>
          </w:p>
        </w:tc>
        <w:tc>
          <w:tcPr>
            <w:tcW w:w="4876" w:type="dxa"/>
            <w:hideMark/>
          </w:tcPr>
          <w:p w:rsidR="00F528F9" w:rsidRPr="00E66FD7" w:rsidRDefault="00F528F9" w:rsidP="00167072">
            <w:pPr>
              <w:pStyle w:val="Normal6"/>
              <w:rPr>
                <w:szCs w:val="24"/>
              </w:rPr>
            </w:pPr>
            <w:r>
              <w:rPr>
                <w:i/>
              </w:rPr>
              <w:lastRenderedPageBreak/>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g – alapunkt iv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iva)</w:t>
            </w:r>
            <w:r>
              <w:rPr>
                <w:b/>
                <w:i/>
              </w:rPr>
              <w:tab/>
              <w:t xml:space="preserve">kellele on liikmesriigis antud rahvusvaheline kaitse;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g – alapunkt iv b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ivb)</w:t>
            </w:r>
            <w:r>
              <w:rPr>
                <w:b/>
                <w:i/>
              </w:rPr>
              <w:tab/>
              <w:t xml:space="preserve">kes olid andmestiku Eurodac-süsteemis registreerimise ajal alaealised;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1 – punkt i</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i)</w:t>
            </w:r>
            <w:r>
              <w:tab/>
              <w:t xml:space="preserve">kooskõlas artikli 19 lõigetega 1, </w:t>
            </w:r>
            <w:r>
              <w:rPr>
                <w:b/>
                <w:i/>
              </w:rPr>
              <w:t xml:space="preserve">, </w:t>
            </w:r>
            <w:r>
              <w:t xml:space="preserve">2, 3 ja 4 märgitud ja </w:t>
            </w:r>
            <w:r>
              <w:rPr>
                <w:b/>
                <w:i/>
              </w:rPr>
              <w:t>märke eemaldamise</w:t>
            </w:r>
            <w:r>
              <w:t xml:space="preserve"> andmekogumite arv;</w:t>
            </w:r>
          </w:p>
        </w:tc>
        <w:tc>
          <w:tcPr>
            <w:tcW w:w="4876" w:type="dxa"/>
            <w:hideMark/>
          </w:tcPr>
          <w:p w:rsidR="00F528F9" w:rsidRPr="00E66FD7" w:rsidRDefault="00F528F9" w:rsidP="00167072">
            <w:pPr>
              <w:pStyle w:val="Normal6"/>
              <w:rPr>
                <w:szCs w:val="24"/>
              </w:rPr>
            </w:pPr>
            <w:r>
              <w:t>i)</w:t>
            </w:r>
            <w:r>
              <w:tab/>
              <w:t>kooskõlas artikli 19 lõigetega 1, 2, 3 ja 4 märgitud</w:t>
            </w:r>
            <w:r>
              <w:rPr>
                <w:b/>
                <w:i/>
              </w:rPr>
              <w:t>, blokeeritud, eemaldatud märkega</w:t>
            </w:r>
            <w:r>
              <w:t xml:space="preserve"> ja </w:t>
            </w:r>
            <w:r>
              <w:rPr>
                <w:b/>
                <w:i/>
              </w:rPr>
              <w:t>eemaldatud blokeeringuga</w:t>
            </w:r>
            <w:r>
              <w:t xml:space="preserve"> </w:t>
            </w:r>
            <w:r>
              <w:lastRenderedPageBreak/>
              <w:t>andmekogumite arv;</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1 – punkt m</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m)</w:t>
            </w:r>
            <w:r>
              <w:tab/>
            </w:r>
            <w:r>
              <w:rPr>
                <w:b/>
                <w:i/>
              </w:rPr>
              <w:t>artiklis 31 osutatud isikute kohta</w:t>
            </w:r>
            <w:r>
              <w:t xml:space="preserve"> esitatud taotluste arv;</w:t>
            </w:r>
          </w:p>
        </w:tc>
        <w:tc>
          <w:tcPr>
            <w:tcW w:w="4876" w:type="dxa"/>
            <w:hideMark/>
          </w:tcPr>
          <w:p w:rsidR="00F528F9" w:rsidRPr="00E66FD7" w:rsidRDefault="00F528F9" w:rsidP="00167072">
            <w:pPr>
              <w:pStyle w:val="Normal6"/>
              <w:rPr>
                <w:szCs w:val="24"/>
              </w:rPr>
            </w:pPr>
            <w:r>
              <w:t>m)</w:t>
            </w:r>
            <w:r>
              <w:tab/>
            </w:r>
            <w:r>
              <w:rPr>
                <w:b/>
                <w:i/>
              </w:rPr>
              <w:t>artikli 31 kohaselt</w:t>
            </w:r>
            <w:r>
              <w:t xml:space="preserve"> esitatud taotluste arv;</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1 – punkt n</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n)</w:t>
            </w:r>
            <w:r>
              <w:tab/>
              <w:t>artikli 26 lõikes </w:t>
            </w:r>
            <w:r>
              <w:rPr>
                <w:b/>
                <w:i/>
              </w:rPr>
              <w:t>6</w:t>
            </w:r>
            <w:r>
              <w:t xml:space="preserve"> osutatud kesksüsteemist saadud kokkulangevuste arv.</w:t>
            </w:r>
          </w:p>
        </w:tc>
        <w:tc>
          <w:tcPr>
            <w:tcW w:w="4876" w:type="dxa"/>
            <w:hideMark/>
          </w:tcPr>
          <w:p w:rsidR="00F528F9" w:rsidRPr="00E66FD7" w:rsidRDefault="00F528F9" w:rsidP="00167072">
            <w:pPr>
              <w:pStyle w:val="Normal6"/>
              <w:rPr>
                <w:szCs w:val="24"/>
              </w:rPr>
            </w:pPr>
            <w:r>
              <w:t>n)</w:t>
            </w:r>
            <w:r>
              <w:tab/>
              <w:t>artikli 26 lõikes </w:t>
            </w:r>
            <w:r>
              <w:rPr>
                <w:b/>
                <w:i/>
              </w:rPr>
              <w:t>4</w:t>
            </w:r>
            <w:r>
              <w:t xml:space="preserve"> osutatud kesksüsteemist saadud kokkulangevuste arv.</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Igakuised statistilised andmed lõike 1 punktides a– n osutatud isikute kohta avaldatakse iga kuu. Iga aasta lõpus avaldab eu-LISA statistilise aastaaruande </w:t>
            </w:r>
            <w:r>
              <w:lastRenderedPageBreak/>
              <w:t xml:space="preserve">lõike 1 punktides a–n osutatud isikute kohta. Statistilised andmed esitatakse </w:t>
            </w:r>
            <w:r>
              <w:rPr>
                <w:b/>
                <w:i/>
              </w:rPr>
              <w:t>liikmesriigi</w:t>
            </w:r>
            <w:r>
              <w:t xml:space="preserve"> kaupa. Statistilised andmed lõike 1 punktis c osutatud isikute kohta esitatakse võimaluse korral sünniaasta ja soo kaupa.</w:t>
            </w:r>
          </w:p>
        </w:tc>
        <w:tc>
          <w:tcPr>
            <w:tcW w:w="4876" w:type="dxa"/>
            <w:hideMark/>
          </w:tcPr>
          <w:p w:rsidR="00F528F9" w:rsidRPr="00E66FD7" w:rsidRDefault="00F528F9" w:rsidP="00167072">
            <w:pPr>
              <w:pStyle w:val="Normal6"/>
              <w:rPr>
                <w:szCs w:val="24"/>
              </w:rPr>
            </w:pPr>
            <w:r>
              <w:lastRenderedPageBreak/>
              <w:t>2.</w:t>
            </w:r>
            <w:r>
              <w:tab/>
              <w:t xml:space="preserve">Igakuised statistilised andmed lõike 1 punktides a– n osutatud isikute kohta avaldatakse iga kuu. Iga aasta lõpus avaldab eu-LISA statistilise aastaaruande </w:t>
            </w:r>
            <w:r>
              <w:lastRenderedPageBreak/>
              <w:t xml:space="preserve">lõike 1 punktides a–n osutatud isikute kohta. Statistilised andmed esitatakse </w:t>
            </w:r>
            <w:r>
              <w:rPr>
                <w:b/>
                <w:i/>
              </w:rPr>
              <w:t>liikmesriikide</w:t>
            </w:r>
            <w:r>
              <w:t xml:space="preserve"> kaupa. Statistilised andmed lõike 1 punktis c osutatud isikute kohta esitatakse võimaluse korral sünniaasta ja soo kaupa. </w:t>
            </w:r>
            <w:r>
              <w:rPr>
                <w:b/>
                <w:i/>
              </w:rPr>
              <w:t>Kõik isikuid puudutavad andmed anonüümitakse ja statistiliste andmete koostamine tehakse sõltuvaks õigusnormidest, mis käsitlevad ebaõigete andmete võimalikku parandamist.</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Igakuised statistilised andmed lõike 1 punktides a– n osutatud isikute kohta avaldatakse iga kuu. Iga aasta lõpus avaldab eu-LISA statistilise aastaaruande lõike 1 punktides a–n osutatud isikute kohta. Statistilised andmed esitatakse liikmesriigi kaupa. Statistilised andmed lõike 1 punktis c osutatud isikute kohta esitatakse võimaluse korral sünniaasta ja soo kaupa.</w:t>
            </w:r>
          </w:p>
        </w:tc>
        <w:tc>
          <w:tcPr>
            <w:tcW w:w="4876" w:type="dxa"/>
            <w:hideMark/>
          </w:tcPr>
          <w:p w:rsidR="00F528F9" w:rsidRPr="00E66FD7" w:rsidRDefault="00F528F9" w:rsidP="00167072">
            <w:pPr>
              <w:pStyle w:val="Normal6"/>
              <w:rPr>
                <w:szCs w:val="24"/>
              </w:rPr>
            </w:pPr>
            <w:r>
              <w:rPr>
                <w:i/>
              </w:rPr>
              <w:t>(Ei puuduta eestikeelset versiooni.)</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3 – lõik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3.</w:t>
            </w:r>
            <w:r>
              <w:tab/>
            </w:r>
            <w:r>
              <w:rPr>
                <w:b/>
                <w:i/>
              </w:rPr>
              <w:t xml:space="preserve">eu-LISA koostab igakuise süsteemiülese statistika, et toetada artikli 1 lõikes c osutatud eesmärki. </w:t>
            </w:r>
            <w:r>
              <w:rPr>
                <w:b/>
                <w:i/>
              </w:rPr>
              <w:lastRenderedPageBreak/>
              <w:t>Nimetatud statistika ei tohi võimaldada isikute tuvastamist ja selles kasutatakse Eurodac-süsteemi, viisainfosüsteemi, ETIASe ning riiki sisenemise ja riigist lahkumise süsteemi andmeid.</w:t>
            </w:r>
          </w:p>
        </w:tc>
        <w:tc>
          <w:tcPr>
            <w:tcW w:w="4876" w:type="dxa"/>
            <w:hideMark/>
          </w:tcPr>
          <w:p w:rsidR="00F528F9" w:rsidRPr="00E66FD7" w:rsidRDefault="00F528F9" w:rsidP="00167072">
            <w:pPr>
              <w:pStyle w:val="Normal6"/>
              <w:rPr>
                <w:szCs w:val="24"/>
              </w:rPr>
            </w:pPr>
            <w:r>
              <w:lastRenderedPageBreak/>
              <w:tab/>
            </w: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3 – lõik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3.</w:t>
            </w:r>
            <w:r>
              <w:tab/>
            </w:r>
            <w:r>
              <w:rPr>
                <w:b/>
                <w:i/>
              </w:rPr>
              <w:t>eu-LISA koostab igakuise süsteemiülese statistika, et toetada artikli 1 lõikes c osutatud eesmärki. Nimetatud statistika ei tohi võimaldada isikute tuvastamist ja selles kasutatakse Eurodac-süsteemi, viisainfosüsteemi, ETIASe ning riiki sisenemise ja riigist lahkumise süsteemi andmeid.</w:t>
            </w:r>
          </w:p>
        </w:tc>
        <w:tc>
          <w:tcPr>
            <w:tcW w:w="4876" w:type="dxa"/>
            <w:hideMark/>
          </w:tcPr>
          <w:p w:rsidR="00F528F9" w:rsidRPr="00E66FD7" w:rsidRDefault="00F528F9" w:rsidP="00167072">
            <w:pPr>
              <w:pStyle w:val="Normal6"/>
              <w:rPr>
                <w:szCs w:val="24"/>
              </w:rPr>
            </w:pPr>
            <w:r>
              <w:tab/>
            </w: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159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3 – lõik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3.</w:t>
            </w:r>
            <w:r>
              <w:tab/>
              <w:t xml:space="preserve">eu-LISA koostab igakuise süsteemiülese statistika, et toetada artikli 1 </w:t>
            </w:r>
            <w:r>
              <w:rPr>
                <w:b/>
                <w:i/>
              </w:rPr>
              <w:t>lõikes</w:t>
            </w:r>
            <w:r>
              <w:t> c osutatud eesmärki. Nimetatud statistika ei tohi võimaldada isikute tuvastamist ja selles kasutatakse Eurodac-süsteemi, viisainfosüsteemi, ETIASe ning riiki sisenemise ja riigist lahkumise süsteemi andmeid.</w:t>
            </w:r>
          </w:p>
        </w:tc>
        <w:tc>
          <w:tcPr>
            <w:tcW w:w="4876" w:type="dxa"/>
            <w:hideMark/>
          </w:tcPr>
          <w:p w:rsidR="00F528F9" w:rsidRPr="00E66FD7" w:rsidRDefault="00F528F9" w:rsidP="00167072">
            <w:pPr>
              <w:pStyle w:val="Normal6"/>
              <w:rPr>
                <w:szCs w:val="24"/>
              </w:rPr>
            </w:pPr>
            <w:r>
              <w:t>3.</w:t>
            </w:r>
            <w:r>
              <w:tab/>
              <w:t xml:space="preserve">eu-LISA koostab igakuise süsteemiülese statistika, et toetada artikli 1 </w:t>
            </w:r>
            <w:r>
              <w:rPr>
                <w:b/>
                <w:i/>
              </w:rPr>
              <w:t>lõigetes</w:t>
            </w:r>
            <w:r>
              <w:t> c</w:t>
            </w:r>
            <w:r>
              <w:rPr>
                <w:b/>
                <w:i/>
              </w:rPr>
              <w:t xml:space="preserve"> ja h</w:t>
            </w:r>
            <w:r>
              <w:t xml:space="preserve"> osutatud eesmärki. Nimetatud statistika ei tohi võimaldada isikute tuvastamist ja selles kasutatakse Eurodac-süsteemi, viisainfosüsteemi, ETIASe ning riiki sisenemise ja riigist lahkumise süsteemi andmeid.</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160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Karlo Ressler</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3 – lõik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3.</w:t>
            </w:r>
            <w:r>
              <w:tab/>
              <w:t>eu-LISA koostab igakuise süsteemiülese statistika, et toetada artikli 1 lõikes c osutatud eesmärki. Nimetatud statistika ei tohi võimaldada isikute tuvastamist ja selles kasutatakse Eurodac-süsteemi, viisainfosüsteemi, ETIASe</w:t>
            </w:r>
            <w:r>
              <w:rPr>
                <w:b/>
                <w:i/>
              </w:rPr>
              <w:t xml:space="preserve"> ning</w:t>
            </w:r>
            <w:r>
              <w:t xml:space="preserve"> riiki sisenemise ja riigist lahkumise süsteemi andmeid.</w:t>
            </w:r>
          </w:p>
        </w:tc>
        <w:tc>
          <w:tcPr>
            <w:tcW w:w="4876" w:type="dxa"/>
            <w:hideMark/>
          </w:tcPr>
          <w:p w:rsidR="00F528F9" w:rsidRPr="00E66FD7" w:rsidRDefault="00F528F9" w:rsidP="00167072">
            <w:pPr>
              <w:pStyle w:val="Normal6"/>
              <w:rPr>
                <w:szCs w:val="24"/>
              </w:rPr>
            </w:pPr>
            <w:r>
              <w:t>3.</w:t>
            </w:r>
            <w:r>
              <w:tab/>
              <w:t>eu-LISA koostab igakuise süsteemiülese statistika, et toetada artikli 1 lõikes c osutatud eesmärki. Nimetatud statistika ei tohi võimaldada isikute tuvastamist ja selles kasutatakse Eurodac-süsteemi, viisainfosüsteemi, ETIASe</w:t>
            </w:r>
            <w:r>
              <w:rPr>
                <w:b/>
                <w:i/>
              </w:rPr>
              <w:t>,</w:t>
            </w:r>
            <w:r>
              <w:t xml:space="preserve"> riiki sisenemise ja riigist lahkumise süsteemi </w:t>
            </w:r>
            <w:r>
              <w:rPr>
                <w:b/>
                <w:i/>
              </w:rPr>
              <w:t xml:space="preserve">ning ECRIS-TCN-süsteemi </w:t>
            </w:r>
            <w:r>
              <w:t xml:space="preserve">andmeid.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161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3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Nimetatud statistika tehakse kättesaadavaks komisjonile, [Euroopa Liidu Varjupaigaametile], Euroopa Piiri- ja Rannikuvalve Ametile ning liikmesriikidele. Komisjon määrab </w:t>
            </w:r>
            <w:r>
              <w:rPr>
                <w:b/>
                <w:i/>
              </w:rPr>
              <w:t>rakendusaktidega</w:t>
            </w:r>
            <w:r>
              <w:t xml:space="preserve"> kindlaks igakuise süsteemiülese statistika sisu. </w:t>
            </w:r>
            <w:r>
              <w:rPr>
                <w:b/>
                <w:i/>
              </w:rPr>
              <w:t>Nimetatud rakendusaktid võetakse vastu kooskõlas artikli 41a lõikes 2 osutatud kontrollimenetlusega.</w:t>
            </w:r>
          </w:p>
        </w:tc>
        <w:tc>
          <w:tcPr>
            <w:tcW w:w="4876" w:type="dxa"/>
            <w:hideMark/>
          </w:tcPr>
          <w:p w:rsidR="00F528F9" w:rsidRPr="00E66FD7" w:rsidRDefault="00F528F9" w:rsidP="00167072">
            <w:pPr>
              <w:pStyle w:val="Normal6"/>
              <w:rPr>
                <w:szCs w:val="24"/>
              </w:rPr>
            </w:pPr>
            <w:r>
              <w:t xml:space="preserve">Nimetatud statistika tehakse kättesaadavaks komisjonile, </w:t>
            </w:r>
            <w:r>
              <w:rPr>
                <w:b/>
                <w:i/>
              </w:rPr>
              <w:t xml:space="preserve">Euroopa Parlamendile, </w:t>
            </w:r>
            <w:r>
              <w:t xml:space="preserve">[Euroopa Liidu Varjupaigaametile], Euroopa Piiri- ja Rannikuvalve Ametile ning liikmesriikidele. Komisjon määrab </w:t>
            </w:r>
            <w:r>
              <w:rPr>
                <w:b/>
                <w:i/>
              </w:rPr>
              <w:t>delegeeritud õigusaktidega</w:t>
            </w:r>
            <w:r>
              <w:t xml:space="preserve"> kindlaks igakuise süsteemiülese statistika sisu.</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 xml:space="preserve">Süsteemiülest statistikat ei tohiks kasutada seoses üksikisikutega ega üksikisikute tuvastamiseks ning seda ei tohi kasutada ELi territooriumile pääsu keelamiseks. Lõigete 3 ja 4 kohaldamiseks </w:t>
            </w:r>
            <w:r>
              <w:rPr>
                <w:b/>
                <w:i/>
              </w:rPr>
              <w:lastRenderedPageBreak/>
              <w:t>koostatud statistikat ja andmeid ei tohi kasutada ühegi ELi JSK suuremahulistes IT-süsteemides sisalduva algoritmi raames.</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162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3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Nimetatud statistika tehakse kättesaadavaks komisjonile, [Euroopa Liidu Varjupaigaametile], Euroopa Piiri- ja Rannikuvalve Ametile ning liikmesriikidele. Komisjon määrab </w:t>
            </w:r>
            <w:r>
              <w:rPr>
                <w:b/>
                <w:i/>
              </w:rPr>
              <w:t>rakendusaktidega</w:t>
            </w:r>
            <w:r>
              <w:t xml:space="preserve"> kindlaks igakuise </w:t>
            </w:r>
            <w:r>
              <w:rPr>
                <w:b/>
                <w:i/>
              </w:rPr>
              <w:t xml:space="preserve">süsteemiülese </w:t>
            </w:r>
            <w:r>
              <w:t xml:space="preserve">statistika sisu. </w:t>
            </w:r>
            <w:r>
              <w:rPr>
                <w:b/>
                <w:i/>
              </w:rPr>
              <w:t>Nimetatud rakendusaktid võetakse vastu kooskõlas artikli 41a lõikes 2 osutatud kontrollimenetlusega.</w:t>
            </w:r>
          </w:p>
        </w:tc>
        <w:tc>
          <w:tcPr>
            <w:tcW w:w="4876" w:type="dxa"/>
            <w:hideMark/>
          </w:tcPr>
          <w:p w:rsidR="00F528F9" w:rsidRPr="00E66FD7" w:rsidRDefault="00F528F9" w:rsidP="00167072">
            <w:pPr>
              <w:pStyle w:val="Normal6"/>
              <w:rPr>
                <w:szCs w:val="24"/>
              </w:rPr>
            </w:pPr>
            <w:r>
              <w:t xml:space="preserve">Nimetatud statistika tehakse kättesaadavaks komisjonile, </w:t>
            </w:r>
            <w:r>
              <w:rPr>
                <w:b/>
                <w:i/>
              </w:rPr>
              <w:t xml:space="preserve">Euroopa Parlamendile, </w:t>
            </w:r>
            <w:r>
              <w:t xml:space="preserve">[Euroopa Liidu Varjupaigaametile], Euroopa Piiri- ja Rannikuvalve Ametile ning liikmesriikidele. Komisjon määrab </w:t>
            </w:r>
            <w:r>
              <w:rPr>
                <w:b/>
                <w:i/>
              </w:rPr>
              <w:t>delegeeritud õigusaktidega</w:t>
            </w:r>
            <w:r>
              <w:t xml:space="preserve"> kindlaks igakuise statistika sisu.</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163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3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Nimetatud statistika tehakse kättesaadavaks komisjonile, [Euroopa Liidu Varjupaigaametile], Euroopa Piiri- ja Rannikuvalve Ametile ning liikmesriikidele. Komisjon määrab rakendusaktidega kindlaks igakuise süsteemiülese statistika sisu. Nimetatud rakendusaktid võetakse vastu kooskõlas artikli 41a lõikes 2 osutatud </w:t>
            </w:r>
            <w:r>
              <w:lastRenderedPageBreak/>
              <w:t>kontrollimenetlusega.</w:t>
            </w:r>
          </w:p>
        </w:tc>
        <w:tc>
          <w:tcPr>
            <w:tcW w:w="4876" w:type="dxa"/>
            <w:hideMark/>
          </w:tcPr>
          <w:p w:rsidR="00F528F9" w:rsidRPr="00E66FD7" w:rsidRDefault="00F528F9" w:rsidP="00167072">
            <w:pPr>
              <w:pStyle w:val="Normal6"/>
              <w:rPr>
                <w:szCs w:val="24"/>
              </w:rPr>
            </w:pPr>
            <w:r>
              <w:lastRenderedPageBreak/>
              <w:t xml:space="preserve">Nimetatud statistika tehakse kättesaadavaks komisjonile, </w:t>
            </w:r>
            <w:r>
              <w:rPr>
                <w:b/>
                <w:i/>
              </w:rPr>
              <w:t xml:space="preserve">Euroopa Parlamendile, </w:t>
            </w:r>
            <w:r>
              <w:t xml:space="preserve">[Euroopa Liidu Varjupaigaametile], Euroopa Piiri- ja Rannikuvalve Ametile ning liikmesriikidele. Komisjon määrab rakendusaktidega kindlaks igakuise süsteemiülese statistika sisu. Nimetatud rakendusaktid võetakse vastu kooskõlas </w:t>
            </w:r>
            <w:r>
              <w:lastRenderedPageBreak/>
              <w:t xml:space="preserve">artikli 41a lõikes 2 osutatud kontrollimenetlusega. </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164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 xml:space="preserve">eu-LISA esitab komisjonile viimase taotlusel </w:t>
            </w:r>
            <w:r>
              <w:rPr>
                <w:b/>
                <w:i/>
              </w:rPr>
              <w:t>teatavaid aspekte käsitleva statistika, mis on</w:t>
            </w:r>
            <w:r>
              <w:t xml:space="preserve"> seotud </w:t>
            </w:r>
            <w:r>
              <w:rPr>
                <w:b/>
                <w:i/>
              </w:rPr>
              <w:t>käesoleva määruse kohaldamisega, samuti lõikes</w:t>
            </w:r>
            <w:r>
              <w:t> 1 kohase statistika</w:t>
            </w:r>
            <w:r>
              <w:rPr>
                <w:b/>
                <w:i/>
              </w:rPr>
              <w:t>, ja</w:t>
            </w:r>
            <w:r>
              <w:t xml:space="preserve"> teeb </w:t>
            </w:r>
            <w:r>
              <w:rPr>
                <w:b/>
                <w:i/>
              </w:rPr>
              <w:t>need</w:t>
            </w:r>
            <w:r>
              <w:t xml:space="preserve"> taotluse </w:t>
            </w:r>
            <w:r>
              <w:rPr>
                <w:b/>
                <w:i/>
              </w:rPr>
              <w:t>alusel kättesaadavaks</w:t>
            </w:r>
            <w:r>
              <w:t xml:space="preserve"> liikmesriikidele ja [Euroopa Liidu Varjupaigaametile].</w:t>
            </w:r>
          </w:p>
        </w:tc>
        <w:tc>
          <w:tcPr>
            <w:tcW w:w="4876" w:type="dxa"/>
            <w:hideMark/>
          </w:tcPr>
          <w:p w:rsidR="00F528F9" w:rsidRPr="00E66FD7" w:rsidRDefault="00F528F9" w:rsidP="00167072">
            <w:pPr>
              <w:pStyle w:val="Normal6"/>
              <w:rPr>
                <w:szCs w:val="24"/>
              </w:rPr>
            </w:pPr>
            <w:r>
              <w:t>4.</w:t>
            </w:r>
            <w:r>
              <w:tab/>
              <w:t xml:space="preserve">eu-LISA esitab komisjonile viimase taotlusel </w:t>
            </w:r>
            <w:r>
              <w:rPr>
                <w:b/>
                <w:i/>
              </w:rPr>
              <w:t>statistika käesoleva määruse rakendamisega</w:t>
            </w:r>
            <w:r>
              <w:t xml:space="preserve"> seotud </w:t>
            </w:r>
            <w:r>
              <w:rPr>
                <w:b/>
                <w:i/>
              </w:rPr>
              <w:t>konkreetsete aspektide kohta ja lõike</w:t>
            </w:r>
            <w:r>
              <w:t> 1 kohase statistika</w:t>
            </w:r>
            <w:r>
              <w:rPr>
                <w:b/>
                <w:i/>
              </w:rPr>
              <w:t>. Komisjon</w:t>
            </w:r>
            <w:r>
              <w:t xml:space="preserve"> teeb </w:t>
            </w:r>
            <w:r>
              <w:rPr>
                <w:b/>
                <w:i/>
              </w:rPr>
              <w:t>selle statistika kättesaadavaks Euroopa Parlamendile ning vastava</w:t>
            </w:r>
            <w:r>
              <w:t xml:space="preserve"> taotluse </w:t>
            </w:r>
            <w:r>
              <w:rPr>
                <w:b/>
                <w:i/>
              </w:rPr>
              <w:t>korral</w:t>
            </w:r>
            <w:r>
              <w:t xml:space="preserve"> liikmesriikidele ja [Euroopa Liidu Varjupaigaametile].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165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 xml:space="preserve">eu-LISA esitab komisjonile viimase taotlusel </w:t>
            </w:r>
            <w:r>
              <w:rPr>
                <w:b/>
                <w:i/>
              </w:rPr>
              <w:t xml:space="preserve">teatavaid aspekte käsitleva </w:t>
            </w:r>
            <w:r>
              <w:t>statistika</w:t>
            </w:r>
            <w:r>
              <w:rPr>
                <w:b/>
                <w:i/>
              </w:rPr>
              <w:t>, mis on</w:t>
            </w:r>
            <w:r>
              <w:t xml:space="preserve"> seotud </w:t>
            </w:r>
            <w:r>
              <w:rPr>
                <w:b/>
                <w:i/>
              </w:rPr>
              <w:t>käesoleva määruse kohaldamisega, samuti</w:t>
            </w:r>
            <w:r>
              <w:t xml:space="preserve"> lõikes 1 kohase statistika, ja teeb need taotluse alusel kättesaadavaks liikmesriikidele ja [Euroopa Liidu Varjupaigaametile].</w:t>
            </w:r>
          </w:p>
        </w:tc>
        <w:tc>
          <w:tcPr>
            <w:tcW w:w="4876" w:type="dxa"/>
            <w:hideMark/>
          </w:tcPr>
          <w:p w:rsidR="00F528F9" w:rsidRPr="00E66FD7" w:rsidRDefault="00F528F9" w:rsidP="00167072">
            <w:pPr>
              <w:pStyle w:val="Normal6"/>
              <w:rPr>
                <w:szCs w:val="24"/>
              </w:rPr>
            </w:pPr>
            <w:r>
              <w:t>4.</w:t>
            </w:r>
            <w:r>
              <w:tab/>
              <w:t>eu-LISA esitab komisjonile viimase taotlusel statistika</w:t>
            </w:r>
            <w:r>
              <w:rPr>
                <w:b/>
                <w:i/>
              </w:rPr>
              <w:t xml:space="preserve"> käesoleva määruse rakendamisega</w:t>
            </w:r>
            <w:r>
              <w:t xml:space="preserve"> seotud </w:t>
            </w:r>
            <w:r>
              <w:rPr>
                <w:b/>
                <w:i/>
              </w:rPr>
              <w:t>konkreetsete aspektide kohta ja</w:t>
            </w:r>
            <w:r>
              <w:t xml:space="preserve"> lõikes 1 kohase statistika, ja teeb need taotluse alusel kättesaadavaks liikmesriikidele</w:t>
            </w:r>
            <w:r>
              <w:rPr>
                <w:b/>
                <w:i/>
              </w:rPr>
              <w:t>, Euroopa Parlamendile</w:t>
            </w:r>
            <w:r>
              <w:t xml:space="preserve"> ja [Euroopa Liidu Varjupaigaametile].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166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 xml:space="preserve">eu-LISA esitab komisjonile viimase taotlusel </w:t>
            </w:r>
            <w:r>
              <w:rPr>
                <w:b/>
                <w:i/>
              </w:rPr>
              <w:t xml:space="preserve">teatavaid aspekte käsitleva </w:t>
            </w:r>
            <w:r>
              <w:t>statistika</w:t>
            </w:r>
            <w:r>
              <w:rPr>
                <w:b/>
                <w:i/>
              </w:rPr>
              <w:t>, mis on</w:t>
            </w:r>
            <w:r>
              <w:t xml:space="preserve"> seotud </w:t>
            </w:r>
            <w:r>
              <w:rPr>
                <w:b/>
                <w:i/>
              </w:rPr>
              <w:t>käesoleva määruse kohaldamisega, samuti</w:t>
            </w:r>
            <w:r>
              <w:t xml:space="preserve"> lõikes 1 kohase statistika, ja teeb need taotluse alusel kättesaadavaks liikmesriikidele ja [Euroopa Liidu Varjupaigaametile].</w:t>
            </w:r>
          </w:p>
        </w:tc>
        <w:tc>
          <w:tcPr>
            <w:tcW w:w="4876" w:type="dxa"/>
            <w:hideMark/>
          </w:tcPr>
          <w:p w:rsidR="00F528F9" w:rsidRPr="00E66FD7" w:rsidRDefault="00F528F9" w:rsidP="00167072">
            <w:pPr>
              <w:pStyle w:val="Normal6"/>
              <w:rPr>
                <w:szCs w:val="24"/>
              </w:rPr>
            </w:pPr>
            <w:r>
              <w:t>4.</w:t>
            </w:r>
            <w:r>
              <w:tab/>
              <w:t>eu-LISA esitab komisjonile viimase taotlusel statistika</w:t>
            </w:r>
            <w:r>
              <w:rPr>
                <w:b/>
                <w:i/>
              </w:rPr>
              <w:t xml:space="preserve"> käesoleva määruse rakendamisega</w:t>
            </w:r>
            <w:r>
              <w:t xml:space="preserve"> seotud </w:t>
            </w:r>
            <w:r>
              <w:rPr>
                <w:b/>
                <w:i/>
              </w:rPr>
              <w:t>konkreetsete aspektide kohta ja</w:t>
            </w:r>
            <w:r>
              <w:t xml:space="preserve"> lõikes 1 kohase statistika, ja teeb need taotluse alusel kättesaadavaks liikmesriikidele</w:t>
            </w:r>
            <w:r>
              <w:rPr>
                <w:b/>
                <w:i/>
              </w:rPr>
              <w:t>, Euroopa Parlamendile</w:t>
            </w:r>
            <w:r>
              <w:t xml:space="preserve"> ja [Euroopa Liidu Varjupaigaametile].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167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13 – artikkel 9 – lõige 5</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w:t>
            </w:r>
            <w:r>
              <w:tab/>
              <w:t>eu-LISA säilitab käesoleva artikli lõigetes 1–4 osutatud andmeid, mis ei tohi võimaldada isikute tuvastamist, uuringute ja analüüsi eesmärgil, ning võimaldab seega käesoleva artikli lõikes 3 osutatud ametiasutustel saada määruse (EL) 2019/818 artiklis 39 osutatud aruandluse ja statistika keskhoidlast kohandatavaid aruandeid.</w:t>
            </w:r>
          </w:p>
        </w:tc>
        <w:tc>
          <w:tcPr>
            <w:tcW w:w="4876" w:type="dxa"/>
            <w:hideMark/>
          </w:tcPr>
          <w:p w:rsidR="00F528F9" w:rsidRPr="00E66FD7" w:rsidRDefault="00F528F9" w:rsidP="00167072">
            <w:pPr>
              <w:pStyle w:val="Normal6"/>
              <w:rPr>
                <w:szCs w:val="24"/>
              </w:rPr>
            </w:pPr>
            <w:r>
              <w:t>5.</w:t>
            </w:r>
            <w:r>
              <w:tab/>
              <w:t xml:space="preserve">eu-LISA säilitab käesoleva artikli lõigetes 1–4 osutatud andmeid, mis ei tohi </w:t>
            </w:r>
            <w:r>
              <w:rPr>
                <w:b/>
                <w:i/>
              </w:rPr>
              <w:t xml:space="preserve">mingitel tingimustel </w:t>
            </w:r>
            <w:r>
              <w:t>võimaldada isikute tuvastamist, uuringute ja analüüsi eesmärgil</w:t>
            </w:r>
            <w:r>
              <w:rPr>
                <w:b/>
                <w:i/>
              </w:rPr>
              <w:t xml:space="preserve"> kuni viis aastat</w:t>
            </w:r>
            <w:r>
              <w:t>, ning võimaldab seega käesoleva artikli lõikes 3 osutatud ametiasutustel saada määruse (EL) 2019/818 artiklis 39 osutatud aruandluse ja statistika keskhoidlast kohandatavaid aruandeid</w:t>
            </w:r>
            <w:r>
              <w:rPr>
                <w:b/>
                <w:i/>
              </w:rPr>
              <w:t xml:space="preserve"> ja statistikat</w:t>
            </w:r>
            <w:r>
              <w:t xml:space="preserve">. </w:t>
            </w:r>
            <w:r>
              <w:rPr>
                <w:b/>
                <w:i/>
              </w:rPr>
              <w:t>Viie aasta möödudes andmed kustutatakse.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168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lastRenderedPageBreak/>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6</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6.</w:t>
            </w:r>
            <w:r>
              <w:tab/>
              <w:t xml:space="preserve">Juurdepääs määruse (EL) 2019/818 artiklis 39 osutatud aruandluse ja statistika keskhoidlale antakse eu-LISA-le, komisjonile, [Euroopa Liidu Varjupaigaametile] ja iga liikmesriigi poolt vastavalt artikli 28 lõikele 2 määratud ametiasutustele. </w:t>
            </w:r>
            <w:r>
              <w:rPr>
                <w:b/>
                <w:i/>
              </w:rPr>
              <w:t>Samuti võidakse juurdepääs anda muudele justiits- ja siseküsimuste asutuste kasutajatele, kui selline juurdepääs on nende ülesannete täitmiseks asjakohane.</w:t>
            </w:r>
          </w:p>
        </w:tc>
        <w:tc>
          <w:tcPr>
            <w:tcW w:w="4876" w:type="dxa"/>
            <w:hideMark/>
          </w:tcPr>
          <w:p w:rsidR="00F528F9" w:rsidRPr="00E66FD7" w:rsidRDefault="00F528F9" w:rsidP="00167072">
            <w:pPr>
              <w:pStyle w:val="Normal6"/>
              <w:rPr>
                <w:szCs w:val="24"/>
              </w:rPr>
            </w:pPr>
            <w:r>
              <w:t>6.</w:t>
            </w:r>
            <w:r>
              <w:tab/>
              <w:t>Juurdepääs määruse (EL) 2019/818 artiklis 39 osutatud aruandluse ja statistika keskhoidlale antakse eu-LISA-le, komisjonile, [Euroopa Liidu Varjupaigaametile] ja iga liikmesriigi poolt vastavalt artikli 28 lõikele 2 määratud ametiasutustele.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169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6</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6.</w:t>
            </w:r>
            <w:r>
              <w:tab/>
              <w:t xml:space="preserve">Juurdepääs määruse (EL) 2019/818 artiklis 39 osutatud aruandluse ja statistika keskhoidlale antakse eu-LISA-le, komisjonile, [Euroopa Liidu Varjupaigaametile] ja iga liikmesriigi poolt vastavalt artikli 28 lõikele 2 määratud ametiasutustele. </w:t>
            </w:r>
            <w:r>
              <w:rPr>
                <w:b/>
                <w:i/>
              </w:rPr>
              <w:t>Samuti võidakse juurdepääs anda muudele justiits- ja siseküsimuste asutuste kasutajatele, kui selline juurdepääs on nende ülesannete täitmiseks asjakohane.</w:t>
            </w:r>
          </w:p>
        </w:tc>
        <w:tc>
          <w:tcPr>
            <w:tcW w:w="4876" w:type="dxa"/>
            <w:hideMark/>
          </w:tcPr>
          <w:p w:rsidR="00F528F9" w:rsidRPr="00E66FD7" w:rsidRDefault="00F528F9" w:rsidP="00167072">
            <w:pPr>
              <w:pStyle w:val="Normal6"/>
              <w:rPr>
                <w:szCs w:val="24"/>
              </w:rPr>
            </w:pPr>
            <w:r>
              <w:t>6.</w:t>
            </w:r>
            <w:r>
              <w:tab/>
              <w:t>Juurdepääs määruse (EL) 2019/818 artiklis 39 osutatud aruandluse ja statistika keskhoidlale antakse eu-LISA-le, komisjonile, [Euroopa Liidu Varjupaigaametile] ja iga liikmesriigi poolt vastavalt artikli 28 lõikele 2 määratud ametiasutustele.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170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lastRenderedPageBreak/>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6</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6.</w:t>
            </w:r>
            <w:r>
              <w:tab/>
              <w:t xml:space="preserve">Juurdepääs määruse (EL) 2019/818 artiklis 39 osutatud aruandluse ja statistika keskhoidlale antakse eu-LISA-le, komisjonile, [Euroopa Liidu Varjupaigaametile] ja iga liikmesriigi poolt vastavalt artikli 28 lõikele 2 määratud ametiasutustele. </w:t>
            </w:r>
            <w:r>
              <w:rPr>
                <w:b/>
                <w:i/>
              </w:rPr>
              <w:t>Samuti võidakse juurdepääs anda muudele justiits- ja siseküsimuste asutuste kasutajatele, kui selline juurdepääs on nende ülesannete täitmiseks asjakohane.</w:t>
            </w:r>
          </w:p>
        </w:tc>
        <w:tc>
          <w:tcPr>
            <w:tcW w:w="4876" w:type="dxa"/>
            <w:hideMark/>
          </w:tcPr>
          <w:p w:rsidR="00F528F9" w:rsidRPr="00E66FD7" w:rsidRDefault="00F528F9" w:rsidP="00167072">
            <w:pPr>
              <w:pStyle w:val="Normal6"/>
              <w:rPr>
                <w:szCs w:val="24"/>
              </w:rPr>
            </w:pPr>
            <w:r>
              <w:t>6.</w:t>
            </w:r>
            <w:r>
              <w:tab/>
              <w:t>Juurdepääs määruse (EL) 2019/818 artiklis 39 osutatud aruandluse ja statistika keskhoidlale antakse eu-LISA-le, komisjonile, [Euroopa Liidu Varjupaigaametile] ja iga liikmesriigi poolt vastavalt artikli 28 lõikele 2 määratud ametiasutustele.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171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13 – artikkel 9 – lõige 6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6a.</w:t>
            </w:r>
            <w:r>
              <w:rPr>
                <w:b/>
                <w:i/>
              </w:rPr>
              <w:tab/>
              <w:t>Kogutud andmete täpsuse ja koostatud statistika kvaliteedi tagamiseks peaksid statistiliste andmete koostamisega kaasnema ranged eeskirjad, millega nõutakse, et liikmesriigid parandaksid ebaõiged andmed kindla tähtaja jooksul.</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172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14 – artikkel 10 – lõige 1 – lõik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Iga liikmesriik võtab kõikidelt </w:t>
            </w:r>
            <w:r>
              <w:lastRenderedPageBreak/>
              <w:t xml:space="preserve">vähemalt </w:t>
            </w:r>
            <w:r>
              <w:rPr>
                <w:b/>
                <w:i/>
              </w:rPr>
              <w:t>kuueaastastelt</w:t>
            </w:r>
            <w:r>
              <w:t xml:space="preserve"> rahvusvahelise kaitse taotlejatelt biomeetrilised andmed</w:t>
            </w:r>
            <w:r>
              <w:rPr>
                <w:b/>
                <w:i/>
              </w:rPr>
              <w:t xml:space="preserve"> määruses (EL) XXX/XXX [taustakontrolli määrus] osutatud taustakontrolli käigus või kui biomeetrilisi andmeid ei saanud võtta taustakontrolli käigus või kui taotleja ei läbinud taustakontrolli,</w:t>
            </w:r>
            <w:r>
              <w:t xml:space="preserve"> määruse (EL) nr XXX/XXX [varjupaigamenetluse määrus] artiklis 27 osutatud rahvusvahelise kaitse taotluse registreerimisel ning edastab need võimalikult kiiresti ja hiljemalt 72 tunni jooksul pärast biomeetriliste andmete võtmist koos käesoleva määruse artikli 12 punktides c–p nimetatud andmetega kesksüsteemi ja vajaduse korral ühisele isikuandmete hoidlale vastavalt artikli </w:t>
            </w:r>
            <w:r>
              <w:rPr>
                <w:b/>
                <w:i/>
              </w:rPr>
              <w:t>2</w:t>
            </w:r>
            <w:r>
              <w:t xml:space="preserve"> lõikele </w:t>
            </w:r>
            <w:r>
              <w:rPr>
                <w:b/>
                <w:i/>
              </w:rPr>
              <w:t>4</w:t>
            </w:r>
            <w:r>
              <w:t>.</w:t>
            </w:r>
          </w:p>
        </w:tc>
        <w:tc>
          <w:tcPr>
            <w:tcW w:w="4876" w:type="dxa"/>
            <w:hideMark/>
          </w:tcPr>
          <w:p w:rsidR="00F528F9" w:rsidRPr="00E66FD7" w:rsidRDefault="00F528F9" w:rsidP="00167072">
            <w:pPr>
              <w:pStyle w:val="Normal6"/>
              <w:rPr>
                <w:szCs w:val="24"/>
              </w:rPr>
            </w:pPr>
            <w:r>
              <w:lastRenderedPageBreak/>
              <w:t>1.</w:t>
            </w:r>
            <w:r>
              <w:tab/>
              <w:t xml:space="preserve">Iga liikmesriik võtab kõikidelt </w:t>
            </w:r>
            <w:r>
              <w:lastRenderedPageBreak/>
              <w:t xml:space="preserve">vähemalt </w:t>
            </w:r>
            <w:r>
              <w:rPr>
                <w:b/>
                <w:i/>
              </w:rPr>
              <w:t>18aastastelt</w:t>
            </w:r>
            <w:r>
              <w:t xml:space="preserve"> rahvusvahelise kaitse taotlejatelt biomeetrilised andmed määruse (EL) nr XXX/XXX [varjupaigamenetluse määrus] artiklis 27 osutatud rahvusvahelise kaitse taotluse registreerimisel ning edastab need võimalikult kiiresti ja hiljemalt 72 tunni jooksul pärast biomeetriliste andmete võtmist koos käesoleva määruse artikli 12 punktides c–p nimetatud andmetega kesksüsteemi ja vajaduse korral ühisele isikuandmete hoidlale vastavalt artikli </w:t>
            </w:r>
            <w:r>
              <w:rPr>
                <w:b/>
                <w:i/>
              </w:rPr>
              <w:t>4</w:t>
            </w:r>
            <w:r>
              <w:t xml:space="preserve"> lõikele </w:t>
            </w:r>
            <w:r>
              <w:rPr>
                <w:b/>
                <w:i/>
              </w:rPr>
              <w:t>2.</w:t>
            </w:r>
            <w:r>
              <w:t xml:space="preserve"> </w:t>
            </w:r>
            <w:r>
              <w:rPr>
                <w:b/>
                <w:i/>
              </w:rPr>
              <w:t>Liikmesriigid peavad sõrmejälgede ja näokujutise võtmisel alati austama kõigi taotlejate väärikust ja füüsilist puutumatust nende vanusest sõltumata, ning nad ei tohi biomeetriliste andmete võtmiseks sundi rakendada.</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Laste biomeetriliste andmete võtmisel tuleb vastavalt ÜRO lapse õiguste konventsioonis sätestatud põhimõtetele täielikult lähtuda lapse parimatest huvidest ning andmed peavad võtma eriväljaõppega ametiisikud lapsesõbralikul, lapsele sobival ja sooliselt sobival viisil. Last tuleb teavitada eakohasel viisil, nii suuliselt kui ka kirjalikult, kasutades infolehti ning illustratiivseid pilte ja konkreetselt seda keelt, mida laps mõistab. Lapsega peab kogu tema biomeetriliste andmete võtmise ajal olema kaasas vastutav täiskasvanu või eestkostja. Liikmesriigid peavad biomeetriliste andmete võtmisel alati austama lapse väärikust ja füüsilist puutumatust. Keelatud on kasutada lapse biomeetriliste andmete võtmiseks sundi ja last kinni pidada. Käesolevat ja järgmist lõiget tuleb kõigil biomeetriliste andmete võtmise juhtudel lugeda horisontaalse mõjuga lõigeteks.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 xml:space="preserve">Käesoleva muudatusettepaneku vastuvõtmise korral tuleb vastavad muudatused teha läbivalt </w:t>
      </w:r>
      <w:r>
        <w:rPr>
          <w:noProof w:val="0"/>
        </w:rPr>
        <w:lastRenderedPageBreak/>
        <w:t>kogu tekstis.</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173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14 – artikkel 10 – lõige 1 – lõik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Iga liikmesriik võtab kõikidelt vähemalt </w:t>
            </w:r>
            <w:r>
              <w:rPr>
                <w:b/>
                <w:i/>
              </w:rPr>
              <w:t>kuueaastastelt</w:t>
            </w:r>
            <w:r>
              <w:t xml:space="preserve"> rahvusvahelise kaitse taotlejatelt biomeetrilised andmed </w:t>
            </w:r>
            <w:r>
              <w:rPr>
                <w:b/>
                <w:i/>
              </w:rPr>
              <w:t xml:space="preserve">määruses (EL) XXX/XXX [taustakontrolli määrus] osutatud taustakontrolli käigus või kui biomeetrilisi andmeid ei saanud võtta taustakontrolli käigus või kui taotleja ei läbinud taustakontrolli, määruse (EL) nr XXX/XXX [varjupaigamenetluse määrus] artiklis 27 osutatud rahvusvahelise kaitse taotluse registreerimisel </w:t>
            </w:r>
            <w:r>
              <w:t xml:space="preserve">ning edastab need võimalikult kiiresti ja hiljemalt 72 tunni jooksul pärast biomeetriliste andmete võtmist koos käesoleva määruse artikli 12 punktides c–p nimetatud andmetega kesksüsteemi ja </w:t>
            </w:r>
            <w:r>
              <w:rPr>
                <w:b/>
                <w:i/>
              </w:rPr>
              <w:t xml:space="preserve">vajaduse korral </w:t>
            </w:r>
            <w:r>
              <w:t>ühisele isikuandmete hoidlale vastavalt artikli </w:t>
            </w:r>
            <w:r>
              <w:rPr>
                <w:b/>
                <w:i/>
              </w:rPr>
              <w:t>2</w:t>
            </w:r>
            <w:r>
              <w:t xml:space="preserve"> lõikele </w:t>
            </w:r>
            <w:r>
              <w:rPr>
                <w:b/>
                <w:i/>
              </w:rPr>
              <w:t>4</w:t>
            </w:r>
            <w:r>
              <w:t>.</w:t>
            </w:r>
          </w:p>
        </w:tc>
        <w:tc>
          <w:tcPr>
            <w:tcW w:w="4876" w:type="dxa"/>
            <w:hideMark/>
          </w:tcPr>
          <w:p w:rsidR="00F528F9" w:rsidRPr="00E66FD7" w:rsidRDefault="00F528F9" w:rsidP="00167072">
            <w:pPr>
              <w:pStyle w:val="Normal6"/>
              <w:rPr>
                <w:szCs w:val="24"/>
              </w:rPr>
            </w:pPr>
            <w:r>
              <w:t>1.</w:t>
            </w:r>
            <w:r>
              <w:tab/>
              <w:t xml:space="preserve">Iga liikmesriik võtab kõikidelt vähemalt </w:t>
            </w:r>
            <w:r>
              <w:rPr>
                <w:b/>
                <w:i/>
              </w:rPr>
              <w:t>18aastastelt</w:t>
            </w:r>
            <w:r>
              <w:t xml:space="preserve"> rahvusvahelise kaitse taotlejatelt biomeetrilised andmed ning edastab need võimalikult kiiresti ja hiljemalt 72 tunni jooksul pärast biomeetriliste andmete võtmist koos käesoleva määruse artikli 12 punktides c–p nimetatud andmetega kesksüsteemi ja ühisele isikuandmete hoidlale vastavalt artikli </w:t>
            </w:r>
            <w:r>
              <w:rPr>
                <w:b/>
                <w:i/>
              </w:rPr>
              <w:t>4</w:t>
            </w:r>
            <w:r>
              <w:t xml:space="preserve"> lõikele </w:t>
            </w:r>
            <w:r>
              <w:rPr>
                <w:b/>
                <w:i/>
              </w:rPr>
              <w:t>2</w:t>
            </w:r>
            <w:r>
              <w:t xml:space="preserve">. </w:t>
            </w:r>
            <w:r>
              <w:rPr>
                <w:b/>
                <w:i/>
              </w:rPr>
              <w:t xml:space="preserve">Taotleja biomeetriliste andmete võtmist ei tohi tagada jõu ega sunniga.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174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14 – artikkel 10 – lõige 1 – lõik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Iga liikmesriik võtab kõikidelt vähemalt </w:t>
            </w:r>
            <w:r>
              <w:rPr>
                <w:b/>
                <w:i/>
              </w:rPr>
              <w:t>kuueaastastelt</w:t>
            </w:r>
            <w:r>
              <w:t xml:space="preserve"> rahvusvahelise kaitse taotlejatelt biomeetrilised andmed määruses (EL) XXX/XXX [taustakontrolli määrus] osutatud taustakontrolli käigus või </w:t>
            </w:r>
            <w:r>
              <w:lastRenderedPageBreak/>
              <w:t>kui biomeetrilisi andmeid ei saanud võtta taustakontrolli käigus või kui taotleja ei läbinud taustakontrolli, määruse (EL) nr XXX/XXX [varjupaigamenetluse määrus] artiklis 27 osutatud rahvusvahelise kaitse taotluse registreerimisel ning edastab need võimalikult kiiresti ja hiljemalt 72 tunni jooksul pärast biomeetriliste andmete võtmist koos käesoleva määruse artikli 12 punktides c–p nimetatud andmetega kesksüsteemi ja vajaduse korral ühisele isikuandmete hoidlale vastavalt artikli 2 lõikele 4.</w:t>
            </w:r>
          </w:p>
        </w:tc>
        <w:tc>
          <w:tcPr>
            <w:tcW w:w="4876" w:type="dxa"/>
            <w:hideMark/>
          </w:tcPr>
          <w:p w:rsidR="00F528F9" w:rsidRPr="00E66FD7" w:rsidRDefault="00F528F9" w:rsidP="00167072">
            <w:pPr>
              <w:pStyle w:val="Normal6"/>
              <w:rPr>
                <w:szCs w:val="24"/>
              </w:rPr>
            </w:pPr>
            <w:r>
              <w:lastRenderedPageBreak/>
              <w:t>1.</w:t>
            </w:r>
            <w:r>
              <w:tab/>
              <w:t xml:space="preserve">Iga liikmesriik võtab kõikidelt vähemalt </w:t>
            </w:r>
            <w:r>
              <w:rPr>
                <w:b/>
                <w:i/>
              </w:rPr>
              <w:t>14aastastelt</w:t>
            </w:r>
            <w:r>
              <w:t xml:space="preserve"> rahvusvahelise kaitse taotlejatelt</w:t>
            </w:r>
            <w:r>
              <w:rPr>
                <w:b/>
                <w:i/>
              </w:rPr>
              <w:t xml:space="preserve"> asjakohasel kaitset arvestaval viisil</w:t>
            </w:r>
            <w:r>
              <w:t xml:space="preserve"> biomeetrilised andmed määruses (EL) XXX/XXX [taustakontrolli </w:t>
            </w:r>
            <w:r>
              <w:lastRenderedPageBreak/>
              <w:t>määrus] osutatud taustakontrolli käigus või kui biomeetrilisi andmeid ei saanud võtta taustakontrolli käigus või kui taotleja ei läbinud taustakontrolli, määruse (EL) nr XXX/XXX [varjupaigamenetluse määrus] artiklis 27 osutatud rahvusvahelise kaitse taotluse registreerimisel ning edastab need võimalikult kiiresti ja hiljemalt 72 tunni jooksul pärast biomeetriliste andmete võtmist koos käesoleva määruse artikli 12 punktides c–p nimetatud andmetega kesksüsteemi ja vajaduse korral ühisele isikuandmete hoidlale vastavalt artikli 2 lõikele 4.</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175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14 – artikkel 10 – lõige 1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Juhul kui kohaldatakse määruse (EL) XXX/XXX [taustakontrolli määrus] artikli 3 lõiget 1 ja isik taotleb taustakontrolli ajal rahvusvahelist kaitset, siis kõik liikmesriigid kasutavad iga vähemalt kuueaastase rahvusvahelise kaitse taotleja puhul taustakontrolli raames võetud biomeetrilisi andmeid ja edastavad need hiljemalt 72 tundi pärast määruse (EL) XXX/XXX [varjupaigamenetluse määrus] artiklis 27 osutatud rahvusvaheline kaitse taotluse registreerimist koos käesoleva määruse artikli 12 punktides c–p osutatud andmetega kesksüsteemi ja vajaduse korral vastavalt artikli 4 lõikele 2 ühisele isikuandmete hoidlale.</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176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14 – artikkel 10 – lõige 1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Juhul kui kohaldatakse määruse (EL) XXX/XXX [taustakontrolli määrus] artikli 3 lõiget 1</w:t>
            </w:r>
            <w:r>
              <w:t xml:space="preserve"> ja </w:t>
            </w:r>
            <w:r>
              <w:rPr>
                <w:b/>
                <w:i/>
              </w:rPr>
              <w:t>isik taotleb taustakontrolli ajal rahvusvahelist kaitset</w:t>
            </w:r>
            <w:r>
              <w:t xml:space="preserve">, </w:t>
            </w:r>
            <w:r>
              <w:rPr>
                <w:b/>
                <w:i/>
              </w:rPr>
              <w:t>siis kõik liikmesriigid kasutavad iga vähemalt kuueaastase rahvusvahelise kaitse taotleja puhul taustakontrolli raames võetud biomeetrilisi andmeid ja</w:t>
            </w:r>
            <w:r>
              <w:t xml:space="preserve"> edastavad </w:t>
            </w:r>
            <w:r>
              <w:rPr>
                <w:b/>
                <w:i/>
              </w:rPr>
              <w:t>need hiljemalt 72 tundi pärast määruse (EL) XXX/XXX [varjupaigamenetluse määrus] artiklis 27 osutatud rahvusvaheline kaitse taotluse registreerimist koos</w:t>
            </w:r>
            <w:r>
              <w:t xml:space="preserve"> käesoleva määruse artikli 12 punktides c–p </w:t>
            </w:r>
            <w:r>
              <w:rPr>
                <w:b/>
                <w:i/>
              </w:rPr>
              <w:t>osutatud</w:t>
            </w:r>
            <w:r>
              <w:t xml:space="preserve"> andmetega kesksüsteemi ja </w:t>
            </w:r>
            <w:r>
              <w:rPr>
                <w:b/>
                <w:i/>
              </w:rPr>
              <w:t>vajaduse korral</w:t>
            </w:r>
            <w:r>
              <w:t xml:space="preserve"> vastavalt artikli 4 lõikele 2 </w:t>
            </w:r>
            <w:r>
              <w:rPr>
                <w:b/>
                <w:i/>
              </w:rPr>
              <w:t>ühisele isikuandmete hoidlale</w:t>
            </w:r>
            <w:r>
              <w:t>.</w:t>
            </w:r>
          </w:p>
        </w:tc>
        <w:tc>
          <w:tcPr>
            <w:tcW w:w="4876" w:type="dxa"/>
            <w:hideMark/>
          </w:tcPr>
          <w:p w:rsidR="00F528F9" w:rsidRPr="00E66FD7" w:rsidRDefault="00F528F9" w:rsidP="00167072">
            <w:pPr>
              <w:pStyle w:val="Normal6"/>
              <w:rPr>
                <w:szCs w:val="24"/>
              </w:rPr>
            </w:pPr>
            <w:r>
              <w:rPr>
                <w:b/>
                <w:i/>
              </w:rPr>
              <w:t>Vähemalt kuueaastaste alaealiste biomeetrilisi andmeid kogutakse, töödeldakse</w:t>
            </w:r>
            <w:r>
              <w:t xml:space="preserve"> ja </w:t>
            </w:r>
            <w:r>
              <w:rPr>
                <w:b/>
                <w:i/>
              </w:rPr>
              <w:t>säilitatakse üksnes selleks</w:t>
            </w:r>
            <w:r>
              <w:t xml:space="preserve">, </w:t>
            </w:r>
            <w:r>
              <w:rPr>
                <w:b/>
                <w:i/>
              </w:rPr>
              <w:t>et kaitsta ja tuvastada inimkaubanduse ohvriks langenud lapsi ja kadunud lapsi, eelkõige saatjata alaealiste puhul.</w:t>
            </w:r>
            <w:r>
              <w:t xml:space="preserve"> </w:t>
            </w:r>
            <w:r>
              <w:rPr>
                <w:b/>
                <w:i/>
              </w:rPr>
              <w:t>Liikmesriigid</w:t>
            </w:r>
            <w:r>
              <w:t xml:space="preserve"> edastavad </w:t>
            </w:r>
            <w:r>
              <w:rPr>
                <w:b/>
                <w:i/>
              </w:rPr>
              <w:t>biomeetrilised andmed koos nende kogumise põhjendusega ja</w:t>
            </w:r>
            <w:r>
              <w:t xml:space="preserve"> käesoleva määruse artikli 12 punktides c–p </w:t>
            </w:r>
            <w:r>
              <w:rPr>
                <w:b/>
                <w:i/>
              </w:rPr>
              <w:t>nimetatud</w:t>
            </w:r>
            <w:r>
              <w:t xml:space="preserve"> andmetega kesksüsteemi ja </w:t>
            </w:r>
            <w:r>
              <w:rPr>
                <w:b/>
                <w:i/>
              </w:rPr>
              <w:t>ühisele isikuandmete hoidlale</w:t>
            </w:r>
            <w:r>
              <w:t xml:space="preserve"> vastavalt artikli 4 lõikele 2 </w:t>
            </w:r>
            <w:r>
              <w:rPr>
                <w:b/>
                <w:i/>
              </w:rPr>
              <w:t>hiljemalt 72 tundi pärast biomeetriliste andmete võtmist</w:t>
            </w:r>
            <w:r>
              <w:t>.</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Kui isiku vanus on vaieldav või ebaselge ja puuduvad tema vanust tõendavad dokumendid, tuleb kahtluse korral alati teha otsus alaealise kasuks.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177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14 – artikkel 10 – lõige 1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Juhul kui kohaldatakse määruse (EL) XXX/XXX [taustakontrolli määrus] artikli 3 lõiget 1 ja isik taotleb taustakontrolli ajal rahvusvahelist kaitset, siis kõik liikmesriigid kasutavad iga vähemalt </w:t>
            </w:r>
            <w:r>
              <w:rPr>
                <w:b/>
                <w:i/>
              </w:rPr>
              <w:t>kuueaastase</w:t>
            </w:r>
            <w:r>
              <w:t xml:space="preserve"> rahvusvahelise </w:t>
            </w:r>
            <w:r>
              <w:lastRenderedPageBreak/>
              <w:t>kaitse taotleja puhul taustakontrolli raames võetud biomeetrilisi andmeid ja edastavad need hiljemalt 72 tundi pärast määruse (EL) XXX/XXX [varjupaigamenetluse määrus] artiklis 27 osutatud rahvusvaheline kaitse taotluse registreerimist koos käesoleva määruse artikli 12 punktides c–p osutatud andmetega kesksüsteemi ja vajaduse korral vastavalt artikli 4 lõikele 2 ühisele isikuandmete hoidlale.</w:t>
            </w:r>
          </w:p>
        </w:tc>
        <w:tc>
          <w:tcPr>
            <w:tcW w:w="4876" w:type="dxa"/>
            <w:hideMark/>
          </w:tcPr>
          <w:p w:rsidR="00F528F9" w:rsidRPr="00E66FD7" w:rsidRDefault="00F528F9" w:rsidP="00167072">
            <w:pPr>
              <w:pStyle w:val="Normal6"/>
              <w:rPr>
                <w:szCs w:val="24"/>
              </w:rPr>
            </w:pPr>
            <w:r>
              <w:lastRenderedPageBreak/>
              <w:t xml:space="preserve">Juhul kui kohaldatakse määruse (EL) XXX/XXX [taustakontrolli määrus] artikli 3 lõiget 1 ja isik taotleb taustakontrolli ajal rahvusvahelist kaitset, siis kõik liikmesriigid kasutavad iga vähemalt </w:t>
            </w:r>
            <w:r>
              <w:rPr>
                <w:b/>
                <w:i/>
              </w:rPr>
              <w:t>14aastase</w:t>
            </w:r>
            <w:r>
              <w:t xml:space="preserve"> rahvusvahelise kaitse </w:t>
            </w:r>
            <w:r>
              <w:lastRenderedPageBreak/>
              <w:t xml:space="preserve">taotleja puhul taustakontrolli raames võetud biomeetrilisi andmeid ja edastavad need hiljemalt 72 tundi pärast määruse (EL) XXX/XXX [varjupaigamenetluse määrus] artiklis 27 osutatud rahvusvaheline kaitse taotluse registreerimist koos käesoleva määruse artikli 12 punktides c–p osutatud andmetega kesksüsteemi ja vajaduse korral vastavalt artikli 4 lõikele 2 ühisele isikuandmete hoidlale. </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178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14 – artikkel 10 – lõige 1 – lõik 2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 xml:space="preserve">Kui liikmesriik ei suuda kindlaks teha, kas alaealine on 14aastane või vanem, tuleb eeldada, et taotleja vanus on alla 14 aasta.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179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14 – artikkel 10 – lõige 3</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3.</w:t>
            </w:r>
            <w:r>
              <w:tab/>
              <w:t xml:space="preserve">Kui asjaomane liikmesriik seda taotleb, võivad biomeetrilisi andmeid võtta ja edastada ka </w:t>
            </w:r>
            <w:r>
              <w:rPr>
                <w:b/>
                <w:i/>
              </w:rPr>
              <w:t xml:space="preserve">Euroopa piiri- ja rannikuvalverühmade liikmed või </w:t>
            </w:r>
            <w:r>
              <w:t xml:space="preserve">varjupaigatugirühmade eksperdid, kui nad täidavad oma ülesandeid ja kasutavad oma volitusi kooskõlas määrusega (EL) 2019/1896 ja määrusega (EL) XXX/XXX </w:t>
            </w:r>
            <w:r>
              <w:lastRenderedPageBreak/>
              <w:t>[ELi Varjupaigaameti määrus].</w:t>
            </w:r>
          </w:p>
        </w:tc>
        <w:tc>
          <w:tcPr>
            <w:tcW w:w="4876" w:type="dxa"/>
            <w:hideMark/>
          </w:tcPr>
          <w:p w:rsidR="00F528F9" w:rsidRPr="00E66FD7" w:rsidRDefault="00F528F9" w:rsidP="00167072">
            <w:pPr>
              <w:pStyle w:val="Normal6"/>
              <w:rPr>
                <w:szCs w:val="24"/>
              </w:rPr>
            </w:pPr>
            <w:r>
              <w:lastRenderedPageBreak/>
              <w:t>3.</w:t>
            </w:r>
            <w:r>
              <w:tab/>
              <w:t>Kui asjaomane liikmesriik seda taotleb, võivad biomeetrilisi andmeid võtta ja edastada ka varjupaigatugirühmade eksperdid, kui nad täidavad oma ülesandeid ja kasutavad oma volitusi kooskõlas määrusega (EL) 2019/1896 ja määrusega (EL) XXX/XXX [ELi Varjupaigaameti määrus].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180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14 – artikkel 10 – lõige 3</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3.</w:t>
            </w:r>
            <w:r>
              <w:tab/>
              <w:t>Kui asjaomane liikmesriik seda taotleb, võivad biomeetrilisi andmeid võtta ja edastada ka Euroopa piiri- ja rannikuvalverühmade liikmed või varjupaigatugirühmade eksperdid, kui nad täidavad oma ülesandeid ja kasutavad oma volitusi kooskõlas määrusega (EL) 2019/1896 ja määrusega (EL) XXX/XXX [ELi Varjupaigaameti määrus].</w:t>
            </w:r>
          </w:p>
        </w:tc>
        <w:tc>
          <w:tcPr>
            <w:tcW w:w="4876" w:type="dxa"/>
            <w:hideMark/>
          </w:tcPr>
          <w:p w:rsidR="00F528F9" w:rsidRPr="00E66FD7" w:rsidRDefault="00F528F9" w:rsidP="00167072">
            <w:pPr>
              <w:pStyle w:val="Normal6"/>
              <w:rPr>
                <w:szCs w:val="24"/>
              </w:rPr>
            </w:pPr>
            <w:r>
              <w:t>3.</w:t>
            </w:r>
            <w:r>
              <w:tab/>
              <w:t xml:space="preserve">Kui asjaomane liikmesriik seda taotleb, võivad biomeetrilisi andmeid võtta ja edastada ka </w:t>
            </w:r>
            <w:r>
              <w:rPr>
                <w:b/>
                <w:i/>
              </w:rPr>
              <w:t xml:space="preserve">eriväljaõppega </w:t>
            </w:r>
            <w:r>
              <w:t>Euroopa piiri- ja rannikuvalverühmade liikmed või varjupaigatugirühmade eksperdid, kui nad täidavad oma ülesandeid ja kasutavad oma volitusi kooskõlas määrusega (EL) 2019/1896 ja määrusega (EL) XXX/XXX [ELi Varjupaigaameti määrus].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181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14 – artikkel 10 – lõige 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Vastavalt artikli 4 lõikes 6 sätestatule lingitakse kõik lõike 1 kohaselt kogutud ja edastatud andmekogumid üheks jadaks muude samale kolmanda riigi kodanikule või kodakondsuseta isikule vastavate andmekogumitega.</w:t>
            </w:r>
          </w:p>
        </w:tc>
        <w:tc>
          <w:tcPr>
            <w:tcW w:w="4876" w:type="dxa"/>
            <w:hideMark/>
          </w:tcPr>
          <w:p w:rsidR="00F528F9" w:rsidRPr="00E66FD7" w:rsidRDefault="00F528F9" w:rsidP="00167072">
            <w:pPr>
              <w:pStyle w:val="Normal6"/>
              <w:rPr>
                <w:szCs w:val="24"/>
              </w:rPr>
            </w:pPr>
            <w:r>
              <w:t>4.</w:t>
            </w:r>
            <w:r>
              <w:tab/>
              <w:t xml:space="preserve">Vastavalt artikli 4 lõikes 6 sätestatule </w:t>
            </w:r>
            <w:r>
              <w:rPr>
                <w:b/>
                <w:i/>
              </w:rPr>
              <w:t xml:space="preserve">ja selles kehtestatud piiranguid arvestades </w:t>
            </w:r>
            <w:r>
              <w:t>lingitakse kõik lõike 1 kohaselt kogutud ja edastatud andmekogumid üheks jadaks muude samale kolmanda riigi kodanikule või kodakondsuseta isikule vastavate andmekogumitega.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182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14 – artikkel 10 – lõige 4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4a.</w:t>
            </w:r>
            <w:r>
              <w:rPr>
                <w:b/>
                <w:i/>
              </w:rPr>
              <w:tab/>
              <w:t>Alaealistelt alates kuuendast eluaastast võtavad biomeetrilisi andmeid ametnikud, keda on välja õpetatud alaealistelt biomeetrilisi andmeid võtma lapsesõbralikul ja lapse vajadustega arvestaval viisil ning võttes täielikult arvesse lapse parimaid huvisid ja ÜRO lapse õiguste konventsioonis sätestatud kaitsemeetmeid.</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Võimaluse korral peab alaealisega tema biomeetriliste andmete võtmise ajal olema kaasas täiskasvanud pereliige. Saatjata alaealisega peab biomeetriliste andmete võtmise ajal olema kaasas eeskostja, esindaja, või kui esindajat ei ole määratud, isik, kes on välja õpetatud kaitsma alaealise parimaid huvisid ja üldist heaolu. Selline koolitatud isik ei tohi olla biomeetriliste andmete võtmise eest vastutav ametnik, ta peab tegutsema sõltumatult ega või saada korraldusi ei biomeetriliste andmete võtmise eest vastutavalt ametnikult ega teenistuselt.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183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15 – artikkel 11 – lõige 1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 xml:space="preserve">Kui vastavalt määruse (EL) XXX/XXX [varjupaiga- ja rändehalduse määrus] artikli 8 lõikele 4 saab liikmesriigist vastutav liikmesriik, kuna on põhjendatud </w:t>
            </w:r>
            <w:r>
              <w:rPr>
                <w:b/>
                <w:i/>
              </w:rPr>
              <w:lastRenderedPageBreak/>
              <w:t>alus arvata, et taotleja kujutab endast ohtu asjaomase liikmesriigi julgeolekule või avalikule korrale, ajakohastab ta oma andmekogumit, mis on asjaomase isiku kohta salvestatud käesoleva määruse artikli 12 alusel, lisades sinna vastutava liikmesriigi.</w:t>
            </w:r>
          </w:p>
        </w:tc>
        <w:tc>
          <w:tcPr>
            <w:tcW w:w="4876" w:type="dxa"/>
            <w:hideMark/>
          </w:tcPr>
          <w:p w:rsidR="00F528F9" w:rsidRPr="00E66FD7" w:rsidRDefault="00F528F9" w:rsidP="00167072">
            <w:pPr>
              <w:pStyle w:val="Normal6"/>
              <w:rPr>
                <w:szCs w:val="24"/>
              </w:rPr>
            </w:pPr>
            <w:r>
              <w:rPr>
                <w:b/>
                <w:i/>
              </w:rPr>
              <w:lastRenderedPageBreak/>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184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15 – artikkel 11 – lõige 1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Kui vastavalt määruse (EL) XXX/XXX [varjupaiga- ja rändehalduse määrus] artikli 8 lõikele 4 saab liikmesriigist vastutav liikmesriik, kuna on põhjendatud alus arvata, et taotleja kujutab endast ohtu asjaomase liikmesriigi julgeolekule või avalikule korrale, ajakohastab ta oma andmekogumit, mis on asjaomase isiku kohta salvestatud käesoleva määruse artikli 12 alusel, lisades sinna vastutava liikmesriigi.</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185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15 – artikkel 11 – lõige 1 – lõik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 xml:space="preserve">Kui vastavalt määruse (EL) XXX/XXX [varjupaiga- ja rändehalduse määrus] artikli 8 lõikele 4 saab liikmesriigist vastutav liikmesriik, kuna on põhjendatud alus arvata, et taotleja kujutab endast </w:t>
            </w:r>
            <w:r>
              <w:rPr>
                <w:b/>
                <w:i/>
              </w:rPr>
              <w:lastRenderedPageBreak/>
              <w:t>ohtu asjaomase liikmesriigi julgeolekule või avalikule korrale, ajakohastab ta oma andmekogumit, mis on asjaomase isiku kohta salvestatud käesoleva määruse artikli 12 alusel, lisades sinna vastutava liikmesriigi.</w:t>
            </w:r>
          </w:p>
        </w:tc>
        <w:tc>
          <w:tcPr>
            <w:tcW w:w="4876" w:type="dxa"/>
            <w:hideMark/>
          </w:tcPr>
          <w:p w:rsidR="00F528F9" w:rsidRPr="00E66FD7" w:rsidRDefault="00F528F9" w:rsidP="00167072">
            <w:pPr>
              <w:pStyle w:val="Normal6"/>
              <w:rPr>
                <w:szCs w:val="24"/>
              </w:rPr>
            </w:pPr>
            <w:r>
              <w:rPr>
                <w:b/>
                <w:i/>
              </w:rPr>
              <w:lastRenderedPageBreak/>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186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15 – artikkel 11 – lõige 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Käesoleva artikli lõike 1 või 3 või artikli 19 lõike 6 kohaldamisel teavitab kesksüsteem võimalikult kiiresti ja hiljemalt 72 tunni jooksul kõiki päritoluliikmesriike sellest, et teine päritoluliikmesriik, kelle otsing on leidnud kokkulangevuse tema poolt artikli 10 lõikes 1</w:t>
            </w:r>
            <w:r>
              <w:rPr>
                <w:b/>
                <w:i/>
              </w:rPr>
              <w:t>, artikli 13 lõikes 1, artikli 14 lõikes 1</w:t>
            </w:r>
            <w:r>
              <w:t xml:space="preserve"> või artikli </w:t>
            </w:r>
            <w:r>
              <w:rPr>
                <w:b/>
                <w:i/>
              </w:rPr>
              <w:t>14a</w:t>
            </w:r>
            <w:r>
              <w:t xml:space="preserve"> lõikes 1 osutatud isikute kohta edastatud andmetega, on edastanud sellised andmed. Kõnealused päritoluliikmesriigid ajakohastavad samuti vastutava liikmesriigi kohta käivat teavet oma vastavates andmekogumites.</w:t>
            </w:r>
          </w:p>
        </w:tc>
        <w:tc>
          <w:tcPr>
            <w:tcW w:w="4876" w:type="dxa"/>
            <w:hideMark/>
          </w:tcPr>
          <w:p w:rsidR="00F528F9" w:rsidRPr="00E66FD7" w:rsidRDefault="00F528F9" w:rsidP="00167072">
            <w:pPr>
              <w:pStyle w:val="Normal6"/>
              <w:rPr>
                <w:szCs w:val="24"/>
              </w:rPr>
            </w:pPr>
            <w:r>
              <w:t>4.</w:t>
            </w:r>
            <w:r>
              <w:tab/>
              <w:t>Käesoleva artikli lõike 1 või 3 või artikli 19 lõike 6 kohaldamisel teavitab kesksüsteem võimalikult kiiresti ja hiljemalt 72 tunni jooksul kõiki päritoluliikmesriike sellest, et teine päritoluliikmesriik, kelle otsing on leidnud kokkulangevuse tema poolt artikli 10 lõikes 1 või artikli </w:t>
            </w:r>
            <w:r>
              <w:rPr>
                <w:b/>
                <w:i/>
              </w:rPr>
              <w:t>13</w:t>
            </w:r>
            <w:r>
              <w:t xml:space="preserve"> lõikes 1 osutatud isikute kohta edastatud andmetega, on edastanud sellised andmed. Kõnealused päritoluliikmesriigid ajakohastavad samuti vastutava liikmesriigi kohta käivat teavet oma vastavates andmekogumites.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187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 artikkel 12 – lõige 1 – sissejuhatav osa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Kesksüsteemis ja </w:t>
            </w:r>
            <w:r>
              <w:rPr>
                <w:b/>
                <w:i/>
              </w:rPr>
              <w:t xml:space="preserve">vajaduse korral </w:t>
            </w:r>
            <w:r>
              <w:t xml:space="preserve">ühises isikuandmete hoidlas salvestatakse üksnes </w:t>
            </w:r>
            <w:r>
              <w:lastRenderedPageBreak/>
              <w:t>järgmised andmed:</w:t>
            </w:r>
          </w:p>
        </w:tc>
        <w:tc>
          <w:tcPr>
            <w:tcW w:w="4876" w:type="dxa"/>
            <w:hideMark/>
          </w:tcPr>
          <w:p w:rsidR="00F528F9" w:rsidRPr="00E66FD7" w:rsidRDefault="00F528F9" w:rsidP="00167072">
            <w:pPr>
              <w:pStyle w:val="Normal6"/>
              <w:rPr>
                <w:szCs w:val="24"/>
              </w:rPr>
            </w:pPr>
            <w:r>
              <w:lastRenderedPageBreak/>
              <w:t>Kesksüsteemis ja ühises isikuandmete hoidlas salvestatakse</w:t>
            </w:r>
            <w:r>
              <w:rPr>
                <w:b/>
                <w:i/>
              </w:rPr>
              <w:t xml:space="preserve"> artikli 4 lõike 2 </w:t>
            </w:r>
            <w:r>
              <w:rPr>
                <w:b/>
                <w:i/>
              </w:rPr>
              <w:lastRenderedPageBreak/>
              <w:t>kohaselt</w:t>
            </w:r>
            <w:r>
              <w:t xml:space="preserve"> üksnes järgmised andmed:</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188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16 – artikkel 12 – lõige 1 – sissejuhatav osa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Kesksüsteemis </w:t>
            </w:r>
            <w:r>
              <w:rPr>
                <w:b/>
                <w:i/>
              </w:rPr>
              <w:t>ja</w:t>
            </w:r>
            <w:r>
              <w:t xml:space="preserve"> vajaduse korral ühises isikuandmete hoidlas salvestatakse üksnes järgmised andmed:</w:t>
            </w:r>
          </w:p>
        </w:tc>
        <w:tc>
          <w:tcPr>
            <w:tcW w:w="4876" w:type="dxa"/>
            <w:hideMark/>
          </w:tcPr>
          <w:p w:rsidR="00F528F9" w:rsidRPr="00E66FD7" w:rsidRDefault="00F528F9" w:rsidP="00167072">
            <w:pPr>
              <w:pStyle w:val="Normal6"/>
              <w:rPr>
                <w:szCs w:val="24"/>
              </w:rPr>
            </w:pPr>
            <w:r>
              <w:t xml:space="preserve">Kesksüsteemis </w:t>
            </w:r>
            <w:r>
              <w:rPr>
                <w:b/>
                <w:i/>
              </w:rPr>
              <w:t>või</w:t>
            </w:r>
            <w:r>
              <w:t xml:space="preserve"> vajaduse korral ühises isikuandmete hoidlas salvestatakse üksnes järgmised andmed: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189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16 – artikkel 12 – lõige 1 – punkt h</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h)</w:t>
            </w:r>
            <w:r>
              <w:tab/>
              <w:t>sugu;</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190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16 – artikkel 12 – lõige 1 – punkt h</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h)</w:t>
            </w:r>
            <w:r>
              <w:tab/>
              <w:t>sugu;</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191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 artikkel 12 – lõige 1 – punkt j</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j)</w:t>
            </w:r>
            <w:r>
              <w:rPr>
                <w:b/>
                <w:i/>
              </w:rPr>
              <w:tab/>
              <w:t>isikut tõendava või reisidokumendi skaneeritud värvikoopia, kui see on olemas, koos märkega selle autentsuse kohta või selle puudumise korral kolmanda riigi kodaniku või kodakondsuseta isiku tuvastamist hõlbustav muu dokument koos märkega selle autentsuse kohta;</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192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 artikkel 12 – lõige 1 – punkt j</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j)</w:t>
            </w:r>
            <w:r>
              <w:rPr>
                <w:b/>
                <w:i/>
              </w:rPr>
              <w:tab/>
              <w:t>isikut tõendava või reisidokumendi skaneeritud värvikoopia, kui see on olemas, koos märkega selle autentsuse kohta või selle puudumise korral kolmanda riigi kodaniku või kodakondsuseta isiku tuvastamist hõlbustav muu dokument koos märkega selle autentsuse kohta;</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193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 artikkel 12 – lõige 1 – punkt n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na)</w:t>
            </w:r>
            <w:r>
              <w:rPr>
                <w:b/>
                <w:i/>
              </w:rPr>
              <w:tab/>
              <w:t>alaealiste biomeetriliste andmete puhul nende kogumise põhjused vastavalt artikli 10 lõikele 1;</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194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16 – artikkel 12 – lõige 1 – punkt o</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o)</w:t>
            </w:r>
            <w:r>
              <w:tab/>
              <w:t xml:space="preserve">andmete kesksüsteemi ja </w:t>
            </w:r>
            <w:r>
              <w:rPr>
                <w:b/>
                <w:i/>
              </w:rPr>
              <w:t xml:space="preserve">vajaduse korral </w:t>
            </w:r>
            <w:r>
              <w:t>ühisele isikuandmete hoidlale edastamise kuupäev;</w:t>
            </w:r>
          </w:p>
        </w:tc>
        <w:tc>
          <w:tcPr>
            <w:tcW w:w="4876" w:type="dxa"/>
            <w:hideMark/>
          </w:tcPr>
          <w:p w:rsidR="00F528F9" w:rsidRPr="00E66FD7" w:rsidRDefault="00F528F9" w:rsidP="00167072">
            <w:pPr>
              <w:pStyle w:val="Normal6"/>
              <w:rPr>
                <w:szCs w:val="24"/>
              </w:rPr>
            </w:pPr>
            <w:r>
              <w:t>o)</w:t>
            </w:r>
            <w:r>
              <w:tab/>
              <w:t>andmete kesksüsteemi ja ühisele isikuandmete hoidlale edastamise kuupäev;</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195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16 – artikkel 12 – lõige 1 – punkt v</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v)</w:t>
            </w:r>
            <w:r>
              <w:rPr>
                <w:b/>
                <w:i/>
              </w:rPr>
              <w:tab/>
              <w:t>asjaolu, et määruses (EL) XXX/XXX [taustakontrolli määrus] osutatud taustakontrolli või määruse (EL) XXX/XXX [varjupaiga- ja rändehalduse määrus] artikli 8 lõike 4 alusel tehtud uurimise kohaselt võib isik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196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lastRenderedPageBreak/>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 artikkel 12 – lõige 1 – punkt v</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v)</w:t>
            </w:r>
            <w:r>
              <w:rPr>
                <w:b/>
                <w:i/>
              </w:rPr>
              <w:tab/>
              <w:t>asjaolu, et määruses (EL) XXX/XXX [taustakontrolli määrus] osutatud taustakontrolli või määruse (EL) XXX/XXX [varjupaiga- ja rändehalduse määrus] artikli 8 lõike 4 alusel tehtud uurimise kohaselt võib isik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197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 artikkel 12 – lõige 1 – punkt v</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v)</w:t>
            </w:r>
            <w:r>
              <w:rPr>
                <w:b/>
                <w:i/>
              </w:rPr>
              <w:tab/>
              <w:t>asjaolu, et määruses (EL) XXX/XXX [taustakontrolli määrus] osutatud taustakontrolli või määruse (EL) XXX/XXX [varjupaiga- ja rändehalduse määrus] artikli 8 lõike 4 alusel tehtud uurimise kohaselt võib isik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198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16 – artikkel 12 – lõige 1 – punkt x</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x)</w:t>
            </w:r>
            <w:r>
              <w:rPr>
                <w:b/>
                <w:i/>
              </w:rPr>
              <w:tab/>
              <w:t xml:space="preserve">vajaduse korral asjaolu, et rahvusvahelise kaitse taotlus on tagasi lükatud, kui taotlejal puudub õigus riiki </w:t>
            </w:r>
            <w:r>
              <w:rPr>
                <w:b/>
                <w:i/>
              </w:rPr>
              <w:lastRenderedPageBreak/>
              <w:t>jääda ja talle ei ole antud luba riiki jääda kooskõlas määrusega (EL) XXX/XXX [varjupaigamenetluse määrus];</w:t>
            </w:r>
          </w:p>
        </w:tc>
        <w:tc>
          <w:tcPr>
            <w:tcW w:w="4876" w:type="dxa"/>
            <w:hideMark/>
          </w:tcPr>
          <w:p w:rsidR="00F528F9" w:rsidRPr="00E66FD7" w:rsidRDefault="00F528F9" w:rsidP="00167072">
            <w:pPr>
              <w:pStyle w:val="Normal6"/>
              <w:rPr>
                <w:szCs w:val="24"/>
              </w:rPr>
            </w:pPr>
            <w:r>
              <w:rPr>
                <w:b/>
                <w:i/>
              </w:rPr>
              <w:lastRenderedPageBreak/>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199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16 – artikkel 12 – lõige 1 – punkt x</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x)</w:t>
            </w:r>
            <w:r>
              <w:rPr>
                <w:b/>
                <w:i/>
              </w:rPr>
              <w:tab/>
              <w:t>vajaduse korral asjaolu, et rahvusvahelise kaitse taotlus on tagasi lükatud, kui taotlejal puudub õigus riiki jääda ja talle ei ole antud luba riiki jääda kooskõlas määrusega (EL) XXX/XXX [varjupaigamenetluse määrus];</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 artikkel 12 – lõige 1 – punkt z</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z)</w:t>
            </w:r>
            <w:r>
              <w:rPr>
                <w:b/>
                <w:i/>
              </w:rPr>
              <w:tab/>
              <w:t>vajaduse korral asjaolu, et on antud toetust vabatahtlikuks tagasipöördumiseks ja taasintegreerimiseks.</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 artikkel 12 – lõige 1 – punkt z</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z)</w:t>
            </w:r>
            <w:r>
              <w:rPr>
                <w:b/>
                <w:i/>
              </w:rPr>
              <w:tab/>
              <w:t>vajaduse korral asjaolu, et on antud toetust vabatahtlikuks tagasipöördumiseks ja taasintegreerimiseks.</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 artikkel 12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r>
            <w:r>
              <w:rPr>
                <w:b/>
                <w:i/>
              </w:rPr>
              <w:t>Lõike 1 kohane andmekogum määruse (EL) 818/2019 artikli 27 lõike 1 tähenduses loetakse looduks, kui on salvestatud kõik punktides a–f</w:t>
            </w:r>
            <w:r>
              <w:t xml:space="preserve"> ja </w:t>
            </w:r>
            <w:r>
              <w:rPr>
                <w:b/>
                <w:i/>
              </w:rPr>
              <w:t>h nimetatud andmed</w:t>
            </w:r>
            <w:r>
              <w:t>.</w:t>
            </w:r>
          </w:p>
        </w:tc>
        <w:tc>
          <w:tcPr>
            <w:tcW w:w="4876" w:type="dxa"/>
            <w:hideMark/>
          </w:tcPr>
          <w:p w:rsidR="00F528F9" w:rsidRPr="00E66FD7" w:rsidRDefault="00F528F9" w:rsidP="00167072">
            <w:pPr>
              <w:pStyle w:val="Normal6"/>
              <w:rPr>
                <w:szCs w:val="24"/>
              </w:rPr>
            </w:pPr>
            <w:r>
              <w:t>2.</w:t>
            </w:r>
            <w:r>
              <w:tab/>
            </w:r>
            <w:r>
              <w:rPr>
                <w:b/>
                <w:i/>
              </w:rPr>
              <w:t>Kõiki Eurodac-süsteemis registreeritud isikuid teavitatakse nende andmete säilitamisest ja andmetega seotud märgetest kooskõlas nende õigusega saada teavet</w:t>
            </w:r>
            <w:r>
              <w:t xml:space="preserve"> ja </w:t>
            </w:r>
            <w:r>
              <w:rPr>
                <w:b/>
                <w:i/>
              </w:rPr>
              <w:t>kasutada oma andmete parandamise või kustutamise õigust</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16 a (uus) – artikkel 12b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16a)</w:t>
            </w:r>
            <w:r>
              <w:rPr>
                <w:b/>
                <w:i/>
              </w:rPr>
              <w:tab/>
              <w:t>Lisatakse artikkel 12b:</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„Artikkel 12b</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Ümberasustatud kolmandate riikide kodanike andmete salvestamine</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Kesksüsteemis salvestatakse üksnes järgmised andmed:</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 xml:space="preserve">a) ELi territooriumile saabumisel võetud </w:t>
            </w:r>
            <w:r>
              <w:rPr>
                <w:b/>
                <w:i/>
              </w:rPr>
              <w:lastRenderedPageBreak/>
              <w:t>sõrmejälgede andmed;</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b) ELi territooriumile saabumisel võetud näokujutis;</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c) perekonnanimi (perekonnanimed) ja eesnimi (eesnimed), sünnijärgne nimi (nimed) ja varem kasutatud nimed ning kõik varjunimed, mis võimaluse korral sisestatakse eraldi;</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d) kodakondsus(ed);</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e) sünnikoht ja -aeg;</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f) ümberasustamise liikmesriik ning registreerimise koht ja kuupäev;</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g) sugu;</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h) vajaduse korral isikut tõendava või reisidokumendi liik ja number, välja andnud riigi kolmetäheline kood ja kehtivusaeg;</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i) viitenumber, mida kasutab päritoluliikmesriik;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j) sõrmejälgede võtmise ja/või näokujutise jäädvustamise kuupäev;</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k) andmete kesksüsteemi edastamise kuupäev;</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l) operaatori kasutajatunnus.“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Iga liikmesriik võtab viivitamata biomeetrilised andmed kõikidelt vähemalt </w:t>
            </w:r>
            <w:r>
              <w:rPr>
                <w:b/>
                <w:i/>
              </w:rPr>
              <w:t>kuueaastastelt</w:t>
            </w:r>
            <w:r>
              <w:t xml:space="preserve"> kolmandatest riikidest saabunud kolmandate riikide kodanikelt või kodakondsuseta isikutelt, kelle pädevad kontrolliasutused on kinni pidanud seoses </w:t>
            </w:r>
            <w:r>
              <w:lastRenderedPageBreak/>
              <w:t>kõnealuse liikmesriigi maismaa-, mere- või õhupiiri ebaseadusliku ületamisega ja keda ei ole tagasi saadetud või kes asuvad füüsiliselt liikmesriikide territooriumil ning keda ei ole kogu kinnipidamise ja tagasisaatmise otsuse alusel väljasaatmise vahelise ajavahemiku vältel hoitud vahi all</w:t>
            </w:r>
            <w:r>
              <w:rPr>
                <w:b/>
                <w:i/>
              </w:rPr>
              <w:t>,</w:t>
            </w:r>
            <w:r>
              <w:t xml:space="preserve"> vangistuses või kes ei ole olnud eeluurimise all.</w:t>
            </w:r>
          </w:p>
        </w:tc>
        <w:tc>
          <w:tcPr>
            <w:tcW w:w="4876" w:type="dxa"/>
            <w:hideMark/>
          </w:tcPr>
          <w:p w:rsidR="00F528F9" w:rsidRPr="00E66FD7" w:rsidRDefault="00F528F9" w:rsidP="00167072">
            <w:pPr>
              <w:pStyle w:val="Normal6"/>
              <w:rPr>
                <w:szCs w:val="24"/>
              </w:rPr>
            </w:pPr>
            <w:r>
              <w:lastRenderedPageBreak/>
              <w:t>1.</w:t>
            </w:r>
            <w:r>
              <w:tab/>
              <w:t xml:space="preserve">Iga liikmesriik võtab viivitamata biomeetrilised andmed kõikidelt vähemalt </w:t>
            </w:r>
            <w:r>
              <w:rPr>
                <w:b/>
                <w:i/>
              </w:rPr>
              <w:t>18aastastelt</w:t>
            </w:r>
            <w:r>
              <w:t xml:space="preserve"> kolmandatest riikidest saabunud kolmandate riikide kodanikelt või kodakondsuseta isikutelt, kelle pädevad kontrolliasutused on kinni pidanud seoses </w:t>
            </w:r>
            <w:r>
              <w:lastRenderedPageBreak/>
              <w:t>kõnealuse liikmesriigi maismaa-, mere- või õhupiiri ebaseadusliku ületamisega ja keda ei ole tagasi saadetud või kes asuvad füüsiliselt liikmesriikide territooriumil ning keda ei ole kogu kinnipidamise ja tagasisaatmise otsuse alusel väljasaatmise vahelise ajavahemiku vältel hoitud vahi all</w:t>
            </w:r>
            <w:r>
              <w:rPr>
                <w:b/>
                <w:i/>
              </w:rPr>
              <w:t xml:space="preserve"> ega</w:t>
            </w:r>
            <w:r>
              <w:t xml:space="preserve"> vangistuses või kes ei ole olnud eeluurimise all. </w:t>
            </w:r>
            <w:r>
              <w:rPr>
                <w:b/>
                <w:i/>
              </w:rPr>
              <w:t>Liikmesriigid peavad sõrmejälgede ja näokujutise võtmisel alati austama kõigi taotlejate väärikust ja füüsilist puutumatust nende vanusest sõltumata, ning nad ei tohi biomeetriliste andmete võtmiseks sundi rakendada.</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Laste biomeetriliste andmete võtmisel tuleb vastavalt ÜRO lapse õiguste konventsioonis sätestatud põhimõtetele täielikult lähtuda lapse parimatest huvidest ning andmed peavad võtma eriväljaõppega ametiisikud lapsesõbralikul, lapsele sobival ja sooliselt sobival viisil. Last tuleb teavitada eakohasel viisil, nii suuliselt kui ka kirjalikult, kasutades infolehti ning illustratiivseid pilte ja konkreetselt seda keelt, mida laps mõistab. Lapsega peab kogu tema biomeetriliste andmete võtmise ajal olema kaasas vastutav täiskasvanu või eestkostja. Liikmesriigid peavad biomeetriliste andmete võtmisel alati austama lapse väärikust ja füüsilist puutumatust. Keelatud on kasutada lapse biomeetriliste andmete võtmiseks sundi ja last kinni pidada.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Iga liikmesriik võtab viivitamata </w:t>
            </w:r>
            <w:r>
              <w:lastRenderedPageBreak/>
              <w:t xml:space="preserve">biomeetrilised andmed kõikidelt vähemalt </w:t>
            </w:r>
            <w:r>
              <w:rPr>
                <w:b/>
                <w:i/>
              </w:rPr>
              <w:t>kuueaastastelt</w:t>
            </w:r>
            <w:r>
              <w:t xml:space="preserve"> kolmandatest riikidest saabunud kolmandate riikide kodanikelt või kodakondsuseta isikutelt, kelle pädevad kontrolliasutused on kinni pidanud seoses kõnealuse liikmesriigi maismaa-, mere- või õhupiiri ebaseadusliku ületamisega ja keda ei ole tagasi saadetud või kes asuvad füüsiliselt liikmesriikide territooriumil ning keda ei ole kogu kinnipidamise ja tagasisaatmise otsuse alusel väljasaatmise vahelise ajavahemiku vältel hoitud vahi all, vangistuses või kes ei ole olnud eeluurimise all.</w:t>
            </w:r>
          </w:p>
        </w:tc>
        <w:tc>
          <w:tcPr>
            <w:tcW w:w="4876" w:type="dxa"/>
            <w:hideMark/>
          </w:tcPr>
          <w:p w:rsidR="00F528F9" w:rsidRPr="00E66FD7" w:rsidRDefault="00F528F9" w:rsidP="00167072">
            <w:pPr>
              <w:pStyle w:val="Normal6"/>
              <w:rPr>
                <w:szCs w:val="24"/>
              </w:rPr>
            </w:pPr>
            <w:r>
              <w:lastRenderedPageBreak/>
              <w:t>1.</w:t>
            </w:r>
            <w:r>
              <w:tab/>
              <w:t xml:space="preserve">Iga liikmesriik võtab viivitamata </w:t>
            </w:r>
            <w:r>
              <w:lastRenderedPageBreak/>
              <w:t xml:space="preserve">biomeetrilised andmed kõikidelt vähemalt </w:t>
            </w:r>
            <w:r>
              <w:rPr>
                <w:b/>
                <w:i/>
              </w:rPr>
              <w:t>18aastastelt</w:t>
            </w:r>
            <w:r>
              <w:t xml:space="preserve"> kolmandatest riikidest saabunud kolmandate riikide kodanikelt või kodakondsuseta isikutelt, kelle pädevad kontrolliasutused on kinni pidanud seoses kõnealuse liikmesriigi maismaa-, mere- või õhupiiri ebaseadusliku ületamisega ja keda ei ole tagasi saadetud või kes asuvad füüsiliselt liikmesriikide territooriumil ning keda ei ole kogu kinnipidamise ja tagasisaatmise otsuse alusel väljasaatmise vahelise ajavahemiku vältel hoitud vahi all, vangistuses või kes ei ole olnud eeluurimise all. </w:t>
            </w:r>
            <w:r>
              <w:rPr>
                <w:b/>
                <w:i/>
              </w:rPr>
              <w:t>Taotleja biomeetriliste andmete võtmist ei tohi tagada jõu ega sunniga.</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Vähemalt kuueaastaste alaealiste biomeetrilisi andmeid kogutakse, töödeldakse ja säilitatakse kooskõlas artikli 10 lõikes 5 sätestatud nõuetega üksnes selleks, et kaitsta ja tuvastada inimkaubanduse ohvriks langenud lapsi ja kadunud lapsi, eelkõige saatjata alaealiste puhul.</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Kui isiku vanus on vaieldav või ebaselge ja puuduvad tema vanust tõendavad dokumendid, tuleb kahtluse korral alati teha otsus alaealise kasuks.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17 – artikkel 13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Iga liikmesriik võtab viivitamata biomeetrilised andmed kõikidelt vähemalt </w:t>
            </w:r>
            <w:r>
              <w:rPr>
                <w:b/>
                <w:i/>
              </w:rPr>
              <w:t>kuueaastastelt</w:t>
            </w:r>
            <w:r>
              <w:t xml:space="preserve"> kolmandatest riikidest saabunud kolmandate riikide kodanikelt või kodakondsuseta isikutelt, kelle pädevad kontrolliasutused on kinni pidanud seoses </w:t>
            </w:r>
            <w:r>
              <w:lastRenderedPageBreak/>
              <w:t>kõnealuse liikmesriigi maismaa-, mere- või õhupiiri ebaseadusliku ületamisega ja keda ei ole tagasi saadetud või kes asuvad füüsiliselt liikmesriikide territooriumil ning keda ei ole kogu kinnipidamise ja tagasisaatmise otsuse alusel väljasaatmise vahelise ajavahemiku vältel hoitud vahi all, vangistuses või kes ei ole olnud eeluurimise all.</w:t>
            </w:r>
          </w:p>
        </w:tc>
        <w:tc>
          <w:tcPr>
            <w:tcW w:w="4876" w:type="dxa"/>
            <w:hideMark/>
          </w:tcPr>
          <w:p w:rsidR="00F528F9" w:rsidRPr="00E66FD7" w:rsidRDefault="00F528F9" w:rsidP="00167072">
            <w:pPr>
              <w:pStyle w:val="Normal6"/>
              <w:rPr>
                <w:szCs w:val="24"/>
              </w:rPr>
            </w:pPr>
            <w:r>
              <w:lastRenderedPageBreak/>
              <w:t>1.</w:t>
            </w:r>
            <w:r>
              <w:tab/>
              <w:t xml:space="preserve">Iga liikmesriik võtab </w:t>
            </w:r>
            <w:r>
              <w:rPr>
                <w:b/>
                <w:i/>
              </w:rPr>
              <w:t xml:space="preserve">kaitset arvestaval viisil </w:t>
            </w:r>
            <w:r>
              <w:t xml:space="preserve">viivitamata biomeetrilised andmed kõikidelt vähemalt </w:t>
            </w:r>
            <w:r>
              <w:rPr>
                <w:b/>
                <w:i/>
              </w:rPr>
              <w:t>14aastastelt</w:t>
            </w:r>
            <w:r>
              <w:t xml:space="preserve"> kolmandatest riikidest saabunud kolmandate riikide kodanikelt või kodakondsuseta isikutelt, kelle pädevad </w:t>
            </w:r>
            <w:r>
              <w:lastRenderedPageBreak/>
              <w:t>kontrolliasutused on kinni pidanud seoses kõnealuse liikmesriigi maismaa-, mere- või õhupiiri ebaseadusliku ületamisega ja keda ei ole tagasi saadetud või kes asuvad füüsiliselt liikmesriikide territooriumil ning keda ei ole kogu kinnipidamise ja tagasisaatmise otsuse alusel väljasaatmise vahelise ajavahemiku vältel hoitud vahi all, vangistuses või kes ei ole olnud eeluurimise all.</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 xml:space="preserve">Kui liikmesriik ei suuda kindlaks teha, kas alaealine on 14aastane või vanem, tuleb eeldada, et taotleja vanus on alla 14 aasta.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2 – sissejuhatav osa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Asjaomane liikmesriik edastab võimalikult kiiresti ja hiljemalt 72 tunni jooksul pärast kinnipidamise kuupäeva kesksüsteemi ja </w:t>
            </w:r>
            <w:r>
              <w:rPr>
                <w:b/>
                <w:i/>
              </w:rPr>
              <w:t>vajaduse korral</w:t>
            </w:r>
            <w:r>
              <w:t xml:space="preserve"> ühisele isikuandmete hoidlale iga lõikes 1 nimetatud kolmandate riikide kodaniku või kodakondsuseta isiku kohta, keda ei ole tagasi saadetud, järgmised andmed:</w:t>
            </w:r>
          </w:p>
        </w:tc>
        <w:tc>
          <w:tcPr>
            <w:tcW w:w="4876" w:type="dxa"/>
            <w:hideMark/>
          </w:tcPr>
          <w:p w:rsidR="00F528F9" w:rsidRPr="00E66FD7" w:rsidRDefault="00F528F9" w:rsidP="00167072">
            <w:pPr>
              <w:pStyle w:val="Normal6"/>
              <w:rPr>
                <w:szCs w:val="24"/>
              </w:rPr>
            </w:pPr>
            <w:r>
              <w:t>2.</w:t>
            </w:r>
            <w:r>
              <w:tab/>
              <w:t xml:space="preserve">Asjaomane liikmesriik edastab võimalikult kiiresti ja hiljemalt 72 tunni jooksul pärast kinnipidamise kuupäeva kesksüsteemi ja </w:t>
            </w:r>
            <w:r>
              <w:rPr>
                <w:b/>
                <w:i/>
              </w:rPr>
              <w:t>kooskõlas artikli 4 lõikega 2</w:t>
            </w:r>
            <w:r>
              <w:t xml:space="preserve"> ühisele isikuandmete hoidlale iga lõikes 1 nimetatud kolmandate riikide kodaniku või kodakondsuseta isiku kohta, keda ei ole tagasi saadetud, järgmised andmed: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17 – artikkel 13 – lõige 2 – sissejuhatav osa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Asjaomane liikmesriik edastab võimalikult kiiresti ja hiljemalt 72 tunni jooksul pärast kinnipidamise kuupäeva kesksüsteemi </w:t>
            </w:r>
            <w:r>
              <w:rPr>
                <w:b/>
                <w:i/>
              </w:rPr>
              <w:t>ja</w:t>
            </w:r>
            <w:r>
              <w:t xml:space="preserve"> vajaduse korral ühisele isikuandmete hoidlale iga lõikes 1 nimetatud kolmandate riikide kodaniku või kodakondsuseta isiku kohta, keda ei ole tagasi saadetud, järgmised andmed:</w:t>
            </w:r>
          </w:p>
        </w:tc>
        <w:tc>
          <w:tcPr>
            <w:tcW w:w="4876" w:type="dxa"/>
            <w:hideMark/>
          </w:tcPr>
          <w:p w:rsidR="00F528F9" w:rsidRPr="00E66FD7" w:rsidRDefault="00F528F9" w:rsidP="00167072">
            <w:pPr>
              <w:pStyle w:val="Normal6"/>
              <w:rPr>
                <w:szCs w:val="24"/>
              </w:rPr>
            </w:pPr>
            <w:r>
              <w:t>2.</w:t>
            </w:r>
            <w:r>
              <w:tab/>
              <w:t xml:space="preserve">Asjaomane liikmesriik edastab võimalikult kiiresti ja hiljemalt 72 tunni jooksul pärast kinnipidamise kuupäeva kesksüsteemi </w:t>
            </w:r>
            <w:r>
              <w:rPr>
                <w:b/>
                <w:i/>
              </w:rPr>
              <w:t>või</w:t>
            </w:r>
            <w:r>
              <w:t xml:space="preserve"> vajaduse korral ühisele isikuandmete hoidlale iga lõikes 1 nimetatud kolmandate riikide kodaniku või kodakondsuseta isiku kohta, keda ei ole tagasi saadetud, järgmised andmed: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209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2 – punkt h</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h)</w:t>
            </w:r>
            <w:r>
              <w:tab/>
              <w:t>sugu;</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17 – artikkel 13 – lõige 2 – punkt h</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h)</w:t>
            </w:r>
            <w:r>
              <w:tab/>
              <w:t>sugu;</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2 – punkt j</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j)</w:t>
            </w:r>
            <w:r>
              <w:rPr>
                <w:b/>
                <w:i/>
              </w:rPr>
              <w:tab/>
              <w:t>isikut tõendava või reisidokumendi skaneeritud värvikoopia, kui see on olemas, koos märkega selle autentsuse kohta või selle puudumise korral kolmanda riigi kodaniku või kodakondsuseta isiku tuvastamist hõlbustav muu dokument koos märkega selle autentsuse kohta;</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2 – punkt j</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j)</w:t>
            </w:r>
            <w:r>
              <w:rPr>
                <w:b/>
                <w:i/>
              </w:rPr>
              <w:tab/>
              <w:t>isikut tõendava või reisidokumendi skaneeritud värvikoopia, kui see on olemas, koos märkega selle autentsuse kohta või selle puudumise korral kolmanda riigi kodaniku või kodakondsuseta isiku tuvastamist hõlbustav muu dokument koos märkega selle autentsuse kohta;</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17 – artikkel 13 – lõige 2 – punkt l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la)</w:t>
            </w:r>
            <w:r>
              <w:rPr>
                <w:b/>
                <w:i/>
              </w:rPr>
              <w:tab/>
              <w:t>alaealiste biomeetriliste andmete puhul nende kogumise põhjused vastavalt artikli 10 lõikele 1;</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2 – punkt m</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m)</w:t>
            </w:r>
            <w:r>
              <w:tab/>
              <w:t xml:space="preserve">andmete kesksüsteemi ja </w:t>
            </w:r>
            <w:r>
              <w:rPr>
                <w:b/>
                <w:i/>
              </w:rPr>
              <w:t xml:space="preserve">vajaduse korral </w:t>
            </w:r>
            <w:r>
              <w:t>ühisele isikuandmete hoidlale edastamise kuupäev;</w:t>
            </w:r>
          </w:p>
        </w:tc>
        <w:tc>
          <w:tcPr>
            <w:tcW w:w="4876" w:type="dxa"/>
            <w:hideMark/>
          </w:tcPr>
          <w:p w:rsidR="00F528F9" w:rsidRPr="00E66FD7" w:rsidRDefault="00F528F9" w:rsidP="00167072">
            <w:pPr>
              <w:pStyle w:val="Normal6"/>
              <w:rPr>
                <w:szCs w:val="24"/>
              </w:rPr>
            </w:pPr>
            <w:r>
              <w:t>m)</w:t>
            </w:r>
            <w:r>
              <w:tab/>
              <w:t>andmete kesksüsteemi ja ühisele isikuandmete hoidlale edastamise kuupäev;</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2 – punkt q</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q)</w:t>
            </w:r>
            <w:r>
              <w:rPr>
                <w:b/>
                <w:i/>
              </w:rPr>
              <w:tab/>
              <w:t>vajaduse korral asjaolu, et on antud toetust vabatahtlikuks tagasipöördumiseks ja taasintegreerimiseks.</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17 – artikkel 13 – lõige 2 – punkt q</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q)</w:t>
            </w:r>
            <w:r>
              <w:rPr>
                <w:b/>
                <w:i/>
              </w:rPr>
              <w:tab/>
              <w:t>vajaduse korral asjaolu, et on antud toetust vabatahtlikuks tagasipöördumiseks ja taasintegreerimiseks.</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17 – artikkel 13 – lõige 2 – punkt q</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q)</w:t>
            </w:r>
            <w:r>
              <w:tab/>
              <w:t>vajaduse korral asjaolu, et on antud toetust vabatahtlikuks tagasipöördumiseks ja taasintegreerimiseks.</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2 – punkt r</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r)</w:t>
            </w:r>
            <w:r>
              <w:rPr>
                <w:b/>
                <w:i/>
              </w:rPr>
              <w:tab/>
              <w:t>asjaolu, et määruses (EL) XXX/XXX [taustakontrolli määrus] osutatud taustakontrolli kohaselt võib isik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219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2 – punkt r</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r)</w:t>
            </w:r>
            <w:r>
              <w:rPr>
                <w:b/>
                <w:i/>
              </w:rPr>
              <w:tab/>
              <w:t>asjaolu, et määruses (EL) XXX/XXX [taustakontrolli määrus] osutatud taustakontrolli kohaselt võib isik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17 – artikkel 13 – lõige 2 – punkt r</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r)</w:t>
            </w:r>
            <w:r>
              <w:rPr>
                <w:b/>
                <w:i/>
              </w:rPr>
              <w:tab/>
              <w:t>asjaolu, et määruses (EL) XXX/XXX [taustakontrolli määrus] osutatud taustakontrolli kohaselt võib isik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7</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7.</w:t>
            </w:r>
            <w:r>
              <w:tab/>
              <w:t xml:space="preserve">Kui asjaomane liikmesriik seda taotleb, võivad biomeetrilisi andmeid võtta ja edastada ka </w:t>
            </w:r>
            <w:r>
              <w:rPr>
                <w:b/>
                <w:i/>
              </w:rPr>
              <w:t xml:space="preserve">Euroopa piiri- ja rannikuvalverühmade liikmed või </w:t>
            </w:r>
            <w:r>
              <w:t>varjupaigatugirühmade eksperdid, kui nad täidavad oma ülesandeid ja kasutavad oma volitusi kooskõlas määrusega</w:t>
            </w:r>
            <w:r>
              <w:rPr>
                <w:b/>
                <w:i/>
              </w:rPr>
              <w:t xml:space="preserve"> </w:t>
            </w:r>
            <w:r>
              <w:t>(EL) 2019/1896 ja määrusega (EL) XXX/XXX [ELi Varjupaigaameti määrus].</w:t>
            </w:r>
          </w:p>
        </w:tc>
        <w:tc>
          <w:tcPr>
            <w:tcW w:w="4876" w:type="dxa"/>
            <w:hideMark/>
          </w:tcPr>
          <w:p w:rsidR="00F528F9" w:rsidRPr="00E66FD7" w:rsidRDefault="00F528F9" w:rsidP="00167072">
            <w:pPr>
              <w:pStyle w:val="Normal6"/>
              <w:rPr>
                <w:szCs w:val="24"/>
              </w:rPr>
            </w:pPr>
            <w:r>
              <w:t>7.</w:t>
            </w:r>
            <w:r>
              <w:tab/>
              <w:t>Kui asjaomane liikmesriik seda taotleb, võivad biomeetrilisi andmeid võtta ja edastada ka varjupaigatugirühmade eksperdid, kui nad täidavad oma ülesandeid ja kasutavad oma volitusi kooskõlas määrusega (EL) 2019/1896 ja määrusega (EL) XXX/XXX [ELi Varjupaigaameti määrus].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17 – artikkel 13 – lõige 8</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8.</w:t>
            </w:r>
            <w:r>
              <w:tab/>
              <w:t>Vastavalt artikli 4 lõikes 6 sätestatule lingitakse kõik lõike 1 kohaselt kogutud ja edastatud andmekogumid üheks jadaks muude samale kolmanda riigi kodanikule või kodakondsuseta isikule vastavate andmekogumitega.</w:t>
            </w:r>
          </w:p>
        </w:tc>
        <w:tc>
          <w:tcPr>
            <w:tcW w:w="4876" w:type="dxa"/>
            <w:hideMark/>
          </w:tcPr>
          <w:p w:rsidR="00F528F9" w:rsidRPr="00E66FD7" w:rsidRDefault="00F528F9" w:rsidP="00167072">
            <w:pPr>
              <w:pStyle w:val="Normal6"/>
              <w:rPr>
                <w:szCs w:val="24"/>
              </w:rPr>
            </w:pPr>
            <w:r>
              <w:t>8.</w:t>
            </w:r>
            <w:r>
              <w:tab/>
              <w:t xml:space="preserve">Vastavalt artikli 4 lõikes 6 sätestatule </w:t>
            </w:r>
            <w:r>
              <w:rPr>
                <w:b/>
                <w:i/>
              </w:rPr>
              <w:t xml:space="preserve">ja selles kehtestatud piiranguid arvestades </w:t>
            </w:r>
            <w:r>
              <w:t>lingitakse kõik lõike 1 kohaselt kogutud ja edastatud andmekogumid üheks jadaks muude samale kolmanda riigi kodanikule või kodakondsuseta isikule vastavate andmekogumitega.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18 – artikkel 14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18 – artikkel 14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18 – artikkel 14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Iga liikmesriik võtab kõikidelt vähemalt </w:t>
            </w:r>
            <w:r>
              <w:rPr>
                <w:b/>
                <w:i/>
              </w:rPr>
              <w:t>kuueaastastelt ebaseaduslikult liikmesriigis</w:t>
            </w:r>
            <w:r>
              <w:t xml:space="preserve"> viibivatelt kolmandate riikide kodanikelt või kodakondsuseta isikutelt viivitamata biomeetrilised andmed.</w:t>
            </w:r>
          </w:p>
        </w:tc>
        <w:tc>
          <w:tcPr>
            <w:tcW w:w="4876" w:type="dxa"/>
            <w:hideMark/>
          </w:tcPr>
          <w:p w:rsidR="00F528F9" w:rsidRPr="00E66FD7" w:rsidRDefault="00F528F9" w:rsidP="00167072">
            <w:pPr>
              <w:pStyle w:val="Normal6"/>
              <w:rPr>
                <w:szCs w:val="24"/>
              </w:rPr>
            </w:pPr>
            <w:r>
              <w:t>1.</w:t>
            </w:r>
            <w:r>
              <w:tab/>
              <w:t xml:space="preserve">Iga liikmesriik võtab </w:t>
            </w:r>
            <w:r>
              <w:rPr>
                <w:b/>
                <w:i/>
              </w:rPr>
              <w:t xml:space="preserve">kaitset arvestaval viisil </w:t>
            </w:r>
            <w:r>
              <w:t xml:space="preserve">kõikidelt vähemalt </w:t>
            </w:r>
            <w:r>
              <w:rPr>
                <w:b/>
                <w:i/>
              </w:rPr>
              <w:t>14aastastelt seadusliku aluseta riigis</w:t>
            </w:r>
            <w:r>
              <w:t xml:space="preserve"> viibivatelt kolmandate riikide kodanikelt või kodakondsuseta isikutelt viivitamata biomeetrilised andmed.</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 xml:space="preserve">Kui liikmesriik ei suuda kindlaks teha, kas alaealine on 14aastane või vanem, tuleb eeldada, et taotleja vanus on alla 14 aasta.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18 – artikkel 14 – lõige 2 – sissejuhatav osa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Asjaomane liikmesriik edastab võimalikult kiiresti ja hiljemalt 72 tunni jooksul pärast seda, kui on tuvastatud kolmanda riigi kodaniku või kodakondsuseta isiku </w:t>
            </w:r>
            <w:r>
              <w:rPr>
                <w:b/>
                <w:i/>
              </w:rPr>
              <w:t>ebaseaduslik</w:t>
            </w:r>
            <w:r>
              <w:t xml:space="preserve"> riigis viibimine, kesksüsteemi ja vajaduse korral ühisele isikuandmete hoidlale iga lõikes 1 nimetatud kolmandate riikide kodaniku või kodakondsuseta isiku kohta järgmised andmed:</w:t>
            </w:r>
          </w:p>
        </w:tc>
        <w:tc>
          <w:tcPr>
            <w:tcW w:w="4876" w:type="dxa"/>
            <w:hideMark/>
          </w:tcPr>
          <w:p w:rsidR="00F528F9" w:rsidRPr="00E66FD7" w:rsidRDefault="00F528F9" w:rsidP="00167072">
            <w:pPr>
              <w:pStyle w:val="Normal6"/>
              <w:rPr>
                <w:szCs w:val="24"/>
              </w:rPr>
            </w:pPr>
            <w:r>
              <w:t>2.</w:t>
            </w:r>
            <w:r>
              <w:tab/>
              <w:t xml:space="preserve">Asjaomane liikmesriik edastab võimalikult kiiresti ja hiljemalt 72 tunni jooksul pärast seda, kui on tuvastatud kolmanda riigi kodaniku või kodakondsuseta isiku </w:t>
            </w:r>
            <w:r>
              <w:rPr>
                <w:b/>
                <w:i/>
              </w:rPr>
              <w:t>seadusliku aluseta</w:t>
            </w:r>
            <w:r>
              <w:t xml:space="preserve"> riigis viibimine, kesksüsteemi ja vajaduse korral ühisele isikuandmete hoidlale iga lõikes 1 nimetatud kolmandate riikide kodaniku või kodakondsuseta isiku kohta järgmised andmed: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18 – artikkel 14 – lõige 2 – punkt h</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h)</w:t>
            </w:r>
            <w:r>
              <w:tab/>
              <w:t>sugu;</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18 – artikkel 14 – lõige 2 – punkt 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s)</w:t>
            </w:r>
            <w:r>
              <w:rPr>
                <w:b/>
                <w:i/>
              </w:rPr>
              <w:tab/>
              <w:t>kui see on asjakohane, asjaolu, et määruses (EL) XXX/XXX [taustakontrolli määrus] osutatud taustakontrolli kohaselt võib isik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229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18 – artikkel 14 – lõige 6</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6.</w:t>
            </w:r>
            <w:r>
              <w:tab/>
              <w:t>Vastavalt artikli</w:t>
            </w:r>
            <w:r>
              <w:rPr>
                <w:b/>
                <w:i/>
              </w:rPr>
              <w:t xml:space="preserve"> </w:t>
            </w:r>
            <w:r>
              <w:t>4 lõikes</w:t>
            </w:r>
            <w:r>
              <w:rPr>
                <w:b/>
                <w:i/>
              </w:rPr>
              <w:t xml:space="preserve"> </w:t>
            </w:r>
            <w:r>
              <w:t>6 sätestatule lingitakse kõik lõike</w:t>
            </w:r>
            <w:r>
              <w:rPr>
                <w:b/>
                <w:i/>
              </w:rPr>
              <w:t xml:space="preserve"> </w:t>
            </w:r>
            <w:r>
              <w:t>1 kohaselt kogutud ja edastatud andmekogumid üheks jadaks muude samale kolmanda riigi kodanikule või kodakondsuseta isikule vastavate andmekogumitega.</w:t>
            </w:r>
          </w:p>
        </w:tc>
        <w:tc>
          <w:tcPr>
            <w:tcW w:w="4876" w:type="dxa"/>
            <w:hideMark/>
          </w:tcPr>
          <w:p w:rsidR="00F528F9" w:rsidRPr="00E66FD7" w:rsidRDefault="00F528F9" w:rsidP="00167072">
            <w:pPr>
              <w:pStyle w:val="Normal6"/>
              <w:rPr>
                <w:szCs w:val="24"/>
              </w:rPr>
            </w:pPr>
            <w:r>
              <w:t>6.</w:t>
            </w:r>
            <w:r>
              <w:tab/>
              <w:t>Vastavalt artikli</w:t>
            </w:r>
            <w:r>
              <w:rPr>
                <w:b/>
                <w:i/>
              </w:rPr>
              <w:t> </w:t>
            </w:r>
            <w:r>
              <w:t>4 lõikes</w:t>
            </w:r>
            <w:r>
              <w:rPr>
                <w:b/>
                <w:i/>
              </w:rPr>
              <w:t> </w:t>
            </w:r>
            <w:r>
              <w:t xml:space="preserve">6 sätestatule </w:t>
            </w:r>
            <w:r>
              <w:rPr>
                <w:b/>
                <w:i/>
              </w:rPr>
              <w:t xml:space="preserve">ja selles kehtestatud piiranguid arvestades </w:t>
            </w:r>
            <w:r>
              <w:t>lingitakse kõik lõike</w:t>
            </w:r>
            <w:r>
              <w:rPr>
                <w:b/>
                <w:i/>
              </w:rPr>
              <w:t> </w:t>
            </w:r>
            <w:r>
              <w:t>1 kohaselt kogutud ja edastatud andmekogumid üheks jadaks muude samale kolmanda riigi kodanikule või kodakondsuseta isikule vastavate andmekogumitega.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rsidR="00460029">
        <w:tab/>
      </w:r>
      <w:r w:rsidRPr="00640177">
        <w:rPr>
          <w:rStyle w:val="HideTWBExt"/>
          <w:b w:val="0"/>
        </w:rPr>
        <w:t>&lt;NumAm&gt;</w:t>
      </w:r>
      <w:r>
        <w:t>230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Karlo Ressler</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lastRenderedPageBreak/>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IV A peatükk</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rPr>
                <w:b/>
                <w:i/>
              </w:rPr>
            </w:pPr>
            <w:r>
              <w:rPr>
                <w:b/>
                <w:i/>
              </w:rPr>
              <w:t>19) artikli 14 järele lisatakse järgmine peatükk:</w:t>
            </w:r>
          </w:p>
        </w:tc>
        <w:tc>
          <w:tcPr>
            <w:tcW w:w="4876" w:type="dxa"/>
            <w:hideMark/>
          </w:tcPr>
          <w:p w:rsidR="00F528F9" w:rsidRPr="00E66FD7" w:rsidRDefault="00F528F9" w:rsidP="00167072">
            <w:pPr>
              <w:pStyle w:val="Normal6"/>
              <w:rPr>
                <w:szCs w:val="24"/>
              </w:rPr>
            </w:pPr>
            <w:r>
              <w:rPr>
                <w:i/>
              </w:rPr>
              <w:t>(Muudatusettepanekut kohaldatakse kogu teksti ulatuses. Selle vastuvõtmise korral tehakse vastavad muudatused kogu tekstis.)</w:t>
            </w:r>
          </w:p>
        </w:tc>
      </w:tr>
      <w:tr w:rsidR="00F528F9" w:rsidTr="00167072">
        <w:trPr>
          <w:jc w:val="center"/>
        </w:trPr>
        <w:tc>
          <w:tcPr>
            <w:tcW w:w="4876" w:type="dxa"/>
            <w:hideMark/>
          </w:tcPr>
          <w:p w:rsidR="00F528F9" w:rsidRPr="00E66FD7" w:rsidRDefault="00F528F9" w:rsidP="00167072">
            <w:pPr>
              <w:pStyle w:val="Normal6"/>
              <w:rPr>
                <w:b/>
                <w:i/>
              </w:rPr>
            </w:pPr>
            <w:r>
              <w:rPr>
                <w:b/>
                <w:i/>
              </w:rPr>
              <w:t>„IV A PEATÜKK</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otsingu- ja päästeoperatsiooni järel maabunud kolmandate riikide kodanikud või kodakondsuseta isikud</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Artikkel 14a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Biomeetriliste andmete kogumine ja edastamine</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1. Kõik liikmesriigid võtavad kiiresti biomeetrilised andmed kõigilt vähemalt kuueaastastelt kolmandate riikide kodanikelt või kodakondsuseta isikutelt, kes on maabunud määruses (EL) XXX/XXX [varjupaiga- ja rändehalduse määrus] määratletud otsingu- ja päästeoperatsiooni järel.</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2. Asjaomane liikmesriik edastab võimalikult kiiresti ja hiljemalt 72 tunni jooksul pärast maabumise kuupäeva kesksüsteemi ja vajaduse korral ühisele isikuandmete hoidlale iga lõikes 1 nimetatud kolmandate riikide kodaniku või kodakondsuseta isiku kohta, keda ei ole tagasi saadetud, järgmised andmed:</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a)</w:t>
            </w:r>
            <w:r>
              <w:rPr>
                <w:b/>
                <w:i/>
              </w:rPr>
              <w:tab/>
              <w:t>sõrmejälgede andmed;</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b)</w:t>
            </w:r>
            <w:r>
              <w:rPr>
                <w:b/>
                <w:i/>
              </w:rPr>
              <w:tab/>
              <w:t>näokujutis;</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c)</w:t>
            </w:r>
            <w:r>
              <w:rPr>
                <w:b/>
                <w:i/>
              </w:rPr>
              <w:tab/>
              <w:t>perekonnanimi (perekonnanimed) ja eesnimi (eesnimed), sünnijärgne nimi (nimed) ja varem kasutatud nimed ning kõik varjunimed, mis võimaluse korral sisestatakse eraldi;</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d)</w:t>
            </w:r>
            <w:r>
              <w:rPr>
                <w:b/>
                <w:i/>
              </w:rPr>
              <w:tab/>
              <w:t>kodakondsus(ed);</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e)</w:t>
            </w:r>
            <w:r>
              <w:rPr>
                <w:b/>
                <w:i/>
              </w:rPr>
              <w:tab/>
              <w:t>sünniaeg;</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f)</w:t>
            </w:r>
            <w:r>
              <w:rPr>
                <w:b/>
                <w:i/>
              </w:rPr>
              <w:tab/>
              <w:t>sünnikoht;</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lastRenderedPageBreak/>
              <w:t>g)</w:t>
            </w:r>
            <w:r>
              <w:rPr>
                <w:b/>
                <w:i/>
              </w:rPr>
              <w:tab/>
              <w:t>päritoluliikmesriik, maabumise koht ja kuupäev;</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h)</w:t>
            </w:r>
            <w:r>
              <w:rPr>
                <w:b/>
                <w:i/>
              </w:rPr>
              <w:tab/>
              <w:t>sugu;</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i)</w:t>
            </w:r>
            <w:r>
              <w:rPr>
                <w:b/>
                <w:i/>
              </w:rPr>
              <w:tab/>
              <w:t>olemasolu korral isikut tõendava või reisidokumendi liik ja number; välja andnud riigi kolmetäheline kood ja kehtivusaeg;</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j)</w:t>
            </w:r>
            <w:r>
              <w:rPr>
                <w:b/>
                <w:i/>
              </w:rPr>
              <w:tab/>
              <w:t>isikut tõendava või reisidokumendi skaneeritud värvikoopia, kui see on olemas, koos märkega selle autentsuse kohta või selle puudumise korral kolmanda riigi kodaniku või kodakondsuseta isiku tuvastamist hõlbustav muu dokument koos märkega selle autentsuse kohta;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k)</w:t>
            </w:r>
            <w:r>
              <w:rPr>
                <w:b/>
                <w:i/>
              </w:rPr>
              <w:tab/>
              <w:t>viitenumber, mida kasutab päritoluliikmesriik;</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l)</w:t>
            </w:r>
            <w:r>
              <w:rPr>
                <w:b/>
                <w:i/>
              </w:rPr>
              <w:tab/>
              <w:t>biomeetriliste andmete võtmise kuupäev;</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m)</w:t>
            </w:r>
            <w:r>
              <w:rPr>
                <w:b/>
                <w:i/>
              </w:rPr>
              <w:tab/>
              <w:t>andmete kesksüsteemi ja vajaduse korral ühisele isikuandmete hoidlale edastamise kuupäev;</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n)</w:t>
            </w:r>
            <w:r>
              <w:rPr>
                <w:b/>
                <w:i/>
              </w:rPr>
              <w:tab/>
              <w:t>operaatori kasutajatunnus;</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o)</w:t>
            </w:r>
            <w:r>
              <w:rPr>
                <w:b/>
                <w:i/>
              </w:rPr>
              <w:tab/>
              <w:t>kui see on kohaldatav, siis vastavalt lõikele 6 asjaomase isiku liikmesriikide territooriumilt lahkumise või väljasaatmise kuupäev;</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p)</w:t>
            </w:r>
            <w:r>
              <w:rPr>
                <w:b/>
                <w:i/>
              </w:rPr>
              <w:tab/>
              <w:t>artikli 14b lõike 1 kohane ümberpaigutamise sihtliikmesriik;</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q)</w:t>
            </w:r>
            <w:r>
              <w:rPr>
                <w:b/>
                <w:i/>
              </w:rPr>
              <w:tab/>
              <w:t>vajaduse korral asjaolu, et on antud toetust vabatahtlikuks tagasipöördumiseks ja taasintegreerimiseks.</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r)</w:t>
            </w:r>
            <w:r>
              <w:rPr>
                <w:b/>
                <w:i/>
              </w:rPr>
              <w:tab/>
              <w:t>asjaolu, et määruses (EL) XXX/XXX [taustakontrolli määrus] osutatud taustakontrolli kohaselt võib isik ohustada sisejulgeolekut.</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 xml:space="preserve">4. Käesoleva artikli lõikes 2 osutatud 72-tunnise tähtaja mittetäitmine ei vabasta liikmesriike sõrmejälgede biomeetriliste andmete võtmise ja kesksüsteemi ühisele isikuandmete hoidlale edastamise kohustusest. Kui sõrmeotste seisukord ei </w:t>
            </w:r>
            <w:r>
              <w:rPr>
                <w:b/>
                <w:i/>
              </w:rPr>
              <w:lastRenderedPageBreak/>
              <w:t>võimalda võtta sõrmejälgi kvaliteediga, mis võimaldaks asjakohaselt teostada artikli 26 kohast võrdlust, peab päritoluliikmesriik vastavalt käesoleva artikli lõikes 1 kirjeldatule maabunud isikute sõrmejäljed uuesti võtma ja saatma need uuesti võimalikult kiiresti ning hiljemalt 48 tunni jooksul pärast nende edukat uuesti võtmist.</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5. Juhul kui maabunud isiku sõrmejälgi ei ole võimalik võtta tema tervise tagamiseks või rahvatervise kaitseks võetud meetmete tõttu, siis peab asjaomane liikmesriik erandina lõikest 1 võtma sellised biomeetrilised andmed ja edastama need võimalikult kiiresti ja hiljemalt 48 tunni jooksul pärast seda, kui nimetatud tervisealaseid põhjuseid enam ei esine.</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Tõsiste tehniliste raskuste korral võivad liikmesriigid riiklike talitluspidevuse kavade rakendamiseks lõikes 2 nimetatud 72-tunnist tähtaega pikendada kõige rohkem 48 tunni võrra.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6. Niipea kui päritoluliikmesriik saab tagada, et asjaomane isik, kelle andmed salvestati vastavalt lõikele 1 Eurodac-süsteemi, on liikmesriikide territooriumilt lahkunud kooskõlas tagasisaatmisotsuse või väljasaatmiskorraldusega, ajakohastab päritoluliikmesriik asjaomast isikut käsitlevat andmekogumit, mis on salvestatud kooskõlas lõikega 2, lisades sinna isiku territooriumilt väljasaatmise või lahkumise kuupäeva.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7. Kui asjaomane liikmesriik seda taotleb, võivad biomeetrilisi andmeid võtta ja edastada ka Euroopa piiri- ja rannikuvalverühmade liikmed või varjupaigatugirühmade eksperdid, kui nad täidavad oma ülesandeid ja kasutavad oma volitusi kooskõlas määrusega (EL) 2019/1896 ja määrusega (EL) XXX/XXX [ELi Varjupaigaameti määrus].</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 xml:space="preserve">8. Vastavalt artikli 4 lõikes 6 sätestatule lingitakse kõik lõike 1 kohaselt kogutud ja </w:t>
            </w:r>
            <w:r>
              <w:rPr>
                <w:b/>
                <w:i/>
              </w:rPr>
              <w:lastRenderedPageBreak/>
              <w:t>edastatud andmekogumid üheks jadaks muude samale kolmanda riigi kodanikule või kodakondsuseta isikule vastavate andmekogumitega.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9. Lõike 1 kohane andmekogum määruse (EL) 818/2019 artikli 27 lõike 1 tähenduses loetakse looduks, kui on salvestatud kõik punktides a–f ja h nimetatud andmed.“;</w:t>
            </w:r>
          </w:p>
        </w:tc>
        <w:tc>
          <w:tcPr>
            <w:tcW w:w="4876" w:type="dxa"/>
          </w:tcPr>
          <w:p w:rsidR="00F528F9" w:rsidRPr="00E66FD7" w:rsidRDefault="00F528F9" w:rsidP="00167072">
            <w:pPr>
              <w:pStyle w:val="Normal6"/>
              <w:rPr>
                <w:i/>
              </w:rPr>
            </w:pPr>
          </w:p>
        </w:tc>
      </w:tr>
    </w:tbl>
    <w:p w:rsidR="00F528F9" w:rsidRPr="000078AC"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Olang"/>
        <w:jc w:val="center"/>
        <w:rPr>
          <w:i/>
          <w:noProof w:val="0"/>
        </w:rPr>
      </w:pPr>
      <w:r w:rsidRPr="00640177">
        <w:rPr>
          <w:rStyle w:val="HideTWBExt"/>
        </w:rPr>
        <w:t>&lt;TitreJust&gt;</w:t>
      </w:r>
      <w:r>
        <w:rPr>
          <w:i/>
          <w:noProof w:val="0"/>
        </w:rPr>
        <w:t>Selgitus</w:t>
      </w:r>
      <w:r w:rsidRPr="00640177">
        <w:rPr>
          <w:rStyle w:val="HideTWBExt"/>
        </w:rPr>
        <w:t>&lt;/TitreJust&gt;</w:t>
      </w:r>
    </w:p>
    <w:p w:rsidR="00F528F9" w:rsidRPr="00E66FD7" w:rsidRDefault="00F528F9" w:rsidP="00F528F9">
      <w:pPr>
        <w:pStyle w:val="Normal12Italic"/>
        <w:ind w:left="720"/>
        <w:rPr>
          <w:noProof w:val="0"/>
        </w:rPr>
      </w:pPr>
      <w:r>
        <w:rPr>
          <w:noProof w:val="0"/>
        </w:rPr>
        <w:t>Selle peatüki lisamine looks uue kategooria, millel puudub oluline põhjendus. Isikuid, kes maabuvad pärast otsingu- ja päästeoperatsiooni, tuleks kohelda kui isikuid, kes ületavad piiri seadusliku aluseta, samadel tingimustel nagu isikuid, kes ületavad maismaapiiri ebaseaduslikult. Võimalik eristamine tekitaks põhjuseid süsteemi väärkasutamiseks.</w:t>
      </w:r>
    </w:p>
    <w:p w:rsidR="00F528F9" w:rsidRPr="00E66FD7" w:rsidRDefault="00F528F9" w:rsidP="00F528F9">
      <w:pPr>
        <w:rPr>
          <w:i/>
        </w:rPr>
      </w:pP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231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IV A peatükk</w:t>
      </w:r>
      <w:r w:rsidRPr="00640177">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rPr>
                <w:b/>
                <w:i/>
              </w:rPr>
            </w:pPr>
            <w:r>
              <w:rPr>
                <w:b/>
                <w:i/>
              </w:rPr>
              <w:t>19) artikli 14 järele lisatakse järgmine peatükk:</w:t>
            </w:r>
          </w:p>
        </w:tc>
        <w:tc>
          <w:tcPr>
            <w:tcW w:w="4876" w:type="dxa"/>
            <w:hideMark/>
          </w:tcPr>
          <w:p w:rsidR="00F528F9" w:rsidRPr="00E66FD7" w:rsidRDefault="00F528F9" w:rsidP="00167072">
            <w:pPr>
              <w:pStyle w:val="Normal6"/>
              <w:rPr>
                <w:szCs w:val="24"/>
              </w:rPr>
            </w:pPr>
            <w:r>
              <w:rPr>
                <w:i/>
              </w:rPr>
              <w:t>(Muudatusettepanekut kohaldatakse kogu teksti ulatuses. Selle vastuvõtmise korral tehakse vastavad muudatused kogu tekstis.)</w:t>
            </w:r>
          </w:p>
        </w:tc>
      </w:tr>
      <w:tr w:rsidR="00F528F9" w:rsidTr="00167072">
        <w:trPr>
          <w:jc w:val="center"/>
        </w:trPr>
        <w:tc>
          <w:tcPr>
            <w:tcW w:w="4876" w:type="dxa"/>
            <w:hideMark/>
          </w:tcPr>
          <w:p w:rsidR="00F528F9" w:rsidRPr="00E66FD7" w:rsidRDefault="00F528F9" w:rsidP="00167072">
            <w:pPr>
              <w:pStyle w:val="Normal6"/>
              <w:rPr>
                <w:b/>
                <w:i/>
              </w:rPr>
            </w:pPr>
            <w:r>
              <w:rPr>
                <w:b/>
                <w:i/>
              </w:rPr>
              <w:t>„IV A PEATÜKK</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otsingu- ja päästeoperatsiooni järel maabunud kolmandate riikide kodanikud või kodakondsuseta isikud</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Artikkel 14a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Biomeetriliste andmete kogumine ja edastamine</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 xml:space="preserve">1. Kõik liikmesriigid võtavad kiiresti biomeetrilised andmed kõigilt vähemalt kuueaastastelt kolmandate riikide </w:t>
            </w:r>
            <w:r>
              <w:rPr>
                <w:b/>
                <w:i/>
              </w:rPr>
              <w:lastRenderedPageBreak/>
              <w:t>kodanikelt või kodakondsuseta isikutelt, kes on maabunud määruses (EL) XXX/XXX [varjupaiga- ja rändehalduse määrus] määratletud otsingu- ja päästeoperatsiooni järel.</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2. Asjaomane liikmesriik edastab võimalikult kiiresti ja hiljemalt 72 tunni jooksul pärast maabumise kuupäeva kesksüsteemi ja vajaduse korral ühisele isikuandmete hoidlale iga lõikes 1 nimetatud kolmandate riikide kodaniku või kodakondsuseta isiku kohta, keda ei ole tagasi saadetud, järgmised andmed:</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a)</w:t>
            </w:r>
            <w:r>
              <w:rPr>
                <w:b/>
                <w:i/>
              </w:rPr>
              <w:tab/>
              <w:t>sõrmejälgede andmed;</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b)</w:t>
            </w:r>
            <w:r>
              <w:rPr>
                <w:b/>
                <w:i/>
              </w:rPr>
              <w:tab/>
              <w:t>näokujutis;</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c)</w:t>
            </w:r>
            <w:r>
              <w:rPr>
                <w:b/>
                <w:i/>
              </w:rPr>
              <w:tab/>
              <w:t>perekonnanimi (perekonnanimed) ja eesnimi (eesnimed), sünnijärgne nimi (nimed) ja varem kasutatud nimed ning kõik varjunimed, mis võimaluse korral sisestatakse eraldi;</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d)</w:t>
            </w:r>
            <w:r>
              <w:rPr>
                <w:b/>
                <w:i/>
              </w:rPr>
              <w:tab/>
              <w:t>kodakondsus(ed);</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e)</w:t>
            </w:r>
            <w:r>
              <w:rPr>
                <w:b/>
                <w:i/>
              </w:rPr>
              <w:tab/>
              <w:t>sünniaeg;</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f)</w:t>
            </w:r>
            <w:r>
              <w:rPr>
                <w:b/>
                <w:i/>
              </w:rPr>
              <w:tab/>
              <w:t>sünnikoht;</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g)</w:t>
            </w:r>
            <w:r>
              <w:rPr>
                <w:b/>
                <w:i/>
              </w:rPr>
              <w:tab/>
              <w:t>päritoluliikmesriik, maabumise koht ja kuupäev;</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h)</w:t>
            </w:r>
            <w:r>
              <w:rPr>
                <w:b/>
                <w:i/>
              </w:rPr>
              <w:tab/>
              <w:t>sugu;</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i)</w:t>
            </w:r>
            <w:r>
              <w:rPr>
                <w:b/>
                <w:i/>
              </w:rPr>
              <w:tab/>
              <w:t>olemasolu korral isikut tõendava või reisidokumendi liik ja number; välja andnud riigi kolmetäheline kood ja kehtivusaeg;</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j)</w:t>
            </w:r>
            <w:r>
              <w:rPr>
                <w:b/>
                <w:i/>
              </w:rPr>
              <w:tab/>
              <w:t>isikut tõendava või reisidokumendi skaneeritud värvikoopia, kui see on olemas, koos märkega selle autentsuse kohta või selle puudumise korral kolmanda riigi kodaniku või kodakondsuseta isiku tuvastamist hõlbustav muu dokument koos märkega selle autentsuse kohta;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k)</w:t>
            </w:r>
            <w:r>
              <w:rPr>
                <w:b/>
                <w:i/>
              </w:rPr>
              <w:tab/>
              <w:t>viitenumber, mida kasutab päritoluliikmesriik;</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l)</w:t>
            </w:r>
            <w:r>
              <w:rPr>
                <w:b/>
                <w:i/>
              </w:rPr>
              <w:tab/>
              <w:t>biomeetriliste andmete võtmise kuupäev;</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lastRenderedPageBreak/>
              <w:t>m)</w:t>
            </w:r>
            <w:r>
              <w:rPr>
                <w:b/>
                <w:i/>
              </w:rPr>
              <w:tab/>
              <w:t>andmete kesksüsteemi ja vajaduse korral ühisele isikuandmete hoidlale edastamise kuupäev;</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n)</w:t>
            </w:r>
            <w:r>
              <w:rPr>
                <w:b/>
                <w:i/>
              </w:rPr>
              <w:tab/>
              <w:t>operaatori kasutajatunnus;</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o)</w:t>
            </w:r>
            <w:r>
              <w:rPr>
                <w:b/>
                <w:i/>
              </w:rPr>
              <w:tab/>
              <w:t>kui see on kohaldatav, siis vastavalt lõikele 6 asjaomase isiku liikmesriikide territooriumilt lahkumise või väljasaatmise kuupäev;</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p)</w:t>
            </w:r>
            <w:r>
              <w:rPr>
                <w:b/>
                <w:i/>
              </w:rPr>
              <w:tab/>
              <w:t>artikli 14b lõike 1 kohane ümberpaigutamise sihtliikmesriik;</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q)</w:t>
            </w:r>
            <w:r>
              <w:rPr>
                <w:b/>
                <w:i/>
              </w:rPr>
              <w:tab/>
              <w:t>vajaduse korral asjaolu, et on antud toetust vabatahtlikuks tagasipöördumiseks ja taasintegreerimiseks.</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r)</w:t>
            </w:r>
            <w:r>
              <w:rPr>
                <w:b/>
                <w:i/>
              </w:rPr>
              <w:tab/>
              <w:t>asjaolu, et määruses (EL) XXX/XXX [taustakontrolli määrus] osutatud taustakontrolli kohaselt võib isik ohustada sisejulgeolekut.</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4. Käesoleva artikli lõikes 2 osutatud 72-tunnise tähtaja mittetäitmine ei vabasta liikmesriike sõrmejälgede biomeetriliste andmete võtmise ja kesksüsteemi ühisele isikuandmete hoidlale edastamise kohustusest. Kui sõrmeotste seisukord ei võimalda võtta sõrmejälgi kvaliteediga, mis võimaldaks asjakohaselt teostada artikli 26 kohast võrdlust, peab päritoluliikmesriik vastavalt käesoleva artikli lõikes 1 kirjeldatule maabunud isikute sõrmejäljed uuesti võtma ja saatma need uuesti võimalikult kiiresti ning hiljemalt 48 tunni jooksul pärast nende edukat uuesti võtmist.</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5. Juhul kui maabunud isiku sõrmejälgi ei ole võimalik võtta tema tervise tagamiseks või rahvatervise kaitseks võetud meetmete tõttu, siis peab asjaomane liikmesriik erandina lõikest 1 võtma sellised biomeetrilised andmed ja edastama need võimalikult kiiresti ja hiljemalt 48 tunni jooksul pärast seda, kui nimetatud tervisealaseid põhjuseid enam ei esine.</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 xml:space="preserve">Tõsiste tehniliste raskuste korral võivad </w:t>
            </w:r>
            <w:r>
              <w:rPr>
                <w:b/>
                <w:i/>
              </w:rPr>
              <w:lastRenderedPageBreak/>
              <w:t>liikmesriigid riiklike talitluspidevuse kavade rakendamiseks lõikes 2 nimetatud 72-tunnist tähtaega pikendada kõige rohkem 48 tunni võrra.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6. Niipea kui päritoluliikmesriik saab tagada, et asjaomane isik, kelle andmed salvestati vastavalt lõikele 1 Eurodac-süsteemi, on liikmesriikide territooriumilt lahkunud kooskõlas tagasisaatmisotsuse või väljasaatmiskorraldusega, ajakohastab päritoluliikmesriik asjaomast isikut käsitlevat andmekogumit, mis on salvestatud kooskõlas lõikega 2, lisades sinna isiku territooriumilt väljasaatmise või lahkumise kuupäeva.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7. Kui asjaomane liikmesriik seda taotleb, võivad biomeetrilisi andmeid võtta ja edastada ka Euroopa piiri- ja rannikuvalverühmade liikmed või varjupaigatugirühmade eksperdid, kui nad täidavad oma ülesandeid ja kasutavad oma volitusi kooskõlas määrusega (EL) 2019/1896 ja määrusega (EL) XXX/XXX [ELi Varjupaigaameti määrus].</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8. Vastavalt artikli 4 lõikes 6 sätestatule lingitakse kõik lõike 1 kohaselt kogutud ja edastatud andmekogumid üheks jadaks muude samale kolmanda riigi kodanikule või kodakondsuseta isikule vastavate andmekogumitega.</w:t>
            </w:r>
          </w:p>
        </w:tc>
        <w:tc>
          <w:tcPr>
            <w:tcW w:w="4876" w:type="dxa"/>
          </w:tcPr>
          <w:p w:rsidR="00F528F9" w:rsidRPr="00E66FD7" w:rsidRDefault="00F528F9" w:rsidP="00167072">
            <w:pPr>
              <w:pStyle w:val="Normal6"/>
              <w:rPr>
                <w:i/>
              </w:rPr>
            </w:pPr>
          </w:p>
        </w:tc>
      </w:tr>
      <w:tr w:rsidR="00F528F9" w:rsidTr="00167072">
        <w:trPr>
          <w:jc w:val="center"/>
        </w:trPr>
        <w:tc>
          <w:tcPr>
            <w:tcW w:w="4876" w:type="dxa"/>
            <w:hideMark/>
          </w:tcPr>
          <w:p w:rsidR="00F528F9" w:rsidRPr="00E66FD7" w:rsidRDefault="00F528F9" w:rsidP="00167072">
            <w:pPr>
              <w:pStyle w:val="Normal6"/>
              <w:rPr>
                <w:b/>
                <w:i/>
              </w:rPr>
            </w:pPr>
            <w:r>
              <w:rPr>
                <w:b/>
                <w:i/>
              </w:rPr>
              <w:t>9. Lõike 1 kohane andmekogum määruse (EL) 818/2019 artikli 27 lõike 1 tähenduses loetakse looduks, kui on salvestatud kõik punktides a–f ja h nimetatud andmed.“;</w:t>
            </w:r>
          </w:p>
        </w:tc>
        <w:tc>
          <w:tcPr>
            <w:tcW w:w="4876" w:type="dxa"/>
          </w:tcPr>
          <w:p w:rsidR="00F528F9" w:rsidRPr="00E66FD7" w:rsidRDefault="00F528F9" w:rsidP="00167072">
            <w:pPr>
              <w:pStyle w:val="Normal6"/>
              <w:rPr>
                <w:i/>
              </w:rPr>
            </w:pPr>
          </w:p>
        </w:tc>
      </w:tr>
    </w:tbl>
    <w:p w:rsidR="00F528F9" w:rsidRPr="000078AC"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&lt;TitreJust&gt;&lt;/TitreJust&gt;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232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artikkel 14a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Kõik liikmesriigid võtavad kiiresti biomeetrilised andmed kõigilt vähemalt </w:t>
            </w:r>
            <w:r>
              <w:rPr>
                <w:b/>
                <w:i/>
              </w:rPr>
              <w:t>kuueaastastelt</w:t>
            </w:r>
            <w:r>
              <w:t xml:space="preserve"> kolmandate riikide kodanikelt või kodakondsuseta isikutelt, kes on maabunud määruses (EL) XXX/XXX [varjupaiga- ja rändehalduse määrus] määratletud otsingu- ja päästeoperatsiooni järel.</w:t>
            </w:r>
          </w:p>
        </w:tc>
        <w:tc>
          <w:tcPr>
            <w:tcW w:w="4876" w:type="dxa"/>
            <w:hideMark/>
          </w:tcPr>
          <w:p w:rsidR="00F528F9" w:rsidRPr="00E66FD7" w:rsidRDefault="00F528F9" w:rsidP="00167072">
            <w:pPr>
              <w:pStyle w:val="Normal6"/>
              <w:rPr>
                <w:szCs w:val="24"/>
              </w:rPr>
            </w:pPr>
            <w:r>
              <w:t>1.</w:t>
            </w:r>
            <w:r>
              <w:tab/>
              <w:t xml:space="preserve">Kõik liikmesriigid võtavad kiiresti biomeetrilised andmed kõigilt vähemalt </w:t>
            </w:r>
            <w:r>
              <w:rPr>
                <w:b/>
                <w:i/>
              </w:rPr>
              <w:t>18aastastelt</w:t>
            </w:r>
            <w:r>
              <w:t xml:space="preserve"> kolmandate riikide kodanikelt või kodakondsuseta isikutelt, kes on maabunud määruses (EL) XXX/XXX [varjupaiga- ja rändehalduse määrus] määratletud otsingu- ja päästeoperatsiooni järel. </w:t>
            </w:r>
            <w:r>
              <w:rPr>
                <w:b/>
                <w:i/>
              </w:rPr>
              <w:t xml:space="preserve">Taotleja biomeetriliste andmete võtmist ei tohi tagada jõu ega sunniga. Liikmesriigid võtavad direktiivi 2013/33/EL artikli 21 tähenduses haavatavate isikute eriolukorda arvesse biomeetriliste andmete kogumisel, mille teevad töötajad, kes on saanud piisava väljaõppe, et märgata märke selle kohta, et isik võib olla traumeeritud ja/või langenud piinamise, inimkaubanduse, seksuaalse või soolise vägivalla või muu raske kuriteo ohvriks. </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Vähemalt kuueaastaste alaealiste biomeetrilisi andmeid kogutakse, töödeldakse ja säilitatakse kooskõlas artikli 10 lõikes 5 sätestatud nõuetega üksnes selleks, et kaitsta ja tuvastada inimkaubanduse ohvriks langenud lapsi ja kadunud lapsi, eelkõige saatjata alaealiste puhul.</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Kui isiku vanus on vaieldav või ebaselge ja puuduvad tema vanust tõendavad dokumendid, tuleb kahtluse korral alati teha otsus alaealise kasuks.</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AMNumberTabs0"/>
        <w:keepNext/>
      </w:pPr>
      <w:r w:rsidRPr="00640177">
        <w:rPr>
          <w:rStyle w:val="HideTWBExt"/>
          <w:b w:val="0"/>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233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19 – artikkel 14a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Kõik liikmesriigid võtavad kiiresti biomeetrilised andmed kõigilt vähemalt </w:t>
            </w:r>
            <w:r>
              <w:rPr>
                <w:b/>
                <w:i/>
              </w:rPr>
              <w:t>kuueaastastelt</w:t>
            </w:r>
            <w:r>
              <w:t xml:space="preserve"> kolmandate riikide kodanikelt või kodakondsuseta isikutelt, kes on maabunud määruses (EL) XXX/XXX [varjupaiga- ja rändehalduse määrus] määratletud otsingu- ja päästeoperatsiooni järel.</w:t>
            </w:r>
          </w:p>
        </w:tc>
        <w:tc>
          <w:tcPr>
            <w:tcW w:w="4876" w:type="dxa"/>
            <w:hideMark/>
          </w:tcPr>
          <w:p w:rsidR="00F528F9" w:rsidRPr="00E66FD7" w:rsidRDefault="00F528F9" w:rsidP="00167072">
            <w:pPr>
              <w:pStyle w:val="Normal6"/>
              <w:rPr>
                <w:szCs w:val="24"/>
              </w:rPr>
            </w:pPr>
            <w:r>
              <w:t>1.</w:t>
            </w:r>
            <w:r>
              <w:tab/>
              <w:t xml:space="preserve">Kõik liikmesriigid võtavad </w:t>
            </w:r>
            <w:r>
              <w:rPr>
                <w:b/>
                <w:i/>
              </w:rPr>
              <w:t xml:space="preserve">kaitset arvestaval viisil </w:t>
            </w:r>
            <w:r>
              <w:t xml:space="preserve">kiiresti biomeetrilised andmed kõigilt vähemalt </w:t>
            </w:r>
            <w:r>
              <w:rPr>
                <w:b/>
                <w:i/>
              </w:rPr>
              <w:t>14aastastelt</w:t>
            </w:r>
            <w:r>
              <w:t xml:space="preserve"> kolmandate riikide kodanikelt või kodakondsuseta isikutelt, kes on maabunud määruses (EL) XXX/XXX [varjupaiga- ja rändehalduse määrus] määratletud otsingu- ja päästeoperatsiooni järel.</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 xml:space="preserve">Kui liikmesriik ei suuda kindlaks teha, kas alaealine on 14aastane või vanem, tuleb eeldada, et taotleja vanus on alla 14 aasta.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234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artikkel 14a – lõige 2 – sissejuhatav osa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Asjaomane liikmesriik edastab võimalikult kiiresti ja hiljemalt 72 tunni jooksul pärast maabumise kuupäeva kesksüsteemi ja </w:t>
            </w:r>
            <w:r>
              <w:rPr>
                <w:b/>
                <w:i/>
              </w:rPr>
              <w:t>vajaduse korral</w:t>
            </w:r>
            <w:r>
              <w:t xml:space="preserve"> ühisele isikuandmete hoidlale iga lõikes 1 nimetatud kolmandate riikide kodaniku või kodakondsuseta isiku kohta, keda ei ole tagasi saadetud, järgmised andmed:</w:t>
            </w:r>
          </w:p>
        </w:tc>
        <w:tc>
          <w:tcPr>
            <w:tcW w:w="4876" w:type="dxa"/>
            <w:hideMark/>
          </w:tcPr>
          <w:p w:rsidR="00F528F9" w:rsidRPr="00E66FD7" w:rsidRDefault="00F528F9" w:rsidP="00167072">
            <w:pPr>
              <w:pStyle w:val="Normal6"/>
              <w:rPr>
                <w:szCs w:val="24"/>
              </w:rPr>
            </w:pPr>
            <w:r>
              <w:t>2.</w:t>
            </w:r>
            <w:r>
              <w:tab/>
              <w:t xml:space="preserve">Asjaomane liikmesriik edastab võimalikult kiiresti ja hiljemalt 72 tunni jooksul pärast maabumise kuupäeva kesksüsteemi ja </w:t>
            </w:r>
            <w:r>
              <w:rPr>
                <w:b/>
                <w:i/>
              </w:rPr>
              <w:t>kooskõlas artikli 4 lõikega 2</w:t>
            </w:r>
            <w:r>
              <w:t xml:space="preserve"> ühisele isikuandmete hoidlale iga lõikes 1 nimetatud kolmandate riikide kodaniku või kodakondsuseta isiku kohta, keda ei ole tagasi saadetud, järgmised andmed: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235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artikkel 14a</w:t>
      </w:r>
      <w:r w:rsidR="00460029">
        <w:t xml:space="preserve"> </w:t>
      </w:r>
      <w:r>
        <w:t>– lõige 2 – punkt h</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h)</w:t>
            </w:r>
            <w:r>
              <w:tab/>
              <w:t>sugu;</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236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19 – artikkel 14a</w:t>
      </w:r>
      <w:r w:rsidR="00460029">
        <w:t xml:space="preserve"> </w:t>
      </w:r>
      <w:r>
        <w:t>– lõige 2 – punkt h</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h)</w:t>
            </w:r>
            <w:r>
              <w:tab/>
              <w:t>sugu;</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237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19 – artikkel 14a</w:t>
      </w:r>
      <w:r w:rsidR="00460029">
        <w:t xml:space="preserve"> </w:t>
      </w:r>
      <w:r>
        <w:t>– lõige 2 – punkt h</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j)</w:t>
            </w:r>
            <w:r>
              <w:rPr>
                <w:b/>
                <w:i/>
              </w:rPr>
              <w:tab/>
              <w:t>isikut tõendava või reisidokumendi skaneeritud värvikoopia, kui see on olemas, koos märkega selle autentsuse kohta või selle puudumise korral kolmanda riigi kodaniku või kodakondsuseta isiku tuvastamist hõlbustav muu dokument koos märkega selle autentsuse kohta;</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238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artikkel 14a – lõige 2 – punkt l 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la)</w:t>
            </w:r>
            <w:r>
              <w:rPr>
                <w:b/>
                <w:i/>
              </w:rPr>
              <w:tab/>
              <w:t>alaealiste biomeetriliste andmete puhul nende kogumise põhjused vastavalt artikli 10 lõikele 1;</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239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artikkel 14a</w:t>
      </w:r>
      <w:r w:rsidR="00460029">
        <w:t xml:space="preserve"> </w:t>
      </w:r>
      <w:r>
        <w:t>– lõige 2 – punkt m</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m)</w:t>
            </w:r>
            <w:r>
              <w:tab/>
              <w:t xml:space="preserve">andmete kesksüsteemi ja </w:t>
            </w:r>
            <w:r>
              <w:rPr>
                <w:b/>
                <w:i/>
              </w:rPr>
              <w:t xml:space="preserve">vajaduse korral </w:t>
            </w:r>
            <w:r>
              <w:t>ühisele isikuandmete hoidlale edastamise kuupäev;</w:t>
            </w:r>
          </w:p>
        </w:tc>
        <w:tc>
          <w:tcPr>
            <w:tcW w:w="4876" w:type="dxa"/>
            <w:hideMark/>
          </w:tcPr>
          <w:p w:rsidR="00F528F9" w:rsidRPr="00E66FD7" w:rsidRDefault="00F528F9" w:rsidP="00167072">
            <w:pPr>
              <w:pStyle w:val="Normal6"/>
              <w:rPr>
                <w:szCs w:val="24"/>
              </w:rPr>
            </w:pPr>
            <w:r>
              <w:t>m)</w:t>
            </w:r>
            <w:r>
              <w:tab/>
              <w:t>andmete kesksüsteemi ja ühisele isikuandmete hoidlale edastamise kuupäev;</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240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artikkel 14a</w:t>
      </w:r>
      <w:r w:rsidR="00460029">
        <w:t xml:space="preserve"> </w:t>
      </w:r>
      <w:r>
        <w:t>– lõige 2 – punkt q</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q)</w:t>
            </w:r>
            <w:r>
              <w:rPr>
                <w:b/>
                <w:i/>
              </w:rPr>
              <w:tab/>
              <w:t>vajaduse korral asjaolu, et on antud toetust vabatahtlikuks tagasipöördumiseks ja taasintegreerimiseks.</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241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19 – artikkel 14a</w:t>
      </w:r>
      <w:r w:rsidR="00460029">
        <w:t xml:space="preserve"> </w:t>
      </w:r>
      <w:r>
        <w:t>– lõige 2 – punkt r</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r)</w:t>
            </w:r>
            <w:r>
              <w:rPr>
                <w:b/>
                <w:i/>
              </w:rPr>
              <w:tab/>
              <w:t>asjaolu, et määruses (EL) XXX/XXX [taustakontrolli määrus] osutatud taustakontrolli kohaselt võib isik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242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artikkel 14a</w:t>
      </w:r>
      <w:r w:rsidR="00460029">
        <w:t xml:space="preserve"> </w:t>
      </w:r>
      <w:r>
        <w:t>– lõige 2 – punkt r</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r)</w:t>
            </w:r>
            <w:r>
              <w:rPr>
                <w:b/>
                <w:i/>
              </w:rPr>
              <w:tab/>
              <w:t>asjaolu, et määruses (EL) XXX/XXX [taustakontrolli määrus] osutatud taustakontrolli kohaselt võib isik ohustada sisejulgeolekut.</w:t>
            </w:r>
          </w:p>
        </w:tc>
        <w:tc>
          <w:tcPr>
            <w:tcW w:w="4876" w:type="dxa"/>
            <w:hideMark/>
          </w:tcPr>
          <w:p w:rsidR="00F528F9" w:rsidRPr="00E66FD7" w:rsidRDefault="00F528F9" w:rsidP="00167072">
            <w:pPr>
              <w:pStyle w:val="Normal6"/>
              <w:rPr>
                <w:szCs w:val="24"/>
              </w:rPr>
            </w:pPr>
            <w:r>
              <w:rPr>
                <w:b/>
                <w:i/>
              </w:rPr>
              <w:t>välja jäetud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243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19 – artikkel 14a – lõige 7</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7.</w:t>
            </w:r>
            <w:r>
              <w:tab/>
              <w:t>Kui asjaomane liikmesriik seda taotleb, võivad biomeetrilisi andmeid võtta ja edastada ka Euroopa piiri- ja rannikuvalverühmade liikmed või varjupaigatugirühmade eksperdid, kui nad täidavad oma ülesandeid ja kasutavad oma volitusi kooskõlas määrusega (EL) 2019/1896 ja määrusega (EL) XXX/XXX [ELi Varjupaigaameti määrus].</w:t>
            </w:r>
          </w:p>
        </w:tc>
        <w:tc>
          <w:tcPr>
            <w:tcW w:w="4876" w:type="dxa"/>
            <w:hideMark/>
          </w:tcPr>
          <w:p w:rsidR="00F528F9" w:rsidRPr="00E66FD7" w:rsidRDefault="00F528F9" w:rsidP="00167072">
            <w:pPr>
              <w:pStyle w:val="Normal6"/>
              <w:rPr>
                <w:szCs w:val="24"/>
              </w:rPr>
            </w:pPr>
            <w:r>
              <w:t>7.</w:t>
            </w:r>
            <w:r>
              <w:tab/>
              <w:t xml:space="preserve">Kui asjaomane liikmesriik seda taotleb, võivad </w:t>
            </w:r>
            <w:r>
              <w:rPr>
                <w:b/>
                <w:i/>
              </w:rPr>
              <w:t xml:space="preserve">põhjendatud juhtudel </w:t>
            </w:r>
            <w:r>
              <w:t>biomeetrilisi andmeid võtta ja edastada ka Euroopa piiri- ja rannikuvalverühmade liikmed või varjupaigatugirühmade eksperdid, kui nad täidavad oma ülesandeid ja kasutavad oma volitusi kooskõlas määrusega (EL) 2019/1896 ja määrusega (EL) XXX/XXX [ELi Varjupaigaameti määrus].</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244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19 – artikkel 14a – lõige 8</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8.</w:t>
            </w:r>
            <w:r>
              <w:tab/>
              <w:t>Vastavalt artikli 4 lõikes 6 sätestatule lingitakse kõik lõike 1 kohaselt kogutud ja edastatud andmekogumid üheks jadaks muude samale kolmanda riigi kodanikule või kodakondsuseta isikule vastavate andmekogumitega.</w:t>
            </w:r>
          </w:p>
        </w:tc>
        <w:tc>
          <w:tcPr>
            <w:tcW w:w="4876" w:type="dxa"/>
            <w:hideMark/>
          </w:tcPr>
          <w:p w:rsidR="00F528F9" w:rsidRPr="00E66FD7" w:rsidRDefault="00F528F9" w:rsidP="00167072">
            <w:pPr>
              <w:pStyle w:val="Normal6"/>
              <w:rPr>
                <w:szCs w:val="24"/>
              </w:rPr>
            </w:pPr>
            <w:r>
              <w:t>8.</w:t>
            </w:r>
            <w:r>
              <w:tab/>
              <w:t xml:space="preserve">Vastavalt artikli 4 lõikes 6 sätestatule </w:t>
            </w:r>
            <w:r>
              <w:rPr>
                <w:b/>
                <w:i/>
              </w:rPr>
              <w:t xml:space="preserve">ja selles kehtestatud piiranguid arvestades </w:t>
            </w:r>
            <w:r>
              <w:t>lingitakse kõik lõike 1 kohaselt kogutud ja edastatud andmekogumid üheks jadaks muude samale kolmanda riigi kodanikule või kodakondsuseta isikule vastavate andmekogumitega.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245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20 – artikkel 14b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Niipea kui ümberpaigutamise sihtliikmesriik on </w:t>
            </w:r>
            <w:r>
              <w:rPr>
                <w:b/>
                <w:i/>
              </w:rPr>
              <w:t>sunnitud asjaomase isiku</w:t>
            </w:r>
            <w:r>
              <w:t xml:space="preserve"> määruse (EL) XXX/XXX [varjupaiga- ja rändehalduse määrus] artikli 57 lõike 7 kohaselt</w:t>
            </w:r>
            <w:r>
              <w:rPr>
                <w:b/>
                <w:i/>
              </w:rPr>
              <w:t xml:space="preserve"> ümber paigutama</w:t>
            </w:r>
            <w:r>
              <w:t xml:space="preserve">, ajakohastab toetatav liikmesriik oma asjaomast isikut käsitlevat andmekogumit, mis on salvestatud kooskõlas käesoleva määruse </w:t>
            </w:r>
            <w:r>
              <w:rPr>
                <w:b/>
                <w:i/>
              </w:rPr>
              <w:t>artiklite</w:t>
            </w:r>
            <w:r>
              <w:t> 12</w:t>
            </w:r>
            <w:r>
              <w:rPr>
                <w:b/>
                <w:i/>
              </w:rPr>
              <w:t>, 13, 14 või 14a</w:t>
            </w:r>
            <w:r>
              <w:t>, lisades sinna ümberpaigutamise sihtliikmesriigi.</w:t>
            </w:r>
          </w:p>
        </w:tc>
        <w:tc>
          <w:tcPr>
            <w:tcW w:w="4876" w:type="dxa"/>
            <w:hideMark/>
          </w:tcPr>
          <w:p w:rsidR="00F528F9" w:rsidRPr="00E66FD7" w:rsidRDefault="00F528F9" w:rsidP="00167072">
            <w:pPr>
              <w:pStyle w:val="Normal6"/>
              <w:rPr>
                <w:szCs w:val="24"/>
              </w:rPr>
            </w:pPr>
            <w:r>
              <w:t>1.</w:t>
            </w:r>
            <w:r>
              <w:tab/>
              <w:t xml:space="preserve">Niipea kui ümberpaigutamise sihtliikmesriik on </w:t>
            </w:r>
            <w:r>
              <w:rPr>
                <w:b/>
                <w:i/>
              </w:rPr>
              <w:t>kindlaks määratud</w:t>
            </w:r>
            <w:r>
              <w:t xml:space="preserve"> määruse (EL) XXX/XXX [varjupaiga- ja rändehalduse määrus] artikli 57 lõike 7 kohaselt, ajakohastab toetatav liikmesriik oma asjaomast isikut käsitlevat andmekogumit, mis on salvestatud kooskõlas käesoleva määruse </w:t>
            </w:r>
            <w:r>
              <w:rPr>
                <w:b/>
                <w:i/>
              </w:rPr>
              <w:t>artiklitega</w:t>
            </w:r>
            <w:r>
              <w:t> 12</w:t>
            </w:r>
            <w:r>
              <w:rPr>
                <w:b/>
                <w:i/>
              </w:rPr>
              <w:t xml:space="preserve"> ja 13</w:t>
            </w:r>
            <w:r>
              <w:t>, lisades sinna ümberpaigutamise sihtliikmesriigi.</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246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20 – artikkel 14b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Niipea kui ümberpaigutamise sihtliikmesriik on sunnitud asjaomase isiku määruse (EL) XXX/XXX [varjupaiga- ja rändehalduse määrus] artikli 57 lõike 7 kohaselt ümber paigutama, ajakohastab toetatav liikmesriik oma asjaomast isikut käsitlevat andmekogumit, mis on salvestatud kooskõlas käesoleva määruse artiklite 12, 13</w:t>
            </w:r>
            <w:r>
              <w:rPr>
                <w:b/>
                <w:i/>
              </w:rPr>
              <w:t>, 14</w:t>
            </w:r>
            <w:r>
              <w:t xml:space="preserve"> või 14a, lisades sinna ümberpaigutamise sihtliikmesriigi.</w:t>
            </w:r>
          </w:p>
        </w:tc>
        <w:tc>
          <w:tcPr>
            <w:tcW w:w="4876" w:type="dxa"/>
            <w:hideMark/>
          </w:tcPr>
          <w:p w:rsidR="00F528F9" w:rsidRPr="00E66FD7" w:rsidRDefault="00F528F9" w:rsidP="00167072">
            <w:pPr>
              <w:pStyle w:val="Normal6"/>
              <w:rPr>
                <w:szCs w:val="24"/>
              </w:rPr>
            </w:pPr>
            <w:r>
              <w:t>1.</w:t>
            </w:r>
            <w:r>
              <w:tab/>
              <w:t>Niipea kui ümberpaigutamise sihtliikmesriik on sunnitud asjaomase isiku määruse (EL) XXX/XXX [varjupaiga- ja rändehalduse määrus] artikli 57 lõike 7 kohaselt ümber paigutama, ajakohastab toetatav liikmesriik oma asjaomast isikut käsitlevat andmekogumit, mis on salvestatud kooskõlas käesoleva määruse artiklite 12, 13 või 14a, lisades sinna ümberpaigutamise sihtliikmesriigi.</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247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20 – artikkel 14b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Kui rahvusvahelise kaitse taotleja saabub ümberpaigutamise sihtliikmesriiki pärast ümberpaigutamise sihtliikmesriigi kinnitust asjaomase isiku ümberpaigutamise kohta vastavalt määruse (EL) nr XXX/XXX [varjupaiga- ja rändehalduse määrus] artikli 57 lõikele 7, saadab kõnealune liikmesriik asjaomast isikut käsitleva andmekogumi, mis on salvestatud kooskõlas käesoleva määruse artikliga 12 </w:t>
            </w:r>
            <w:r>
              <w:rPr>
                <w:b/>
                <w:i/>
              </w:rPr>
              <w:t xml:space="preserve">või artikliga 14 </w:t>
            </w:r>
            <w:r>
              <w:t>ning lisab sinna tema saabumiskuupäeva. Andmekogumit säilitatakse vastavalt artikli 17 lõikele 1, et võimaldada artiklitega 15 ja 16 ettenähtud edastamist.“;</w:t>
            </w:r>
          </w:p>
        </w:tc>
        <w:tc>
          <w:tcPr>
            <w:tcW w:w="4876" w:type="dxa"/>
            <w:hideMark/>
          </w:tcPr>
          <w:p w:rsidR="00F528F9" w:rsidRPr="00E66FD7" w:rsidRDefault="00F528F9" w:rsidP="00167072">
            <w:pPr>
              <w:pStyle w:val="Normal6"/>
              <w:rPr>
                <w:szCs w:val="24"/>
              </w:rPr>
            </w:pPr>
            <w:r>
              <w:t>2.</w:t>
            </w:r>
            <w:r>
              <w:tab/>
              <w:t>Kui rahvusvahelise kaitse taotleja saabub ümberpaigutamise sihtliikmesriiki pärast ümberpaigutamise sihtliikmesriigi kinnitust asjaomase isiku ümberpaigutamise kohta vastavalt määruse (EL) nr XXX/XXX [varjupaiga- ja rändehalduse määrus] artikli 57 lõikele 7, saadab kõnealune liikmesriik asjaomast isikut käsitleva andmekogumi, mis on salvestatud kooskõlas käesoleva määruse artikliga 12 ning lisab sinna tema saabumiskuupäeva. Andmekogumit säilitatakse vastavalt artikli 17 lõikele 1, et võimaldada artiklitega 15 ja 16 ettenähtud edastamist.“;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lastRenderedPageBreak/>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248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20 – artikkel 14b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Kui rahvusvahelise kaitse taotleja saabub ümberpaigutamise sihtliikmesriiki pärast ümberpaigutamise sihtliikmesriigi kinnitust asjaomase isiku ümberpaigutamise kohta vastavalt määruse (EL) nr XXX/XXX [varjupaiga- ja rändehalduse määrus] artikli 57 lõikele 7, saadab kõnealune liikmesriik asjaomast isikut käsitleva andmekogumi, mis on salvestatud kooskõlas käesoleva määruse artikliga 12 </w:t>
            </w:r>
            <w:r>
              <w:rPr>
                <w:b/>
                <w:i/>
              </w:rPr>
              <w:t xml:space="preserve">või artikliga 14 </w:t>
            </w:r>
            <w:r>
              <w:t>ning lisab sinna tema saabumiskuupäeva. Andmekogumit säilitatakse vastavalt artikli 17 lõikele 1, et võimaldada artiklitega 15 ja 16 ettenähtud edastamist.“;</w:t>
            </w:r>
          </w:p>
        </w:tc>
        <w:tc>
          <w:tcPr>
            <w:tcW w:w="4876" w:type="dxa"/>
            <w:hideMark/>
          </w:tcPr>
          <w:p w:rsidR="00F528F9" w:rsidRPr="00E66FD7" w:rsidRDefault="00F528F9" w:rsidP="00167072">
            <w:pPr>
              <w:pStyle w:val="Normal6"/>
              <w:rPr>
                <w:szCs w:val="24"/>
              </w:rPr>
            </w:pPr>
            <w:r>
              <w:t>2.</w:t>
            </w:r>
            <w:r>
              <w:tab/>
              <w:t>Kui rahvusvahelise kaitse taotleja saabub ümberpaigutamise sihtliikmesriiki pärast ümberpaigutamise sihtliikmesriigi kinnitust asjaomase isiku ümberpaigutamise kohta vastavalt määruse (EL) nr XXX/XXX [varjupaiga- ja rändehalduse määrus] artikli 57 lõikele 7, saadab kõnealune liikmesriik asjaomast isikut käsitleva andmekogumi, mis on salvestatud kooskõlas käesoleva määruse artikliga 12 ning lisab sinna tema saabumiskuupäeva. Andmekogumit säilitatakse vastavalt artikli 17 lõikele 1, et võimaldada artiklitega 15 ja 16 ettenähtud edastamist.“;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249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21 a – artikkel 17 – lõige 3a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hidden/>
        </w:trPr>
        <w:tc>
          <w:tcPr>
            <w:tcW w:w="9752" w:type="dxa"/>
            <w:gridSpan w:val="2"/>
          </w:tcPr>
          <w:p w:rsidR="00F528F9" w:rsidRPr="00E66FD7" w:rsidRDefault="00F528F9" w:rsidP="00167072">
            <w:pPr>
              <w:keepNext/>
            </w:pPr>
            <w:r w:rsidRPr="00640177">
              <w:rPr>
                <w:rStyle w:val="HideTWBExt"/>
              </w:rPr>
              <w:t>&lt;&lt;</w:t>
            </w: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a)</w:t>
            </w:r>
            <w:r>
              <w:rPr>
                <w:b/>
                <w:i/>
              </w:rPr>
              <w:tab/>
              <w:t>lisatakse lõige 3a:</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3a.</w:t>
            </w:r>
            <w:r>
              <w:rPr>
                <w:b/>
                <w:i/>
              </w:rPr>
              <w:tab/>
              <w:t>Kõiki kolmanda riigi kodaniku või kodakondsuseta isikuga seonduvaid artikli 14a lõikes 2 nimetatud andmekogumeid säilitatakse artikli 14a lõikes 1 nimetatud eesmärgil kesksüsteemis ja vajaduse korral ühises isikuandmete hoidlas viie aasta jooksul pärast biomeetriliste andmete võtmist.</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lastRenderedPageBreak/>
              <w:t>“;</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250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21 a – artikkel 17 – lõige 3a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hidden/>
        </w:trPr>
        <w:tc>
          <w:tcPr>
            <w:tcW w:w="9752" w:type="dxa"/>
            <w:gridSpan w:val="2"/>
          </w:tcPr>
          <w:p w:rsidR="00F528F9" w:rsidRPr="00E66FD7" w:rsidRDefault="00F528F9" w:rsidP="00167072">
            <w:pPr>
              <w:keepNext/>
            </w:pPr>
            <w:r w:rsidRPr="00640177">
              <w:rPr>
                <w:rStyle w:val="HideTWBExt"/>
              </w:rPr>
              <w:t>&lt;&lt;</w:t>
            </w: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3a.</w:t>
            </w:r>
            <w:r>
              <w:tab/>
              <w:t xml:space="preserve">Kõiki kolmanda riigi kodaniku või kodakondsuseta isikuga seonduvaid artikli 14a lõikes 2 nimetatud andmekogumeid säilitatakse artikli 14a lõikes 1 nimetatud eesmärgil kesksüsteemis ja </w:t>
            </w:r>
            <w:r>
              <w:rPr>
                <w:b/>
                <w:i/>
              </w:rPr>
              <w:t>vajaduse korral</w:t>
            </w:r>
            <w:r>
              <w:t xml:space="preserve"> ühises isikuandmete hoidlas viie aasta jooksul pärast biomeetriliste andmete võtmist.“;</w:t>
            </w:r>
          </w:p>
        </w:tc>
        <w:tc>
          <w:tcPr>
            <w:tcW w:w="4876" w:type="dxa"/>
            <w:hideMark/>
          </w:tcPr>
          <w:p w:rsidR="00F528F9" w:rsidRPr="00E66FD7" w:rsidRDefault="00F528F9" w:rsidP="00167072">
            <w:pPr>
              <w:pStyle w:val="Normal6"/>
              <w:rPr>
                <w:szCs w:val="24"/>
              </w:rPr>
            </w:pPr>
            <w:r>
              <w:t>3a.</w:t>
            </w:r>
            <w:r>
              <w:tab/>
              <w:t xml:space="preserve">Kõiki kolmanda riigi kodaniku või kodakondsuseta isikuga seonduvaid artikli 14a lõikes 2 nimetatud andmekogumeid säilitatakse artikli 14a lõikes 1 nimetatud eesmärgil kesksüsteemis ja ühises isikuandmete hoidlas viie aasta jooksul pärast biomeetriliste andmete </w:t>
            </w:r>
            <w:r>
              <w:rPr>
                <w:b/>
                <w:i/>
              </w:rPr>
              <w:t>esmast</w:t>
            </w:r>
            <w:r>
              <w:t xml:space="preserve"> võtmist.“;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251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21 a a (uus) – artikkel 17 – lõige 1a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a a)</w:t>
            </w:r>
            <w:r>
              <w:rPr>
                <w:b/>
                <w:i/>
              </w:rPr>
              <w:tab/>
              <w:t>lisatakse järgmine lõige 1a:</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„1a. Kõiki ümberasustatud kolmanda riigi kodaniku või kodakondsuseta isikuga seonduvaid andmekogumeid säilitatakse artiklis 12a nimetatud eesmärgil kesksüsteemis viie aasta jooksul pärast sõrmejälgede võtmist.“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252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21 b – artikkel 17 – lõige 4</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 xml:space="preserve">Käesoleva artikli lõigetes 1–3a osutatud andmete säilitusaegade möödudes kustutatakse kesksüsteemis ja </w:t>
            </w:r>
            <w:r>
              <w:rPr>
                <w:b/>
                <w:i/>
              </w:rPr>
              <w:t xml:space="preserve">vajaduse korral </w:t>
            </w:r>
            <w:r>
              <w:t>ühises isikuandmete hoidlas olevad andmesubjektide andmed.“;</w:t>
            </w:r>
          </w:p>
        </w:tc>
        <w:tc>
          <w:tcPr>
            <w:tcW w:w="4876" w:type="dxa"/>
            <w:hideMark/>
          </w:tcPr>
          <w:p w:rsidR="00F528F9" w:rsidRPr="00E66FD7" w:rsidRDefault="00F528F9" w:rsidP="00167072">
            <w:pPr>
              <w:pStyle w:val="Normal6"/>
              <w:rPr>
                <w:szCs w:val="24"/>
              </w:rPr>
            </w:pPr>
            <w:r>
              <w:t>„4.</w:t>
            </w:r>
            <w:r>
              <w:tab/>
              <w:t>Käesoleva artikli lõigetes 1–3a osutatud andmete säilitusaegade möödudes kustutatakse kesksüsteemis ja ühises isikuandmete hoidlas olevad andmesubjektide andmed.“;</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253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22 – artikkel 19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Päritoluliikmesriik, kes on võtnud rahvusvahelise kaitse alla isiku, kelle andmed olid artikli 12 kohaselt eelnevalt salvestatud kesksüsteemi ja vajaduse korral ühisesse isikuandmete hoidlasse, teeb artikli 1 lõike 1 punktis a sätestatud eesmärgil asjaomaste andmete kohta märke kooskõlas nõuetega, mille eu-LISA on kesksüsteemiga toimuva elektroonilise teabevahetuse jaoks kehtestanud. Kõnealust märget säilitatakse kesksüsteemis vastavalt artikli</w:t>
            </w:r>
            <w:r>
              <w:rPr>
                <w:b/>
                <w:i/>
              </w:rPr>
              <w:t> </w:t>
            </w:r>
            <w:r>
              <w:t>17</w:t>
            </w:r>
            <w:r>
              <w:rPr>
                <w:b/>
                <w:i/>
              </w:rPr>
              <w:t xml:space="preserve"> lõikele</w:t>
            </w:r>
            <w:r>
              <w:t> 1</w:t>
            </w:r>
            <w:r>
              <w:rPr>
                <w:b/>
                <w:i/>
              </w:rPr>
              <w:t>,</w:t>
            </w:r>
            <w:r>
              <w:t xml:space="preserve"> et võimaldada artikliga 15 ja artikliga</w:t>
            </w:r>
            <w:r>
              <w:rPr>
                <w:b/>
                <w:i/>
              </w:rPr>
              <w:t xml:space="preserve"> </w:t>
            </w:r>
            <w:r>
              <w:t>16 ettenähtud edastamist. Kesksüsteem teavitab võimalikult kiiresti ja hiljemalt 72 tunni jooksul kõiki päritoluliikmesriike sellest, et teine päritoluliikmesriik, kelle otsing on leidnud kokkulangevuse tema poolt artikli</w:t>
            </w:r>
            <w:r>
              <w:rPr>
                <w:b/>
                <w:i/>
              </w:rPr>
              <w:t> </w:t>
            </w:r>
            <w:r>
              <w:t>10 lõikes</w:t>
            </w:r>
            <w:r>
              <w:rPr>
                <w:b/>
                <w:i/>
              </w:rPr>
              <w:t> </w:t>
            </w:r>
            <w:r>
              <w:t>1, artikli</w:t>
            </w:r>
            <w:r>
              <w:rPr>
                <w:b/>
                <w:i/>
              </w:rPr>
              <w:t> 13 lõikes 1, artikli 14 lõikes 1</w:t>
            </w:r>
            <w:r>
              <w:t xml:space="preserve"> või artikli</w:t>
            </w:r>
            <w:r>
              <w:rPr>
                <w:b/>
                <w:i/>
              </w:rPr>
              <w:t> 14a</w:t>
            </w:r>
            <w:r>
              <w:t xml:space="preserve"> lõikes</w:t>
            </w:r>
            <w:r>
              <w:rPr>
                <w:b/>
                <w:i/>
              </w:rPr>
              <w:t> </w:t>
            </w:r>
            <w:r>
              <w:t xml:space="preserve">1 osutatud isikute kohta edastatud andmetega, on teinud andmete kohta </w:t>
            </w:r>
            <w:r>
              <w:lastRenderedPageBreak/>
              <w:t>märke. Teised päritoluliikmesriigid teevad samuti vastavate andmekogumite kohta märke.</w:t>
            </w:r>
          </w:p>
        </w:tc>
        <w:tc>
          <w:tcPr>
            <w:tcW w:w="4876" w:type="dxa"/>
            <w:hideMark/>
          </w:tcPr>
          <w:p w:rsidR="00F528F9" w:rsidRPr="00E66FD7" w:rsidRDefault="00F528F9" w:rsidP="00167072">
            <w:pPr>
              <w:pStyle w:val="Normal6"/>
              <w:rPr>
                <w:szCs w:val="24"/>
              </w:rPr>
            </w:pPr>
            <w:r>
              <w:lastRenderedPageBreak/>
              <w:t>1.</w:t>
            </w:r>
            <w:r>
              <w:tab/>
              <w:t xml:space="preserve">Päritoluliikmesriik, kes on võtnud rahvusvahelise kaitse alla isiku, kelle andmed olid artikli 12 </w:t>
            </w:r>
            <w:r>
              <w:rPr>
                <w:b/>
                <w:i/>
              </w:rPr>
              <w:t xml:space="preserve">või artikli 12a </w:t>
            </w:r>
            <w:r>
              <w:t xml:space="preserve">kohaselt eelnevalt salvestatud kesksüsteemi ja vajaduse korral ühisesse isikuandmete hoidlasse, teeb artikli 1 lõike 1 punktis a </w:t>
            </w:r>
            <w:r>
              <w:rPr>
                <w:b/>
                <w:i/>
              </w:rPr>
              <w:t xml:space="preserve">ja artikli 1 lõike 1 punktis b </w:t>
            </w:r>
            <w:r>
              <w:t>sätestatud eesmärgil asjaomaste andmete kohta märke kooskõlas nõuetega, mille eu-LISA on kesksüsteemiga toimuva elektroonilise teabevahetuse jaoks kehtestanud. Kõnealust märget säilitatakse kesksüsteemis vastavalt artikli</w:t>
            </w:r>
            <w:r>
              <w:rPr>
                <w:b/>
                <w:i/>
              </w:rPr>
              <w:t xml:space="preserve"> </w:t>
            </w:r>
            <w:r>
              <w:t>17 </w:t>
            </w:r>
            <w:r>
              <w:rPr>
                <w:b/>
                <w:i/>
              </w:rPr>
              <w:t xml:space="preserve">lõigetele 1 ja </w:t>
            </w:r>
            <w:r>
              <w:t>1</w:t>
            </w:r>
            <w:r>
              <w:rPr>
                <w:b/>
                <w:i/>
              </w:rPr>
              <w:t>a</w:t>
            </w:r>
            <w:r>
              <w:t xml:space="preserve"> et võimaldada artikliga 15 ja artikliga</w:t>
            </w:r>
            <w:r>
              <w:rPr>
                <w:b/>
                <w:i/>
              </w:rPr>
              <w:t> </w:t>
            </w:r>
            <w:r>
              <w:t>16 ettenähtud edastamist. Kesksüsteem teavitab võimalikult kiiresti ja hiljemalt 72 tunni jooksul kõiki päritoluliikmesriike sellest, et teine päritoluliikmesriik, kelle otsing on leidnud kokkulangevuse tema poolt artikli</w:t>
            </w:r>
            <w:r>
              <w:rPr>
                <w:b/>
                <w:i/>
              </w:rPr>
              <w:t xml:space="preserve"> </w:t>
            </w:r>
            <w:r>
              <w:t>10 lõikes</w:t>
            </w:r>
            <w:r>
              <w:rPr>
                <w:b/>
                <w:i/>
              </w:rPr>
              <w:t xml:space="preserve"> </w:t>
            </w:r>
            <w:r>
              <w:t>1, artikli</w:t>
            </w:r>
            <w:r>
              <w:rPr>
                <w:b/>
                <w:i/>
              </w:rPr>
              <w:t xml:space="preserve"> 12 punktis b</w:t>
            </w:r>
            <w:r>
              <w:t xml:space="preserve"> või artikli</w:t>
            </w:r>
            <w:r>
              <w:rPr>
                <w:b/>
                <w:i/>
              </w:rPr>
              <w:t xml:space="preserve"> 13</w:t>
            </w:r>
            <w:r>
              <w:t xml:space="preserve"> lõikes</w:t>
            </w:r>
            <w:r>
              <w:rPr>
                <w:b/>
                <w:i/>
              </w:rPr>
              <w:t xml:space="preserve"> </w:t>
            </w:r>
            <w:r>
              <w:t xml:space="preserve">1 osutatud isikute kohta edastatud </w:t>
            </w:r>
            <w:r>
              <w:lastRenderedPageBreak/>
              <w:t>andmetega, on teinud andmete kohta märke. Teised päritoluliikmesriigid teevad samuti vastavate andmekogumite kohta märke.</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254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22 – artikkel 19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1.</w:t>
            </w:r>
            <w:r>
              <w:tab/>
              <w:t xml:space="preserve">Päritoluliikmesriik, kes on võtnud rahvusvahelise kaitse alla isiku, kelle andmed olid artikli 12 kohaselt eelnevalt salvestatud kesksüsteemi ja </w:t>
            </w:r>
            <w:r>
              <w:rPr>
                <w:b/>
                <w:i/>
              </w:rPr>
              <w:t xml:space="preserve">vajaduse korral </w:t>
            </w:r>
            <w:r>
              <w:t>ühisesse isikuandmete hoidlasse, teeb artikli 1 lõike 1 punktis a sätestatud eesmärgil asjaomaste andmete kohta märke kooskõlas nõuetega, mille eu-LISA on kesksüsteemiga toimuva elektroonilise teabevahetuse jaoks kehtestanud. Kõnealust märget säilitatakse kesksüsteemis vastavalt artikli 17 lõikele 1, et võimaldada artikliga 15 ja artikliga 16 ettenähtud edastamist. Kesksüsteem teavitab võimalikult kiiresti ja hiljemalt 72 tunni jooksul kõiki päritoluliikmesriike sellest, et teine päritoluliikmesriik, kelle otsing on leidnud kokkulangevuse tema poolt artikli 10 lõikes 1, artikli 13</w:t>
            </w:r>
            <w:r>
              <w:rPr>
                <w:b/>
                <w:i/>
              </w:rPr>
              <w:t xml:space="preserve"> lõikes 1, artikli 14</w:t>
            </w:r>
            <w:r>
              <w:t xml:space="preserve"> lõikes 1 või artikli 14a lõikes 1 osutatud isikute kohta edastatud andmetega, on teinud andmete kohta märke. Teised päritoluliikmesriigid teevad samuti vastavate andmekogumite kohta märke.</w:t>
            </w:r>
          </w:p>
        </w:tc>
        <w:tc>
          <w:tcPr>
            <w:tcW w:w="4876" w:type="dxa"/>
            <w:hideMark/>
          </w:tcPr>
          <w:p w:rsidR="00F528F9" w:rsidRPr="00E66FD7" w:rsidRDefault="00F528F9" w:rsidP="00167072">
            <w:pPr>
              <w:pStyle w:val="Normal6"/>
              <w:rPr>
                <w:szCs w:val="24"/>
              </w:rPr>
            </w:pPr>
            <w:r>
              <w:t>1.</w:t>
            </w:r>
            <w:r>
              <w:tab/>
              <w:t>Päritoluliikmesriik, kes on võtnud rahvusvahelise kaitse alla isiku, kelle andmed olid artikli 12 kohaselt eelnevalt salvestatud kesksüsteemi ja ühisesse isikuandmete hoidlasse, teeb artikli 1 lõike 1 punktis a sätestatud eesmärgil asjaomaste andmete kohta märke kooskõlas nõuetega, mille eu-LISA on kesksüsteemiga toimuva elektroonilise teabevahetuse jaoks kehtestanud. Kõnealust märget säilitatakse kesksüsteemis vastavalt artikli 17 lõikele 1, et võimaldada artikliga 15 ja artikliga 16 ettenähtud edastamist. Kesksüsteem teavitab võimalikult kiiresti ja hiljemalt 72 tunni jooksul kõiki päritoluliikmesriike sellest, et teine päritoluliikmesriik, kelle otsing on leidnud kokkulangevuse tema poolt artikli 10 lõikes 1, artikli 13 lõikes 1 või artikli 14a lõikes 1 osutatud isikute kohta edastatud andmetega, on teinud andmete kohta märke. Teised päritoluliikmesriigid teevad samuti vastavate andmekogumite kohta märke.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lastRenderedPageBreak/>
        <w:t>&lt;Amend&gt;</w:t>
      </w:r>
      <w:r>
        <w:t>Muudatusettepanek</w:t>
      </w:r>
      <w:r>
        <w:tab/>
      </w:r>
      <w:r>
        <w:tab/>
      </w:r>
      <w:r w:rsidRPr="00640177">
        <w:rPr>
          <w:rStyle w:val="HideTWBExt"/>
          <w:b w:val="0"/>
        </w:rPr>
        <w:t>&lt;NumAm&gt;</w:t>
      </w:r>
      <w:r>
        <w:t>255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22 – artikkel 19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Rahvusvahelise kaitse saajate kesksüsteemis ja vajaduse korral ühises isikuandmete hoidlas </w:t>
            </w:r>
            <w:r>
              <w:rPr>
                <w:b/>
                <w:i/>
              </w:rPr>
              <w:t>säilitatavad</w:t>
            </w:r>
            <w:r>
              <w:t xml:space="preserve"> ja käesoleva artikli lõike 1 kohaselt märgitud </w:t>
            </w:r>
            <w:r>
              <w:rPr>
                <w:b/>
                <w:i/>
              </w:rPr>
              <w:t>andmed tehakse</w:t>
            </w:r>
            <w:r>
              <w:t xml:space="preserve"> artikli 1 lõike 1 punktis d sätestatud eesmärgil võrdlemise jaoks kättesaadavaks </w:t>
            </w:r>
            <w:r>
              <w:rPr>
                <w:b/>
                <w:i/>
              </w:rPr>
              <w:t>seniks, kuni sellised andmed kesksüsteemist ja vajaduse korral ühisest isikuandmete hoidlast vastavalt artikli 17 lõikele 4 automaatselt kustutatakse.</w:t>
            </w:r>
          </w:p>
        </w:tc>
        <w:tc>
          <w:tcPr>
            <w:tcW w:w="4876" w:type="dxa"/>
            <w:hideMark/>
          </w:tcPr>
          <w:p w:rsidR="00F528F9" w:rsidRPr="00E66FD7" w:rsidRDefault="00F528F9" w:rsidP="00167072">
            <w:pPr>
              <w:pStyle w:val="Normal6"/>
              <w:rPr>
                <w:szCs w:val="24"/>
              </w:rPr>
            </w:pPr>
            <w:r>
              <w:t>2.</w:t>
            </w:r>
            <w:r>
              <w:tab/>
              <w:t xml:space="preserve">Rahvusvahelise kaitse saajate kesksüsteemis ja vajaduse korral ühises isikuandmete hoidlas </w:t>
            </w:r>
            <w:r>
              <w:rPr>
                <w:b/>
                <w:i/>
              </w:rPr>
              <w:t>säilitatavaid</w:t>
            </w:r>
            <w:r>
              <w:t xml:space="preserve"> ja käesoleva artikli lõike 1 kohaselt märgitud </w:t>
            </w:r>
            <w:r>
              <w:rPr>
                <w:b/>
                <w:i/>
              </w:rPr>
              <w:t>andmeid ei tehta</w:t>
            </w:r>
            <w:r>
              <w:t xml:space="preserve"> artikli 1 lõike 1 punktis d sätestatud eesmärgil võrdlemise jaoks kättesaadavaks</w:t>
            </w:r>
            <w:r>
              <w:rPr>
                <w:b/>
                <w:i/>
              </w:rPr>
              <w:t>.</w:t>
            </w:r>
            <w:r>
              <w:t xml:space="preserve"> </w:t>
            </w:r>
            <w:r>
              <w:rPr>
                <w:b/>
                <w:i/>
              </w:rPr>
              <w:t>Kesksüsteem blokeerib automaatselt selliste andmete edastamise artikli 1 lõike 1 punktis d sätestatud eesmärgil võrdlemise taotluse korral, kuid jätab andmed kuni nende kustutamiseni kättesaadavaks võrdluse teostamiseks artikli 1 lõike 1 punktis a sätestatud eesmärgil.</w:t>
            </w:r>
            <w:r>
              <w:t xml:space="preserve"> </w:t>
            </w:r>
            <w:r>
              <w:rPr>
                <w:b/>
                <w:i/>
              </w:rPr>
              <w:t>Blokeeritud andmeid ei edastata ning kokkulangevuse korral annab kesksüsteem taotlevale liikmesriigile negatiivse tulemuse.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256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22 – artikkel 19 – lõige 2</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2.</w:t>
            </w:r>
            <w:r>
              <w:tab/>
              <w:t xml:space="preserve">Rahvusvahelise kaitse saajate kesksüsteemis ja </w:t>
            </w:r>
            <w:r>
              <w:rPr>
                <w:b/>
                <w:i/>
              </w:rPr>
              <w:t xml:space="preserve">vajaduse korral </w:t>
            </w:r>
            <w:r>
              <w:t xml:space="preserve">ühises isikuandmete hoidlas säilitatavad ja käesoleva artikli lõike 1 kohaselt märgitud andmed tehakse artikli 1 lõike 1 punktis d sätestatud eesmärgil võrdlemise jaoks kättesaadavaks seniks, kuni sellised andmed kesksüsteemist ja vajaduse korral ühisest isikuandmete hoidlast vastavalt artikli 17 lõikele 4 automaatselt </w:t>
            </w:r>
            <w:r>
              <w:lastRenderedPageBreak/>
              <w:t>kustutatakse.</w:t>
            </w:r>
          </w:p>
        </w:tc>
        <w:tc>
          <w:tcPr>
            <w:tcW w:w="4876" w:type="dxa"/>
            <w:hideMark/>
          </w:tcPr>
          <w:p w:rsidR="00F528F9" w:rsidRPr="00E66FD7" w:rsidRDefault="00F528F9" w:rsidP="00167072">
            <w:pPr>
              <w:pStyle w:val="Normal6"/>
              <w:rPr>
                <w:szCs w:val="24"/>
              </w:rPr>
            </w:pPr>
            <w:r>
              <w:lastRenderedPageBreak/>
              <w:t>2.</w:t>
            </w:r>
            <w:r>
              <w:tab/>
              <w:t>Rahvusvahelise kaitse saajate kesksüsteemis ja ühises isikuandmete hoidlas säilitatavad ja käesoleva artikli lõike 1 kohaselt märgitud andmed tehakse artikli 1 lõike 1 punktis d sätestatud eesmärgil võrdlemise jaoks kättesaadavaks seniks, kuni sellised andmed kesksüsteemist ja vajaduse korral ühisest isikuandmete hoidlast vastavalt artikli 17 lõikele 4 automaatselt kustutatakse.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257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22 – artikkel 19 – lõige 3</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3.</w:t>
            </w:r>
            <w:r>
              <w:tab/>
              <w:t xml:space="preserve">Päritoluliikmesriik eemaldab kolmanda riigi kodaniku või kodakondsuseta isiku andmete kohta eelnevalt kooskõlas käesoleva artikli lõikega 1 või 2 tehtud märke, kui tema staatus on </w:t>
            </w:r>
            <w:r>
              <w:rPr>
                <w:b/>
                <w:i/>
              </w:rPr>
              <w:t>määruse nr (</w:t>
            </w:r>
            <w:r>
              <w:t>EL</w:t>
            </w:r>
            <w:r>
              <w:rPr>
                <w:b/>
                <w:i/>
              </w:rPr>
              <w:t>) XXX/XXX [miinimumnõuete määrus] artikli 14</w:t>
            </w:r>
            <w:r>
              <w:t xml:space="preserve"> või </w:t>
            </w:r>
            <w:r>
              <w:rPr>
                <w:b/>
                <w:i/>
              </w:rPr>
              <w:t>artikli 20 kohaselt ära võetud</w:t>
            </w:r>
            <w:r>
              <w:t>.</w:t>
            </w:r>
          </w:p>
        </w:tc>
        <w:tc>
          <w:tcPr>
            <w:tcW w:w="4876" w:type="dxa"/>
            <w:hideMark/>
          </w:tcPr>
          <w:p w:rsidR="00F528F9" w:rsidRPr="00E66FD7" w:rsidRDefault="00F528F9" w:rsidP="00167072">
            <w:pPr>
              <w:pStyle w:val="Normal6"/>
              <w:rPr>
                <w:szCs w:val="24"/>
              </w:rPr>
            </w:pPr>
            <w:r>
              <w:t>3.</w:t>
            </w:r>
            <w:r>
              <w:tab/>
              <w:t xml:space="preserve">Päritoluliikmesriik eemaldab kolmanda riigi kodaniku või kodakondsuseta isiku andmete kohta eelnevalt kooskõlas käesoleva artikli lõikega 1 või 2 tehtud märke </w:t>
            </w:r>
            <w:r>
              <w:rPr>
                <w:b/>
                <w:i/>
              </w:rPr>
              <w:t>või blokeeringu</w:t>
            </w:r>
            <w:r>
              <w:t xml:space="preserve">, kui tema staatus on </w:t>
            </w:r>
            <w:r>
              <w:rPr>
                <w:b/>
                <w:i/>
              </w:rPr>
              <w:t>direktiivi 2011/95/</w:t>
            </w:r>
            <w:r>
              <w:t>EL</w:t>
            </w:r>
            <w:r>
              <w:rPr>
                <w:b/>
                <w:i/>
              </w:rPr>
              <w:t xml:space="preserve"> artikli 14 või 19 alusel tühistatud, lõpetatud</w:t>
            </w:r>
            <w:r>
              <w:t xml:space="preserve"> või </w:t>
            </w:r>
            <w:r>
              <w:rPr>
                <w:b/>
                <w:i/>
              </w:rPr>
              <w:t>selle uuendamisest on keeldutud</w:t>
            </w:r>
            <w:r>
              <w:t>.</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258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22 – artikkel 19 – lõige 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Päritoluliikmesriik, kes on väljastanud elamisloa ebaseaduslikult riigis viibivale kolmanda riigi kodanikule või kodakondsuseta isikule, kelle andmed olid artikli</w:t>
            </w:r>
            <w:r>
              <w:rPr>
                <w:b/>
                <w:i/>
              </w:rPr>
              <w:t> </w:t>
            </w:r>
            <w:r>
              <w:t>13 lõike</w:t>
            </w:r>
            <w:r>
              <w:rPr>
                <w:b/>
                <w:i/>
              </w:rPr>
              <w:t> </w:t>
            </w:r>
            <w:r>
              <w:t>2 ja artikli</w:t>
            </w:r>
            <w:r>
              <w:rPr>
                <w:b/>
                <w:i/>
              </w:rPr>
              <w:t> </w:t>
            </w:r>
            <w:r>
              <w:t>14 lõike</w:t>
            </w:r>
            <w:r>
              <w:rPr>
                <w:b/>
                <w:i/>
              </w:rPr>
              <w:t> </w:t>
            </w:r>
            <w:r>
              <w:t xml:space="preserve">2 kohaselt eelnevalt kesksüsteemi ja vajaduse korral ühisesse isikuandmete hoidlasse salvestatud, </w:t>
            </w:r>
            <w:r>
              <w:rPr>
                <w:b/>
                <w:i/>
              </w:rPr>
              <w:t>või kolmanda riigi kodanikule või kodakondsuseta isikule, kes on maabunud otsingu- ja päästeoperatsiooni järel ning kelle andmed olid artikli 14a</w:t>
            </w:r>
            <w:r>
              <w:t xml:space="preserve"> lõike</w:t>
            </w:r>
            <w:r>
              <w:rPr>
                <w:b/>
                <w:i/>
              </w:rPr>
              <w:t> 2 kohaselt eelnevalt kesksüsteemi</w:t>
            </w:r>
            <w:r>
              <w:t xml:space="preserve"> </w:t>
            </w:r>
            <w:r>
              <w:rPr>
                <w:b/>
                <w:i/>
              </w:rPr>
              <w:t xml:space="preserve">ja vajaduse korral </w:t>
            </w:r>
            <w:r>
              <w:rPr>
                <w:b/>
                <w:i/>
              </w:rPr>
              <w:lastRenderedPageBreak/>
              <w:t>ühisesse isikuandmete hoidlasse salvestatud teeb artikli </w:t>
            </w:r>
            <w:r>
              <w:t xml:space="preserve">1 </w:t>
            </w:r>
            <w:r>
              <w:rPr>
                <w:b/>
                <w:i/>
              </w:rPr>
              <w:t>lõike 1 punktides </w:t>
            </w:r>
            <w:r>
              <w:t>a</w:t>
            </w:r>
            <w:r>
              <w:rPr>
                <w:b/>
                <w:i/>
              </w:rPr>
              <w:t xml:space="preserve"> ja c</w:t>
            </w:r>
            <w:r>
              <w:t xml:space="preserve"> sätestatud eesmärgil asjaomaste andmete kohta märke kooskõlas nõuetega, mille eu-LISA on kesksüsteemiga toimuva elektroonilise teabevahetuse jaoks kehtestanud. Kõnealust märget säilitatakse kesksüsteemis vastavalt artikli 17 lõigetele 2, 3 ja 3a et võimaldada artikliga 15 ja artikliga 16 ettenähtud edastamist. Kesksüsteem teavitab võimalikult kiiresti ja hiljemalt 72</w:t>
            </w:r>
            <w:r>
              <w:rPr>
                <w:b/>
                <w:i/>
              </w:rPr>
              <w:t> </w:t>
            </w:r>
            <w:r>
              <w:t>tunni jooksul kõiki päritoluliikmesriike sellest, et teine päritoluliikmesriik, kelle otsing on leidnud kokkulangevuse tema poolt artikli</w:t>
            </w:r>
            <w:r>
              <w:rPr>
                <w:b/>
                <w:i/>
              </w:rPr>
              <w:t> </w:t>
            </w:r>
            <w:r>
              <w:t>10 lõikes</w:t>
            </w:r>
            <w:r>
              <w:rPr>
                <w:b/>
                <w:i/>
              </w:rPr>
              <w:t> 1,</w:t>
            </w:r>
            <w:r>
              <w:t xml:space="preserve"> </w:t>
            </w:r>
            <w:r>
              <w:rPr>
                <w:b/>
                <w:i/>
              </w:rPr>
              <w:t>artikli 13 lõikes 1, artikli 14 lõikes </w:t>
            </w:r>
            <w:r>
              <w:t>1 või artikli</w:t>
            </w:r>
            <w:r>
              <w:rPr>
                <w:b/>
                <w:i/>
              </w:rPr>
              <w:t> 14a</w:t>
            </w:r>
            <w:r>
              <w:t xml:space="preserve"> lõikes</w:t>
            </w:r>
            <w:r>
              <w:rPr>
                <w:b/>
                <w:i/>
              </w:rPr>
              <w:t> </w:t>
            </w:r>
            <w:r>
              <w:t>1 osutatud isikute kohta edastatud andmetega, on teinud andmete kohta märke. Teised päritoluliikmesriigid teevad samuti vastavate andmekogumite kohta märke.</w:t>
            </w:r>
          </w:p>
        </w:tc>
        <w:tc>
          <w:tcPr>
            <w:tcW w:w="4876" w:type="dxa"/>
            <w:hideMark/>
          </w:tcPr>
          <w:p w:rsidR="00F528F9" w:rsidRPr="00E66FD7" w:rsidRDefault="00F528F9" w:rsidP="00167072">
            <w:pPr>
              <w:pStyle w:val="Normal6"/>
              <w:rPr>
                <w:szCs w:val="24"/>
              </w:rPr>
            </w:pPr>
            <w:r>
              <w:lastRenderedPageBreak/>
              <w:t>4.</w:t>
            </w:r>
            <w:r>
              <w:tab/>
              <w:t>Päritoluliikmesriik, kes on väljastanud elamisloa ebaseaduslikult riigis viibivale kolmanda riigi kodanikule või kodakondsuseta isikule, kelle andmed olid artikli</w:t>
            </w:r>
            <w:r>
              <w:rPr>
                <w:b/>
                <w:i/>
              </w:rPr>
              <w:t xml:space="preserve"> </w:t>
            </w:r>
            <w:r>
              <w:t>13 lõike</w:t>
            </w:r>
            <w:r>
              <w:rPr>
                <w:b/>
                <w:i/>
              </w:rPr>
              <w:t xml:space="preserve"> </w:t>
            </w:r>
            <w:r>
              <w:t>2 ja artikli</w:t>
            </w:r>
            <w:r>
              <w:rPr>
                <w:b/>
                <w:i/>
              </w:rPr>
              <w:t xml:space="preserve"> </w:t>
            </w:r>
            <w:r>
              <w:t>14 lõike</w:t>
            </w:r>
            <w:r>
              <w:rPr>
                <w:b/>
                <w:i/>
              </w:rPr>
              <w:t xml:space="preserve"> </w:t>
            </w:r>
            <w:r>
              <w:t xml:space="preserve">2 kohaselt eelnevalt kesksüsteemi ja vajaduse korral ühisesse isikuandmete hoidlasse salvestatud, </w:t>
            </w:r>
            <w:r>
              <w:rPr>
                <w:b/>
                <w:i/>
              </w:rPr>
              <w:t>teeb artikli 1</w:t>
            </w:r>
            <w:r>
              <w:t xml:space="preserve"> lõike 1 </w:t>
            </w:r>
            <w:r>
              <w:rPr>
                <w:b/>
                <w:i/>
              </w:rPr>
              <w:t xml:space="preserve">punktis </w:t>
            </w:r>
            <w:r>
              <w:t xml:space="preserve">a sätestatud eesmärgil asjaomaste andmete kohta märke kooskõlas nõuetega, mille eu-LISA on kesksüsteemiga toimuva elektroonilise teabevahetuse jaoks kehtestanud. Kõnealust märget säilitatakse </w:t>
            </w:r>
            <w:r>
              <w:lastRenderedPageBreak/>
              <w:t>kesksüsteemis vastavalt artikli 17 lõigetele 2, 3 ja 3a et võimaldada artikliga 15 ja artikliga 16 ettenähtud edastamist. Kesksüsteem teavitab võimalikult kiiresti ja hiljemalt 72</w:t>
            </w:r>
            <w:r>
              <w:rPr>
                <w:b/>
                <w:i/>
              </w:rPr>
              <w:t xml:space="preserve"> </w:t>
            </w:r>
            <w:r>
              <w:t>tunni jooksul kõiki päritoluliikmesriike sellest, et teine päritoluliikmesriik, kelle otsing on leidnud kokkulangevuse tema poolt artikli</w:t>
            </w:r>
            <w:r>
              <w:rPr>
                <w:b/>
                <w:i/>
              </w:rPr>
              <w:t xml:space="preserve"> </w:t>
            </w:r>
            <w:r>
              <w:t>10 lõikes 1 või artikli</w:t>
            </w:r>
            <w:r>
              <w:rPr>
                <w:b/>
                <w:i/>
              </w:rPr>
              <w:t xml:space="preserve"> 13</w:t>
            </w:r>
            <w:r>
              <w:t xml:space="preserve"> lõikes</w:t>
            </w:r>
            <w:r>
              <w:rPr>
                <w:b/>
                <w:i/>
              </w:rPr>
              <w:t xml:space="preserve"> </w:t>
            </w:r>
            <w:r>
              <w:t>1 osutatud isikute kohta edastatud andmetega, on teinud andmete kohta märke. Teised päritoluliikmesriigid teevad samuti vastavate andmekogumite kohta märke.</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259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22 – artikkel 19 – lõige 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 xml:space="preserve">Päritoluliikmesriik, kes on väljastanud elamisloa </w:t>
            </w:r>
            <w:r>
              <w:rPr>
                <w:b/>
                <w:i/>
              </w:rPr>
              <w:t xml:space="preserve">ebaseaduslikult riigis viibivale </w:t>
            </w:r>
            <w:r>
              <w:t xml:space="preserve">kolmanda riigi kodanikule või kodakondsuseta isikule, kelle andmed olid artikli 13 lõike 2 </w:t>
            </w:r>
            <w:r>
              <w:rPr>
                <w:b/>
                <w:i/>
              </w:rPr>
              <w:t xml:space="preserve">ja artikli 14 lõike 2 </w:t>
            </w:r>
            <w:r>
              <w:t xml:space="preserve">kohaselt eelnevalt kesksüsteemi ja vajaduse korral ühisesse isikuandmete hoidlasse salvestatud, või kolmanda riigi kodanikule või kodakondsuseta isikule, kes on maabunud otsingu- ja päästeoperatsiooni järel ning kelle andmed olid artikli 14a lõike 2 kohaselt eelnevalt kesksüsteemi ja vajaduse korral ühisesse </w:t>
            </w:r>
            <w:r>
              <w:lastRenderedPageBreak/>
              <w:t xml:space="preserve">isikuandmete hoidlasse salvestatud teeb artikli 1 lõike 1 </w:t>
            </w:r>
            <w:r>
              <w:rPr>
                <w:b/>
                <w:i/>
              </w:rPr>
              <w:t>punktides</w:t>
            </w:r>
            <w:r>
              <w:t> a</w:t>
            </w:r>
            <w:r>
              <w:rPr>
                <w:b/>
                <w:i/>
              </w:rPr>
              <w:t xml:space="preserve"> ja c</w:t>
            </w:r>
            <w:r>
              <w:t xml:space="preserve"> sätestatud eesmärgil asjaomaste andmete kohta märke kooskõlas nõuetega, mille eu-LISA on kesksüsteemiga toimuva elektroonilise teabevahetuse jaoks kehtestanud. Kõnealust märget säilitatakse kesksüsteemis vastavalt artikli 17</w:t>
            </w:r>
            <w:r>
              <w:rPr>
                <w:b/>
                <w:i/>
              </w:rPr>
              <w:t xml:space="preserve"> </w:t>
            </w:r>
            <w:r>
              <w:t>lõigetele 2</w:t>
            </w:r>
            <w:r>
              <w:rPr>
                <w:b/>
                <w:i/>
              </w:rPr>
              <w:t>, 3</w:t>
            </w:r>
            <w:r>
              <w:t xml:space="preserve"> ja 3a et võimaldada artikliga</w:t>
            </w:r>
            <w:r>
              <w:rPr>
                <w:b/>
                <w:i/>
              </w:rPr>
              <w:t xml:space="preserve"> </w:t>
            </w:r>
            <w:r>
              <w:t>15 ja artikliga</w:t>
            </w:r>
            <w:r>
              <w:rPr>
                <w:b/>
                <w:i/>
              </w:rPr>
              <w:t xml:space="preserve"> </w:t>
            </w:r>
            <w:r>
              <w:t>16 ettenähtud edastamist. Kesksüsteem teavitab võimalikult kiiresti ja hiljemalt 72 tunni jooksul kõiki päritoluliikmesriike sellest, et teine päritoluliikmesriik, kelle otsing on leidnud kokkulangevuse tema poolt artikli</w:t>
            </w:r>
            <w:r>
              <w:rPr>
                <w:b/>
                <w:i/>
              </w:rPr>
              <w:t xml:space="preserve"> </w:t>
            </w:r>
            <w:r>
              <w:t>10 lõikes</w:t>
            </w:r>
            <w:r>
              <w:rPr>
                <w:b/>
                <w:i/>
              </w:rPr>
              <w:t xml:space="preserve"> </w:t>
            </w:r>
            <w:r>
              <w:t>1, artikli</w:t>
            </w:r>
            <w:r>
              <w:rPr>
                <w:b/>
                <w:i/>
              </w:rPr>
              <w:t xml:space="preserve"> </w:t>
            </w:r>
            <w:r>
              <w:t>13 lõikes</w:t>
            </w:r>
            <w:r>
              <w:rPr>
                <w:b/>
                <w:i/>
              </w:rPr>
              <w:t xml:space="preserve"> 1, artikli 14 lõikes </w:t>
            </w:r>
            <w:r>
              <w:t>1 või artikli</w:t>
            </w:r>
            <w:r>
              <w:rPr>
                <w:b/>
                <w:i/>
              </w:rPr>
              <w:t xml:space="preserve"> </w:t>
            </w:r>
            <w:r>
              <w:t>14a lõikes</w:t>
            </w:r>
            <w:r>
              <w:rPr>
                <w:b/>
                <w:i/>
              </w:rPr>
              <w:t xml:space="preserve"> </w:t>
            </w:r>
            <w:r>
              <w:t>1 osutatud isikute kohta edastatud andmetega, on teinud andmete kohta märke.</w:t>
            </w:r>
            <w:r>
              <w:rPr>
                <w:b/>
                <w:i/>
              </w:rPr>
              <w:t xml:space="preserve"> </w:t>
            </w:r>
            <w:r>
              <w:t>Teised päritoluliikmesriigid teevad samuti vastavate andmekogumite kohta märke.</w:t>
            </w:r>
          </w:p>
        </w:tc>
        <w:tc>
          <w:tcPr>
            <w:tcW w:w="4876" w:type="dxa"/>
            <w:hideMark/>
          </w:tcPr>
          <w:p w:rsidR="00F528F9" w:rsidRPr="00E66FD7" w:rsidRDefault="00F528F9" w:rsidP="00167072">
            <w:pPr>
              <w:pStyle w:val="Normal6"/>
              <w:rPr>
                <w:szCs w:val="24"/>
              </w:rPr>
            </w:pPr>
            <w:r>
              <w:lastRenderedPageBreak/>
              <w:t>4.</w:t>
            </w:r>
            <w:r>
              <w:tab/>
              <w:t xml:space="preserve">Päritoluliikmesriik, kes on väljastanud elamisloa kolmanda riigi kodanikule või kodakondsuseta isikule, kelle andmed olid artikli 13 lõike 2 kohaselt eelnevalt kesksüsteemi ja vajaduse korral ühisesse isikuandmete hoidlasse salvestatud, või kolmanda riigi kodanikule või kodakondsuseta isikule, kes on maabunud otsingu- ja päästeoperatsiooni järel ning kelle andmed olid artikli 14a lõike 2 kohaselt eelnevalt kesksüsteemi ja vajaduse korral ühisesse isikuandmete hoidlasse salvestatud teeb </w:t>
            </w:r>
            <w:r>
              <w:lastRenderedPageBreak/>
              <w:t xml:space="preserve">artikli 1 lõike 1 </w:t>
            </w:r>
            <w:r>
              <w:rPr>
                <w:b/>
                <w:i/>
              </w:rPr>
              <w:t>punktis</w:t>
            </w:r>
            <w:r>
              <w:t> a sätestatud eesmärgil asjaomaste andmete kohta märke kooskõlas nõuetega, mille eu-LISA on kesksüsteemiga toimuva elektroonilise teabevahetuse jaoks kehtestanud. Kõnealust märget säilitatakse kesksüsteemis vastavalt artikli 17</w:t>
            </w:r>
            <w:r>
              <w:rPr>
                <w:b/>
                <w:i/>
              </w:rPr>
              <w:t> </w:t>
            </w:r>
            <w:r>
              <w:t>lõigetele 2 ja 3a et võimaldada artikliga</w:t>
            </w:r>
            <w:r>
              <w:rPr>
                <w:b/>
                <w:i/>
              </w:rPr>
              <w:t> </w:t>
            </w:r>
            <w:r>
              <w:t>15 ja artikliga</w:t>
            </w:r>
            <w:r>
              <w:rPr>
                <w:b/>
                <w:i/>
              </w:rPr>
              <w:t> </w:t>
            </w:r>
            <w:r>
              <w:t>16 ettenähtud edastamist. Kesksüsteem teavitab võimalikult kiiresti ja hiljemalt 72 tunni jooksul kõiki päritoluliikmesriike sellest, et teine päritoluliikmesriik, kelle otsing on leidnud kokkulangevuse tema poolt artikli</w:t>
            </w:r>
            <w:r>
              <w:rPr>
                <w:b/>
                <w:i/>
              </w:rPr>
              <w:t> </w:t>
            </w:r>
            <w:r>
              <w:t>10 lõikes</w:t>
            </w:r>
            <w:r>
              <w:rPr>
                <w:b/>
                <w:i/>
              </w:rPr>
              <w:t> </w:t>
            </w:r>
            <w:r>
              <w:t>1, artikli</w:t>
            </w:r>
            <w:r>
              <w:rPr>
                <w:b/>
                <w:i/>
              </w:rPr>
              <w:t> </w:t>
            </w:r>
            <w:r>
              <w:t>13 lõikes</w:t>
            </w:r>
            <w:r>
              <w:rPr>
                <w:b/>
                <w:i/>
              </w:rPr>
              <w:t> </w:t>
            </w:r>
            <w:r>
              <w:t>1 või artikli</w:t>
            </w:r>
            <w:r>
              <w:rPr>
                <w:b/>
                <w:i/>
              </w:rPr>
              <w:t> </w:t>
            </w:r>
            <w:r>
              <w:t>14a lõikes</w:t>
            </w:r>
            <w:r>
              <w:rPr>
                <w:b/>
                <w:i/>
              </w:rPr>
              <w:t> </w:t>
            </w:r>
            <w:r>
              <w:t>1 osutatud isikute kohta edastatud andmetega, on teinud andmete kohta märke. Teised päritoluliikmesriigid teevad samuti vastavate andmekogumite kohta märke.</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22 – artikkel 19 – lõige 4</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4.</w:t>
            </w:r>
            <w:r>
              <w:tab/>
              <w:t xml:space="preserve">Päritoluliikmesriik, kes on väljastanud elamisloa </w:t>
            </w:r>
            <w:r>
              <w:rPr>
                <w:b/>
                <w:i/>
              </w:rPr>
              <w:t>ebaseaduslikult</w:t>
            </w:r>
            <w:r>
              <w:t xml:space="preserve"> riigis viibivale kolmanda riigi kodanikule või kodakondsuseta isikule, kelle andmed olid artikli 13 lõike 2 ja artikli 14 lõike 2 kohaselt eelnevalt kesksüsteemi ja vajaduse korral ühisesse isikuandmete hoidlasse salvestatud, või kolmanda riigi kodanikule või kodakondsuseta isikule, kes on maabunud otsingu- ja päästeoperatsiooni järel ning kelle andmed olid artikli 14a lõike 2 kohaselt eelnevalt kesksüsteemi ja vajaduse korral ühisesse isikuandmete hoidlasse salvestatud teeb </w:t>
            </w:r>
            <w:r>
              <w:lastRenderedPageBreak/>
              <w:t>artikli 1 lõike 1 punktides a ja c sätestatud eesmärgil asjaomaste andmete kohta märke kooskõlas nõuetega, mille eu-LISA on kesksüsteemiga toimuva elektroonilise teabevahetuse jaoks kehtestanud. Kõnealust märget säilitatakse kesksüsteemis vastavalt artikli 17 lõigetele 2, 3 ja 3a et võimaldada artikliga 15 ja artikliga 16 ettenähtud edastamist. Kesksüsteem teavitab võimalikult kiiresti ja hiljemalt 72 tunni jooksul kõiki päritoluliikmesriike sellest, et teine päritoluliikmesriik, kelle otsing on leidnud kokkulangevuse tema poolt artikli 10 lõikes 1, artikli 13 lõikes 1, artikli 14 lõikes 1 või artikli 14a lõikes 1 osutatud isikute kohta edastatud andmetega, on teinud andmete kohta märke. Teised päritoluliikmesriigid teevad samuti vastavate andmekogumite kohta märke.</w:t>
            </w:r>
          </w:p>
        </w:tc>
        <w:tc>
          <w:tcPr>
            <w:tcW w:w="4876" w:type="dxa"/>
            <w:hideMark/>
          </w:tcPr>
          <w:p w:rsidR="00F528F9" w:rsidRPr="00E66FD7" w:rsidRDefault="00F528F9" w:rsidP="00167072">
            <w:pPr>
              <w:pStyle w:val="Normal6"/>
              <w:rPr>
                <w:szCs w:val="24"/>
              </w:rPr>
            </w:pPr>
            <w:r>
              <w:lastRenderedPageBreak/>
              <w:t>4.</w:t>
            </w:r>
            <w:r>
              <w:tab/>
              <w:t xml:space="preserve">Päritoluliikmesriik, kes on väljastanud elamisloa </w:t>
            </w:r>
            <w:r>
              <w:rPr>
                <w:b/>
                <w:i/>
              </w:rPr>
              <w:t>seadusliku aluseta</w:t>
            </w:r>
            <w:r>
              <w:t xml:space="preserve"> riigis viibivale kolmanda riigi kodanikule või kodakondsuseta isikule, kelle andmed olid artikli 13 lõike 2 ja artikli 14 lõike 2 kohaselt eelnevalt kesksüsteemi ja vajaduse korral ühisesse isikuandmete hoidlasse salvestatud, või kolmanda riigi kodanikule või kodakondsuseta isikule, kes on maabunud otsingu- ja päästeoperatsiooni järel ning kelle andmed olid artikli 14a lõike 2 kohaselt eelnevalt kesksüsteemi ja vajaduse korral ühisesse isikuandmete hoidlasse salvestatud teeb </w:t>
            </w:r>
            <w:r>
              <w:lastRenderedPageBreak/>
              <w:t>artikli 1 lõike 1 punktides a ja c sätestatud eesmärgil asjaomaste andmete kohta märke kooskõlas nõuetega, mille eu-LISA on kesksüsteemiga toimuva elektroonilise teabevahetuse jaoks kehtestanud. Kõnealust märget säilitatakse kesksüsteemis vastavalt artikli 17 lõigetele 2, 3 ja 3a et võimaldada artikliga 15 ja artikliga 16 ettenähtud edastamist. Kesksüsteem teavitab võimalikult kiiresti ja hiljemalt 72 tunni jooksul kõiki päritoluliikmesriike sellest, et teine päritoluliikmesriik, kelle otsing on leidnud kokkulangevuse tema poolt artikli 10 lõikes 1, artikli 13 lõikes 1, artikli 14 lõikes 1 või artikli 14a lõikes 1 osutatud isikute kohta edastatud andmetega, on teinud andmete kohta märke. Teised päritoluliikmesriigid teevad samuti vastavate andmekogumite kohta märke.</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22 – artikkel 19 – lõige 5</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w:t>
            </w:r>
            <w:r>
              <w:tab/>
              <w:t xml:space="preserve">Ebaseaduslikult riigis viibivate kolmandate riikide kodanike või kodakondsuseta isikute kohta kesksüsteemis ja ühises isikuandmete hoidlas </w:t>
            </w:r>
            <w:r>
              <w:rPr>
                <w:b/>
                <w:i/>
              </w:rPr>
              <w:t>säilitatavad</w:t>
            </w:r>
            <w:r>
              <w:t xml:space="preserve"> ja käesoleva artikli lõike 4 kohaselt märgitud </w:t>
            </w:r>
            <w:r>
              <w:rPr>
                <w:b/>
                <w:i/>
              </w:rPr>
              <w:t>andmed tehakse</w:t>
            </w:r>
            <w:r>
              <w:t xml:space="preserve"> artikli 1 lõike 1 punktis d sätestatud eesmärgil võrdlemise jaoks kättesaadavaks</w:t>
            </w:r>
            <w:r>
              <w:rPr>
                <w:b/>
                <w:i/>
              </w:rPr>
              <w:t>, kuni need andmed kesksüsteemist ja ühisest isikuandmete hoidlast artikli 17 lõike 4 kohaselt kustutatakse.</w:t>
            </w:r>
          </w:p>
        </w:tc>
        <w:tc>
          <w:tcPr>
            <w:tcW w:w="4876" w:type="dxa"/>
            <w:hideMark/>
          </w:tcPr>
          <w:p w:rsidR="00F528F9" w:rsidRPr="00E66FD7" w:rsidRDefault="00F528F9" w:rsidP="00167072">
            <w:pPr>
              <w:pStyle w:val="Normal6"/>
              <w:rPr>
                <w:szCs w:val="24"/>
              </w:rPr>
            </w:pPr>
            <w:r>
              <w:t>5.</w:t>
            </w:r>
            <w:r>
              <w:tab/>
              <w:t xml:space="preserve">Ebaseaduslikult riigis viibivate kolmandate riikide kodanike või kodakondsuseta isikute kohta kesksüsteemis ja ühises isikuandmete hoidlas </w:t>
            </w:r>
            <w:r>
              <w:rPr>
                <w:b/>
                <w:i/>
              </w:rPr>
              <w:t>säilitatavaid</w:t>
            </w:r>
            <w:r>
              <w:t xml:space="preserve"> ja käesoleva artikli lõike 4 kohaselt märgitud </w:t>
            </w:r>
            <w:r>
              <w:rPr>
                <w:b/>
                <w:i/>
              </w:rPr>
              <w:t>andmeid ei tehta</w:t>
            </w:r>
            <w:r>
              <w:t xml:space="preserve"> artikli 1 lõike 1 punktis d sätestatud eesmärgil võrdlemise jaoks kättesaadavaks</w:t>
            </w:r>
            <w:r>
              <w:rPr>
                <w:b/>
                <w:i/>
              </w:rPr>
              <w:t xml:space="preserve">. Kesksüsteem blokeerib automaatselt selliste andmete edastamise artikli 1 lõike 1 punktis d sätestatud eesmärgil võrdlemise taotluse korral, kuid jätab andmed kuni nende kustutamiseni kättesaadavaks võrdluse teostamiseks artikli 1 lõike 1 punktis a sätestatud </w:t>
            </w:r>
            <w:r>
              <w:rPr>
                <w:b/>
                <w:i/>
              </w:rPr>
              <w:lastRenderedPageBreak/>
              <w:t>eesmärgil.</w:t>
            </w:r>
            <w:r>
              <w:t xml:space="preserve"> </w:t>
            </w:r>
            <w:r>
              <w:rPr>
                <w:b/>
                <w:i/>
              </w:rPr>
              <w:t>Blokeeritud andmeid ei edastata ning kokkulangevuse korral annab kesksüsteem taotlevale liikmesriigile negatiivse tulemuse.</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 xml:space="preserve">Regulatiivosa – punkt 22 – artikkel 19 – lõige </w:t>
      </w:r>
      <w:r w:rsidR="00575ED3">
        <w:t>5</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w:t>
            </w:r>
            <w:r>
              <w:tab/>
            </w:r>
            <w:r>
              <w:rPr>
                <w:b/>
                <w:i/>
              </w:rPr>
              <w:t>Ebaseaduslikult riigis viibivate kolmandate</w:t>
            </w:r>
            <w:r>
              <w:t xml:space="preserve"> riikide kodanike või kodakondsuseta isikute kohta kesksüsteemis ja ühises isikuandmete hoidlas säilitatavad ja käesoleva artikli lõike 4 kohaselt märgitud andmed tehakse artikli 1 lõike 1 punktis d sätestatud eesmärgil võrdlemise jaoks kättesaadavaks, kuni need andmed kesksüsteemist ja ühisest isikuandmete hoidlast artikli 17 lõike 4 kohaselt kustutatakse.</w:t>
            </w:r>
          </w:p>
        </w:tc>
        <w:tc>
          <w:tcPr>
            <w:tcW w:w="4876" w:type="dxa"/>
            <w:hideMark/>
          </w:tcPr>
          <w:p w:rsidR="00F528F9" w:rsidRPr="00E66FD7" w:rsidRDefault="00F528F9" w:rsidP="00167072">
            <w:pPr>
              <w:pStyle w:val="Normal6"/>
              <w:rPr>
                <w:szCs w:val="24"/>
              </w:rPr>
            </w:pPr>
            <w:r>
              <w:t>5.</w:t>
            </w:r>
            <w:r>
              <w:tab/>
            </w:r>
            <w:r>
              <w:rPr>
                <w:b/>
                <w:i/>
              </w:rPr>
              <w:t>Kolmandate</w:t>
            </w:r>
            <w:r>
              <w:t xml:space="preserve"> riikide kodanike või kodakondsuseta isikute kohta kesksüsteemis ja ühises isikuandmete hoidlas säilitatavad ja käesoleva artikli lõike 4 kohaselt märgitud andmed tehakse artikli 1 lõike 1 punktis d sätestatud eesmärgil võrdlemise jaoks kättesaadavaks, kuni need andmed kesksüsteemist ja ühisest isikuandmete hoidlast artikli 17 lõike 4 kohaselt kustutatakse.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22 – artikkel 19 – lõige 5</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5.</w:t>
            </w:r>
            <w:r>
              <w:tab/>
            </w:r>
            <w:r>
              <w:rPr>
                <w:b/>
                <w:i/>
              </w:rPr>
              <w:t>Ebaseaduslikult</w:t>
            </w:r>
            <w:r>
              <w:t xml:space="preserve"> riigis viibivate kolmandate riikide kodanike või kodakondsuseta isikute kohta kesksüsteemis ja ühises isikuandmete hoidlas säilitatavad ja käesoleva artikli lõike 4 kohaselt märgitud andmed tehakse artikli 1 lõike 1 punktis d sätestatud eesmärgil võrdlemise jaoks kättesaadavaks, </w:t>
            </w:r>
            <w:r>
              <w:lastRenderedPageBreak/>
              <w:t>kuni need andmed kesksüsteemist ja ühisest isikuandmete hoidlast artikli 17 lõike 4 kohaselt kustutatakse.</w:t>
            </w:r>
          </w:p>
        </w:tc>
        <w:tc>
          <w:tcPr>
            <w:tcW w:w="4876" w:type="dxa"/>
            <w:hideMark/>
          </w:tcPr>
          <w:p w:rsidR="00F528F9" w:rsidRPr="00E66FD7" w:rsidRDefault="00F528F9" w:rsidP="00167072">
            <w:pPr>
              <w:pStyle w:val="Normal6"/>
              <w:rPr>
                <w:szCs w:val="24"/>
              </w:rPr>
            </w:pPr>
            <w:r>
              <w:lastRenderedPageBreak/>
              <w:t>5.</w:t>
            </w:r>
            <w:r>
              <w:tab/>
            </w:r>
            <w:r>
              <w:rPr>
                <w:b/>
                <w:i/>
              </w:rPr>
              <w:t>Seadusliku aluseta</w:t>
            </w:r>
            <w:r>
              <w:t xml:space="preserve"> riigis viibivate kolmandate riikide kodanike või kodakondsuseta isikute kohta kesksüsteemis ja ühises isikuandmete hoidlas säilitatavad ja käesoleva artikli lõike 4 kohaselt märgitud andmed tehakse artikli 1 lõike 1 punktis d sätestatud eesmärgil võrdlemise jaoks kättesaadavaks, </w:t>
            </w:r>
            <w:r>
              <w:lastRenderedPageBreak/>
              <w:t>kuni need andmed kesksüsteemist ja ühisest isikuandmete hoidlast artikli 17 lõike 4 kohaselt kustutatakse.</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23 – artikkel 21 – lõige 1a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23)</w:t>
            </w:r>
            <w:r>
              <w:rPr>
                <w:b/>
                <w:i/>
              </w:rPr>
              <w:tab/>
              <w:t>artiklisse 21 lisatakse järgmine lõige:</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1a.</w:t>
            </w:r>
            <w:r>
              <w:rPr>
                <w:b/>
                <w:i/>
              </w:rPr>
              <w:tab/>
              <w:t>Kui määratud asutused on teinud päringu ühisest isikuandmete hoidlast kooskõlas määruse (EL) 2019/818 artikli 22 lõikega 1, võivad nad saada päringute tegemiseks juurdepääsu Eurodac-süsteemile, kui käesolevas artiklis sätestatud tingimused on täidetud ja vastavalt määruse (EL) 2019/818 artikli 22 lõikele 2 saadud vastusest on näha, et andmeid säilitatakse Eurodac-süsteemis.“;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24 – artikkel 22 – lõige 1a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hidden/>
        </w:trPr>
        <w:tc>
          <w:tcPr>
            <w:tcW w:w="9752" w:type="dxa"/>
            <w:gridSpan w:val="2"/>
          </w:tcPr>
          <w:p w:rsidR="00F528F9" w:rsidRPr="00E66FD7" w:rsidRDefault="00F528F9" w:rsidP="00167072">
            <w:pPr>
              <w:keepNext/>
            </w:pPr>
            <w:r w:rsidRPr="00640177">
              <w:rPr>
                <w:rStyle w:val="HideTWBExt"/>
              </w:rPr>
              <w:t>&lt;</w:t>
            </w: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rPr>
                <w:b/>
                <w:i/>
              </w:rPr>
              <w:t>24)</w:t>
            </w:r>
            <w:r>
              <w:rPr>
                <w:b/>
                <w:i/>
              </w:rPr>
              <w:tab/>
              <w:t>artiklisse 22 lisatakse lõige 1a:</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pPr>
            <w:r>
              <w:rPr>
                <w:b/>
                <w:i/>
              </w:rPr>
              <w:t>„</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lastRenderedPageBreak/>
              <w:t>1a.</w:t>
            </w:r>
            <w:r>
              <w:rPr>
                <w:b/>
                <w:i/>
              </w:rPr>
              <w:tab/>
              <w:t>Kui Europol on teinud päringu ühisest isikuandmete hoidlast kooskõlas määruse (EL) 2019/818 artikli 22 lõikega 1, võib ta saada päringute tegemiseks juurdepääsu Eurodac-süsteemile, kui käesolevas artiklis sätestatud tingimused on täidetud ja vastavalt määruse (EL) 2019/818 artikli 22 lõikele 2 saadud vastusest on näha, et andmeid säilitatakse Eurodac-süsteemis.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25 – artikkel 28 – lõige 3a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„3a.</w:t>
            </w:r>
            <w:r>
              <w:tab/>
              <w:t xml:space="preserve">Juurdepääs ühises isikuandmete hoidlas säilitatavate Eurodac-süsteemi andmete kohta päringute tegemiseks antakse liikmesriikide </w:t>
            </w:r>
            <w:r>
              <w:rPr>
                <w:b/>
                <w:i/>
              </w:rPr>
              <w:t>ametiasutuste</w:t>
            </w:r>
            <w:r>
              <w:t xml:space="preserve"> ja liidu asutuste nõuetekohaselt volitatud töötajatele, kes on pädevad täitma määruse (EL) 2019/818 artiklites 20 ja 21 sätestatud eesmärke. Juurdepääs piirdub ulatusega, mis on vajalik kõnealuste liikmesriigi ametiasutuste ja liidu asutuste ülesannete täitmiseks kooskõlas nende eesmärkidega ja mis on proportsionaalne taotletavate eesmärkidega.“;</w:t>
            </w:r>
          </w:p>
        </w:tc>
        <w:tc>
          <w:tcPr>
            <w:tcW w:w="4876" w:type="dxa"/>
            <w:hideMark/>
          </w:tcPr>
          <w:p w:rsidR="00F528F9" w:rsidRPr="00E66FD7" w:rsidRDefault="00F528F9" w:rsidP="00167072">
            <w:pPr>
              <w:pStyle w:val="Normal6"/>
              <w:rPr>
                <w:szCs w:val="24"/>
              </w:rPr>
            </w:pPr>
            <w:r>
              <w:t>„3a.</w:t>
            </w:r>
            <w:r>
              <w:tab/>
              <w:t xml:space="preserve">Juurdepääs ühises isikuandmete hoidlas säilitatavate Eurodac-süsteemi andmete kohta päringute tegemiseks antakse liikmesriikide </w:t>
            </w:r>
            <w:r>
              <w:rPr>
                <w:b/>
                <w:i/>
              </w:rPr>
              <w:t>pädevate asutuste</w:t>
            </w:r>
            <w:r>
              <w:t xml:space="preserve"> ja liidu asutuste nõuetekohaselt volitatud töötajatele, kes on pädevad täitma määruse (EL) 2019/818 artiklites 20 ja 21 sätestatud eesmärke. Juurdepääs piirdub ulatusega, mis on vajalik kõnealuste liikmesriigi ametiasutuste ja liidu asutuste ülesannete täitmiseks kooskõlas nende eesmärkidega ja mis on proportsionaalne taotletavate eesmärkidega.“;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26 a (uus) – artikkel 30 – lõige 1 – punktid ca ja cb (uus)</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26a)</w:t>
            </w:r>
            <w:r>
              <w:rPr>
                <w:b/>
                <w:i/>
              </w:rPr>
              <w:tab/>
              <w:t>artikli 30 lõikesse 1 lisatakse punktid ca ja cb:</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ca) võimalus registreerida oma andmekogumid Eurodac-süsteemis lingituna jadasse kooskõlas artikli 4 lõikega 6;</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cb) julgeolekumärke salvestamine süsteemi, mis näitab, et isik võib kujutada endast ohtu sisejulgeolekule vastavalt artikli 12 punktile v, artikli 13 lõike 2 punktile r, artikli 14 lõike 2 punktile s ja artikli 14a lõike 2 punktile r, sealhulgas pädev asutus, kes tegi julgeolekukontrolli, ja hindamise teinud pädev asutus, kui see on erinev; julgeolekumärke sisestamise põhjendus ja viide infosüsteemile, mis on andnud kokkulangevuse, et tagada isiku õigus andmetega tutvuda, lasta neid parandada, täiendada ja kustutada ning piirata isikuandmete töötlemist ja tagada õigus tõhusale õiguskaitsevahendile;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Jan-Christoph Oetjen, Sophia in 't Veld, Hilde Vautmans, Yana Toom</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rsidR="00167072">
        <w:t>Ette</w:t>
      </w:r>
      <w:r>
        <w:t>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t>Regulatiivosa – punkt 26 a (uus) – artikkel 34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26a)</w:t>
            </w:r>
            <w:r>
              <w:rPr>
                <w:b/>
                <w:i/>
              </w:rPr>
              <w:tab/>
              <w:t xml:space="preserve"> artikli 34 lõiget 1 muudetakse järgmiselt:</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 xml:space="preserve">1. Riiklikud järelevalveasutused ja Euroopa andmekaitseinspektor, tegutsedes mõlemad oma pädevuse piirides, teevad üksteisega oma kohustuste raames aktiivselt koostööd ja tagavad Eurodac-süsteemi koordineeritud järelevalve; kohaldada tuleks ühtset </w:t>
            </w:r>
            <w:r>
              <w:rPr>
                <w:b/>
                <w:i/>
              </w:rPr>
              <w:lastRenderedPageBreak/>
              <w:t>koordineeritud järelevalve mudelit, nagu on ette nähtud ELi andmekaitsemääruse artiklis 62, milles viidatakse järelevalveasutuste ühisoperatsioonidele</w:t>
            </w:r>
            <w:r w:rsidRPr="000078AC">
              <w:rPr>
                <w:b/>
                <w:i/>
                <w:vertAlign w:val="superscript"/>
              </w:rPr>
              <w:t>1a</w:t>
            </w:r>
            <w:r>
              <w:rPr>
                <w:b/>
                <w:i/>
              </w:rPr>
              <w:t>.</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Pr>
                <w:b/>
                <w:i/>
              </w:rPr>
              <w:t>__________________</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sidRPr="000078AC">
              <w:rPr>
                <w:b/>
                <w:i/>
                <w:vertAlign w:val="superscript"/>
              </w:rPr>
              <w:t>1a</w:t>
            </w:r>
            <w:r>
              <w:rPr>
                <w:b/>
                <w:i/>
              </w:rPr>
              <w:t xml:space="preserve"> Euroopa Parlamendi ja nõukogu 23. oktoobri 2018. aasta määruse (EL) 2018/1725 (mis käsitleb füüsiliste isikute kaitset isikuandmete töötlemisel liidu institutsioonides, organites ja asutustes ning isikuandmete vaba liikumist, ning millega tunnistatakse kehtetuks määrus (EÜ) nr 45/2001 ja otsus nr 1247/2002/EÜ) artikkel 62.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Kooskõlas põhiõiguste harta artikli 8 lõikega 3 on andmete töötlemise toimingute sõltumatu järelevalve Eurodacis nii kesk- kui ka riiklikul tasandil üks peamisi andmesubjektide põhiõiguste tõhusa kaitse tagatisi. Eurodaci koordineeritud järelevalve kooskõlla viimine teiste suuremahuliste IT-süsteemide mudeliga on eriti oluline, pidades silmas justiits- ja siseküsimuste valdkonna eri süsteemide koostalitlusvõimet.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269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40a – lõige 1 – artikkel 11 – lõige 6 a – punkt 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hidden/>
        </w:trPr>
        <w:tc>
          <w:tcPr>
            <w:tcW w:w="9752" w:type="dxa"/>
            <w:gridSpan w:val="2"/>
          </w:tcPr>
          <w:p w:rsidR="00F528F9" w:rsidRPr="00E66FD7" w:rsidRDefault="00F528F9" w:rsidP="00167072">
            <w:pPr>
              <w:keepNext/>
            </w:pPr>
            <w:r w:rsidRPr="00640177">
              <w:rPr>
                <w:rStyle w:val="HideTWBExt"/>
              </w:rPr>
              <w:t>&lt;</w:t>
            </w: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a)</w:t>
            </w:r>
            <w:r>
              <w:tab/>
              <w:t>perekonnanimi, sünnijärgne perekonnanimi, eesnimi või -nimed, sünniaeg ja -koht, sugu, praegune kodakondsus;</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lastRenderedPageBreak/>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40a – lõige 1 – artikkel 11 – lõige 6 a – punkt 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a)</w:t>
            </w:r>
            <w:r>
              <w:tab/>
              <w:t>perekonnanimi, sünnijärgne perekonnanimi, eesnimi või -nimed, sünniaeg ja -koht, sugu, praegune kodakondsus;</w:t>
            </w:r>
          </w:p>
        </w:tc>
        <w:tc>
          <w:tcPr>
            <w:tcW w:w="4876" w:type="dxa"/>
            <w:hideMark/>
          </w:tcPr>
          <w:p w:rsidR="00F528F9" w:rsidRPr="00E66FD7" w:rsidRDefault="00F528F9" w:rsidP="00167072">
            <w:pPr>
              <w:pStyle w:val="Normal6"/>
              <w:rPr>
                <w:szCs w:val="24"/>
              </w:rPr>
            </w:pPr>
            <w:r>
              <w:rPr>
                <w:i/>
              </w:rPr>
              <w:t>(Ei puuduta eestikeelset versiooni.)</w:t>
            </w:r>
            <w:r>
              <w:tab/>
              <w:t xml:space="preserve"> </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40a – lõige 2 – artikkel 25a – punkt e</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„e)</w:t>
            </w:r>
            <w:r>
              <w:tab/>
              <w:t>määruse</w:t>
            </w:r>
            <w:r w:rsidR="00640177">
              <w:t xml:space="preserve"> (EL) XXX/XXX [Eurodaci määrus]</w:t>
            </w:r>
            <w:r>
              <w:t>) artiklid 12, 13</w:t>
            </w:r>
            <w:r>
              <w:rPr>
                <w:b/>
                <w:i/>
              </w:rPr>
              <w:t>, 14</w:t>
            </w:r>
            <w:r>
              <w:t xml:space="preserve"> ja 14a.“;</w:t>
            </w:r>
          </w:p>
        </w:tc>
        <w:tc>
          <w:tcPr>
            <w:tcW w:w="4876" w:type="dxa"/>
            <w:hideMark/>
          </w:tcPr>
          <w:p w:rsidR="00F528F9" w:rsidRPr="00E66FD7" w:rsidRDefault="00F528F9" w:rsidP="00167072">
            <w:pPr>
              <w:pStyle w:val="Normal6"/>
              <w:rPr>
                <w:szCs w:val="24"/>
              </w:rPr>
            </w:pPr>
            <w:r>
              <w:t>„e)</w:t>
            </w:r>
            <w:r>
              <w:tab/>
              <w:t>määruse</w:t>
            </w:r>
            <w:r w:rsidR="00640177">
              <w:t xml:space="preserve"> (EL) XXX/XXX [Eurodaci määrus]</w:t>
            </w:r>
            <w:r>
              <w:t>) artiklid 12, 13 ja 14a.“;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272</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Yana Toom, Hilde Vautmans, Jan-Christoph Oetjen, Sophia in 't Veld</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lõige 2 – artikkel 10 – lõige 1</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„Ilma et see piiraks määruse (EL) XXX/XXX [Eurodaci määrus] </w:t>
            </w:r>
            <w:r>
              <w:rPr>
                <w:b/>
                <w:i/>
              </w:rPr>
              <w:t>artikli</w:t>
            </w:r>
            <w:r>
              <w:t xml:space="preserve"> 39, määruse (EL) 2018/1862 artiklite 12 ja 18, määruse (EL) 2019/816 artikli 29 ja määruse (EL) 2016/794 artikli 40 kohaldamist, peab eu-LISA kõikide Euroopa otsinguportaalis tehtavate andmetöötlustoimingute logisid. Need </w:t>
            </w:r>
            <w:r>
              <w:lastRenderedPageBreak/>
              <w:t>logid sisaldavad ennekõike järgmist:“;</w:t>
            </w:r>
          </w:p>
        </w:tc>
        <w:tc>
          <w:tcPr>
            <w:tcW w:w="4876" w:type="dxa"/>
            <w:hideMark/>
          </w:tcPr>
          <w:p w:rsidR="00F528F9" w:rsidRPr="00E66FD7" w:rsidRDefault="00F528F9" w:rsidP="00167072">
            <w:pPr>
              <w:pStyle w:val="Normal6"/>
              <w:rPr>
                <w:szCs w:val="24"/>
              </w:rPr>
            </w:pPr>
            <w:r>
              <w:lastRenderedPageBreak/>
              <w:t xml:space="preserve">„Ilma et see piiraks määruse (EL) XXX/XXX [Eurodaci määrus] </w:t>
            </w:r>
            <w:r>
              <w:rPr>
                <w:b/>
                <w:i/>
              </w:rPr>
              <w:t>artiklite</w:t>
            </w:r>
            <w:r>
              <w:t> </w:t>
            </w:r>
            <w:r>
              <w:rPr>
                <w:b/>
                <w:i/>
              </w:rPr>
              <w:t xml:space="preserve">38 ja </w:t>
            </w:r>
            <w:r>
              <w:t>39, määruse (EL) 2018/1862 artiklite 12 ja 18, määruse (EL) 2019/816 artikli 29 ja määruse (EL) 2016/794 artikli 40 kohaldamist, peab eu-LISA kõikide Euroopa otsinguportaalis tehtavate andmetöötlustoimingute logisid</w:t>
            </w:r>
            <w:r>
              <w:rPr>
                <w:b/>
                <w:i/>
              </w:rPr>
              <w:t xml:space="preserve"> kooskõlas </w:t>
            </w:r>
            <w:r>
              <w:rPr>
                <w:b/>
                <w:i/>
              </w:rPr>
              <w:lastRenderedPageBreak/>
              <w:t>universaalse sõnumivorminguga</w:t>
            </w:r>
            <w:r>
              <w:rPr>
                <w:b/>
                <w:i/>
                <w:vertAlign w:val="superscript"/>
              </w:rPr>
              <w:t>1a</w:t>
            </w:r>
            <w:r>
              <w:t>. Need logid sisaldavad ennekõike järgmist:“;</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t>__________________</w:t>
            </w:r>
          </w:p>
        </w:tc>
      </w:tr>
      <w:tr w:rsidR="00F528F9" w:rsidTr="00167072">
        <w:trPr>
          <w:jc w:val="center"/>
        </w:trPr>
        <w:tc>
          <w:tcPr>
            <w:tcW w:w="4876" w:type="dxa"/>
          </w:tcPr>
          <w:p w:rsidR="00F528F9" w:rsidRPr="00E66FD7" w:rsidRDefault="00F528F9" w:rsidP="00167072">
            <w:pPr>
              <w:pStyle w:val="Normal6"/>
            </w:pPr>
          </w:p>
        </w:tc>
        <w:tc>
          <w:tcPr>
            <w:tcW w:w="4876" w:type="dxa"/>
            <w:hideMark/>
          </w:tcPr>
          <w:p w:rsidR="00F528F9" w:rsidRPr="00E66FD7" w:rsidRDefault="00F528F9" w:rsidP="00167072">
            <w:pPr>
              <w:pStyle w:val="Normal6"/>
              <w:rPr>
                <w:szCs w:val="24"/>
              </w:rPr>
            </w:pPr>
            <w:r w:rsidRPr="00323D3E">
              <w:rPr>
                <w:b/>
                <w:i/>
                <w:vertAlign w:val="superscript"/>
              </w:rPr>
              <w:t>1a</w:t>
            </w:r>
            <w:r>
              <w:rPr>
                <w:b/>
                <w:i/>
              </w:rPr>
              <w:t xml:space="preserve"> Euroopa Parlamendi ja nõukogu 20. mai 2019. aasta määrus (EL) 2019/818, millega luuakse ELi infosüsteemide koostalitlusvõime raamistik politsei- ja õiguskoostöö, varjupaiga ja rände valdkonnas ning muudetakse määrusi (EL) 2018/1726, (EL) 2018/1862 ja (EL) 2019/816.</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pPr>
        <w:pStyle w:val="JustificationTitle"/>
        <w:rPr>
          <w:noProof w:val="0"/>
        </w:rPr>
      </w:pPr>
      <w:r w:rsidRPr="00640177">
        <w:rPr>
          <w:rStyle w:val="HideTWBExt"/>
          <w:i w:val="0"/>
        </w:rPr>
        <w:t>&lt;TitreJust&gt;</w:t>
      </w:r>
      <w:r>
        <w:rPr>
          <w:noProof w:val="0"/>
        </w:rPr>
        <w:t>Selgitus</w:t>
      </w:r>
      <w:r w:rsidRPr="00640177">
        <w:rPr>
          <w:rStyle w:val="HideTWBExt"/>
          <w:i w:val="0"/>
        </w:rPr>
        <w:t>&lt;/TitreJust&gt;</w:t>
      </w:r>
    </w:p>
    <w:p w:rsidR="00F528F9" w:rsidRPr="00E66FD7" w:rsidRDefault="00F528F9" w:rsidP="00F528F9">
      <w:pPr>
        <w:pStyle w:val="Normal12Italic"/>
        <w:rPr>
          <w:noProof w:val="0"/>
        </w:rPr>
      </w:pPr>
      <w:r>
        <w:rPr>
          <w:noProof w:val="0"/>
        </w:rPr>
        <w:t>Universaalset sõnumivormingut peetakse standardiks, mida tuleks uues koostalitlusvõime arhitektuuris kasutada, mistõttu peaks uus EURODAC-süsteem sellega kooskõlas olema.</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273</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lõige 4 – artikkel 18 – lõige 1 – punkt 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a)</w:t>
            </w:r>
            <w:r>
              <w:tab/>
              <w:t>määruse (EL) XXX/XXX [Eurodaci määrus] artikli 12 punktides a–f, h ja i, artikli 13 lõike 2 punktides a–f, h ja i</w:t>
            </w:r>
            <w:r>
              <w:rPr>
                <w:b/>
                <w:i/>
              </w:rPr>
              <w:t>, artikli 14 lõike 2 punktides a–f, h ja i</w:t>
            </w:r>
            <w:r>
              <w:t xml:space="preserve"> ning artikli 14a punktides a–f, h ja i osutatud teave;</w:t>
            </w:r>
          </w:p>
        </w:tc>
        <w:tc>
          <w:tcPr>
            <w:tcW w:w="4876" w:type="dxa"/>
            <w:hideMark/>
          </w:tcPr>
          <w:p w:rsidR="00F528F9" w:rsidRPr="00E66FD7" w:rsidRDefault="00F528F9" w:rsidP="00167072">
            <w:pPr>
              <w:pStyle w:val="Normal6"/>
              <w:rPr>
                <w:szCs w:val="24"/>
              </w:rPr>
            </w:pPr>
            <w:r>
              <w:t>a)</w:t>
            </w:r>
            <w:r>
              <w:tab/>
              <w:t>määruse (EL) XXX/XXX [Eurodaci määrus] artikli 12 punktides a–f, h ja i, artikli 13 lõike 2 punktides a–f, h ja i ning artikli 14a punktides a–f, h ja i osutatud teave;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274</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artikkel 27 – lõige 11 – punkt a 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„aa)</w:t>
            </w:r>
            <w:r>
              <w:tab/>
              <w:t>andmekogum edastatakse Eurodac-süsteemi kooskõlas määruse (EL) XXX/XXX [Eurodaci määrus] artiklitega 10, 13</w:t>
            </w:r>
            <w:r>
              <w:rPr>
                <w:b/>
                <w:i/>
              </w:rPr>
              <w:t>, 14</w:t>
            </w:r>
            <w:r>
              <w:t xml:space="preserve"> ja 14a;“;</w:t>
            </w:r>
          </w:p>
        </w:tc>
        <w:tc>
          <w:tcPr>
            <w:tcW w:w="4876" w:type="dxa"/>
            <w:hideMark/>
          </w:tcPr>
          <w:p w:rsidR="00F528F9" w:rsidRPr="00E66FD7" w:rsidRDefault="00F528F9" w:rsidP="00167072">
            <w:pPr>
              <w:pStyle w:val="Normal6"/>
              <w:rPr>
                <w:szCs w:val="24"/>
              </w:rPr>
            </w:pPr>
            <w:r>
              <w:t>„aa)</w:t>
            </w:r>
            <w:r>
              <w:tab/>
              <w:t>andmekogum edastatakse Eurodac-süsteemi kooskõlas määruse (EL) XXX/XXX [Eurodaci määrus] artiklitega 10, 13 ja 14a;“;</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275</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lõige 10 – artikkel 27 – lõige 3 – punkt a a</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„aa)</w:t>
            </w:r>
            <w:r>
              <w:tab/>
              <w:t>perekonnanimi (perekonnanimed) eesnimi (eesnimed); sünnijärgne nimi (nimed), varem kasutatud nimed ja varjunimed; sünniaeg, sünnikoht, kodakondsus(ed) ja sugu, nagu on osutatud määruse (EL) XXX/XXX [Eurodaci määrus] artiklites 12–14a;</w:t>
            </w:r>
          </w:p>
        </w:tc>
        <w:tc>
          <w:tcPr>
            <w:tcW w:w="4876" w:type="dxa"/>
            <w:hideMark/>
          </w:tcPr>
          <w:p w:rsidR="00F528F9" w:rsidRPr="00E66FD7" w:rsidRDefault="00F528F9" w:rsidP="00F528F9">
            <w:pPr>
              <w:pStyle w:val="Normal6"/>
              <w:rPr>
                <w:szCs w:val="24"/>
              </w:rPr>
            </w:pPr>
            <w:r>
              <w:rPr>
                <w:i/>
              </w:rPr>
              <w:t>(Ei puuduta eestikeelset versiooni.)</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276</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Isabel Santos</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lõige 10 – artikkel 24 – lõige 10 – punkt b</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aa)</w:t>
            </w:r>
            <w:r>
              <w:tab/>
              <w:t xml:space="preserve">perekonnanimi (perekonnanimed) eesnimi (eesnimed); sünnijärgne nimi (nimed), varem kasutatud nimed ja varjunimed; sünniaeg, sünnikoht, kodakondsus(ed) ja sugu, nagu on osutatud määruse (EL) XXX/XXX [Eurodaci </w:t>
            </w:r>
            <w:r>
              <w:lastRenderedPageBreak/>
              <w:t>määrus] artiklites 12–14a;</w:t>
            </w:r>
          </w:p>
        </w:tc>
        <w:tc>
          <w:tcPr>
            <w:tcW w:w="4876" w:type="dxa"/>
            <w:hideMark/>
          </w:tcPr>
          <w:p w:rsidR="00F528F9" w:rsidRPr="00E66FD7" w:rsidRDefault="00F528F9" w:rsidP="00F528F9">
            <w:pPr>
              <w:pStyle w:val="Normal6"/>
              <w:rPr>
                <w:szCs w:val="24"/>
              </w:rPr>
            </w:pPr>
            <w:r>
              <w:rPr>
                <w:i/>
              </w:rPr>
              <w:lastRenderedPageBreak/>
              <w:t>(Ei puuduta eestikeelset versiooni.)</w:t>
            </w:r>
            <w:r>
              <w:tab/>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277</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lõige 13 – artikkel 47 – lõige 3</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„Isikuid, kelle andmed salvestatakse Eurodac-süsteemi, teavitatakse käesoleva määruse raames toimuvast isikuandmete töötlemisest lõike 1 kohaselt juhul, kui vastavalt määruse (EL) XXX/XXX [Eurodaci määrus] artiklitele 10, 12, 13</w:t>
            </w:r>
            <w:r>
              <w:rPr>
                <w:b/>
                <w:i/>
              </w:rPr>
              <w:t>, 14</w:t>
            </w:r>
            <w:r>
              <w:t xml:space="preserve"> ja 14a edastatakse Eurodac-süsteemi uus andmekogum.“;</w:t>
            </w:r>
          </w:p>
        </w:tc>
        <w:tc>
          <w:tcPr>
            <w:tcW w:w="4876" w:type="dxa"/>
            <w:hideMark/>
          </w:tcPr>
          <w:p w:rsidR="00F528F9" w:rsidRPr="00E66FD7" w:rsidRDefault="00F528F9" w:rsidP="00167072">
            <w:pPr>
              <w:pStyle w:val="Normal6"/>
              <w:rPr>
                <w:szCs w:val="24"/>
              </w:rPr>
            </w:pPr>
            <w:r>
              <w:t>„Isikuid, kelle andmed salvestatakse Eurodac-süsteemi, teavitatakse käesoleva määruse raames toimuvast isikuandmete töötlemisest lõike 1 kohaselt juhul, kui vastavalt määruse (EL) XXX/XXX [Eurodaci määrus] artiklitele 10, 12, 13 ja 14a edastatakse Eurodac-süsteemi uus andmekogum.“;</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278</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lõige 28 – artikkel 50</w:t>
      </w:r>
      <w:r w:rsidRPr="00640177">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Ilma et see piiraks määruse (EÜ) nr 767/2008 artikli 31, määruse (EL) 2016/794 artiklite 25 ja 26, määruse (EL) XXX/XXX [Eurodaci määrus] </w:t>
            </w:r>
            <w:r>
              <w:rPr>
                <w:b/>
                <w:i/>
              </w:rPr>
              <w:t>artiklite</w:t>
            </w:r>
            <w:r>
              <w:t> 37</w:t>
            </w:r>
            <w:r>
              <w:rPr>
                <w:b/>
                <w:i/>
              </w:rPr>
              <w:t xml:space="preserve"> ja 38</w:t>
            </w:r>
            <w:r>
              <w:t xml:space="preserve">, määruse (EL) 2017/2226 artikli 41 ja määruse (EL) 2018/1240 artikli 65 kohaldamist ning Interpoli andmebaasidest Euroopa otsinguportaali kaudu päringute tegemist kooskõlas käesoleva määruse artikli 9 lõikega 5, järgides määruse (EL) 2018/1725 V peatüki ja määruse (EL) 2016/679 V peatüki sätteid, ei edastata koostalitluse komponentides säilitatavaid, töödeldavaid või neist </w:t>
            </w:r>
            <w:r>
              <w:lastRenderedPageBreak/>
              <w:t>saadavaid isikuandmeid ega tehta neid kättesaadavaks ühelegi kolmandale riigile, rahvusvahelisele organisatsioonile ega eraõiguslikule isikule.“;</w:t>
            </w:r>
          </w:p>
        </w:tc>
        <w:tc>
          <w:tcPr>
            <w:tcW w:w="4876" w:type="dxa"/>
            <w:hideMark/>
          </w:tcPr>
          <w:p w:rsidR="00F528F9" w:rsidRPr="00E66FD7" w:rsidRDefault="00F528F9" w:rsidP="00167072">
            <w:pPr>
              <w:pStyle w:val="Normal6"/>
              <w:rPr>
                <w:szCs w:val="24"/>
              </w:rPr>
            </w:pPr>
            <w:r>
              <w:lastRenderedPageBreak/>
              <w:t xml:space="preserve">Ilma et see piiraks määruse (EÜ) nr 767/2008 artikli 31, määruse (EL) 2016/794 artiklite 25 ja 26, määruse (EL) XXX/XXX [Eurodaci määrus] </w:t>
            </w:r>
            <w:r>
              <w:rPr>
                <w:b/>
                <w:i/>
              </w:rPr>
              <w:t>artikli</w:t>
            </w:r>
            <w:r>
              <w:t xml:space="preserve"> 37, määruse (EL) 2017/2226 artikli 41 ja määruse (EL) 2018/1240 artikli 65 kohaldamist ning Interpoli andmebaasidest Euroopa otsinguportaali kaudu päringute tegemist kooskõlas käesoleva määruse artikli 9 lõikega 5, järgides määruse (EL) 2018/1725 V peatüki ja määruse (EL) 2016/679 V peatüki sätteid, ei edastata koostalitluse komponentides säilitatavaid, töödeldavaid või neist </w:t>
            </w:r>
            <w:r>
              <w:lastRenderedPageBreak/>
              <w:t>saadavaid isikuandmeid ega tehta neid kättesaadavaks ühelegi kolmandale riigile, rahvusvahelisele organisatsioonile ega eraõiguslikule isikule.“;</w:t>
            </w:r>
          </w:p>
        </w:tc>
      </w:tr>
    </w:tbl>
    <w:p w:rsidR="00F528F9" w:rsidRPr="00E66FD7" w:rsidRDefault="00F528F9" w:rsidP="00F528F9">
      <w:pPr>
        <w:pStyle w:val="Olang"/>
        <w:rPr>
          <w:noProof w:val="0"/>
        </w:rPr>
      </w:pPr>
      <w:r w:rsidRPr="00E66FD7">
        <w:rPr>
          <w:noProof w:val="0"/>
        </w:rPr>
        <w:lastRenderedPageBreak/>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279</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lõige 28 – artikkel 50</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pPr>
            <w:r>
              <w:t xml:space="preserve">Ilma et see piiraks määruse (EÜ) nr 767/2008 artikli 31, määruse (EL) 2016/794 artiklite 25 ja 26, määruse (EL) XXX/XXX [Eurodaci määrus] </w:t>
            </w:r>
            <w:r>
              <w:rPr>
                <w:b/>
                <w:i/>
              </w:rPr>
              <w:t>artiklite</w:t>
            </w:r>
            <w:r>
              <w:t> 37</w:t>
            </w:r>
            <w:r>
              <w:rPr>
                <w:b/>
                <w:i/>
              </w:rPr>
              <w:t xml:space="preserve"> ja 38</w:t>
            </w:r>
            <w:r>
              <w:t>, määruse (EL) 2017/2226 artikli 41 ja määruse (EL) 2018/1240 artikli 65 kohaldamist ning Interpoli andmebaasidest Euroopa otsinguportaali kaudu päringute tegemist kooskõlas käesoleva määruse artikli 9 lõikega 5, järgides määruse (EL) 2018/1725 V peatüki ja määruse (EL) 2016/679 V peatüki sätteid, ei edastata koostalitluse komponentides säilitatavaid, töödeldavaid või neist saadavaid isikuandmeid ega tehta neid kättesaadavaks ühelegi kolmandale riigile, rahvusvahelisele organisatsioonile ega eraõiguslikule isikule.“;</w:t>
            </w:r>
          </w:p>
        </w:tc>
        <w:tc>
          <w:tcPr>
            <w:tcW w:w="4876" w:type="dxa"/>
            <w:hideMark/>
          </w:tcPr>
          <w:p w:rsidR="00F528F9" w:rsidRPr="00E66FD7" w:rsidRDefault="00F528F9" w:rsidP="00167072">
            <w:pPr>
              <w:pStyle w:val="Normal6"/>
              <w:rPr>
                <w:szCs w:val="24"/>
              </w:rPr>
            </w:pPr>
            <w:r>
              <w:t xml:space="preserve">Ilma et see piiraks määruse (EÜ) nr 767/2008 artikli 31, määruse (EL) 2016/794 artiklite 25 ja 26, määruse (EL) XXX/XXX [Eurodaci määrus] </w:t>
            </w:r>
            <w:r>
              <w:rPr>
                <w:b/>
                <w:i/>
              </w:rPr>
              <w:t>artikli</w:t>
            </w:r>
            <w:r>
              <w:t> 37, määruse (EL) 2017/2226 artikli 41 ja määruse (EL) 2018/1240 artikli 65 kohaldamist ning Interpoli andmebaasidest Euroopa otsinguportaali kaudu päringute tegemist kooskõlas käesoleva määruse artikli 9 lõikega 5, järgides määruse (EL) 2018/1725 V peatüki ja määruse (EL) 2016/679 V peatüki sätteid, ei edastata koostalitluse komponentides säilitatavaid, töödeldavaid või neist saadavaid isikuandmeid ega tehta neid kättesaadavaks ühelegi kolmandale riigile, rahvusvahelisele organisatsioonile ega eraõiguslikule isikule.“;</w:t>
            </w: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280</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Malin Björk</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lõige 29 – artikkel 41a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jc w:val="center"/>
            </w:pPr>
            <w:r>
              <w:rPr>
                <w:b/>
                <w:i/>
              </w:rPr>
              <w:t>Artikkel 41a</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jc w:val="center"/>
            </w:pPr>
            <w:r>
              <w:rPr>
                <w:b/>
                <w:i/>
              </w:rPr>
              <w:t>Komiteemenetlus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1.</w:t>
            </w:r>
            <w:r>
              <w:rPr>
                <w:b/>
                <w:i/>
              </w:rPr>
              <w:tab/>
              <w:t>Komisjoni abistab komitee. Nimetatud komitee on komitee määruse (EL) 182/2011 tähenduses.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2.</w:t>
            </w:r>
            <w:r>
              <w:rPr>
                <w:b/>
                <w:i/>
              </w:rPr>
              <w:tab/>
              <w:t>Käesolevale lõikele viitamisel kohaldatakse määruse (EL) 182/2011 artiklit 5.</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3.</w:t>
            </w:r>
            <w:r>
              <w:rPr>
                <w:b/>
                <w:i/>
              </w:rPr>
              <w:tab/>
              <w:t>Kui komitee arvamust ei esita, ei võta komisjon rakendusakti eelnõu vastu ja kohaldatakse määruse (EL) 182/2011 artikli 5 lõike 4 kolmandat lõiku.</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Käesolev määrus on tervikuna siduv ja liikmesriikides vahetult kohaldatav kooskõlas aluslepingutega.</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Pr="00E66FD7" w:rsidRDefault="00F528F9" w:rsidP="00F528F9">
      <w:r w:rsidRPr="00640177">
        <w:rPr>
          <w:rStyle w:val="HideTWBExt"/>
        </w:rPr>
        <w:t>&lt;/Amend&gt;</w:t>
      </w:r>
    </w:p>
    <w:p w:rsidR="00F528F9" w:rsidRPr="00E66FD7" w:rsidRDefault="00F528F9" w:rsidP="00F528F9">
      <w:pPr>
        <w:pStyle w:val="AMNumberTabs0"/>
        <w:keepNext/>
      </w:pPr>
      <w:r w:rsidRPr="00640177">
        <w:rPr>
          <w:rStyle w:val="HideTWBExt"/>
          <w:b w:val="0"/>
        </w:rPr>
        <w:t>&lt;Amend&gt;</w:t>
      </w:r>
      <w:r>
        <w:t>Muudatusettepanek</w:t>
      </w:r>
      <w:r>
        <w:tab/>
      </w:r>
      <w:r>
        <w:tab/>
      </w:r>
      <w:r w:rsidRPr="00640177">
        <w:rPr>
          <w:rStyle w:val="HideTWBExt"/>
          <w:b w:val="0"/>
        </w:rPr>
        <w:t>&lt;NumAm&gt;</w:t>
      </w:r>
      <w:r>
        <w:t>281</w:t>
      </w:r>
      <w:r w:rsidRPr="00640177">
        <w:rPr>
          <w:rStyle w:val="HideTWBExt"/>
          <w:b w:val="0"/>
        </w:rPr>
        <w:t>&lt;/NumAm&gt;</w:t>
      </w:r>
    </w:p>
    <w:p w:rsidR="00F528F9" w:rsidRPr="00E66FD7" w:rsidRDefault="00F528F9" w:rsidP="00F528F9">
      <w:pPr>
        <w:pStyle w:val="NormalBold"/>
      </w:pPr>
      <w:r w:rsidRPr="00640177">
        <w:rPr>
          <w:rStyle w:val="HideTWBExt"/>
          <w:b w:val="0"/>
        </w:rPr>
        <w:t>&lt;RepeatBlock-By&gt;&lt;Members&gt;</w:t>
      </w:r>
      <w:r>
        <w:t>Saskia Bricmont</w:t>
      </w:r>
      <w:r w:rsidRPr="00640177">
        <w:rPr>
          <w:rStyle w:val="HideTWBExt"/>
          <w:b w:val="0"/>
        </w:rPr>
        <w:t>&lt;/Members&gt;</w:t>
      </w:r>
    </w:p>
    <w:p w:rsidR="00F528F9" w:rsidRPr="00E66FD7" w:rsidRDefault="00F528F9" w:rsidP="00F528F9">
      <w:r w:rsidRPr="00640177">
        <w:rPr>
          <w:rStyle w:val="HideTWBExt"/>
        </w:rPr>
        <w:t>&lt;/RepeatBlock-By&gt;</w:t>
      </w:r>
    </w:p>
    <w:p w:rsidR="00F528F9" w:rsidRPr="00E66FD7" w:rsidRDefault="00F528F9" w:rsidP="00F528F9">
      <w:pPr>
        <w:pStyle w:val="NormalBold"/>
        <w:keepNext/>
      </w:pPr>
      <w:r w:rsidRPr="00640177">
        <w:rPr>
          <w:rStyle w:val="HideTWBExt"/>
          <w:b w:val="0"/>
        </w:rPr>
        <w:t>&lt;DocAmend&gt;</w:t>
      </w:r>
      <w:r>
        <w:t>Ettepanek võtta vastu määrus</w:t>
      </w:r>
      <w:r w:rsidRPr="00640177">
        <w:rPr>
          <w:rStyle w:val="HideTWBExt"/>
          <w:b w:val="0"/>
        </w:rPr>
        <w:t>&lt;/DocAmend&gt;</w:t>
      </w:r>
    </w:p>
    <w:p w:rsidR="00F528F9" w:rsidRPr="00E66FD7" w:rsidRDefault="00F528F9" w:rsidP="00F528F9">
      <w:pPr>
        <w:pStyle w:val="NormalBold"/>
      </w:pPr>
      <w:r w:rsidRPr="00640177">
        <w:rPr>
          <w:rStyle w:val="HideTWBExt"/>
          <w:b w:val="0"/>
        </w:rPr>
        <w:t>&lt;Article&gt;</w:t>
      </w:r>
      <w:r w:rsidR="00460029">
        <w:t>Regulatiivosa</w:t>
      </w:r>
      <w:r>
        <w:t xml:space="preserve"> – punkt 28 – artikkel 40b – lõige 29 – artikkel 41a</w:t>
      </w:r>
      <w:r w:rsidRPr="0064017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528F9" w:rsidTr="00167072">
        <w:trPr>
          <w:jc w:val="center"/>
        </w:trPr>
        <w:tc>
          <w:tcPr>
            <w:tcW w:w="9752" w:type="dxa"/>
            <w:gridSpan w:val="2"/>
          </w:tcPr>
          <w:p w:rsidR="00F528F9" w:rsidRPr="00E66FD7" w:rsidRDefault="00F528F9" w:rsidP="00167072">
            <w:pPr>
              <w:keepNext/>
            </w:pPr>
          </w:p>
        </w:tc>
      </w:tr>
      <w:tr w:rsidR="00F528F9" w:rsidTr="00167072">
        <w:trPr>
          <w:jc w:val="center"/>
        </w:trPr>
        <w:tc>
          <w:tcPr>
            <w:tcW w:w="4876" w:type="dxa"/>
            <w:hideMark/>
          </w:tcPr>
          <w:p w:rsidR="00F528F9" w:rsidRPr="00E66FD7" w:rsidRDefault="00F528F9" w:rsidP="00167072">
            <w:pPr>
              <w:pStyle w:val="ColumnHeading"/>
              <w:keepNext/>
            </w:pPr>
            <w:r>
              <w:t>Komisjoni ettepanek</w:t>
            </w:r>
          </w:p>
        </w:tc>
        <w:tc>
          <w:tcPr>
            <w:tcW w:w="4876" w:type="dxa"/>
            <w:hideMark/>
          </w:tcPr>
          <w:p w:rsidR="00F528F9" w:rsidRPr="00E66FD7" w:rsidRDefault="00F528F9" w:rsidP="00167072">
            <w:pPr>
              <w:pStyle w:val="ColumnHeading"/>
              <w:keepNext/>
            </w:pPr>
            <w:r>
              <w:t>Muudatusettepanek</w:t>
            </w:r>
          </w:p>
        </w:tc>
      </w:tr>
      <w:tr w:rsidR="00F528F9" w:rsidTr="00167072">
        <w:trPr>
          <w:jc w:val="center"/>
        </w:trPr>
        <w:tc>
          <w:tcPr>
            <w:tcW w:w="4876" w:type="dxa"/>
            <w:hideMark/>
          </w:tcPr>
          <w:p w:rsidR="00F528F9" w:rsidRPr="00E66FD7" w:rsidRDefault="00F528F9" w:rsidP="00167072">
            <w:pPr>
              <w:pStyle w:val="Normal6"/>
              <w:jc w:val="center"/>
            </w:pPr>
            <w:r>
              <w:rPr>
                <w:b/>
                <w:i/>
              </w:rPr>
              <w:t>Artikkel 41a</w:t>
            </w:r>
          </w:p>
        </w:tc>
        <w:tc>
          <w:tcPr>
            <w:tcW w:w="4876" w:type="dxa"/>
            <w:hideMark/>
          </w:tcPr>
          <w:p w:rsidR="00F528F9" w:rsidRPr="00E66FD7" w:rsidRDefault="00F528F9" w:rsidP="00167072">
            <w:pPr>
              <w:pStyle w:val="Normal6"/>
              <w:rPr>
                <w:szCs w:val="24"/>
              </w:rPr>
            </w:pPr>
            <w:r>
              <w:rPr>
                <w:b/>
                <w:i/>
              </w:rPr>
              <w:t>välja jäetud</w:t>
            </w:r>
          </w:p>
        </w:tc>
      </w:tr>
      <w:tr w:rsidR="00F528F9" w:rsidTr="00167072">
        <w:trPr>
          <w:jc w:val="center"/>
        </w:trPr>
        <w:tc>
          <w:tcPr>
            <w:tcW w:w="4876" w:type="dxa"/>
            <w:hideMark/>
          </w:tcPr>
          <w:p w:rsidR="00F528F9" w:rsidRPr="00E66FD7" w:rsidRDefault="00F528F9" w:rsidP="00167072">
            <w:pPr>
              <w:pStyle w:val="Normal6"/>
              <w:jc w:val="center"/>
            </w:pPr>
            <w:r>
              <w:rPr>
                <w:b/>
                <w:i/>
              </w:rPr>
              <w:t>Komiteemenetlus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1.</w:t>
            </w:r>
            <w:r>
              <w:rPr>
                <w:b/>
                <w:i/>
              </w:rPr>
              <w:tab/>
              <w:t>Komisjoni abistab komitee. Nimetatud komitee on komitee määruse (EL) 182/2011 tähenduses.</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2.</w:t>
            </w:r>
            <w:r>
              <w:rPr>
                <w:b/>
                <w:i/>
              </w:rPr>
              <w:tab/>
              <w:t>Käesolevale lõikele viitamisel kohaldatakse määruse (EL) 182/2011 artiklit 5.</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3.</w:t>
            </w:r>
            <w:r>
              <w:rPr>
                <w:b/>
                <w:i/>
              </w:rPr>
              <w:tab/>
              <w:t>Kui komitee arvamust ei esita, ei võta komisjon rakendusakti eelnõu vastu ja kohaldatakse määruse (EL) 182/2011 artikli 5 lõike 4 kolmandat lõiku.</w:t>
            </w:r>
          </w:p>
        </w:tc>
        <w:tc>
          <w:tcPr>
            <w:tcW w:w="4876" w:type="dxa"/>
          </w:tcPr>
          <w:p w:rsidR="00F528F9" w:rsidRPr="00E66FD7" w:rsidRDefault="00F528F9" w:rsidP="00167072">
            <w:pPr>
              <w:pStyle w:val="Normal6"/>
              <w:rPr>
                <w:szCs w:val="24"/>
              </w:rPr>
            </w:pPr>
          </w:p>
        </w:tc>
      </w:tr>
      <w:tr w:rsidR="00F528F9" w:rsidTr="00167072">
        <w:trPr>
          <w:jc w:val="center"/>
        </w:trPr>
        <w:tc>
          <w:tcPr>
            <w:tcW w:w="4876" w:type="dxa"/>
            <w:hideMark/>
          </w:tcPr>
          <w:p w:rsidR="00F528F9" w:rsidRPr="00E66FD7" w:rsidRDefault="00F528F9" w:rsidP="00167072">
            <w:pPr>
              <w:pStyle w:val="Normal6"/>
            </w:pPr>
            <w:r>
              <w:rPr>
                <w:b/>
                <w:i/>
              </w:rPr>
              <w:t xml:space="preserve">Käesolev määrus on tervikuna siduv ja </w:t>
            </w:r>
            <w:r>
              <w:rPr>
                <w:b/>
                <w:i/>
              </w:rPr>
              <w:lastRenderedPageBreak/>
              <w:t>liikmesriikides vahetult kohaldatav kooskõlas aluslepingutega.</w:t>
            </w:r>
          </w:p>
        </w:tc>
        <w:tc>
          <w:tcPr>
            <w:tcW w:w="4876" w:type="dxa"/>
          </w:tcPr>
          <w:p w:rsidR="00F528F9" w:rsidRPr="00E66FD7" w:rsidRDefault="00F528F9" w:rsidP="00167072">
            <w:pPr>
              <w:pStyle w:val="Normal6"/>
              <w:rPr>
                <w:szCs w:val="24"/>
              </w:rPr>
            </w:pPr>
          </w:p>
        </w:tc>
      </w:tr>
    </w:tbl>
    <w:p w:rsidR="00F528F9" w:rsidRPr="00E66FD7" w:rsidRDefault="00F528F9" w:rsidP="00F528F9">
      <w:pPr>
        <w:pStyle w:val="Olang"/>
        <w:rPr>
          <w:noProof w:val="0"/>
        </w:rPr>
      </w:pPr>
      <w:r w:rsidRPr="00E66FD7">
        <w:rPr>
          <w:noProof w:val="0"/>
        </w:rPr>
        <w:t xml:space="preserve">Or. </w:t>
      </w:r>
      <w:r w:rsidRPr="00640177">
        <w:rPr>
          <w:rStyle w:val="HideTWBExt"/>
        </w:rPr>
        <w:t>&lt;Original&gt;</w:t>
      </w:r>
      <w:r w:rsidRPr="00640177">
        <w:rPr>
          <w:rStyle w:val="HideTWBInt"/>
          <w:rFonts w:eastAsiaTheme="majorEastAsia"/>
        </w:rPr>
        <w:t>{EN}</w:t>
      </w:r>
      <w:r w:rsidRPr="00E66FD7">
        <w:rPr>
          <w:noProof w:val="0"/>
        </w:rPr>
        <w:t>en</w:t>
      </w:r>
      <w:r w:rsidRPr="00640177">
        <w:rPr>
          <w:rStyle w:val="HideTWBExt"/>
        </w:rPr>
        <w:t>&lt;/Original&gt;</w:t>
      </w:r>
    </w:p>
    <w:p w:rsidR="00F528F9" w:rsidRDefault="00F528F9" w:rsidP="00F528F9">
      <w:r w:rsidRPr="00640177">
        <w:rPr>
          <w:rStyle w:val="HideTWBExt"/>
        </w:rPr>
        <w:t>&lt;/Amend&gt;&lt;/RepeatBlock-Amend&gt;</w:t>
      </w:r>
    </w:p>
    <w:sectPr w:rsidR="00F528F9" w:rsidSect="003B5CE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072" w:rsidRDefault="00167072">
      <w:r>
        <w:separator/>
      </w:r>
    </w:p>
  </w:endnote>
  <w:endnote w:type="continuationSeparator" w:id="0">
    <w:p w:rsidR="00167072" w:rsidRDefault="00167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072" w:rsidRPr="00E66FD7" w:rsidRDefault="00167072" w:rsidP="003B5CEB">
    <w:pPr>
      <w:pStyle w:val="EPFooter"/>
    </w:pPr>
    <w:r w:rsidRPr="00E66FD7">
      <w:t>PE</w:t>
    </w:r>
    <w:r w:rsidRPr="00640177">
      <w:rPr>
        <w:rStyle w:val="HideTWBExt"/>
      </w:rPr>
      <w:t>&lt;NoPE&gt;</w:t>
    </w:r>
    <w:r w:rsidRPr="00E66FD7">
      <w:t>692.638</w:t>
    </w:r>
    <w:r w:rsidRPr="00640177">
      <w:rPr>
        <w:rStyle w:val="HideTWBExt"/>
      </w:rPr>
      <w:t>&lt;/NoPE&gt;&lt;Version&gt;</w:t>
    </w:r>
    <w:r w:rsidRPr="00E66FD7">
      <w:t>v01-00</w:t>
    </w:r>
    <w:r w:rsidRPr="00640177">
      <w:rPr>
        <w:rStyle w:val="HideTWBExt"/>
      </w:rPr>
      <w:t>&lt;/Version&gt;</w:t>
    </w:r>
    <w:r w:rsidRPr="00E66FD7">
      <w:tab/>
    </w:r>
    <w:r w:rsidRPr="00E66FD7">
      <w:fldChar w:fldCharType="begin"/>
    </w:r>
    <w:r w:rsidRPr="00E66FD7">
      <w:instrText xml:space="preserve"> PAGE  \* MERGEFORMAT </w:instrText>
    </w:r>
    <w:r w:rsidRPr="00E66FD7">
      <w:fldChar w:fldCharType="separate"/>
    </w:r>
    <w:r w:rsidR="00575ED3">
      <w:rPr>
        <w:noProof/>
      </w:rPr>
      <w:t>131</w:t>
    </w:r>
    <w:r w:rsidRPr="00E66FD7">
      <w:fldChar w:fldCharType="end"/>
    </w:r>
    <w:r w:rsidRPr="00E66FD7">
      <w:t>/</w:t>
    </w:r>
    <w:fldSimple w:instr=" NUMPAGES  \* MERGEFORMAT ">
      <w:r w:rsidR="00575ED3">
        <w:rPr>
          <w:noProof/>
        </w:rPr>
        <w:t>131</w:t>
      </w:r>
    </w:fldSimple>
    <w:r w:rsidRPr="00E66FD7">
      <w:tab/>
    </w:r>
    <w:r w:rsidRPr="00640177">
      <w:rPr>
        <w:rStyle w:val="HideTWBExt"/>
      </w:rPr>
      <w:t>&lt;PathFdR&gt;</w:t>
    </w:r>
    <w:r w:rsidRPr="00E66FD7">
      <w:t>AM\1230413ET.docx</w:t>
    </w:r>
    <w:r w:rsidRPr="00640177">
      <w:rPr>
        <w:rStyle w:val="HideTWBExt"/>
      </w:rPr>
      <w:t>&lt;/PathFdR&gt;</w:t>
    </w:r>
  </w:p>
  <w:p w:rsidR="00167072" w:rsidRPr="00E66FD7" w:rsidRDefault="00167072" w:rsidP="003B5CEB">
    <w:pPr>
      <w:pStyle w:val="EPFooter2"/>
    </w:pPr>
    <w:r w:rsidRPr="00E66FD7">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072" w:rsidRPr="00E66FD7" w:rsidRDefault="00167072" w:rsidP="003B5CEB">
    <w:pPr>
      <w:pStyle w:val="EPFooter"/>
    </w:pPr>
    <w:r w:rsidRPr="00640177">
      <w:rPr>
        <w:rStyle w:val="HideTWBExt"/>
      </w:rPr>
      <w:t>&lt;PathFdR&gt;</w:t>
    </w:r>
    <w:r w:rsidRPr="00E66FD7">
      <w:t>AM\1230413ET.docx</w:t>
    </w:r>
    <w:r w:rsidRPr="00640177">
      <w:rPr>
        <w:rStyle w:val="HideTWBExt"/>
      </w:rPr>
      <w:t>&lt;/PathFdR&gt;</w:t>
    </w:r>
    <w:r w:rsidRPr="00E66FD7">
      <w:tab/>
    </w:r>
    <w:r w:rsidRPr="00E66FD7">
      <w:fldChar w:fldCharType="begin"/>
    </w:r>
    <w:r w:rsidRPr="00E66FD7">
      <w:instrText xml:space="preserve"> PAGE  \* MERGEFORMAT </w:instrText>
    </w:r>
    <w:r w:rsidRPr="00E66FD7">
      <w:fldChar w:fldCharType="separate"/>
    </w:r>
    <w:r w:rsidR="00575ED3">
      <w:rPr>
        <w:noProof/>
      </w:rPr>
      <w:t>131</w:t>
    </w:r>
    <w:r w:rsidRPr="00E66FD7">
      <w:fldChar w:fldCharType="end"/>
    </w:r>
    <w:r w:rsidRPr="00E66FD7">
      <w:t>/</w:t>
    </w:r>
    <w:fldSimple w:instr=" NUMPAGES  \* MERGEFORMAT ">
      <w:r w:rsidR="00575ED3">
        <w:rPr>
          <w:noProof/>
        </w:rPr>
        <w:t>131</w:t>
      </w:r>
    </w:fldSimple>
    <w:r w:rsidRPr="00E66FD7">
      <w:tab/>
      <w:t>PE</w:t>
    </w:r>
    <w:r w:rsidRPr="00640177">
      <w:rPr>
        <w:rStyle w:val="HideTWBExt"/>
      </w:rPr>
      <w:t>&lt;NoPE&gt;</w:t>
    </w:r>
    <w:r w:rsidRPr="00E66FD7">
      <w:t>692.638</w:t>
    </w:r>
    <w:r w:rsidRPr="00640177">
      <w:rPr>
        <w:rStyle w:val="HideTWBExt"/>
      </w:rPr>
      <w:t>&lt;/NoPE&gt;&lt;Version&gt;</w:t>
    </w:r>
    <w:r w:rsidRPr="00E66FD7">
      <w:t>v01-00</w:t>
    </w:r>
    <w:r w:rsidRPr="00640177">
      <w:rPr>
        <w:rStyle w:val="HideTWBExt"/>
      </w:rPr>
      <w:t>&lt;/Version&gt;</w:t>
    </w:r>
  </w:p>
  <w:p w:rsidR="00167072" w:rsidRPr="00E66FD7" w:rsidRDefault="00167072" w:rsidP="003B5CEB">
    <w:pPr>
      <w:pStyle w:val="EPFooter2"/>
    </w:pPr>
    <w:r w:rsidRPr="00E66FD7">
      <w:tab/>
    </w:r>
    <w:r w:rsidRPr="00E66FD7">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072" w:rsidRPr="00E66FD7" w:rsidRDefault="00167072" w:rsidP="003B5CEB">
    <w:pPr>
      <w:pStyle w:val="EPFooter"/>
    </w:pPr>
    <w:r w:rsidRPr="00640177">
      <w:rPr>
        <w:rStyle w:val="HideTWBExt"/>
      </w:rPr>
      <w:t>&lt;PathFdR&gt;</w:t>
    </w:r>
    <w:r w:rsidRPr="00E66FD7">
      <w:t>AM\1230413ET.docx</w:t>
    </w:r>
    <w:r w:rsidRPr="00640177">
      <w:rPr>
        <w:rStyle w:val="HideTWBExt"/>
      </w:rPr>
      <w:t>&lt;/PathFdR&gt;</w:t>
    </w:r>
    <w:r w:rsidRPr="00E66FD7">
      <w:tab/>
    </w:r>
    <w:r w:rsidRPr="00E66FD7">
      <w:tab/>
      <w:t>PE</w:t>
    </w:r>
    <w:r w:rsidRPr="00640177">
      <w:rPr>
        <w:rStyle w:val="HideTWBExt"/>
      </w:rPr>
      <w:t>&lt;NoPE&gt;</w:t>
    </w:r>
    <w:r w:rsidRPr="00E66FD7">
      <w:t>692.638</w:t>
    </w:r>
    <w:r w:rsidRPr="00640177">
      <w:rPr>
        <w:rStyle w:val="HideTWBExt"/>
      </w:rPr>
      <w:t>&lt;/NoPE&gt;&lt;Version&gt;</w:t>
    </w:r>
    <w:r w:rsidRPr="00E66FD7">
      <w:t>v01-00</w:t>
    </w:r>
    <w:r w:rsidRPr="00640177">
      <w:rPr>
        <w:rStyle w:val="HideTWBExt"/>
      </w:rPr>
      <w:t>&lt;/Version&gt;</w:t>
    </w:r>
  </w:p>
  <w:p w:rsidR="00167072" w:rsidRPr="00E66FD7" w:rsidRDefault="00167072" w:rsidP="003B5CEB">
    <w:pPr>
      <w:pStyle w:val="EPFooter2"/>
    </w:pPr>
    <w:r w:rsidRPr="00E66FD7">
      <w:t>ET</w:t>
    </w:r>
    <w:r w:rsidRPr="00E66FD7">
      <w:tab/>
    </w:r>
    <w:r w:rsidRPr="00E66FD7">
      <w:rPr>
        <w:b w:val="0"/>
        <w:i/>
        <w:color w:val="C0C0C0"/>
        <w:sz w:val="22"/>
      </w:rPr>
      <w:t>Ühinenud mitmekesisuses</w:t>
    </w:r>
    <w:r w:rsidRPr="00E66FD7">
      <w:tab/>
      <w:t>ET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072" w:rsidRDefault="00167072">
      <w:r>
        <w:separator/>
      </w:r>
    </w:p>
  </w:footnote>
  <w:footnote w:type="continuationSeparator" w:id="0">
    <w:p w:rsidR="00167072" w:rsidRDefault="001670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072" w:rsidRDefault="001670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072" w:rsidRDefault="001670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072" w:rsidRDefault="00167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LIBE"/>
    <w:docVar w:name="CVAR" w:val="299"/>
    <w:docVar w:name="DOCCODMNU" w:val=" 1"/>
    <w:docVar w:name="DOCDT" w:val="29/04/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38"/>
    <w:docVar w:name="iNoAmendB" w:val="3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982468 HideTWBExt;}{\*\cs18 \additive \v\f1\fs20\cf15 _x000d__x000a_\spriority0 \styrsid1982468 HideTWBInt;}{\s19\ql \li0\ri0\sa120\nowidctlpar\wrapdefault\aspalpha\aspnum\faauto\adjustright\rin0\lin0\itap0 \rtlch\fcs1 \af0\afs20\alang1025 \ltrch\fcs0 \fs24\lang2057\langfe2057\cgrid\langnp2057\langfenp2057 _x000d__x000a_\sbasedon0 \snext19 \spriority0 \styrsid1982468 Normal6a;}{\s20\ql \li0\ri0\nowidctlpar\wrapdefault\aspalpha\aspnum\faauto\adjustright\rin0\lin0\itap0 \rtlch\fcs1 \af0\afs20\alang1025 \ltrch\fcs0 \b\fs24\lang2057\langfe2057\cgrid\langnp2057\langfenp2057 _x000d__x000a_\sbasedon0 \snext20 \spriority0 \styrsid1982468 NormalBold;}{\s21\qr \li0\ri0\sb240\sa240\nowidctlpar\wrapdefault\aspalpha\aspnum\faauto\adjustright\rin0\lin0\itap0 \rtlch\fcs1 \af0\afs20\alang1025 \ltrch\fcs0 _x000d__x000a_\fs24\lang2057\langfe2057\cgrid\langnp2057\langfenp2057 \sbasedon0 \snext21 \spriority0 \styrsid1982468 AmOrLang;}{\s22\qc \li0\ri0\sa240\nowidctlpar\wrapdefault\aspalpha\aspnum\faauto\adjustright\rin0\lin0\itap0 \rtlch\fcs1 \af0\afs20\alang1025 _x000d__x000a_\ltrch\fcs0 \i\fs24\lang2057\langfe2057\cgrid\langnp2057\langfenp2057 \sbasedon0 \snext22 \spriority0 \styrsid198246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982468 AmNumberTabs;}}{\*\rsidtbl \rsid24658\rsid205729\rsid223860\rsid735077\rsid1718133\rsid1982468\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982468\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205729 \chftnsep _x000d__x000a_\par }}{\*\ftnsepc \ltrpar \pard\plain \ltrpar\ql \li0\ri0\widctlpar\wrapdefault\aspalpha\aspnum\faauto\adjustright\rin0\lin0\itap0 \rtlch\fcs1 \af0\afs20\alang1025 \ltrch\fcs0 \fs24\lang2057\langfe2057\cgrid\langnp2057\langfenp2057 {\rtlch\fcs1 \af0 _x000d__x000a_\ltrch\fcs0 \insrsid205729 \chftnsepc _x000d__x000a_\par }}{\*\aftnsep \ltrpar \pard\plain \ltrpar\ql \li0\ri0\widctlpar\wrapdefault\aspalpha\aspnum\faauto\adjustright\rin0\lin0\itap0 \rtlch\fcs1 \af0\afs20\alang1025 \ltrch\fcs0 \fs24\lang2057\langfe2057\cgrid\langnp2057\langfenp2057 {\rtlch\fcs1 \af0 _x000d__x000a_\ltrch\fcs0 \insrsid205729 \chftnsep _x000d__x000a_\par }}{\*\aftnsepc \ltrpar \pard\plain \ltrpar\ql \li0\ri0\widctlpar\wrapdefault\aspalpha\aspnum\faauto\adjustright\rin0\lin0\itap0 \rtlch\fcs1 \af0\afs20\alang1025 \ltrch\fcs0 \fs24\lang2057\langfe2057\cgrid\langnp2057\langfenp2057 {\rtlch\fcs1 \af0 _x000d__x000a_\ltrch\fcs0 \insrsid2057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982468 \rtlch\fcs1 _x000d__x000a_\af0\afs20\alang1025 \ltrch\fcs0 \b\fs24\lang2057\langfe2057\cgrid\langnp2057\langfenp2057 {\rtlch\fcs1 \af0 \ltrch\fcs0 \cs17\b0\v\fs20\cf9\loch\af1\hich\af1\dbch\af31501\insrsid1982468\charrsid4809308 {\*\bkmkstart restartA}_x000d__x000a_\hich\af1\dbch\af31501\loch\f1 &lt;AmendA&gt;}{\rtlch\fcs1 \af0 \ltrch\fcs0 \insrsid1982468\charrsid4809308 Amendment\tab \tab }{\rtlch\fcs1 \af0 \ltrch\fcs0 \cs17\b0\v\fs20\cf9\loch\af1\hich\af1\dbch\af31501\insrsid1982468\charrsid4809308 _x000d__x000a_\hich\af1\dbch\af31501\loch\f1 &lt;NumAmA&gt;}{\rtlch\fcs1 \af0 \ltrch\fcs0 \insrsid1982468\charrsid4809308 #}{\rtlch\fcs1 \af1 \ltrch\fcs0 \cs18\v\f1\fs20\cf15\insrsid1982468\charrsid4809308 ENMIENDA@NRAM@}{\rtlch\fcs1 \af0 \ltrch\fcs0 _x000d__x000a_\insrsid1982468\charrsid4809308 #}{\rtlch\fcs1 \af0 \ltrch\fcs0 \cs17\b0\v\fs20\cf9\loch\af1\hich\af1\dbch\af31501\insrsid1982468\charrsid4809308 \hich\af1\dbch\af31501\loch\f1 &lt;/NumAmA&gt;}{\rtlch\fcs1 \af0 \ltrch\fcs0 \insrsid1982468\charrsid4809308 _x000d__x000a_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RepeatBlock-By&gt;}{\rtlch\fcs1 \af0 \ltrch\fcs0 \insrsid1982468\charrsid4809308 #}{\rtlch\fcs1 \af1 \ltrch\fcs0 _x000d__x000a_\cs18\v\f1\fs20\cf15\insrsid1982468\charrsid4809308 (MOD@InsideLoop()}{\rtlch\fcs1 \af0 \ltrch\fcs0 \insrsid1982468\charrsid4809308 ##}{\rtlch\fcs1 \af1 \ltrch\fcs0 \cs18\v\f1\fs20\cf15\insrsid1982468\charrsid4809308 &gt;&gt;&gt;@[ZMEMBERSMSG]@}{\rtlch\fcs1 \af0 _x000d__x000a_\ltrch\fcs0 \insrsid1982468\charrsid4809308 #}{\rtlch\fcs1 \af0 \ltrch\fcs0 \cs17\b0\v\fs20\cf9\loch\af1\hich\af1\dbch\af31501\insrsid1982468\charrsid4809308 \hich\af1\dbch\af31501\loch\f1 &lt;Members&gt;}{\rtlch\fcs1 \af0 \ltrch\fcs0 _x000d__x000a_\insrsid1982468\charrsid4809308 #}{\rtlch\fcs1 \af1 \ltrch\fcs0 \cs18\v\f1\fs20\cf15\insrsid1982468\charrsid4809308 (MOD@InsideLoop(\'a7)}{\rtlch\fcs1 \af0 \ltrch\fcs0 \insrsid1982468\charrsid4809308 #}{\rtlch\fcs1 \af0 \ltrch\fcs0 _x000d__x000a_\cf10\insrsid1982468\charrsid4809308 \u9668\'3f}{\rtlch\fcs1 \af0 \ltrch\fcs0 \insrsid1982468\charrsid4809308 #}{\rtlch\fcs1 \af1 \ltrch\fcs0 \cs18\v\f1\fs20\cf15\insrsid1982468\charrsid4809308 TVTMEMBERS\'a7@MEMBERS@}{\rtlch\fcs1 \af0 \ltrch\fcs0 _x000d__x000a_\insrsid1982468\charrsid4809308 #}{\rtlch\fcs1 \af0 \ltrch\fcs0 \cf10\insrsid1982468\charrsid4809308 \u9658\'3f}{\rtlch\fcs1 \af0 \ltrch\fcs0 \cs17\b0\v\fs20\cf9\loch\af1\hich\af1\dbch\af31501\insrsid1982468\charrsid4809308 \hich\af1\dbch\af31501\loch\f1 _x000d__x000a_&lt;/Members&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uNomDe&gt;&lt;OptDel&gt;}{\rtlch\fcs1 \af0 \ltrch\fcs0 \insrsid1982468\charrsid4809308 #}{\rtlch\fcs1 \af1 \ltrch\fcs0 _x000d__x000a_\cs18\v\f1\fs20\cf15\insrsid1982468\charrsid4809308 MNU[ONBEHALFYES][NOTAPP]@CHOICE@}{\rtlch\fcs1 \af0 \ltrch\fcs0 \insrsid1982468\charrsid4809308 #}{\rtlch\fcs1 \af0 \ltrch\fcs0 _x000d__x000a_\cs17\v\fs20\cf9\loch\af1\hich\af1\dbch\af31501\insrsid1982468\charrsid4809308 \hich\af1\dbch\af31501\loch\f1 &lt;/OptDel&gt;&lt;/AuNomDe&gt;}{\rtlch\fcs1 \af0 \ltrch\fcs0 \insrsid1982468\charrsid4809308 _x000d__x000a_\par &lt;&lt;&lt;}{\rtlch\fcs1 \af0 \ltrch\fcs0 \cs17\v\fs20\cf9\loch\af1\hich\af1\dbch\af31501\insrsid1982468\charrsid4809308 \hich\af1\dbch\af31501\loch\f1 &lt;/RepeatBlock-By&gt;}{\rtlch\fcs1 \af0 \ltrch\fcs0 \insrsid1982468\charrsid4809308 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DocAmend&gt;}{\rtlch\fcs1 \af0 \ltrch\fcs0 \insrsid1982468\charrsid4809308 Draft legislative resolution}{\rtlch\fcs1 \af0 _x000d__x000a_\ltrch\fcs0 \cs17\b0\v\fs20\cf9\loch\af1\hich\af1\dbch\af31501\insrsid1982468\charrsid4809308 \hich\af1\dbch\af31501\loch\f1 &lt;/DocAmend&gt;}{\rtlch\fcs1 \af0 \ltrch\fcs0 \insrsid1982468\charrsid4809308 _x000d__x000a_\par }{\rtlch\fcs1 \af0 \ltrch\fcs0 \cs17\b0\v\fs20\cf9\loch\af1\hich\af1\dbch\af31501\insrsid1982468\charrsid4809308 \hich\af1\dbch\af31501\loch\f1 &lt;Article&gt;}{\rtlch\fcs1 \af0 \ltrch\fcs0 \cf10\insrsid1982468\charrsid4809308 \u9668\'3f}{\rtlch\fcs1 \af0 _x000d__x000a_\ltrch\fcs0 \insrsid1982468\charrsid4809308 #}{\rtlch\fcs1 \af1 \ltrch\fcs0 \cs18\v\f1\fs20\cf15\insrsid1982468\charrsid4809308 TVTRESPART@RESPART@}{\rtlch\fcs1 \af0 \ltrch\fcs0 \insrsid1982468\charrsid4809308 #}{\rtlch\fcs1 \af0 \ltrch\fcs0 _x000d__x000a_\cf10\insrsid1982468\charrsid4809308 \u9658\'3f}{\rtlch\fcs1 \af0 \ltrch\fcs0 \cs17\b0\v\fs20\cf9\loch\af1\hich\af1\dbch\af31501\insrsid1982468\charrsid4809308 \hich\af1\dbch\af31501\loch\f1 &lt;/Article&gt;}{\rtlch\fcs1 \af0 \ltrch\fcs0 _x000d__x000a_\insrsid1982468\charrsid480930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982468\charrsid4809308 Draft legislative resolution\cell Amendment\cell }\pard\plain \ltrpar\ql \li0\ri0\widctlpar\intbl\wrapdefault\aspalpha\aspnum\faauto\adjustright\rin0\lin0 \rtlch\fcs1 \af0\afs20\alang1025 _x000d__x000a_\ltrch\fcs0 \fs24\lang2057\langfe2057\cgrid\langnp2057\langfenp2057 {\rtlch\fcs1 \af0 \ltrch\fcs0 \insrsid1982468\charrsid480930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982468\charrsid4809308 ##\cell ##}{\rtlch\fcs1 \af0\afs24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982468 \rtlch\fcs1 \af0\afs20\alang1025 \ltrch\fcs0 \fs24\lang2057\langfe2057\cgrid\langnp2057\langfenp2057 {\rtlch\fcs1 \af0 \ltrch\fcs0 _x000d__x000a_\insrsid1982468\charrsid4809308 Or. }{\rtlch\fcs1 \af0 \ltrch\fcs0 \cs17\v\fs20\cf9\loch\af1\hich\af1\dbch\af31501\insrsid1982468\charrsid4809308 \hich\af1\dbch\af31501\loch\f1 &lt;Original&gt;}{\rtlch\fcs1 \af0 \ltrch\fcs0 \insrsid1982468\charrsid4809308 #}{_x000d__x000a_\rtlch\fcs1 \af1 \ltrch\fcs0 \cs18\v\f1\fs20\cf15\insrsid1982468\charrsid4809308 KEY(MAIN/LANGMIN)sh@ORLANGMSG@}{\rtlch\fcs1 \af0 \ltrch\fcs0 \insrsid1982468\charrsid4809308 #}{\rtlch\fcs1 \af0 \ltrch\fcs0 _x000d__x000a_\cs17\v\fs20\cf9\loch\af1\hich\af1\dbch\af31501\insrsid1982468\charrsid4809308 \hich\af1\dbch\af31501\loch\f1 &lt;/Original&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6_x000d__x000a_a457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619955 HideTWBExt;}{\*\cs18 \additive \v\f1\fs20\cf15 _x000d__x000a_\spriority0 \styrsid6619955 HideTWBInt;}{\s19\ql \li0\ri0\sa120\nowidctlpar\wrapdefault\aspalpha\aspnum\faauto\adjustright\rin0\lin0\itap0 \rtlch\fcs1 \af0\afs20\alang1025 \ltrch\fcs0 \fs24\lang2057\langfe2057\cgrid\langnp2057\langfenp2057 _x000d__x000a_\sbasedon0 \snext19 \spriority0 \styrsid6619955 Normal6a;}{\s20\ql \li0\ri0\nowidctlpar\wrapdefault\aspalpha\aspnum\faauto\adjustright\rin0\lin0\itap0 \rtlch\fcs1 \af0\afs20\alang1025 \ltrch\fcs0 \b\fs24\lang2057\langfe2057\cgrid\langnp2057\langfenp2057 _x000d__x000a_\sbasedon0 \snext20 \spriority0 \styrsid6619955 NormalBold;}{\s21\ql \li0\ri0\sa240\nowidctlpar\wrapdefault\aspalpha\aspnum\faauto\adjustright\rin0\lin0\itap0 \rtlch\fcs1 \af0\afs20\alang1025 \ltrch\fcs0 _x000d__x000a_\i\fs24\lang2057\langfe2057\cgrid\langnp2057\langfenp2057 \sbasedon0 \snext21 \spriority0 \styrsid6619955 AmJustText;}{\s22\qc \li0\ri0\sb240\sa240\nowidctlpar\wrapdefault\aspalpha\aspnum\faauto\adjustright\rin0\lin0\itap0 \rtlch\fcs1 _x000d__x000a_\af0\afs20\alang1025 \ltrch\fcs0 \i\fs24\lang2057\langfe2057\cgrid\langnp2057\langfenp2057 \sbasedon0 \snext22 \spriority0 \styrsid6619955 AmCrossRef;}{_x000d__x000a_\s23\qc \li0\ri0\sb240\sa240\keepn\nowidctlpar\wrapdefault\aspalpha\aspnum\faauto\adjustright\rin0\lin0\itap0 \rtlch\fcs1 \af0\afs20\alang1025 \ltrch\fcs0 \i\fs24\lang2057\langfe2057\cgrid\langnp2057\langfenp2057 _x000d__x000a_\sbasedon0 \snext21 \spriority0 \styrsid6619955 AmJustTitle;}{\s24\qr \li0\ri0\sb240\sa240\nowidctlpar\wrapdefault\aspalpha\aspnum\faauto\adjustright\rin0\lin0\itap0 \rtlch\fcs1 \af0\afs20\alang1025 \ltrch\fcs0 _x000d__x000a_\fs24\lang2057\langfe2057\cgrid\langnp2057\langfenp2057 \sbasedon0 \snext24 \spriority0 \styrsid6619955 AmOrLang;}{\s25\qc \li0\ri0\sa240\nowidctlpar\wrapdefault\aspalpha\aspnum\faauto\adjustright\rin0\lin0\itap0 \rtlch\fcs1 \af0\afs20\alang1025 _x000d__x000a_\ltrch\fcs0 \i\fs24\lang2057\langfe2057\cgrid\langnp2057\langfenp2057 \sbasedon0 \snext25 \spriority0 \styrsid66199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619955 AmNumberTabs;}}{\*\rsidtbl \rsid24658\rsid223860\rsid735077\rsid1718133\rsid2892074\rsid3565327\rsid4666813\rsid6619955\rsid6641733_x000d__x000a_\rsid7823322\rsid9636012\rsid10377208\rsid11215221\rsid11549030\rsid12154954\rsid125244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61995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524445 \chftnsep _x000d__x000a_\par }}{\*\ftnsepc \ltrpar \pard\plain \ltrpar\ql \li0\ri0\widctlpar\wrapdefault\aspalpha\aspnum\faauto\adjustright\rin0\lin0\itap0 \rtlch\fcs1 \af0\afs20\alang1025 \ltrch\fcs0 \fs24\lang2057\langfe2057\cgrid\langnp2057\langfenp2057 {\rtlch\fcs1 \af0 _x000d__x000a_\ltrch\fcs0 \insrsid12524445 \chftnsepc _x000d__x000a_\par }}{\*\aftnsep \ltrpar \pard\plain \ltrpar\ql \li0\ri0\widctlpar\wrapdefault\aspalpha\aspnum\faauto\adjustright\rin0\lin0\itap0 \rtlch\fcs1 \af0\afs20\alang1025 \ltrch\fcs0 \fs24\lang2057\langfe2057\cgrid\langnp2057\langfenp2057 {\rtlch\fcs1 \af0 _x000d__x000a_\ltrch\fcs0 \insrsid12524445 \chftnsep _x000d__x000a_\par }}{\*\aftnsepc \ltrpar \pard\plain \ltrpar\ql \li0\ri0\widctlpar\wrapdefault\aspalpha\aspnum\faauto\adjustright\rin0\lin0\itap0 \rtlch\fcs1 \af0\afs20\alang1025 \ltrch\fcs0 \fs24\lang2057\langfe2057\cgrid\langnp2057\langfenp2057 {\rtlch\fcs1 \af0 _x000d__x000a_\ltrch\fcs0 \insrsid12524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619955 \rtlch\fcs1 _x000d__x000a_\af0\afs20\alang1025 \ltrch\fcs0 \b\fs24\lang2057\langfe2057\cgrid\langnp2057\langfenp2057 {\rtlch\fcs1 \af0 \ltrch\fcs0 \cs17\b0\v\fs20\cf9\loch\af1\hich\af1\dbch\af31501\insrsid6619955\charrsid4809308 {\*\bkmkstart restartB}_x000d__x000a_\hich\af1\dbch\af31501\loch\f1 &lt;AmendB&gt;}{\rtlch\fcs1 \af0 \ltrch\fcs0 \insrsid6619955\charrsid4809308 Amendment\tab \tab }{\rtlch\fcs1 \af0 \ltrch\fcs0 \cs17\b0\v\fs20\cf9\loch\af1\hich\af1\dbch\af31501\insrsid6619955\charrsid4809308 _x000d__x000a_\hich\af1\dbch\af31501\loch\f1 &lt;NumAmB&gt;}{\rtlch\fcs1 \af0 \ltrch\fcs0 \insrsid6619955\charrsid4809308 #}{\rtlch\fcs1 \af1 \ltrch\fcs0 \cs18\v\f1\fs20\cf15\insrsid6619955\charrsid4809308 ENMIENDA@NRAM@}{\rtlch\fcs1 \af0 \ltrch\fcs0 _x000d__x000a_\insrsid6619955\charrsid4809308 #}{\rtlch\fcs1 \af0 \ltrch\fcs0 \cs17\b0\v\fs20\cf9\loch\af1\hich\af1\dbch\af31501\insrsid6619955\charrsid4809308 \hich\af1\dbch\af31501\loch\f1 &lt;/NumAmB&gt;}{\rtlch\fcs1 \af0 \ltrch\fcs0 \insrsid6619955\charrsid4809308 _x000d__x000a_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RepeatBlock-By&gt;}{\rtlch\fcs1 \af0 \ltrch\fcs0 \insrsid6619955\charrsid4809308 #}{\rtlch\fcs1 \af1 \ltrch\fcs0 _x000d__x000a_\cs18\v\f1\fs20\cf15\insrsid6619955\charrsid4809308 (MOD@InsideLoop()}{\rtlch\fcs1 \af0 \ltrch\fcs0 \insrsid6619955\charrsid4809308 ##}{\rtlch\fcs1 \af1 \ltrch\fcs0 \cs18\v\f1\fs20\cf15\insrsid6619955\charrsid4809308 &gt;&gt;&gt;@[ZMEMBERSMSG]@}{\rtlch\fcs1 \af0 _x000d__x000a_\ltrch\fcs0 \insrsid6619955\charrsid4809308 #}{\rtlch\fcs1 \af0 \ltrch\fcs0 \cs17\b0\v\fs20\cf9\loch\af1\hich\af1\dbch\af31501\insrsid6619955\charrsid4809308 \hich\af1\dbch\af31501\loch\f1 &lt;Members&gt;}{\rtlch\fcs1 \af0 \ltrch\fcs0 _x000d__x000a_\insrsid6619955\charrsid4809308 #}{\rtlch\fcs1 \af1 \ltrch\fcs0 \cs18\v\f1\fs20\cf15\insrsid6619955\charrsid4809308 (MOD@InsideLoop(\'a7)}{\rtlch\fcs1 \af0 \ltrch\fcs0 \insrsid6619955\charrsid4809308 #}{\rtlch\fcs1 \af0 \ltrch\fcs0 _x000d__x000a_\cf10\insrsid6619955\charrsid4809308 \u9668\'3f}{\rtlch\fcs1 \af0 \ltrch\fcs0 \insrsid6619955\charrsid4809308 #}{\rtlch\fcs1 \af1 \ltrch\fcs0 \cs18\v\f1\fs20\cf15\insrsid6619955\charrsid4809308 TVTMEMBERS\'a7@MEMBERS@}{\rtlch\fcs1 \af0 \ltrch\fcs0 _x000d__x000a_\insrsid6619955\charrsid4809308 #}{\rtlch\fcs1 \af0 \ltrch\fcs0 \cf10\insrsid6619955\charrsid4809308 \u9658\'3f}{\rtlch\fcs1 \af0 \ltrch\fcs0 \cs17\b0\v\fs20\cf9\loch\af1\hich\af1\dbch\af31501\insrsid6619955\charrsid4809308 \hich\af1\dbch\af31501\loch\f1 _x000d__x000a_&lt;/Members&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uNomDe&gt;&lt;OptDel&gt;}{\rtlch\fcs1 \af0 \ltrch\fcs0 \insrsid6619955\charrsid4809308 #}{\rtlch\fcs1 \af1 \ltrch\fcs0 _x000d__x000a_\cs18\v\f1\fs20\cf15\insrsid6619955\charrsid4809308 MNU[ONBEHALFYES][NOTAPP]@CHOICE@}{\rtlch\fcs1 \af0 \ltrch\fcs0 \insrsid6619955\charrsid4809308 #}{\rtlch\fcs1 \af0 \ltrch\fcs0 _x000d__x000a_\cs17\v\fs20\cf9\loch\af1\hich\af1\dbch\af31501\insrsid6619955\charrsid4809308 \hich\af1\dbch\af31501\loch\f1 &lt;/OptDel&gt;&lt;/AuNomDe&gt;}{\rtlch\fcs1 \af0 \ltrch\fcs0 \insrsid6619955\charrsid4809308 _x000d__x000a_\par &lt;&lt;&lt;}{\rtlch\fcs1 \af0 \ltrch\fcs0 \cs17\v\fs20\cf9\loch\af1\hich\af1\dbch\af31501\insrsid6619955\charrsid4809308 \hich\af1\dbch\af31501\loch\f1 &lt;/RepeatBlock-By&gt;}{\rtlch\fcs1 \af0 \ltrch\fcs0 \insrsid6619955\charrsid4809308 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DocAmend&gt;}{\rtlch\fcs1 \af0 \ltrch\fcs0 \insrsid6619955\charrsid4809308 #}{\rtlch\fcs1 \af1 \ltrch\fcs0 _x000d__x000a_\cs18\v\f1\fs20\cf15\insrsid6619955\charrsid4809308 MNU[OPTPROPOSALCOD][OPTPROPOSALCNS][OPTPROPOSALNLE]@CHOICE@CODEMNU}{\rtlch\fcs1 \af0 \ltrch\fcs0 \insrsid6619955\charrsid4809308 #}{\rtlch\fcs1 \af0 \ltrch\fcs0 _x000d__x000a_\cs17\b0\v\fs20\cf9\loch\af1\hich\af1\dbch\af31501\insrsid6619955\charrsid4809308 \hich\af1\dbch\af31501\loch\f1 &lt;/DocAmend&gt;}{\rtlch\fcs1 \af0 \ltrch\fcs0 \insrsid6619955\charrsid4809308 _x000d__x000a_\par }\pard \ltrpar\s20\ql \li0\ri0\keepn\nowidctlpar\wrapdefault\aspalpha\aspnum\faauto\adjustright\rin0\lin0\itap0\pararsid6619955 {\rtlch\fcs1 \af0 \ltrch\fcs0 \cs17\b0\v\fs20\cf9\loch\af1\hich\af1\dbch\af31501\insrsid6619955\charrsid4809308 _x000d__x000a_\hich\af1\dbch\af31501\loch\f1 &lt;Article&gt;}{\rtlch\fcs1 \af0 \ltrch\fcs0 \insrsid6619955\charrsid4809308 #}{\rtlch\fcs1 \af1 \ltrch\fcs0 \cs18\v\f1\fs20\cf15\insrsid6619955\charrsid4809308 MNU[AMACTPARTYES][AMACTPARTNO]@CHOICE@AMACTMNU}{\rtlch\fcs1 \af0 _x000d__x000a_\ltrch\fcs0 \insrsid6619955\charrsid4809308 #}{\rtlch\fcs1 \af0 \ltrch\fcs0 \cs17\b0\v\fs20\cf9\loch\af1\hich\af1\dbch\af31501\insrsid6619955\charrsid4809308 \hich\af1\dbch\af31501\loch\f1 &lt;/Article&gt;}{\rtlch\fcs1 \af0 \ltrch\fcs0 _x000d__x000a_\insrsid6619955\charrsid4809308 _x000d__x000a_\par }\pard\plain \ltrpar\ql \li0\ri0\keepn\widctlpar\wrapdefault\aspalpha\aspnum\faauto\adjustright\rin0\lin0\itap0\pararsid6619955 \rtlch\fcs1 \af0\afs20\alang1025 \ltrch\fcs0 \fs24\lang2057\langfe2057\cgrid\langnp2057\langfenp2057 {\rtlch\fcs1 \af0 _x000d__x000a_\ltrch\fcs0 \cs17\v\fs20\cf9\loch\af1\hich\af1\dbch\af31501\insrsid6619955\charrsid4809308 \hich\af1\dbch\af31501\loch\f1 &lt;DocAmend2&gt;&lt;OptDel&gt;}{\rtlch\fcs1 \af0 \ltrch\fcs0 \insrsid6619955\charrsid4809308 #}{\rtlch\fcs1 \af1 \ltrch\fcs0 _x000d__x000a_\cs18\v\f1\fs20\cf15\insrsid6619955\charrsid4809308 MNU[OPTNRACTYES][NOTAPP]@CHOICE@AMACTMNU}{\rtlch\fcs1 \af0 \ltrch\fcs0 \insrsid6619955\charrsid4809308 #}{\rtlch\fcs1 \af0 \ltrch\fcs0 _x000d__x000a_\cs17\v\fs20\cf9\loch\af1\hich\af1\dbch\af31501\insrsid6619955\charrsid4809308 \hich\af1\dbch\af31501\loch\f1 &lt;/OptDel&gt;&lt;/DocAmend2&gt;}{\rtlch\fcs1 \af0 \ltrch\fcs0 \insrsid6619955\charrsid4809308 _x000d__x000a_\par }\pard \ltrpar\ql \li0\ri0\widctlpar\wrapdefault\aspalpha\aspnum\faauto\adjustright\rin0\lin0\itap0\pararsid6619955 {\rtlch\fcs1 \af0 \ltrch\fcs0 \cs17\v\fs20\cf9\loch\af1\hich\af1\dbch\af31501\insrsid6619955\charrsid4809308 _x000d__x000a_\hich\af1\dbch\af31501\loch\f1 &lt;Article2&gt;&lt;OptDel&gt;}{\rtlch\fcs1 \af0 \ltrch\fcs0 \insrsid6619955\charrsid4809308 #}{\rtlch\fcs1 \af1 \ltrch\fcs0 \cs18\v\f1\fs20\cf15\insrsid6619955\charrsid4809308 MNU[OPTACTPARTYES][NOTAPP]@CHOICE@AMACTMNU}{\rtlch\fcs1 _x000d__x000a_\af0 \ltrch\fcs0 \insrsid6619955\charrsid4809308 #}{\rtlch\fcs1 \af0 \ltrch\fcs0 \cs17\v\fs20\cf9\loch\af1\hich\af1\dbch\af31501\insrsid6619955\charrsid4809308 \hich\af1\dbch\af31501\loch\f1 &lt;/OptDel&gt;&lt;/Article2&gt;}{\rtlch\fcs1 \af0 \ltrch\fcs0 _x000d__x000a_\insrsid6619955\charrsid480930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6619955\charrsid4809308 #}{\rtlch\fcs1 \af1 \ltrch\fcs0 \cs18\v\f1\fs20\cf15\insrsid6619955\charrsid4809308 MNU[OPTLEFTAMACT][LEFTPROP]@CHOICE@AMACTMNU}{_x000d__x000a_\rtlch\fcs1 \af0 \ltrch\fcs0 \insrsid6619955\charrsid4809308 #\cell Amendment\cell }\pard\plain \ltrpar\ql \li0\ri0\widctlpar\intbl\wrapdefault\aspalpha\aspnum\faauto\adjustright\rin0\lin0 \rtlch\fcs1 \af0\afs20\alang1025 \ltrch\fcs0 _x000d__x000a_\fs24\lang2057\langfe2057\cgrid\langnp2057\langfenp2057 {\rtlch\fcs1 \af0 \ltrch\fcs0 \insrsid6619955\charrsid480930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6619955\charrsid4809308 ##\cell ##}{\rtlch\fcs1 \af0\afs24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619955 \rtlch\fcs1 \af0\afs20\alang1025 \ltrch\fcs0 \fs24\lang2057\langfe2057\cgrid\langnp2057\langfenp2057 {\rtlch\fcs1 \af0 \ltrch\fcs0 _x000d__x000a_\insrsid6619955\charrsid4809308 Or. }{\rtlch\fcs1 \af0 \ltrch\fcs0 \cs17\v\fs20\cf9\loch\af1\hich\af1\dbch\af31501\insrsid6619955\charrsid4809308 \hich\af1\dbch\af31501\loch\f1 &lt;Original&gt;}{\rtlch\fcs1 \af0 \ltrch\fcs0 \insrsid6619955\charrsid4809308 #}{_x000d__x000a_\rtlch\fcs1 \af1 \ltrch\fcs0 \cs18\v\f1\fs20\cf15\insrsid6619955\charrsid4809308 KEY(MAIN/LANGMIN)sh@ORLANGMSG@}{\rtlch\fcs1 \af0 \ltrch\fcs0 \insrsid6619955\charrsid4809308 #}{\rtlch\fcs1 \af0 \ltrch\fcs0 _x000d__x000a_\cs17\v\fs20\cf9\loch\af1\hich\af1\dbch\af31501\insrsid6619955\charrsid4809308 \hich\af1\dbch\af31501\loch\f1 &lt;/Original&gt;}{\rtlch\fcs1 \af0 \ltrch\fcs0 \insrsid6619955\charrsid4809308 _x000d__x000a_\par }\pard\plain \ltrpar\s22\qc \li0\ri0\sb240\sa240\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OptDel&gt;}{\rtlch\fcs1 \af0 \ltrch\fcs0 \insrsid6619955\charrsid4809308 #}{\rtlch\fcs1 \af1 \ltrch\fcs0 _x000d__x000a_\cs18\v\f1\fs20\cf15\insrsid6619955\charrsid4809308 MNU[CROSSREFNO][CROSSREFYES]@CHOICE@}{\rtlch\fcs1 \af0 \ltrch\fcs0 \insrsid6619955\charrsid4809308 #}{\rtlch\fcs1 \af0 \ltrch\fcs0 _x000d__x000a_\cs17\i0\v\fs20\cf9\loch\af1\hich\af1\dbch\af31501\insrsid6619955\charrsid4809308 \hich\af1\dbch\af31501\loch\f1 &lt;/OptDel&gt;}{\rtlch\fcs1 \af0 \ltrch\fcs0 \insrsid6619955\charrsid4809308 _x000d__x000a_\par }\pard\plain \ltrpar\s23\qc \li0\ri0\sb240\sa240\keepn\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TitreJust&gt;}{\rtlch\fcs1 \af0 \ltrch\fcs0 \insrsid6619955\charrsid4809308 Justification}{\rtlch\fcs1 \af0 _x000d__x000a_\ltrch\fcs0 \cs17\i0\v\fs20\cf9\loch\af1\hich\af1\dbch\af31501\insrsid6619955\charrsid4809308 \hich\af1\dbch\af31501\loch\f1 &lt;/TitreJust&gt;}{\rtlch\fcs1 \af0 \ltrch\fcs0 \insrsid6619955\charrsid4809308 _x000d__x000a_\par }\pard\plain \ltrpar\s21\ql \li0\ri0\sa240\nowidctlpar\wrapdefault\aspalpha\aspnum\faauto\adjustright\rin0\lin0\itap0\pararsid6619955 \rtlch\fcs1 \af0\afs20\alang1025 \ltrch\fcs0 \i\fs24\lang2057\langfe2057\cgrid\langnp2057\langfenp2057 {\rtlch\fcs1 \af0 _x000d__x000a_\ltrch\fcs0 \cs17\i0\v\fs20\cf9\loch\af1\hich\af1\dbch\af31501\insrsid6619955\charrsid4809308 \hich\af1\dbch\af31501\loch\f1 &lt;OptDelPrev&gt;}{\rtlch\fcs1 \af0 \ltrch\fcs0 \insrsid6619955\charrsid4809308 #}{\rtlch\fcs1 \af1 \ltrch\fcs0 _x000d__x000a_\cs18\v\f1\fs20\cf15\insrsid6619955\charrsid4809308 MNU[TEXTJUSTYES][TEXTJUSTNO]@CHOICE@}{\rtlch\fcs1 \af0 \ltrch\fcs0 \insrsid6619955\charrsid4809308 #}{\rtlch\fcs1 \af0 \ltrch\fcs0 _x000d__x000a_\cs17\i0\v\fs20\cf9\loch\af1\hich\af1\dbch\af31501\insrsid6619955\charrsid4809308 \hich\af1\dbch\af31501\loch\f1 &lt;/OptDelPrev&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0b_x000d__x000a_8158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30"/>
    <w:docVar w:name="TXTAUTHOR" w:val="Jorge Buxadé Villalba"/>
    <w:docVar w:name="TXTLANGUE" w:val="ET"/>
    <w:docVar w:name="TXTLANGUEMIN" w:val="et"/>
    <w:docVar w:name="TXTNRC" w:val="0179/2016"/>
    <w:docVar w:name="TXTNRCOM" w:val="2020"/>
    <w:docVar w:name="TXTNRFIRSTAM" w:val="38"/>
    <w:docVar w:name="TXTNRLASTAM" w:val="280"/>
    <w:docVar w:name="TXTNRPE" w:val="692.638"/>
    <w:docVar w:name="TXTNRPE2" w:val="597.620"/>
    <w:docVar w:name="TXTNRPROC" w:val="2016/0132"/>
    <w:docVar w:name="TXTPEorAP" w:val="PE"/>
    <w:docVar w:name="TXTROUTE" w:val="AM\1230413ET.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3-00"/>
  </w:docVars>
  <w:rsids>
    <w:rsidRoot w:val="0049625C"/>
    <w:rsid w:val="0000167B"/>
    <w:rsid w:val="00005EA9"/>
    <w:rsid w:val="00010781"/>
    <w:rsid w:val="000111BD"/>
    <w:rsid w:val="00014A9D"/>
    <w:rsid w:val="000360F8"/>
    <w:rsid w:val="000459BC"/>
    <w:rsid w:val="00073830"/>
    <w:rsid w:val="00075DBE"/>
    <w:rsid w:val="00093CCA"/>
    <w:rsid w:val="000B0781"/>
    <w:rsid w:val="000D3C5B"/>
    <w:rsid w:val="000D446F"/>
    <w:rsid w:val="000D6F47"/>
    <w:rsid w:val="000E098E"/>
    <w:rsid w:val="000E7234"/>
    <w:rsid w:val="000F2A80"/>
    <w:rsid w:val="000F7815"/>
    <w:rsid w:val="00117024"/>
    <w:rsid w:val="00126BC4"/>
    <w:rsid w:val="00131EC4"/>
    <w:rsid w:val="00150057"/>
    <w:rsid w:val="001539C8"/>
    <w:rsid w:val="00166CCB"/>
    <w:rsid w:val="00167072"/>
    <w:rsid w:val="001809DD"/>
    <w:rsid w:val="00186F4A"/>
    <w:rsid w:val="00191DDA"/>
    <w:rsid w:val="00193B6F"/>
    <w:rsid w:val="001A4802"/>
    <w:rsid w:val="001B761C"/>
    <w:rsid w:val="001C2054"/>
    <w:rsid w:val="001C502E"/>
    <w:rsid w:val="001D13C9"/>
    <w:rsid w:val="001D1AEF"/>
    <w:rsid w:val="001D1DAA"/>
    <w:rsid w:val="001D5CC4"/>
    <w:rsid w:val="001D7A49"/>
    <w:rsid w:val="001F0FDD"/>
    <w:rsid w:val="00201539"/>
    <w:rsid w:val="0020367C"/>
    <w:rsid w:val="00220882"/>
    <w:rsid w:val="00222325"/>
    <w:rsid w:val="00231EA7"/>
    <w:rsid w:val="00236619"/>
    <w:rsid w:val="002574CB"/>
    <w:rsid w:val="00280EA6"/>
    <w:rsid w:val="00294448"/>
    <w:rsid w:val="0029485B"/>
    <w:rsid w:val="002A1C82"/>
    <w:rsid w:val="002B3CB9"/>
    <w:rsid w:val="002B6A7B"/>
    <w:rsid w:val="002C5761"/>
    <w:rsid w:val="002E27CE"/>
    <w:rsid w:val="002E3F68"/>
    <w:rsid w:val="002E4311"/>
    <w:rsid w:val="002F4306"/>
    <w:rsid w:val="003003A7"/>
    <w:rsid w:val="003015D8"/>
    <w:rsid w:val="00301CF1"/>
    <w:rsid w:val="00315664"/>
    <w:rsid w:val="00322475"/>
    <w:rsid w:val="00323D3E"/>
    <w:rsid w:val="00330F2D"/>
    <w:rsid w:val="00333292"/>
    <w:rsid w:val="00344FEB"/>
    <w:rsid w:val="0036388F"/>
    <w:rsid w:val="00363AD3"/>
    <w:rsid w:val="003743DE"/>
    <w:rsid w:val="0037660F"/>
    <w:rsid w:val="00384E84"/>
    <w:rsid w:val="00384E97"/>
    <w:rsid w:val="0038706C"/>
    <w:rsid w:val="003923F7"/>
    <w:rsid w:val="00397EA3"/>
    <w:rsid w:val="003A5102"/>
    <w:rsid w:val="003B5CEB"/>
    <w:rsid w:val="003B7E38"/>
    <w:rsid w:val="003C6E39"/>
    <w:rsid w:val="003D1EB5"/>
    <w:rsid w:val="003D466C"/>
    <w:rsid w:val="003D5C0B"/>
    <w:rsid w:val="003D70F2"/>
    <w:rsid w:val="003D7AF0"/>
    <w:rsid w:val="003E08BF"/>
    <w:rsid w:val="003E43AC"/>
    <w:rsid w:val="003F21EB"/>
    <w:rsid w:val="003F3B0C"/>
    <w:rsid w:val="004078F1"/>
    <w:rsid w:val="004176CB"/>
    <w:rsid w:val="00422BB2"/>
    <w:rsid w:val="0043481A"/>
    <w:rsid w:val="004356FA"/>
    <w:rsid w:val="004367B3"/>
    <w:rsid w:val="0043716D"/>
    <w:rsid w:val="00441413"/>
    <w:rsid w:val="00441D7D"/>
    <w:rsid w:val="00442BB3"/>
    <w:rsid w:val="00452B73"/>
    <w:rsid w:val="00460029"/>
    <w:rsid w:val="00461E32"/>
    <w:rsid w:val="00464338"/>
    <w:rsid w:val="00495E20"/>
    <w:rsid w:val="0049625C"/>
    <w:rsid w:val="004C25E9"/>
    <w:rsid w:val="004D550F"/>
    <w:rsid w:val="004E0AAC"/>
    <w:rsid w:val="004E1C4C"/>
    <w:rsid w:val="004F03F0"/>
    <w:rsid w:val="004F2903"/>
    <w:rsid w:val="00506F49"/>
    <w:rsid w:val="005116B0"/>
    <w:rsid w:val="005246D8"/>
    <w:rsid w:val="00534409"/>
    <w:rsid w:val="00540CC7"/>
    <w:rsid w:val="00547F73"/>
    <w:rsid w:val="00553888"/>
    <w:rsid w:val="00554F04"/>
    <w:rsid w:val="00557617"/>
    <w:rsid w:val="005635AD"/>
    <w:rsid w:val="00571479"/>
    <w:rsid w:val="00575ED3"/>
    <w:rsid w:val="00586CFA"/>
    <w:rsid w:val="005A0496"/>
    <w:rsid w:val="005A4C90"/>
    <w:rsid w:val="005A5A75"/>
    <w:rsid w:val="005A7205"/>
    <w:rsid w:val="005A735D"/>
    <w:rsid w:val="005A7EB4"/>
    <w:rsid w:val="005B110F"/>
    <w:rsid w:val="005B32E3"/>
    <w:rsid w:val="005C0879"/>
    <w:rsid w:val="005C67AE"/>
    <w:rsid w:val="005E50C2"/>
    <w:rsid w:val="005F596F"/>
    <w:rsid w:val="00603DB5"/>
    <w:rsid w:val="00607ABE"/>
    <w:rsid w:val="00621DD5"/>
    <w:rsid w:val="00623A06"/>
    <w:rsid w:val="006337D4"/>
    <w:rsid w:val="00637384"/>
    <w:rsid w:val="00637DDC"/>
    <w:rsid w:val="00640177"/>
    <w:rsid w:val="006518BD"/>
    <w:rsid w:val="006542CE"/>
    <w:rsid w:val="0066168A"/>
    <w:rsid w:val="00665DDA"/>
    <w:rsid w:val="00672807"/>
    <w:rsid w:val="006746CD"/>
    <w:rsid w:val="00687070"/>
    <w:rsid w:val="00695CC1"/>
    <w:rsid w:val="006965BE"/>
    <w:rsid w:val="006A2838"/>
    <w:rsid w:val="006B4B58"/>
    <w:rsid w:val="006B5192"/>
    <w:rsid w:val="006B6438"/>
    <w:rsid w:val="006B6BFE"/>
    <w:rsid w:val="006D6B15"/>
    <w:rsid w:val="006F3F81"/>
    <w:rsid w:val="006F4B73"/>
    <w:rsid w:val="00702F62"/>
    <w:rsid w:val="007059E9"/>
    <w:rsid w:val="00706049"/>
    <w:rsid w:val="007152AF"/>
    <w:rsid w:val="00721695"/>
    <w:rsid w:val="00723099"/>
    <w:rsid w:val="00736FBA"/>
    <w:rsid w:val="0074160E"/>
    <w:rsid w:val="00741EF9"/>
    <w:rsid w:val="007518BB"/>
    <w:rsid w:val="007659AC"/>
    <w:rsid w:val="0077316F"/>
    <w:rsid w:val="007736BD"/>
    <w:rsid w:val="007754F8"/>
    <w:rsid w:val="0079060C"/>
    <w:rsid w:val="007A42AB"/>
    <w:rsid w:val="007C30E5"/>
    <w:rsid w:val="007C71DE"/>
    <w:rsid w:val="007D2A04"/>
    <w:rsid w:val="007D7668"/>
    <w:rsid w:val="007E5D27"/>
    <w:rsid w:val="007F0DA8"/>
    <w:rsid w:val="007F4724"/>
    <w:rsid w:val="0080217A"/>
    <w:rsid w:val="008039DE"/>
    <w:rsid w:val="00817A43"/>
    <w:rsid w:val="00821EE9"/>
    <w:rsid w:val="00822C94"/>
    <w:rsid w:val="00835CF2"/>
    <w:rsid w:val="008363E4"/>
    <w:rsid w:val="0084108D"/>
    <w:rsid w:val="00851460"/>
    <w:rsid w:val="0087052C"/>
    <w:rsid w:val="00870CF2"/>
    <w:rsid w:val="00874862"/>
    <w:rsid w:val="00875A9C"/>
    <w:rsid w:val="008776AA"/>
    <w:rsid w:val="00887FDC"/>
    <w:rsid w:val="00891FB0"/>
    <w:rsid w:val="008938AF"/>
    <w:rsid w:val="008A282C"/>
    <w:rsid w:val="008A339D"/>
    <w:rsid w:val="008B251A"/>
    <w:rsid w:val="008C7BBD"/>
    <w:rsid w:val="008D4C3C"/>
    <w:rsid w:val="008D6348"/>
    <w:rsid w:val="008D6D06"/>
    <w:rsid w:val="008E27D2"/>
    <w:rsid w:val="008F0DDD"/>
    <w:rsid w:val="008F21B0"/>
    <w:rsid w:val="008F326A"/>
    <w:rsid w:val="00900CAE"/>
    <w:rsid w:val="00904AD5"/>
    <w:rsid w:val="00907CCA"/>
    <w:rsid w:val="009154FF"/>
    <w:rsid w:val="00917A85"/>
    <w:rsid w:val="009246B9"/>
    <w:rsid w:val="00940432"/>
    <w:rsid w:val="00966038"/>
    <w:rsid w:val="00966331"/>
    <w:rsid w:val="00971F44"/>
    <w:rsid w:val="00984127"/>
    <w:rsid w:val="00984E43"/>
    <w:rsid w:val="00985804"/>
    <w:rsid w:val="009A65D8"/>
    <w:rsid w:val="009A7936"/>
    <w:rsid w:val="009B0305"/>
    <w:rsid w:val="009C3BD9"/>
    <w:rsid w:val="009D7E05"/>
    <w:rsid w:val="009E33CF"/>
    <w:rsid w:val="009F0515"/>
    <w:rsid w:val="009F230F"/>
    <w:rsid w:val="009F7855"/>
    <w:rsid w:val="00A15973"/>
    <w:rsid w:val="00A233E9"/>
    <w:rsid w:val="00A27913"/>
    <w:rsid w:val="00A46736"/>
    <w:rsid w:val="00A47E80"/>
    <w:rsid w:val="00A507FC"/>
    <w:rsid w:val="00A5426B"/>
    <w:rsid w:val="00A57D4A"/>
    <w:rsid w:val="00A845EF"/>
    <w:rsid w:val="00A84E16"/>
    <w:rsid w:val="00A84E8B"/>
    <w:rsid w:val="00A93389"/>
    <w:rsid w:val="00A93F8C"/>
    <w:rsid w:val="00AA0426"/>
    <w:rsid w:val="00AB28D7"/>
    <w:rsid w:val="00AB74D6"/>
    <w:rsid w:val="00AC1DCD"/>
    <w:rsid w:val="00AC4FE0"/>
    <w:rsid w:val="00AC7149"/>
    <w:rsid w:val="00AD730A"/>
    <w:rsid w:val="00AE4459"/>
    <w:rsid w:val="00AF25FC"/>
    <w:rsid w:val="00AF2819"/>
    <w:rsid w:val="00B0638A"/>
    <w:rsid w:val="00B10564"/>
    <w:rsid w:val="00B20033"/>
    <w:rsid w:val="00B236F8"/>
    <w:rsid w:val="00B3276E"/>
    <w:rsid w:val="00B41B4D"/>
    <w:rsid w:val="00B604E3"/>
    <w:rsid w:val="00B626BC"/>
    <w:rsid w:val="00B726E6"/>
    <w:rsid w:val="00B77A45"/>
    <w:rsid w:val="00B8066A"/>
    <w:rsid w:val="00B85286"/>
    <w:rsid w:val="00B90B7F"/>
    <w:rsid w:val="00B9188F"/>
    <w:rsid w:val="00B97916"/>
    <w:rsid w:val="00BA18AB"/>
    <w:rsid w:val="00BA48D2"/>
    <w:rsid w:val="00BB4114"/>
    <w:rsid w:val="00BC1B1F"/>
    <w:rsid w:val="00BC691F"/>
    <w:rsid w:val="00BC6E7C"/>
    <w:rsid w:val="00BE0C84"/>
    <w:rsid w:val="00BE5062"/>
    <w:rsid w:val="00C07D74"/>
    <w:rsid w:val="00C10D52"/>
    <w:rsid w:val="00C10F61"/>
    <w:rsid w:val="00C12332"/>
    <w:rsid w:val="00C14BB1"/>
    <w:rsid w:val="00C20FEC"/>
    <w:rsid w:val="00C22CC4"/>
    <w:rsid w:val="00C2336C"/>
    <w:rsid w:val="00C35842"/>
    <w:rsid w:val="00C35E35"/>
    <w:rsid w:val="00C37F40"/>
    <w:rsid w:val="00C41D9E"/>
    <w:rsid w:val="00C41E32"/>
    <w:rsid w:val="00C44E4D"/>
    <w:rsid w:val="00C527D5"/>
    <w:rsid w:val="00C61ED4"/>
    <w:rsid w:val="00C63FCE"/>
    <w:rsid w:val="00C66EAE"/>
    <w:rsid w:val="00C7104F"/>
    <w:rsid w:val="00C92798"/>
    <w:rsid w:val="00CA0A1F"/>
    <w:rsid w:val="00CA7F9A"/>
    <w:rsid w:val="00CB0361"/>
    <w:rsid w:val="00CB34F1"/>
    <w:rsid w:val="00CB5A74"/>
    <w:rsid w:val="00CB7B07"/>
    <w:rsid w:val="00CC3983"/>
    <w:rsid w:val="00CF3BD8"/>
    <w:rsid w:val="00D00CC7"/>
    <w:rsid w:val="00D01C80"/>
    <w:rsid w:val="00D074A1"/>
    <w:rsid w:val="00D100D1"/>
    <w:rsid w:val="00D14FCE"/>
    <w:rsid w:val="00D15308"/>
    <w:rsid w:val="00D1583C"/>
    <w:rsid w:val="00D15D1E"/>
    <w:rsid w:val="00D36649"/>
    <w:rsid w:val="00D42398"/>
    <w:rsid w:val="00D4480B"/>
    <w:rsid w:val="00D44842"/>
    <w:rsid w:val="00D67400"/>
    <w:rsid w:val="00D677D5"/>
    <w:rsid w:val="00D70812"/>
    <w:rsid w:val="00D718EB"/>
    <w:rsid w:val="00D755F1"/>
    <w:rsid w:val="00D767AC"/>
    <w:rsid w:val="00D82FCC"/>
    <w:rsid w:val="00D87B31"/>
    <w:rsid w:val="00D955BF"/>
    <w:rsid w:val="00DB429F"/>
    <w:rsid w:val="00DB65C2"/>
    <w:rsid w:val="00DB6A3F"/>
    <w:rsid w:val="00DC4160"/>
    <w:rsid w:val="00DC6A1B"/>
    <w:rsid w:val="00DE341D"/>
    <w:rsid w:val="00DE4A54"/>
    <w:rsid w:val="00DE6693"/>
    <w:rsid w:val="00DE672F"/>
    <w:rsid w:val="00DE78ED"/>
    <w:rsid w:val="00E15A86"/>
    <w:rsid w:val="00E226DE"/>
    <w:rsid w:val="00E25DC5"/>
    <w:rsid w:val="00E44BB0"/>
    <w:rsid w:val="00E44FE3"/>
    <w:rsid w:val="00E4687E"/>
    <w:rsid w:val="00E471BE"/>
    <w:rsid w:val="00E57F50"/>
    <w:rsid w:val="00E65BB2"/>
    <w:rsid w:val="00E660E2"/>
    <w:rsid w:val="00E66FD7"/>
    <w:rsid w:val="00E7052F"/>
    <w:rsid w:val="00EA25AE"/>
    <w:rsid w:val="00EA350D"/>
    <w:rsid w:val="00EB3A71"/>
    <w:rsid w:val="00EC2BB8"/>
    <w:rsid w:val="00EC75D8"/>
    <w:rsid w:val="00EE011D"/>
    <w:rsid w:val="00EE288A"/>
    <w:rsid w:val="00EE3E0D"/>
    <w:rsid w:val="00EE68CA"/>
    <w:rsid w:val="00EF03A3"/>
    <w:rsid w:val="00EF11AD"/>
    <w:rsid w:val="00EF1A0C"/>
    <w:rsid w:val="00EF632C"/>
    <w:rsid w:val="00F27170"/>
    <w:rsid w:val="00F36801"/>
    <w:rsid w:val="00F459F7"/>
    <w:rsid w:val="00F528F9"/>
    <w:rsid w:val="00F75010"/>
    <w:rsid w:val="00F92B49"/>
    <w:rsid w:val="00FA192C"/>
    <w:rsid w:val="00FA701A"/>
    <w:rsid w:val="00FB40B0"/>
    <w:rsid w:val="00FB758F"/>
    <w:rsid w:val="00FC1B08"/>
    <w:rsid w:val="00FC34FA"/>
    <w:rsid w:val="00FD05BD"/>
    <w:rsid w:val="00FD0E99"/>
    <w:rsid w:val="00FD675F"/>
    <w:rsid w:val="00FE03B4"/>
    <w:rsid w:val="00FE1993"/>
    <w:rsid w:val="00FF1B5F"/>
    <w:rsid w:val="00FF5EA8"/>
    <w:rsid w:val="00FF77CA"/>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1A04F4"/>
  <w15:chartTrackingRefBased/>
  <w15:docId w15:val="{ACC8D929-21D1-4514-AD63-B3AAD10C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50D"/>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1D1AEF"/>
    <w:pPr>
      <w:widowControl/>
      <w:spacing w:before="100" w:beforeAutospacing="1" w:after="100" w:afterAutospacing="1"/>
    </w:pPr>
    <w:rPr>
      <w:szCs w:val="24"/>
    </w:rPr>
  </w:style>
  <w:style w:type="paragraph" w:styleId="Footer">
    <w:name w:val="footer"/>
    <w:link w:val="FooterChar"/>
    <w:semiHidden/>
    <w:unhideWhenUsed/>
    <w:rsid w:val="001D1AE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1D1AEF"/>
    <w:rPr>
      <w:sz w:val="22"/>
    </w:rPr>
  </w:style>
  <w:style w:type="character" w:customStyle="1" w:styleId="Normal12Char">
    <w:name w:val="Normal12 Char"/>
    <w:basedOn w:val="DefaultParagraphFont"/>
    <w:link w:val="Normal12"/>
    <w:locked/>
    <w:rsid w:val="001D1AEF"/>
    <w:rPr>
      <w:noProof/>
      <w:sz w:val="24"/>
    </w:rPr>
  </w:style>
  <w:style w:type="paragraph" w:customStyle="1" w:styleId="Normal12">
    <w:name w:val="Normal12"/>
    <w:basedOn w:val="Normal"/>
    <w:link w:val="Normal12Char"/>
    <w:rsid w:val="001D1AEF"/>
    <w:pPr>
      <w:spacing w:after="240"/>
    </w:pPr>
    <w:rPr>
      <w:noProof/>
    </w:rPr>
  </w:style>
  <w:style w:type="paragraph" w:customStyle="1" w:styleId="CommitteeAM">
    <w:name w:val="CommitteeAM"/>
    <w:basedOn w:val="Normal"/>
    <w:rsid w:val="001D1AEF"/>
    <w:pPr>
      <w:spacing w:before="240" w:after="600"/>
      <w:jc w:val="center"/>
    </w:pPr>
    <w:rPr>
      <w:i/>
    </w:rPr>
  </w:style>
  <w:style w:type="paragraph" w:customStyle="1" w:styleId="ZDateAM">
    <w:name w:val="ZDateAM"/>
    <w:basedOn w:val="Normal"/>
    <w:rsid w:val="001D1AEF"/>
    <w:pPr>
      <w:tabs>
        <w:tab w:val="right" w:pos="9356"/>
      </w:tabs>
      <w:spacing w:after="480"/>
    </w:pPr>
    <w:rPr>
      <w:noProof/>
    </w:rPr>
  </w:style>
  <w:style w:type="paragraph" w:customStyle="1" w:styleId="ProjRap">
    <w:name w:val="ProjRap"/>
    <w:basedOn w:val="Normal"/>
    <w:rsid w:val="001D1AEF"/>
    <w:pPr>
      <w:tabs>
        <w:tab w:val="right" w:pos="9356"/>
      </w:tabs>
    </w:pPr>
    <w:rPr>
      <w:b/>
      <w:noProof/>
    </w:rPr>
  </w:style>
  <w:style w:type="paragraph" w:customStyle="1" w:styleId="PELeft">
    <w:name w:val="PELeft"/>
    <w:basedOn w:val="Normal"/>
    <w:rsid w:val="001D1AEF"/>
    <w:pPr>
      <w:spacing w:before="40" w:after="40"/>
    </w:pPr>
    <w:rPr>
      <w:rFonts w:ascii="Arial" w:hAnsi="Arial" w:cs="Arial"/>
      <w:sz w:val="22"/>
      <w:szCs w:val="22"/>
    </w:rPr>
  </w:style>
  <w:style w:type="paragraph" w:customStyle="1" w:styleId="PERight">
    <w:name w:val="PERight"/>
    <w:basedOn w:val="Normal"/>
    <w:next w:val="Normal"/>
    <w:rsid w:val="001D1AEF"/>
    <w:pPr>
      <w:jc w:val="right"/>
    </w:pPr>
    <w:rPr>
      <w:rFonts w:ascii="Arial" w:hAnsi="Arial" w:cs="Arial"/>
      <w:sz w:val="22"/>
      <w:szCs w:val="22"/>
    </w:rPr>
  </w:style>
  <w:style w:type="character" w:customStyle="1" w:styleId="Normal6Char">
    <w:name w:val="Normal6 Char"/>
    <w:basedOn w:val="DefaultParagraphFont"/>
    <w:link w:val="Normal6"/>
    <w:locked/>
    <w:rsid w:val="001D1AEF"/>
    <w:rPr>
      <w:sz w:val="24"/>
      <w:lang w:val="et-EE"/>
    </w:rPr>
  </w:style>
  <w:style w:type="paragraph" w:customStyle="1" w:styleId="Normal6">
    <w:name w:val="Normal6"/>
    <w:basedOn w:val="Normal"/>
    <w:link w:val="Normal6Char"/>
    <w:rsid w:val="001D1AEF"/>
    <w:pPr>
      <w:spacing w:after="120"/>
    </w:pPr>
  </w:style>
  <w:style w:type="character" w:customStyle="1" w:styleId="NormalBoldChar">
    <w:name w:val="NormalBold Char"/>
    <w:basedOn w:val="DefaultParagraphFont"/>
    <w:link w:val="NormalBold"/>
    <w:locked/>
    <w:rsid w:val="001D1AEF"/>
    <w:rPr>
      <w:b/>
      <w:sz w:val="24"/>
    </w:rPr>
  </w:style>
  <w:style w:type="paragraph" w:customStyle="1" w:styleId="Normal12Italic">
    <w:name w:val="Normal12Italic"/>
    <w:basedOn w:val="Normal12"/>
    <w:rsid w:val="001D1AEF"/>
    <w:rPr>
      <w:i/>
    </w:rPr>
  </w:style>
  <w:style w:type="paragraph" w:customStyle="1" w:styleId="JustificationTitle">
    <w:name w:val="JustificationTitle"/>
    <w:basedOn w:val="Normal"/>
    <w:next w:val="Normal12"/>
    <w:rsid w:val="001D1AEF"/>
    <w:pPr>
      <w:keepNext/>
      <w:spacing w:before="240" w:after="240"/>
      <w:jc w:val="center"/>
    </w:pPr>
    <w:rPr>
      <w:i/>
      <w:noProof/>
    </w:rPr>
  </w:style>
  <w:style w:type="paragraph" w:customStyle="1" w:styleId="Olang">
    <w:name w:val="Olang"/>
    <w:basedOn w:val="Normal"/>
    <w:rsid w:val="001D1AEF"/>
    <w:pPr>
      <w:spacing w:before="240" w:after="240"/>
      <w:jc w:val="right"/>
    </w:pPr>
    <w:rPr>
      <w:noProof/>
      <w:szCs w:val="24"/>
    </w:rPr>
  </w:style>
  <w:style w:type="paragraph" w:customStyle="1" w:styleId="ColumnHeading">
    <w:name w:val="ColumnHeading"/>
    <w:basedOn w:val="Normal"/>
    <w:rsid w:val="001D1AEF"/>
    <w:pPr>
      <w:spacing w:after="240"/>
      <w:jc w:val="center"/>
    </w:pPr>
    <w:rPr>
      <w:i/>
    </w:rPr>
  </w:style>
  <w:style w:type="paragraph" w:customStyle="1" w:styleId="AMNumberTabs0">
    <w:name w:val="AMNumberTabs"/>
    <w:basedOn w:val="Normal"/>
    <w:rsid w:val="001D1A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1D1AEF"/>
    <w:pPr>
      <w:spacing w:before="240"/>
    </w:pPr>
    <w:rPr>
      <w:b/>
    </w:rPr>
  </w:style>
  <w:style w:type="paragraph" w:customStyle="1" w:styleId="CrossRef">
    <w:name w:val="CrossRef"/>
    <w:basedOn w:val="Normal"/>
    <w:rsid w:val="001D1AEF"/>
    <w:pPr>
      <w:spacing w:before="240"/>
      <w:jc w:val="center"/>
    </w:pPr>
    <w:rPr>
      <w:i/>
    </w:rPr>
  </w:style>
  <w:style w:type="paragraph" w:customStyle="1" w:styleId="Footer2">
    <w:name w:val="Footer2"/>
    <w:basedOn w:val="Normal12"/>
    <w:rsid w:val="001D1AEF"/>
    <w:pPr>
      <w:tabs>
        <w:tab w:val="center" w:pos="4535"/>
        <w:tab w:val="right" w:pos="9923"/>
      </w:tabs>
      <w:spacing w:line="480" w:lineRule="auto"/>
      <w:ind w:left="-851"/>
    </w:pPr>
    <w:rPr>
      <w:rFonts w:ascii="Arial" w:cs="Arial"/>
      <w:b/>
      <w:sz w:val="48"/>
    </w:rPr>
  </w:style>
  <w:style w:type="character" w:customStyle="1" w:styleId="Footer2Middle">
    <w:name w:val="Footer2Middle"/>
    <w:rsid w:val="001D1AEF"/>
    <w:rPr>
      <w:rFonts w:ascii="Arial" w:hAnsi="Arial" w:cs="Arial" w:hint="default"/>
      <w:b w:val="0"/>
      <w:bCs w:val="0"/>
      <w:i/>
      <w:iCs w:val="0"/>
      <w:color w:val="C0C0C0"/>
      <w:sz w:val="22"/>
    </w:rPr>
  </w:style>
  <w:style w:type="paragraph" w:customStyle="1" w:styleId="EntPE">
    <w:name w:val="EntPE"/>
    <w:basedOn w:val="Normal12"/>
    <w:rsid w:val="001D1AEF"/>
    <w:pPr>
      <w:jc w:val="center"/>
    </w:pPr>
    <w:rPr>
      <w:noProof w:val="0"/>
      <w:sz w:val="56"/>
    </w:rPr>
  </w:style>
  <w:style w:type="paragraph" w:styleId="BalloonText">
    <w:name w:val="Balloon Text"/>
    <w:basedOn w:val="Normal"/>
    <w:link w:val="BalloonTextChar"/>
    <w:semiHidden/>
    <w:unhideWhenUsed/>
    <w:rsid w:val="00984E43"/>
    <w:rPr>
      <w:rFonts w:ascii="Segoe UI" w:hAnsi="Segoe UI" w:cs="Segoe UI"/>
      <w:sz w:val="18"/>
      <w:szCs w:val="18"/>
    </w:rPr>
  </w:style>
  <w:style w:type="character" w:customStyle="1" w:styleId="BalloonTextChar">
    <w:name w:val="Balloon Text Char"/>
    <w:basedOn w:val="DefaultParagraphFont"/>
    <w:link w:val="BalloonText"/>
    <w:semiHidden/>
    <w:rsid w:val="00984E43"/>
    <w:rPr>
      <w:rFonts w:ascii="Segoe UI" w:hAnsi="Segoe UI" w:cs="Segoe UI"/>
      <w:sz w:val="18"/>
      <w:szCs w:val="18"/>
    </w:rPr>
  </w:style>
  <w:style w:type="character" w:styleId="CommentReference">
    <w:name w:val="annotation reference"/>
    <w:basedOn w:val="DefaultParagraphFont"/>
    <w:rsid w:val="008E27D2"/>
    <w:rPr>
      <w:sz w:val="16"/>
      <w:szCs w:val="16"/>
    </w:rPr>
  </w:style>
  <w:style w:type="paragraph" w:styleId="CommentText">
    <w:name w:val="annotation text"/>
    <w:basedOn w:val="Normal"/>
    <w:link w:val="CommentTextChar"/>
    <w:rsid w:val="008E27D2"/>
    <w:rPr>
      <w:sz w:val="20"/>
    </w:rPr>
  </w:style>
  <w:style w:type="character" w:customStyle="1" w:styleId="CommentTextChar">
    <w:name w:val="Comment Text Char"/>
    <w:basedOn w:val="DefaultParagraphFont"/>
    <w:link w:val="CommentText"/>
    <w:rsid w:val="008E27D2"/>
  </w:style>
  <w:style w:type="paragraph" w:styleId="CommentSubject">
    <w:name w:val="annotation subject"/>
    <w:basedOn w:val="CommentText"/>
    <w:next w:val="CommentText"/>
    <w:link w:val="CommentSubjectChar"/>
    <w:semiHidden/>
    <w:unhideWhenUsed/>
    <w:rsid w:val="008E27D2"/>
    <w:rPr>
      <w:b/>
      <w:bCs/>
    </w:rPr>
  </w:style>
  <w:style w:type="character" w:customStyle="1" w:styleId="CommentSubjectChar">
    <w:name w:val="Comment Subject Char"/>
    <w:basedOn w:val="CommentTextChar"/>
    <w:link w:val="CommentSubject"/>
    <w:semiHidden/>
    <w:rsid w:val="008E27D2"/>
    <w:rPr>
      <w:b/>
      <w:bCs/>
    </w:rPr>
  </w:style>
  <w:style w:type="paragraph" w:styleId="Revision">
    <w:name w:val="Revision"/>
    <w:hidden/>
    <w:uiPriority w:val="99"/>
    <w:semiHidden/>
    <w:rsid w:val="0029485B"/>
    <w:rPr>
      <w:sz w:val="24"/>
    </w:rPr>
  </w:style>
  <w:style w:type="paragraph" w:styleId="NormalWeb">
    <w:name w:val="Normal (Web)"/>
    <w:basedOn w:val="Normal"/>
    <w:uiPriority w:val="99"/>
    <w:unhideWhenUsed/>
    <w:rsid w:val="00817A43"/>
    <w:pPr>
      <w:widowControl/>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HILL~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530D1-FBA0-4098-8FBC-28471A9AF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131</Pages>
  <Words>29126</Words>
  <Characters>202431</Characters>
  <Application>Microsoft Office Word</Application>
  <DocSecurity>0</DocSecurity>
  <Lines>8434</Lines>
  <Paragraphs>3261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228296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2021-04-30T10:57:00Z</cp:lastPrinted>
  <dcterms:created xsi:type="dcterms:W3CDTF">2021-05-26T09:42:00Z</dcterms:created>
  <dcterms:modified xsi:type="dcterms:W3CDTF">2021-05-26T09:42:00Z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1230413</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Bookout">
    <vt:lpwstr>OK - 2021/05/26 11:16</vt:lpwstr>
  </property>
  <property fmtid="{D5CDD505-2E9C-101B-9397-08002B2CF9AE}" pid="9" name="Created with">
    <vt:lpwstr>9.9.1 Build [20200705]</vt:lpwstr>
  </property>
  <property fmtid="{D5CDD505-2E9C-101B-9397-08002B2CF9AE}" pid="10" name="FooterPath">
    <vt:lpwstr>AM\1230413ET.docx</vt:lpwstr>
  </property>
  <property fmtid="{D5CDD505-2E9C-101B-9397-08002B2CF9AE}" pid="11" name="LastEdited with">
    <vt:lpwstr>9.9.1 Build [20200705]</vt:lpwstr>
  </property>
  <property fmtid="{D5CDD505-2E9C-101B-9397-08002B2CF9AE}" pid="12" name="PE number">
    <vt:lpwstr>692.638</vt:lpwstr>
  </property>
  <property fmtid="{D5CDD505-2E9C-101B-9397-08002B2CF9AE}" pid="13" name="SDLStudio">
    <vt:lpwstr/>
  </property>
  <property fmtid="{D5CDD505-2E9C-101B-9397-08002B2CF9AE}" pid="14" name="SendToEpades">
    <vt:lpwstr>OK - 2021/05/04 18:13</vt:lpwstr>
  </property>
</Properties>
</file>