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A22A3" w:rsidTr="00FA1C02">
        <w:trPr>
          <w:trHeight w:hRule="exact" w:val="1418"/>
        </w:trPr>
        <w:tc>
          <w:tcPr>
            <w:tcW w:w="6804" w:type="dxa"/>
            <w:shd w:val="clear" w:color="auto" w:fill="auto"/>
            <w:vAlign w:val="center"/>
          </w:tcPr>
          <w:p w:rsidR="00BE5062" w:rsidRPr="002D7B59" w:rsidRDefault="00CB6874" w:rsidP="001507AB">
            <w:pPr>
              <w:pStyle w:val="EPName"/>
            </w:pPr>
            <w:r>
              <w:t>Parlament Europejski</w:t>
            </w:r>
          </w:p>
          <w:p w:rsidR="00BE5062" w:rsidRPr="002D7B59" w:rsidRDefault="00CB6874" w:rsidP="001507AB">
            <w:pPr>
              <w:pStyle w:val="EPTerm"/>
            </w:pPr>
            <w:r>
              <w:t>2019-2024</w:t>
            </w:r>
          </w:p>
        </w:tc>
        <w:tc>
          <w:tcPr>
            <w:tcW w:w="2268" w:type="dxa"/>
            <w:shd w:val="clear" w:color="auto" w:fill="auto"/>
          </w:tcPr>
          <w:p w:rsidR="00BE5062" w:rsidRPr="002D7B59" w:rsidRDefault="00CB6874" w:rsidP="00FA1C02">
            <w:pPr>
              <w:pStyle w:val="EPLogo"/>
            </w:pPr>
            <w:r w:rsidRPr="002D7B59">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477733"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D7B59" w:rsidRDefault="000E7234" w:rsidP="000E7234">
      <w:pPr>
        <w:pStyle w:val="LineTop"/>
      </w:pPr>
    </w:p>
    <w:p w:rsidR="000E7234" w:rsidRPr="002D7B59" w:rsidRDefault="00CB6874" w:rsidP="000E7234">
      <w:pPr>
        <w:pStyle w:val="EPBody"/>
      </w:pPr>
      <w:r>
        <w:rPr>
          <w:rStyle w:val="HideTWBExt"/>
          <w:noProof w:val="0"/>
        </w:rPr>
        <w:t>&lt;</w:t>
      </w:r>
      <w:r>
        <w:rPr>
          <w:rStyle w:val="HideTWBExt"/>
          <w:i w:val="0"/>
          <w:noProof w:val="0"/>
        </w:rPr>
        <w:t>Commission</w:t>
      </w:r>
      <w:r>
        <w:rPr>
          <w:rStyle w:val="HideTWBExt"/>
          <w:noProof w:val="0"/>
        </w:rPr>
        <w:t>&gt;</w:t>
      </w:r>
      <w:r>
        <w:rPr>
          <w:rStyle w:val="HideTWBInt"/>
          <w:color w:val="auto"/>
        </w:rPr>
        <w:t>{LIBE}</w:t>
      </w:r>
      <w:r>
        <w:t>Komisja Wolności Obywatelskich, Sprawiedliwości i Spraw Wewnętrznych</w:t>
      </w:r>
      <w:r>
        <w:rPr>
          <w:rStyle w:val="HideTWBExt"/>
          <w:noProof w:val="0"/>
        </w:rPr>
        <w:t>&lt;/</w:t>
      </w:r>
      <w:r>
        <w:rPr>
          <w:rStyle w:val="HideTWBExt"/>
          <w:i w:val="0"/>
          <w:noProof w:val="0"/>
        </w:rPr>
        <w:t>Commission</w:t>
      </w:r>
      <w:r>
        <w:rPr>
          <w:rStyle w:val="HideTWBExt"/>
          <w:noProof w:val="0"/>
        </w:rPr>
        <w:t>&gt;</w:t>
      </w:r>
    </w:p>
    <w:p w:rsidR="000E7234" w:rsidRPr="002D7B59" w:rsidRDefault="000E7234" w:rsidP="000E7234">
      <w:pPr>
        <w:pStyle w:val="LineBottom"/>
      </w:pPr>
    </w:p>
    <w:p w:rsidR="00B85286" w:rsidRPr="002D7B59" w:rsidRDefault="00CB6874">
      <w:pPr>
        <w:pStyle w:val="CoverReference"/>
      </w:pPr>
      <w:r>
        <w:rPr>
          <w:rStyle w:val="HideTWBExt"/>
          <w:b w:val="0"/>
          <w:noProof w:val="0"/>
        </w:rPr>
        <w:t>&lt;RefProc&gt;</w:t>
      </w:r>
      <w:r>
        <w:t>2016/0224</w:t>
      </w:r>
      <w:r>
        <w:rPr>
          <w:rStyle w:val="HideTWBExt"/>
          <w:b w:val="0"/>
          <w:noProof w:val="0"/>
        </w:rPr>
        <w:t>&lt;/RefProc&gt;&lt;RefTypeProc&gt;</w:t>
      </w:r>
      <w:r>
        <w:t>(COD)</w:t>
      </w:r>
      <w:r>
        <w:rPr>
          <w:rStyle w:val="HideTWBExt"/>
          <w:b w:val="0"/>
          <w:noProof w:val="0"/>
        </w:rPr>
        <w:t>&lt;/RefTypeProc&gt;</w:t>
      </w:r>
    </w:p>
    <w:p w:rsidR="00B85286" w:rsidRPr="002D7B59" w:rsidRDefault="00CB6874">
      <w:pPr>
        <w:pStyle w:val="CoverDate"/>
      </w:pPr>
      <w:r>
        <w:rPr>
          <w:rStyle w:val="HideTWBExt"/>
          <w:noProof w:val="0"/>
        </w:rPr>
        <w:t>&lt;Date&gt;</w:t>
      </w:r>
      <w:r>
        <w:rPr>
          <w:rStyle w:val="HideTWBInt"/>
          <w:color w:val="auto"/>
        </w:rPr>
        <w:t>{13/10/2021}</w:t>
      </w:r>
      <w:r>
        <w:t>13.10.2021</w:t>
      </w:r>
      <w:r>
        <w:rPr>
          <w:rStyle w:val="HideTWBExt"/>
          <w:noProof w:val="0"/>
        </w:rPr>
        <w:t>&lt;/Date&gt;</w:t>
      </w:r>
    </w:p>
    <w:p w:rsidR="009B0305" w:rsidRPr="002D7B59" w:rsidRDefault="00CB6874" w:rsidP="009B0305">
      <w:pPr>
        <w:pStyle w:val="CoverDocType"/>
      </w:pPr>
      <w:r>
        <w:rPr>
          <w:rStyle w:val="HideTWBExt"/>
          <w:b w:val="0"/>
          <w:noProof w:val="0"/>
        </w:rPr>
        <w:t>&lt;TypeAM&gt;</w:t>
      </w:r>
      <w:r>
        <w:t>POPRAW</w:t>
      </w:r>
      <w:bookmarkStart w:id="0" w:name="_GoBack"/>
      <w:bookmarkEnd w:id="0"/>
      <w:r>
        <w:t>KI</w:t>
      </w:r>
      <w:r>
        <w:rPr>
          <w:rStyle w:val="HideTWBExt"/>
          <w:b w:val="0"/>
          <w:noProof w:val="0"/>
        </w:rPr>
        <w:t>&lt;/TypeAM&gt;</w:t>
      </w:r>
    </w:p>
    <w:p w:rsidR="00B85286" w:rsidRPr="002D7B59" w:rsidRDefault="00CB6874" w:rsidP="001C2054">
      <w:pPr>
        <w:pStyle w:val="CoverDocType24a"/>
      </w:pPr>
      <w:r>
        <w:rPr>
          <w:rStyle w:val="HideTWBExt"/>
          <w:b w:val="0"/>
          <w:noProof w:val="0"/>
        </w:rPr>
        <w:t>&lt;RangeAM&gt;</w:t>
      </w:r>
      <w:r>
        <w:t>1 - 63</w:t>
      </w:r>
      <w:r>
        <w:rPr>
          <w:rStyle w:val="HideTWBExt"/>
          <w:b w:val="0"/>
          <w:noProof w:val="0"/>
        </w:rPr>
        <w:t>&lt;/RangeAM&gt;</w:t>
      </w:r>
    </w:p>
    <w:p w:rsidR="001C2054" w:rsidRPr="002D7B59" w:rsidRDefault="00CB6874" w:rsidP="00A93F8C">
      <w:pPr>
        <w:pStyle w:val="CoverBold"/>
      </w:pPr>
      <w:r>
        <w:rPr>
          <w:rStyle w:val="HideTWBExt"/>
          <w:b w:val="0"/>
          <w:noProof w:val="0"/>
        </w:rPr>
        <w:t>&lt;TitreType&gt;</w:t>
      </w:r>
      <w:r>
        <w:t>Projekt sprawozdania</w:t>
      </w:r>
      <w:r>
        <w:rPr>
          <w:rStyle w:val="HideTWBExt"/>
          <w:b w:val="0"/>
          <w:noProof w:val="0"/>
        </w:rPr>
        <w:t>&lt;/TitreType&gt;</w:t>
      </w:r>
    </w:p>
    <w:p w:rsidR="00B85286" w:rsidRPr="002D7B59" w:rsidRDefault="00CB6874" w:rsidP="00A93F8C">
      <w:pPr>
        <w:pStyle w:val="CoverBold"/>
      </w:pPr>
      <w:r>
        <w:rPr>
          <w:rStyle w:val="HideTWBExt"/>
          <w:b w:val="0"/>
          <w:noProof w:val="0"/>
        </w:rPr>
        <w:t>&lt;Rapporteur&gt;</w:t>
      </w:r>
      <w:r>
        <w:t>Fabienne Keller</w:t>
      </w:r>
      <w:r>
        <w:rPr>
          <w:rStyle w:val="HideTWBExt"/>
          <w:b w:val="0"/>
          <w:noProof w:val="0"/>
        </w:rPr>
        <w:t>&lt;/Rapporteur&gt;</w:t>
      </w:r>
    </w:p>
    <w:p w:rsidR="00B85286" w:rsidRPr="002D7B59" w:rsidRDefault="00CB6874">
      <w:pPr>
        <w:pStyle w:val="CoverNormal24a"/>
      </w:pPr>
      <w:r>
        <w:rPr>
          <w:rStyle w:val="HideTWBExt"/>
          <w:noProof w:val="0"/>
        </w:rPr>
        <w:t>&lt;DocRefPE&gt;</w:t>
      </w:r>
      <w:r>
        <w:t>(PE697.689v01-00)</w:t>
      </w:r>
      <w:r>
        <w:rPr>
          <w:rStyle w:val="HideTWBExt"/>
          <w:noProof w:val="0"/>
        </w:rPr>
        <w:t>&lt;/DocRefPE&gt;</w:t>
      </w:r>
    </w:p>
    <w:p w:rsidR="00BC5E9B" w:rsidRPr="002D7B59" w:rsidRDefault="00CB6874" w:rsidP="00B73CB7">
      <w:pPr>
        <w:pStyle w:val="CoverNormal24a"/>
      </w:pPr>
      <w:r>
        <w:rPr>
          <w:rStyle w:val="HideTWBExt"/>
          <w:noProof w:val="0"/>
        </w:rPr>
        <w:t>&lt;Titre&gt;</w:t>
      </w:r>
      <w:r>
        <w:t xml:space="preserve">w sprawie wniosku dotyczącego rozporządzenia Parlamentu Europejskiego i Rady </w:t>
      </w:r>
      <w:r>
        <w:t>ustanawiającego wspólną procedurę ubiegania się o ochronę międzynarodową w Unii i uchylającego dyrektywę 2013/32/UE</w:t>
      </w:r>
    </w:p>
    <w:p w:rsidR="00B73CB7" w:rsidRPr="002D7B59" w:rsidRDefault="00147E0D" w:rsidP="00B73CB7">
      <w:pPr>
        <w:pStyle w:val="CoverNormal24a"/>
        <w:rPr>
          <w:rStyle w:val="HideTWBExt"/>
          <w:noProof w:val="0"/>
        </w:rPr>
      </w:pPr>
      <w:r>
        <w:t>Z</w:t>
      </w:r>
      <w:r w:rsidR="00CB6874">
        <w:t>mienion</w:t>
      </w:r>
      <w:r>
        <w:t>y</w:t>
      </w:r>
      <w:r w:rsidR="00CB6874">
        <w:t xml:space="preserve"> </w:t>
      </w:r>
      <w:r w:rsidR="00CB6874">
        <w:rPr>
          <w:vanish/>
        </w:rPr>
        <w:t xml:space="preserve"> </w:t>
      </w:r>
      <w:r w:rsidR="00CB6874">
        <w:rPr>
          <w:rStyle w:val="HideTWBExt"/>
          <w:noProof w:val="0"/>
        </w:rPr>
        <w:t>&lt;/Titre&gt;</w:t>
      </w:r>
    </w:p>
    <w:p w:rsidR="006337D4" w:rsidRPr="002D7B59" w:rsidRDefault="00CB6874" w:rsidP="003958BD">
      <w:pPr>
        <w:pStyle w:val="CoverNormal24a"/>
      </w:pPr>
      <w:r>
        <w:rPr>
          <w:rStyle w:val="HideTWBExt"/>
          <w:noProof w:val="0"/>
        </w:rPr>
        <w:t>&lt;DocAmend&gt;</w:t>
      </w:r>
      <w:r>
        <w:t>wnios</w:t>
      </w:r>
      <w:r w:rsidR="00147E0D">
        <w:t>e</w:t>
      </w:r>
      <w:r>
        <w:t>k</w:t>
      </w:r>
      <w:r>
        <w:t xml:space="preserve"> dotycząc</w:t>
      </w:r>
      <w:r w:rsidR="00147E0D">
        <w:t>y</w:t>
      </w:r>
      <w:r>
        <w:t xml:space="preserve"> rozporządzenia</w:t>
      </w:r>
      <w:r>
        <w:rPr>
          <w:rStyle w:val="HideTWBExt"/>
          <w:noProof w:val="0"/>
        </w:rPr>
        <w:t>&lt;/DocAmend&gt;</w:t>
      </w:r>
    </w:p>
    <w:p w:rsidR="00B85286" w:rsidRPr="002D7B59" w:rsidRDefault="00CB6874">
      <w:pPr>
        <w:pStyle w:val="CoverNormal24a"/>
      </w:pPr>
      <w:r>
        <w:rPr>
          <w:rStyle w:val="HideTWBExt"/>
          <w:noProof w:val="0"/>
        </w:rPr>
        <w:t>&lt;DocRef&gt;</w:t>
      </w:r>
      <w:r>
        <w:t>(COM(2020)0611 – C9</w:t>
      </w:r>
      <w:r>
        <w:noBreakHyphen/>
        <w:t>xxxx/xxxx – 2016/0224(COD))</w:t>
      </w:r>
      <w:r>
        <w:rPr>
          <w:rStyle w:val="HideTWBExt"/>
          <w:noProof w:val="0"/>
        </w:rPr>
        <w:t>&lt;/DocRef&gt;</w:t>
      </w:r>
    </w:p>
    <w:p w:rsidR="00B85286" w:rsidRPr="002D7B59" w:rsidRDefault="00CB6874" w:rsidP="00E660E2">
      <w:pPr>
        <w:widowControl/>
        <w:tabs>
          <w:tab w:val="center" w:pos="4677"/>
        </w:tabs>
      </w:pPr>
      <w:r>
        <w:br w:type="page"/>
      </w:r>
      <w:r>
        <w:lastRenderedPageBreak/>
        <w:t>AM_Com_LegReport</w:t>
      </w:r>
    </w:p>
    <w:p w:rsidR="00166CCB" w:rsidRPr="002D7B59" w:rsidRDefault="00CB6874" w:rsidP="00FA1C02">
      <w:pPr>
        <w:pStyle w:val="AmNumberTabs"/>
        <w:keepNext/>
      </w:pPr>
      <w:r>
        <w:br w:type="page"/>
      </w:r>
    </w:p>
    <w:p w:rsidR="00B602C0" w:rsidRPr="002D7B59" w:rsidRDefault="00CB6874" w:rsidP="00FA1C02">
      <w:pPr>
        <w:pStyle w:val="AMNumberTabs0"/>
        <w:keepNext/>
        <w:rPr>
          <w:rStyle w:val="HideTWBExt"/>
          <w:b w:val="0"/>
          <w:noProof w:val="0"/>
        </w:rPr>
      </w:pPr>
      <w:r>
        <w:rPr>
          <w:rStyle w:val="HideTWBExt"/>
          <w:b w:val="0"/>
          <w:noProof w:val="0"/>
        </w:rPr>
        <w:lastRenderedPageBreak/>
        <w:t>&lt;RepeatBlock-Amend&gt;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1</w:t>
      </w:r>
      <w:r>
        <w:rPr>
          <w:rStyle w:val="HideTWBExt"/>
          <w:b w:val="0"/>
          <w:noProof w:val="0"/>
        </w:rPr>
        <w:t>&lt;/NumAm&gt;</w:t>
      </w:r>
    </w:p>
    <w:p w:rsidR="00FA1C02" w:rsidRPr="002D7B59" w:rsidRDefault="00CB6874" w:rsidP="00FA1C02">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17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FA1C02" w:rsidRPr="002D7B59" w:rsidRDefault="00FA1C02">
            <w:pPr>
              <w:pStyle w:val="Normal6"/>
              <w:rPr>
                <w:szCs w:val="24"/>
              </w:rPr>
            </w:pPr>
          </w:p>
        </w:tc>
      </w:tr>
      <w:tr w:rsidR="00FA22A3" w:rsidTr="00FA1C02">
        <w:trPr>
          <w:jc w:val="center"/>
        </w:trPr>
        <w:tc>
          <w:tcPr>
            <w:tcW w:w="4876" w:type="dxa"/>
          </w:tcPr>
          <w:p w:rsidR="00FA1C02" w:rsidRPr="002D7B59" w:rsidRDefault="00CB6874">
            <w:pPr>
              <w:pStyle w:val="Normal6"/>
            </w:pPr>
            <w:r>
              <w:t>(17)</w:t>
            </w:r>
            <w:r>
              <w:tab/>
            </w:r>
            <w:r>
              <w:t xml:space="preserve">Osobom uznanym za osoby ubiegające się o ochronę międzynarodową potrzebujące </w:t>
            </w:r>
            <w:r>
              <w:rPr>
                <w:b/>
                <w:i/>
              </w:rPr>
              <w:t>szczególnych</w:t>
            </w:r>
            <w:r>
              <w:t xml:space="preserve"> gwarancji proceduralnych należy zapewnić odpowiednie wsparcie, w tym dać wystarczająco dużo czasu, w celu stworzenia warunków niezbędnych do zapewnienia im skuteczneg</w:t>
            </w:r>
            <w:r>
              <w:t>o dostępu do procedur oraz do przedstawienia elementów potrzebnych do uzasadnienia ich wniosku o udzielenie ochrony międzynarodowej. W przypadku gdy niemożliwe jest zapewnienie odpowiedniego wsparcia w ramach procedury rozpatrywania wniosku prowadzonej w t</w:t>
            </w:r>
            <w:r>
              <w:t xml:space="preserve">rybie przyspieszonym lub procedury na granicy, z procedur tych należy wykluczyć osobę ubiegającą się o ochronę międzynarodową potrzebującą </w:t>
            </w:r>
            <w:r>
              <w:rPr>
                <w:b/>
                <w:i/>
              </w:rPr>
              <w:t>szczególnych</w:t>
            </w:r>
            <w:r>
              <w:t xml:space="preserve"> gwarancji proceduralnych. </w:t>
            </w:r>
            <w:r>
              <w:rPr>
                <w:b/>
                <w:i/>
              </w:rPr>
              <w:t>Potrzeba szczególnych gwarancji proceduralnych o charakterze, który mógłby uni</w:t>
            </w:r>
            <w:r>
              <w:rPr>
                <w:b/>
                <w:i/>
              </w:rPr>
              <w:t>emożliwić stosowanie procedury rozpatrywania wniosku prowadzonej w trybie przyspieszonym lub procedury na granicy, powinna także oznaczać zapewnienie osobie ubiegającej się o ochronę międzynarodową dodatkowych gwarancji w przypadkach, gdy jej odwołanie nie</w:t>
            </w:r>
            <w:r>
              <w:rPr>
                <w:b/>
                <w:i/>
              </w:rPr>
              <w:t xml:space="preserve"> wywołuje automatycznego skutku zawieszającego, z myślą o nadaniu skuteczności środkowi zaskarżenia w szczególnej sytuacji tej ubiegającej się osoby.</w:t>
            </w:r>
          </w:p>
        </w:tc>
        <w:tc>
          <w:tcPr>
            <w:tcW w:w="4876" w:type="dxa"/>
            <w:hideMark/>
          </w:tcPr>
          <w:p w:rsidR="00FA1C02" w:rsidRPr="002D7B59" w:rsidRDefault="00CB6874" w:rsidP="003A67B4">
            <w:pPr>
              <w:pStyle w:val="Normal6"/>
              <w:rPr>
                <w:szCs w:val="24"/>
              </w:rPr>
            </w:pPr>
            <w:r>
              <w:t>(17)</w:t>
            </w:r>
            <w:r>
              <w:tab/>
              <w:t xml:space="preserve">Osobom uznanym za osoby ubiegające się o ochronę międzynarodową potrzebujące </w:t>
            </w:r>
            <w:r>
              <w:rPr>
                <w:b/>
                <w:i/>
              </w:rPr>
              <w:t>określonych</w:t>
            </w:r>
            <w:r>
              <w:t xml:space="preserve"> gwarancji pr</w:t>
            </w:r>
            <w:r>
              <w:t>oceduralnych należy zapewnić odpowiednie wsparcie, w tym dać wystarczająco dużo czasu, w celu stworzenia warunków niezbędnych do zapewnienia im skutecznego dostępu do procedur oraz do przedstawienia elementów potrzebnych do uzasadnienia ich wniosku o udzie</w:t>
            </w:r>
            <w:r>
              <w:t>lenie ochrony międzynarodowej. W przypadku gdy niemożliwe jest zapewnienie odpowiedniego wsparcia w ramach procedury rozpatrywania wniosku prowadzonej w trybie przyspieszonym lub procedury na granicy, z procedur tych należy wykluczyć osobę ubiegającą się o</w:t>
            </w:r>
            <w:r>
              <w:t xml:space="preserve"> ochronę międzynarodową potrzebującą </w:t>
            </w:r>
            <w:r>
              <w:rPr>
                <w:b/>
                <w:i/>
              </w:rPr>
              <w:t>określonych</w:t>
            </w:r>
            <w:r>
              <w:t xml:space="preserve"> gwarancji proceduralnych. </w:t>
            </w:r>
            <w:r>
              <w:rPr>
                <w:b/>
                <w:i/>
              </w:rPr>
              <w:t>Odpowiedzialne organy powinny przewidzieć rozwiązania alternatywne dla stosowania środków detencyjnych w procedurach granicznych, w szczególności dla małoletnich bez opieki i osób u</w:t>
            </w:r>
            <w:r>
              <w:rPr>
                <w:b/>
                <w:i/>
              </w:rPr>
              <w:t>biegających się o ochronę międzynarodową szczególnie narażonych na zagrożenia.</w:t>
            </w:r>
          </w:p>
        </w:tc>
      </w:tr>
    </w:tbl>
    <w:p w:rsidR="00FA1C02" w:rsidRPr="002D7B59" w:rsidRDefault="00CB6874" w:rsidP="00FA1C02">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lastRenderedPageBreak/>
        <w:t>&lt;Amend&gt;</w:t>
      </w:r>
      <w:r>
        <w:t>Poprawka</w:t>
      </w:r>
      <w:r>
        <w:tab/>
      </w:r>
      <w:r>
        <w:tab/>
      </w:r>
      <w:r>
        <w:rPr>
          <w:rStyle w:val="HideTWBExt"/>
          <w:b w:val="0"/>
          <w:noProof w:val="0"/>
        </w:rPr>
        <w:t>&lt;NumAm&gt;</w:t>
      </w:r>
      <w:r>
        <w:t>2</w:t>
      </w:r>
      <w:r>
        <w:rPr>
          <w:rStyle w:val="HideTWBExt"/>
          <w:b w:val="0"/>
          <w:noProof w:val="0"/>
        </w:rPr>
        <w:t>&lt;/NumAm&gt;</w:t>
      </w:r>
    </w:p>
    <w:p w:rsidR="00FA1C02" w:rsidRPr="002D7B59" w:rsidRDefault="00CB6874" w:rsidP="00FA1C02">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30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3A67B4" w:rsidRPr="002D7B59" w:rsidRDefault="00CB6874">
            <w:pPr>
              <w:pStyle w:val="Normal6"/>
              <w:rPr>
                <w:b/>
                <w:i/>
              </w:rPr>
            </w:pPr>
            <w:r>
              <w:rPr>
                <w:b/>
                <w:i/>
              </w:rPr>
              <w:t>(30a)</w:t>
            </w:r>
            <w:r>
              <w:rPr>
                <w:b/>
                <w:i/>
              </w:rPr>
              <w:tab/>
              <w:t xml:space="preserve">Aby okazać solidarność względem państw członkowskich zlokalizowanych na granicy zewnętrznej Unii i zagwarantować równe warunki działania w Unii, obiekty wykorzystywane na </w:t>
            </w:r>
            <w:r>
              <w:rPr>
                <w:b/>
                <w:i/>
              </w:rPr>
              <w:t>potrzeby procedury granicznej powinny być finansowane w pełni na podstawie rozporządzenia Parlamentu Europejskiego i Rady (UE) 2021/1147</w:t>
            </w:r>
            <w:r>
              <w:rPr>
                <w:b/>
                <w:i/>
                <w:vertAlign w:val="superscript"/>
              </w:rPr>
              <w:t>1a</w:t>
            </w:r>
            <w:r>
              <w:rPr>
                <w:b/>
                <w:i/>
              </w:rPr>
              <w:t>. Powinno to obejmować budowę, prowadzenie i renowację istniejących i przyszłych obiektów zgodnie z warunkami przewidz</w:t>
            </w:r>
            <w:r>
              <w:rPr>
                <w:b/>
                <w:i/>
              </w:rPr>
              <w:t>ianymi w dyrektywie XXX/XXX/UE [wersja przekształcona dyrektywy w sprawie warunków przyjmowania].</w:t>
            </w:r>
          </w:p>
        </w:tc>
      </w:tr>
      <w:tr w:rsidR="00FA22A3" w:rsidTr="00FA1C02">
        <w:trPr>
          <w:jc w:val="center"/>
        </w:trPr>
        <w:tc>
          <w:tcPr>
            <w:tcW w:w="4876" w:type="dxa"/>
          </w:tcPr>
          <w:p w:rsidR="008B6C40" w:rsidRPr="002D7B59" w:rsidRDefault="008B6C40">
            <w:pPr>
              <w:pStyle w:val="Normal6"/>
            </w:pPr>
          </w:p>
        </w:tc>
        <w:tc>
          <w:tcPr>
            <w:tcW w:w="4876" w:type="dxa"/>
          </w:tcPr>
          <w:p w:rsidR="008B6C40" w:rsidRPr="002D7B59" w:rsidRDefault="00CB6874">
            <w:pPr>
              <w:pStyle w:val="Normal6"/>
              <w:rPr>
                <w:b/>
                <w:i/>
              </w:rPr>
            </w:pPr>
            <w:r>
              <w:rPr>
                <w:b/>
                <w:i/>
              </w:rPr>
              <w:t>________________</w:t>
            </w:r>
          </w:p>
        </w:tc>
      </w:tr>
      <w:tr w:rsidR="00FA22A3" w:rsidTr="00FA1C02">
        <w:trPr>
          <w:jc w:val="center"/>
        </w:trPr>
        <w:tc>
          <w:tcPr>
            <w:tcW w:w="4876" w:type="dxa"/>
          </w:tcPr>
          <w:p w:rsidR="008B6C40" w:rsidRPr="002D7B59" w:rsidRDefault="008B6C40">
            <w:pPr>
              <w:pStyle w:val="Normal6"/>
            </w:pPr>
          </w:p>
        </w:tc>
        <w:tc>
          <w:tcPr>
            <w:tcW w:w="4876" w:type="dxa"/>
          </w:tcPr>
          <w:p w:rsidR="008B6C40" w:rsidRPr="002D7B59" w:rsidRDefault="00CB6874">
            <w:pPr>
              <w:pStyle w:val="Normal6"/>
              <w:rPr>
                <w:b/>
                <w:i/>
              </w:rPr>
            </w:pPr>
            <w:r>
              <w:rPr>
                <w:b/>
                <w:i/>
                <w:vertAlign w:val="superscript"/>
              </w:rPr>
              <w:t>1a</w:t>
            </w:r>
            <w:r>
              <w:rPr>
                <w:b/>
                <w:i/>
              </w:rPr>
              <w:t xml:space="preserve"> Rozporządzenie Parlamentu Europejskiego i Rady (UE) 2021/1147 z dnia 7 lipca 2021 r. ustanawiające Fundusz Azylu, Migracji i Integracji (Dz.U. L 251 z 15.7.2021, s. 1).</w:t>
            </w:r>
          </w:p>
        </w:tc>
      </w:tr>
    </w:tbl>
    <w:p w:rsidR="00FA1C02" w:rsidRPr="002D7B59" w:rsidRDefault="00CB6874" w:rsidP="00FA1C02">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3</w:t>
      </w:r>
      <w:r>
        <w:rPr>
          <w:rStyle w:val="HideTWBExt"/>
          <w:b w:val="0"/>
          <w:noProof w:val="0"/>
        </w:rPr>
        <w:t>&lt;/NumAm&gt;</w:t>
      </w:r>
    </w:p>
    <w:p w:rsidR="00FA1C02" w:rsidRPr="002D7B59" w:rsidRDefault="00CB6874" w:rsidP="00FA1C02">
      <w:pPr>
        <w:pStyle w:val="NormalBold"/>
      </w:pPr>
      <w:r>
        <w:rPr>
          <w:rStyle w:val="HideTWBExt"/>
          <w:b w:val="0"/>
          <w:noProof w:val="0"/>
        </w:rPr>
        <w:t>&lt;Members&gt;</w:t>
      </w:r>
      <w:r>
        <w:t>F</w:t>
      </w:r>
      <w:r>
        <w:t>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31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hideMark/>
          </w:tcPr>
          <w:p w:rsidR="00FA1C02" w:rsidRPr="002D7B59" w:rsidRDefault="00CB6874">
            <w:pPr>
              <w:pStyle w:val="Normal6"/>
            </w:pPr>
            <w:r>
              <w:t>(31a)</w:t>
            </w:r>
            <w:r>
              <w:tab/>
              <w:t xml:space="preserve">W celu zwiększenia efektywności procedur oraz zmniejszenia ryzyka ucieczki i prawdopodobieństwa </w:t>
            </w:r>
            <w:r>
              <w:t xml:space="preserve">niedozwolonego przemieszczania się należy zapewnić, aby nie było luk proceduralnych między wydaniem decyzji </w:t>
            </w:r>
            <w:r>
              <w:lastRenderedPageBreak/>
              <w:t>odmownej w sprawie wniosku o udzielenie ochrony międzynarodowej a decyzją nakazującą powrót. Wobec osób ubiegających się o ochronę międzynarodową, k</w:t>
            </w:r>
            <w:r>
              <w:t xml:space="preserve">tórych wnioski zostały odrzucone, należy niezwłocznie wydać decyzję nakazującą powrót. Bez uszczerbku dla prawa do skutecznego środka zaskarżenia decyzja nakazująca powrót powinna albo stanowić część decyzji odmownej w sprawie wniosku o udzielenie ochrony </w:t>
            </w:r>
            <w:r>
              <w:t>międzynarodowej, albo, jeżeli stanowi odrębny akt, zostać wydana jednocześnie z decyzją odmowną i łącznie tą decyzją.</w:t>
            </w:r>
          </w:p>
        </w:tc>
        <w:tc>
          <w:tcPr>
            <w:tcW w:w="4876" w:type="dxa"/>
            <w:hideMark/>
          </w:tcPr>
          <w:p w:rsidR="00FA1C02" w:rsidRPr="002D7B59" w:rsidRDefault="00CB6874">
            <w:pPr>
              <w:pStyle w:val="Normal6"/>
              <w:rPr>
                <w:szCs w:val="24"/>
              </w:rPr>
            </w:pPr>
            <w:r>
              <w:lastRenderedPageBreak/>
              <w:t>(31a)</w:t>
            </w:r>
            <w:r>
              <w:tab/>
              <w:t>W celu zwiększenia efektywności procedur oraz zmniejszenia ryzyka ucieczki i prawdopodobieństwa niedozwolonego przemieszczania się n</w:t>
            </w:r>
            <w:r>
              <w:t xml:space="preserve">ależy zapewnić, aby nie było luk proceduralnych między wydaniem decyzji </w:t>
            </w:r>
            <w:r>
              <w:lastRenderedPageBreak/>
              <w:t>odmownej w sprawie wniosku o udzielenie ochrony międzynarodowej a decyzją nakazującą powrót. Wobec osób ubiegających się o ochronę międzynarodową, których wnioski zostały odrzucone, na</w:t>
            </w:r>
            <w:r>
              <w:t xml:space="preserve">leży niezwłocznie wydać decyzję nakazującą powrót. </w:t>
            </w:r>
            <w:r>
              <w:rPr>
                <w:b/>
                <w:i/>
              </w:rPr>
              <w:t>W przypadku gdy w wydanie decyzji odmownej w sprawie wniosku o udzielenie ochrony międzynarodowej lub decyzji nakazujących powrót zaangażowany jest więcej niż jeden organ, organy te powinny koordynować swo</w:t>
            </w:r>
            <w:r>
              <w:rPr>
                <w:b/>
                <w:i/>
              </w:rPr>
              <w:t>je działania, aby zadbać o wydawanie decyzji odmownych i decyzji nakazujących powrót w tym samym czasie.</w:t>
            </w:r>
            <w:r>
              <w:t xml:space="preserve"> Bez uszczerbku dla prawa do skutecznego środka zaskarżenia decyzja nakazująca powrót powinna albo stanowić część decyzji odmownej w sprawie wniosku o </w:t>
            </w:r>
            <w:r>
              <w:t>udzielenie ochrony międzynarodowej, albo, jeżeli stanowi odrębny akt, zostać wydana jednocześnie z decyzją odmowną i łącznie tą decyzją.</w:t>
            </w:r>
          </w:p>
        </w:tc>
      </w:tr>
    </w:tbl>
    <w:p w:rsidR="00FA1C02" w:rsidRPr="002D7B59" w:rsidRDefault="00CB6874" w:rsidP="00FA1C02">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4</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w:t>
      </w:r>
      <w:r>
        <w:rPr>
          <w:rStyle w:val="HideTWBExt"/>
          <w:b w:val="0"/>
          <w:noProof w:val="0"/>
        </w:rPr>
        <w:t>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39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hideMark/>
          </w:tcPr>
          <w:p w:rsidR="00FA1C02" w:rsidRPr="002D7B59" w:rsidRDefault="00CB6874">
            <w:pPr>
              <w:pStyle w:val="Normal6"/>
            </w:pPr>
            <w:r>
              <w:t>(39a)</w:t>
            </w:r>
            <w:r>
              <w:tab/>
            </w:r>
            <w:r>
              <w:t>W interesie sprawnych i sprawiedliwych procedur dla wszystkich osób ubiegających się o ochronę międzynarodową, przy jednoczesnym zapewnieniu, by nie był nadmiernie przedłużany pobyt osób, które nie kwalifikują się do ochrony międzynarodowej w Unii, w tym o</w:t>
            </w:r>
            <w:r>
              <w:t xml:space="preserve">sób będących obywatelami państw trzecich zwolnionych z obowiązku posiadania wizy na podstawie rozporządzenia (UE) 2018/1806, państwa członkowskie powinny przyspieszyć rozpatrywanie </w:t>
            </w:r>
            <w:r>
              <w:lastRenderedPageBreak/>
              <w:t>wniosków osób ubiegających się o ochronę międzynarodową, które posiadają ob</w:t>
            </w:r>
            <w:r>
              <w:t xml:space="preserve">ywatelstwo państwa trzeciego, dla których obywateli wskaźnik przyznawania ochrony międzynarodowej jest niższy niż 20 %, lub – w przypadku bezpaństwowców – miały poprzednie miejsce zwykłego pobytu w takim państwie trzecim. </w:t>
            </w:r>
            <w:r>
              <w:rPr>
                <w:b/>
                <w:i/>
              </w:rPr>
              <w:t>Jeżeli</w:t>
            </w:r>
            <w:r>
              <w:t xml:space="preserve"> w danym państwie trzecim na</w:t>
            </w:r>
            <w:r>
              <w:t xml:space="preserve">stąpiła istotna zmiana od czasu publikacji odnośnych danych Eurostatu </w:t>
            </w:r>
            <w:r>
              <w:rPr>
                <w:b/>
                <w:i/>
              </w:rPr>
              <w:t>i z uwzględnieniem wytycznych</w:t>
            </w:r>
            <w:r>
              <w:t xml:space="preserve"> na podstawie art. </w:t>
            </w:r>
            <w:r>
              <w:rPr>
                <w:b/>
                <w:i/>
              </w:rPr>
              <w:t>10</w:t>
            </w:r>
            <w:r>
              <w:t xml:space="preserve"> rozporządzenia XX/XX w sprawie Europejskiej Agencji ds. Azylu</w:t>
            </w:r>
            <w:r>
              <w:rPr>
                <w:b/>
                <w:i/>
              </w:rPr>
              <w:t xml:space="preserve"> lub jeżeli</w:t>
            </w:r>
            <w:r>
              <w:t xml:space="preserve"> osoba ubiegająca się o ochronę międzynarodową należy do szczeg</w:t>
            </w:r>
            <w:r>
              <w:t xml:space="preserve">ólnej kategorii osób, w przypadku których, ze względu na szczególne przyczyny prześladowania, nie można uznać niskiego wskaźnika przyznawania azylu za reprezentatywny w odniesieniu do ich potrzeb w zakresie ochrony, </w:t>
            </w:r>
            <w:r>
              <w:rPr>
                <w:b/>
                <w:i/>
              </w:rPr>
              <w:t>wniosek nie powinien być rozpatrywany</w:t>
            </w:r>
            <w:r>
              <w:t xml:space="preserve"> w </w:t>
            </w:r>
            <w:r>
              <w:t>trybie przyspieszonym. Przypadki, w których państwo trzecie można uznać za bezpieczny kraj pochodzenia lub bezpieczny kraj trzeci dla osoby ubiegającej się o ochronę międzynarodową w rozumieniu niniejszego rozporządzenia, powinny nadal mieć zastosowanie ja</w:t>
            </w:r>
            <w:r>
              <w:t>ko osobna podstawa – odpowiednio – przyspieszonej procedury rozpatrywania wniosku lub procedury uznania wniosku za niedopuszczalny.</w:t>
            </w:r>
          </w:p>
        </w:tc>
        <w:tc>
          <w:tcPr>
            <w:tcW w:w="4876" w:type="dxa"/>
            <w:hideMark/>
          </w:tcPr>
          <w:p w:rsidR="00FA1C02" w:rsidRPr="002D7B59" w:rsidRDefault="00CB6874" w:rsidP="004523C5">
            <w:pPr>
              <w:pStyle w:val="Normal6"/>
              <w:rPr>
                <w:szCs w:val="24"/>
              </w:rPr>
            </w:pPr>
            <w:r>
              <w:lastRenderedPageBreak/>
              <w:t>(39a)</w:t>
            </w:r>
            <w:r>
              <w:tab/>
            </w:r>
            <w:r>
              <w:t>W interesie sprawnych i sprawiedliwych procedur dla wszystkich osób ubiegających się o ochronę międzynarodową, przy jednoczesnym zapewnieniu, by nie był nadmiernie przedłużany pobyt osób, które nie kwalifikują się do ochrony międzynarodowej w Unii, w tym o</w:t>
            </w:r>
            <w:r>
              <w:t xml:space="preserve">sób będących obywatelami państw trzecich zwolnionych z obowiązku posiadania wizy na podstawie rozporządzenia (UE) 2018/1806, państwa członkowskie powinny przyspieszyć rozpatrywanie </w:t>
            </w:r>
            <w:r>
              <w:lastRenderedPageBreak/>
              <w:t>wniosków osób ubiegających się o ochronę międzynarodową, które posiadają ob</w:t>
            </w:r>
            <w:r>
              <w:t xml:space="preserve">ywatelstwo państwa trzeciego, dla których obywateli wskaźnik przyznawania ochrony międzynarodowej jest niższy niż 20 %, lub – w przypadku bezpaństwowców – miały poprzednie miejsce zwykłego pobytu w takim państwie trzecim. </w:t>
            </w:r>
            <w:r>
              <w:rPr>
                <w:b/>
                <w:i/>
              </w:rPr>
              <w:t>Wartość progowa wynosząca 20 % pow</w:t>
            </w:r>
            <w:r>
              <w:rPr>
                <w:b/>
                <w:i/>
              </w:rPr>
              <w:t>inna obowiązywać we wszystkich okolicznościach, w tym w sytuacjach kryzysowych i spowodowanych działaniem siły wyższej. W drodze wyjątku procedury rozpatrywania wniosku nie należy przyspieszać, gdy Komisja stwierdza za pomocą aktu wykonawczego, że</w:t>
            </w:r>
            <w:r>
              <w:t xml:space="preserve"> w danym </w:t>
            </w:r>
            <w:r>
              <w:t xml:space="preserve">państwie trzecim nastąpiła istotna zmiana od czasu publikacji odnośnych danych Eurostatu </w:t>
            </w:r>
            <w:r>
              <w:rPr>
                <w:b/>
                <w:i/>
              </w:rPr>
              <w:t>w oparciu o wytyczne</w:t>
            </w:r>
            <w:r>
              <w:t xml:space="preserve"> na podstawie art. </w:t>
            </w:r>
            <w:r>
              <w:rPr>
                <w:b/>
                <w:i/>
              </w:rPr>
              <w:t>11</w:t>
            </w:r>
            <w:r>
              <w:t xml:space="preserve"> rozporządzenia XX/XX w sprawie Europejskiej Agencji ds. Azylu</w:t>
            </w:r>
            <w:r>
              <w:rPr>
                <w:b/>
                <w:i/>
              </w:rPr>
              <w:t xml:space="preserve">. </w:t>
            </w:r>
            <w:r>
              <w:t>Osoba ubiegająca się o ochronę międzynarodową</w:t>
            </w:r>
            <w:r>
              <w:rPr>
                <w:b/>
                <w:i/>
              </w:rPr>
              <w:t>, która</w:t>
            </w:r>
            <w:r>
              <w:t xml:space="preserve"> należy do</w:t>
            </w:r>
            <w:r>
              <w:t xml:space="preserve"> szczególnej kategorii osób, w przypadku których, ze względu na szczególne przyczyny prześladowania, nie można uznać niskiego wskaźnika przyznawania azylu za reprezentatywny w odniesieniu do ich potrzeb w zakresie ochrony, </w:t>
            </w:r>
            <w:r>
              <w:rPr>
                <w:b/>
                <w:i/>
              </w:rPr>
              <w:t>także powinna być zwolniona z pro</w:t>
            </w:r>
            <w:r>
              <w:rPr>
                <w:b/>
                <w:i/>
              </w:rPr>
              <w:t>cedury rozpatrywania wniosku</w:t>
            </w:r>
            <w:r>
              <w:t xml:space="preserve"> w trybie przyspieszonym</w:t>
            </w:r>
            <w:r>
              <w:rPr>
                <w:b/>
                <w:i/>
              </w:rPr>
              <w:t>, w tym po jej rozpoczęciu, gdy właściwe organy stwierdzą, że nie mają zastosowania podstawy dla takiej procedury. Właściwe organy powinny przeprowadzać odpowiednie kontrole narażenia podczas całej proced</w:t>
            </w:r>
            <w:r>
              <w:rPr>
                <w:b/>
                <w:i/>
              </w:rPr>
              <w:t>ury granicznej</w:t>
            </w:r>
            <w:r>
              <w:t>. Przypadki, w których państwo trzecie można uznać za bezpieczny kraj pochodzenia lub bezpieczny kraj trzeci dla osoby ubiegającej się o ochronę międzynarodową w rozumieniu niniejszego rozporządzenia, powinny nadal mieć zastosowanie jako osob</w:t>
            </w:r>
            <w:r>
              <w:t>na podstawa – odpowiednio – przyspieszonej procedury rozpatrywania wniosku lub procedury uznania wniosku za niedopuszczalny.</w:t>
            </w:r>
          </w:p>
        </w:tc>
      </w:tr>
    </w:tbl>
    <w:p w:rsidR="00FA1C02" w:rsidRPr="002D7B59" w:rsidRDefault="00CB6874" w:rsidP="00FA1C02">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5</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w:t>
      </w:r>
      <w:r>
        <w:t>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hideMark/>
          </w:tcPr>
          <w:p w:rsidR="00FA1C02" w:rsidRPr="002D7B59" w:rsidRDefault="00CB6874">
            <w:pPr>
              <w:pStyle w:val="Normal6"/>
            </w:pPr>
            <w:r>
              <w:t>(40)</w:t>
            </w:r>
            <w:r>
              <w:tab/>
            </w:r>
            <w:r>
              <w:t xml:space="preserve">Wiele wniosków o udzielenie ochrony międzynarodowej jest składanych na granicy zewnętrznej lub w strefie tranzytowej państwa członkowskiego, często przez osoby zatrzymane w związku z niedozwolonym przekroczeniem granicy zewnętrznej lub osoby, które zeszły </w:t>
            </w:r>
            <w:r>
              <w:t xml:space="preserve">na ląd po operacji poszukiwawczo-ratowniczej. W celu przeprowadzenia identyfikacji, kontroli bezpieczeństwa i kontroli stanu zdrowia na granicy zewnętrznej oraz skierowania obywateli państw trzecich i bezpaństwowców do odpowiednich procedur konieczne jest </w:t>
            </w:r>
            <w:r>
              <w:t xml:space="preserve">przeprowadzenie kontroli przesiewowej. Powinny istnieć płynne i efektywne powiązania między wszystkimi etapami odpowiednich procedur w odniesieniu do wszystkich przybywających osób o nieuregulowanym statusie. </w:t>
            </w:r>
            <w:r>
              <w:rPr>
                <w:b/>
                <w:i/>
              </w:rPr>
              <w:t xml:space="preserve">Po kontroli przesiewowej </w:t>
            </w:r>
            <w:r>
              <w:t>obywatele państw trzec</w:t>
            </w:r>
            <w:r>
              <w:t xml:space="preserve">ich i bezpaństwowcy powinni być kierowani do odpowiedniej procedury azylowej lub procedury powrotu albo otrzymać odmowę wjazdu. Należy zatem ustanowić etap poprzedzający wjazd, polegający na kontroli przesiewowej i procedurach granicznych w zakresie azylu </w:t>
            </w:r>
            <w:r>
              <w:t>i powrotów.</w:t>
            </w:r>
          </w:p>
        </w:tc>
        <w:tc>
          <w:tcPr>
            <w:tcW w:w="4876" w:type="dxa"/>
            <w:hideMark/>
          </w:tcPr>
          <w:p w:rsidR="00FA1C02" w:rsidRPr="002D7B59" w:rsidRDefault="00CB6874">
            <w:pPr>
              <w:pStyle w:val="Normal6"/>
              <w:rPr>
                <w:szCs w:val="24"/>
              </w:rPr>
            </w:pPr>
            <w:r>
              <w:t>(40)</w:t>
            </w:r>
            <w:r>
              <w:tab/>
              <w:t>Wiele wniosków o udzielenie ochrony międzynarodowej jest składanych na granicy zewnętrznej lub w strefie tranzytowej państwa członkowskiego, często przez osoby zatrzymane w związku z niedozwolonym przekroczeniem granicy zewnętrznej lub oso</w:t>
            </w:r>
            <w:r>
              <w:t>by, które zeszły na ląd po operacji poszukiwawczo-ratowniczej. W celu przeprowadzenia identyfikacji, kontroli bezpieczeństwa i kontroli stanu zdrowia na granicy zewnętrznej oraz skierowania obywateli państw trzecich i bezpaństwowców do odpowiednich procedu</w:t>
            </w:r>
            <w:r>
              <w:t>r konieczne jest przeprowadzenie kontroli przesiewowej. Powinny istnieć płynne i efektywne powiązania między wszystkimi etapami odpowiednich procedur w odniesieniu do wszystkich przybywających osób o nieuregulowanym statusie. Obywatele państw trzecich i be</w:t>
            </w:r>
            <w:r>
              <w:t>zpaństwowcy powinni</w:t>
            </w:r>
            <w:r>
              <w:rPr>
                <w:b/>
                <w:i/>
              </w:rPr>
              <w:t>, w stosownych przypadkach po kontroli przesiewowej,</w:t>
            </w:r>
            <w:r>
              <w:t xml:space="preserve"> być kierowani do odpowiedniej procedury azylowej lub procedury powrotu albo otrzymać odmowę wjazdu. Należy zatem ustanowić etap poprzedzający wjazd, polegający na kontroli przesiewowej</w:t>
            </w:r>
            <w:r>
              <w:t xml:space="preserve"> i procedurach granicznych w zakresie azylu i powrotów.</w:t>
            </w:r>
          </w:p>
        </w:tc>
      </w:tr>
    </w:tbl>
    <w:p w:rsidR="00FA1C02" w:rsidRPr="002D7B59" w:rsidRDefault="00CB6874" w:rsidP="00FA1C02">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6</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lastRenderedPageBreak/>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hideMark/>
          </w:tcPr>
          <w:p w:rsidR="00FA1C02" w:rsidRPr="002D7B59" w:rsidRDefault="00CB6874">
            <w:pPr>
              <w:pStyle w:val="Normal6"/>
            </w:pPr>
            <w:r>
              <w:t>(40a)</w:t>
            </w:r>
            <w:r>
              <w:tab/>
              <w:t xml:space="preserve">Celem procedury granicznej w zakresie azylu i powrotów powinno być przeprowadzenie </w:t>
            </w:r>
            <w:r>
              <w:rPr>
                <w:b/>
                <w:i/>
              </w:rPr>
              <w:t xml:space="preserve">na granicach zewnętrznych </w:t>
            </w:r>
            <w:r>
              <w:t>szybkiej oceny, czy wniosek jest nieuzasadniony lub niedopuszczalny, oraz szybkie przeprowadzenie p</w:t>
            </w:r>
            <w:r>
              <w:t>owrotu osób nieposiadających prawa do pozostania, przy jednoczesnym zapewnieniu, by osoby, które złożyły uzasadnione wnioski, były kierowane do zwykłej procedury i szybko otrzymywały dostęp do ochrony międzynarodowej. Państwa członkowskie powinny zatem móc</w:t>
            </w:r>
            <w:r>
              <w:t xml:space="preserve"> wymagać od osób ubiegających się o ochronę międzynarodową, by te pozostały na granicy zewnętrznej lub w strefie tranzytowej, w celu oceny dopuszczalności ich wniosków. W ściśle określonych okolicznościach państwa członkowskie powinny zapewnić rozpatrzenie</w:t>
            </w:r>
            <w:r>
              <w:t xml:space="preserve"> wniosku co do istoty sprawy, a w przypadku odrzucenia wniosku – zapewnić powrót obywateli państw trzecich i bezpaństwowców </w:t>
            </w:r>
            <w:r>
              <w:rPr>
                <w:b/>
                <w:i/>
              </w:rPr>
              <w:t>zanim przekroczą granice zewnętrzne</w:t>
            </w:r>
            <w:r>
              <w:t>.</w:t>
            </w:r>
          </w:p>
        </w:tc>
        <w:tc>
          <w:tcPr>
            <w:tcW w:w="4876" w:type="dxa"/>
            <w:hideMark/>
          </w:tcPr>
          <w:p w:rsidR="00FA1C02" w:rsidRPr="002D7B59" w:rsidRDefault="00CB6874">
            <w:pPr>
              <w:pStyle w:val="Normal6"/>
              <w:rPr>
                <w:szCs w:val="24"/>
              </w:rPr>
            </w:pPr>
            <w:r>
              <w:t>(40a)</w:t>
            </w:r>
            <w:r>
              <w:tab/>
              <w:t>Celem procedury granicznej w zakresie azylu i powrotów powinno być przeprowadzenie szybki</w:t>
            </w:r>
            <w:r>
              <w:t>ej oceny, czy wniosek jest nieuzasadniony lub niedopuszczalny, oraz szybkie przeprowadzenie powrotu osób nieposiadających prawa do pozostania, przy jednoczesnym zapewnieniu, by osoby, które złożyły uzasadnione wnioski, były kierowane do zwykłej procedury i</w:t>
            </w:r>
            <w:r>
              <w:t xml:space="preserve"> szybko otrzymywały dostęp do ochrony międzynarodowej. Państwa członkowskie powinny zatem móc wymagać od osób ubiegających się o ochronę międzynarodową, by te pozostały </w:t>
            </w:r>
            <w:r>
              <w:rPr>
                <w:b/>
                <w:i/>
              </w:rPr>
              <w:t>w miejscach wyznaczonych zgodnie z ich uznaniem, do czasu zakończenia procedury granicz</w:t>
            </w:r>
            <w:r>
              <w:rPr>
                <w:b/>
                <w:i/>
              </w:rPr>
              <w:t xml:space="preserve">nej, na przykład </w:t>
            </w:r>
            <w:r>
              <w:t>na granicy zewnętrznej lub w strefie tranzytowej, w celu oceny dopuszczalności ich wniosków. W ściśle określonych okolicznościach państwa członkowskie powinny zapewnić rozpatrzenie wniosku co do istoty sprawy, a w przypadku odrzucenia wnio</w:t>
            </w:r>
            <w:r>
              <w:t xml:space="preserve">sku – zapewnić powrót obywateli państw trzecich i bezpaństwowców </w:t>
            </w:r>
            <w:r>
              <w:rPr>
                <w:b/>
                <w:i/>
              </w:rPr>
              <w:t>w ramach procedury granicznej</w:t>
            </w:r>
            <w:r>
              <w:t>.</w:t>
            </w:r>
          </w:p>
        </w:tc>
      </w:tr>
    </w:tbl>
    <w:p w:rsidR="00FA1C02" w:rsidRPr="002D7B59" w:rsidRDefault="00CB6874" w:rsidP="00FA1C02">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7</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hideMark/>
          </w:tcPr>
          <w:p w:rsidR="00FA1C02" w:rsidRPr="002D7B59" w:rsidRDefault="00CB6874">
            <w:pPr>
              <w:pStyle w:val="Normal6"/>
            </w:pPr>
            <w:r>
              <w:t>(40b)</w:t>
            </w:r>
            <w:r>
              <w:tab/>
              <w:t xml:space="preserve">Państwo członkowskie powinno przeprowadzić ocenę wniosku w ramach procedury granicznej, jeżeli osoba </w:t>
            </w:r>
            <w:r>
              <w:lastRenderedPageBreak/>
              <w:t xml:space="preserve">ubiegająca się o ochronę międzynarodową stanowi zagrożenie dla </w:t>
            </w:r>
            <w:r>
              <w:t>bezpieczeństwa narodowego lub porządku publicznego, jeżeli wprowadziła organy w błąd, przedstawiając nieprawdziwe informacje lub dokumenty lub zatajając istotne informacje lub dokumenty dotyczące jej tożsamości lub obywatelstwa, które mogłyby mieć negatywn</w:t>
            </w:r>
            <w:r>
              <w:t>y wpływ na decyzję, oraz jeżeli istnieje prawdopodobieństwo, że wniosek jest nieuzasadniony, ponieważ osoba ubiegająca się o ochronę międzynarodową posiada obywatelstwo państwa trzeciego, dla którego obywateli wskaźnik udzielania ochrony międzynarodowej je</w:t>
            </w:r>
            <w:r>
              <w:t>st niższy niż 20 %. W innych przypadkach, np. gdy osoba ubiegająca się o ochronę międzynarodową przybywa z bezpiecznego kraju pochodzenia albo bezpiecznego kraju trzeciego, stosowanie procedury granicznej powinno być dla państw członkowskich opcjonalne.</w:t>
            </w:r>
          </w:p>
        </w:tc>
        <w:tc>
          <w:tcPr>
            <w:tcW w:w="4876" w:type="dxa"/>
            <w:hideMark/>
          </w:tcPr>
          <w:p w:rsidR="00FA1C02" w:rsidRPr="002D7B59" w:rsidRDefault="00CB6874">
            <w:pPr>
              <w:pStyle w:val="Normal6"/>
              <w:rPr>
                <w:szCs w:val="24"/>
              </w:rPr>
            </w:pPr>
            <w:r>
              <w:lastRenderedPageBreak/>
              <w:t>(4</w:t>
            </w:r>
            <w:r>
              <w:t>0b)</w:t>
            </w:r>
            <w:r>
              <w:tab/>
              <w:t xml:space="preserve">Państwo członkowskie powinno przeprowadzić ocenę wniosku w ramach procedury granicznej, jeżeli osoba </w:t>
            </w:r>
            <w:r>
              <w:lastRenderedPageBreak/>
              <w:t>ubiegająca się o ochronę międzynarodową stanowi zagrożenie dla bezpieczeństwa narodowego lub porządku publicznego, jeżeli wprowadziła organy w błąd, pr</w:t>
            </w:r>
            <w:r>
              <w:t>zedstawiając nieprawdziwe informacje lub dokumenty lub zatajając istotne informacje lub dokumenty dotyczące jej tożsamości lub obywatelstwa, które mogłyby mieć negatywny wpływ na decyzję, oraz jeżeli istnieje prawdopodobieństwo, że wniosek jest nieuzasadni</w:t>
            </w:r>
            <w:r>
              <w:t>ony, ponieważ osoba ubiegająca się o ochronę międzynarodową posiada obywatelstwo państwa trzeciego, dla którego obywateli wskaźnik udzielania ochrony międzynarodowej jest niższy niż 20 %</w:t>
            </w:r>
            <w:r>
              <w:rPr>
                <w:b/>
                <w:i/>
              </w:rPr>
              <w:t>, chyba że bardziej aktualne dane z Europejskiej Agencji ds. Azylu wsk</w:t>
            </w:r>
            <w:r>
              <w:rPr>
                <w:b/>
                <w:i/>
              </w:rPr>
              <w:t>azują na istotną zmianę</w:t>
            </w:r>
            <w:r>
              <w:t>. W innych przypadkach, np. gdy osoba ubiegająca się o ochronę międzynarodową przybywa z bezpiecznego kraju pochodzenia albo bezpiecznego kraju trzeciego, stosowanie procedury granicznej powinno być dla państw członkowskich opcjonaln</w:t>
            </w:r>
            <w:r>
              <w:t>e.</w:t>
            </w:r>
          </w:p>
        </w:tc>
      </w:tr>
    </w:tbl>
    <w:p w:rsidR="00FA1C02" w:rsidRPr="002D7B59" w:rsidRDefault="00CB6874" w:rsidP="00FA1C02">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8</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b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FA1C02" w:rsidRPr="002D7B59" w:rsidRDefault="00CB6874" w:rsidP="004523C5">
            <w:pPr>
              <w:pStyle w:val="Normal6"/>
              <w:rPr>
                <w:szCs w:val="24"/>
              </w:rPr>
            </w:pPr>
            <w:r>
              <w:rPr>
                <w:b/>
                <w:i/>
              </w:rPr>
              <w:t>(40ba)</w:t>
            </w:r>
            <w:r>
              <w:rPr>
                <w:b/>
                <w:i/>
              </w:rPr>
              <w:tab/>
              <w:t>Przed rozpatrzeniem wniosku o udzielenie ochrony międzynarodowej co do istoty sprawy państwo członkowskie, w którym został zarejestrowany wniosek, powinno wskazać państwo członkowskie odpowiedzialne na mocy rozporządzenia (UE) nr XXX/XXX [rozporządz</w:t>
            </w:r>
            <w:r>
              <w:rPr>
                <w:b/>
                <w:i/>
              </w:rPr>
              <w:t xml:space="preserve">enie w sprawie zarządzania azylem i migracją]. Aby zachować zgodność z terminami ustalonymi dla procedury granicznej podczas procesu ustalania, należy skrócić </w:t>
            </w:r>
            <w:r>
              <w:rPr>
                <w:b/>
                <w:i/>
              </w:rPr>
              <w:lastRenderedPageBreak/>
              <w:t xml:space="preserve">terminy na złożenie wniosku o przejęcie przez odpowiedzialne państwo członkowskie w porównaniu z </w:t>
            </w:r>
            <w:r>
              <w:rPr>
                <w:b/>
                <w:i/>
              </w:rPr>
              <w:t>ogólnymi zasadami ustanowionymi w rozporządzeniu (UE) nr XXX/XXX [rozporządzenie w sprawie zarządzania azylem i migracją].</w:t>
            </w:r>
          </w:p>
        </w:tc>
      </w:tr>
    </w:tbl>
    <w:p w:rsidR="00FA1C02" w:rsidRPr="002D7B59" w:rsidRDefault="00CB6874" w:rsidP="00FA1C02">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9</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w:t>
      </w:r>
      <w:r>
        <w:t>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b 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FA1C02" w:rsidRPr="002D7B59" w:rsidRDefault="00CB6874" w:rsidP="0047508F">
            <w:pPr>
              <w:pStyle w:val="Normal6"/>
              <w:rPr>
                <w:szCs w:val="24"/>
              </w:rPr>
            </w:pPr>
            <w:r>
              <w:rPr>
                <w:b/>
                <w:i/>
              </w:rPr>
              <w:t>(40bb)</w:t>
            </w:r>
            <w:r>
              <w:rPr>
                <w:b/>
                <w:i/>
              </w:rPr>
              <w:tab/>
              <w:t xml:space="preserve">Podczas gdy osoby ubiegające się o ochronę międzynarodową, których wnioski są oceniane w ramach procedury granicznej, mogą nie być </w:t>
            </w:r>
            <w:r>
              <w:rPr>
                <w:b/>
                <w:i/>
              </w:rPr>
              <w:t>uprawnione do legalnego wjazdu na terytorium danego państwa członkowskiego, osobom tym należy zawsze przyznawać prawo do pozostania na terytorium państwa członkowskiego podczas</w:t>
            </w:r>
            <w:r>
              <w:t xml:space="preserve"> </w:t>
            </w:r>
            <w:r>
              <w:rPr>
                <w:b/>
                <w:i/>
              </w:rPr>
              <w:t xml:space="preserve">rozpatrywania wniosków o udzielenie ochrony międzynarodowej w ramach procedury </w:t>
            </w:r>
            <w:r>
              <w:rPr>
                <w:b/>
                <w:i/>
              </w:rPr>
              <w:t>granicznej.</w:t>
            </w:r>
          </w:p>
        </w:tc>
      </w:tr>
    </w:tbl>
    <w:p w:rsidR="00FA1C02" w:rsidRPr="002D7B59" w:rsidRDefault="00CB6874" w:rsidP="00FA1C02">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10</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hideMark/>
          </w:tcPr>
          <w:p w:rsidR="00FA1C02" w:rsidRPr="002D7B59" w:rsidRDefault="00CB6874">
            <w:pPr>
              <w:pStyle w:val="Normal6"/>
            </w:pPr>
            <w:r>
              <w:t>(40c)</w:t>
            </w:r>
            <w:r>
              <w:tab/>
              <w:t xml:space="preserve">Stosując procedurę graniczną mającą na celu rozpatrzenie wniosku o udzielenie ochrony międzynarodowej, państwa członkowskie powinny </w:t>
            </w:r>
            <w:r>
              <w:lastRenderedPageBreak/>
              <w:t>dopilnować, aby zapewniono niezbędne warunki do przyjęcia osób ubiegających się o ochronę międzynarodową</w:t>
            </w:r>
            <w:r>
              <w:rPr>
                <w:b/>
                <w:i/>
              </w:rPr>
              <w:t xml:space="preserve"> na granicy ze</w:t>
            </w:r>
            <w:r>
              <w:rPr>
                <w:b/>
                <w:i/>
              </w:rPr>
              <w:t>wnętrznej, w jej pobliżu albo w strefach tranzytowych</w:t>
            </w:r>
            <w:r>
              <w:t xml:space="preserve">, zgodnie z dyrektywą XXX/XXX/UE [dyrektywa w sprawie warunków przyjmowania]. </w:t>
            </w:r>
            <w:r>
              <w:rPr>
                <w:b/>
                <w:i/>
              </w:rPr>
              <w:t>Państwa członkowskie mogą rozpatrywać wnioski w innym miejscu na granicy zewnętrznej niż miejsce, w którym składany jest wnio</w:t>
            </w:r>
            <w:r>
              <w:rPr>
                <w:b/>
                <w:i/>
              </w:rPr>
              <w:t>sek o udzielenie azylu, i w tym celu przenosić osoby ubiegające się o ochronę międzynarodową do określonego miejsca na granicy zewnętrznej tego państwa członkowskiego lub w jej pobliżu, gdzie istnieje odpowiedni obiekt</w:t>
            </w:r>
            <w:r>
              <w:t>. Państwa członkowskie powinny zachowa</w:t>
            </w:r>
            <w:r>
              <w:t xml:space="preserve">ć swobodę decydowania o tym, w jakich konkretnych miejscach </w:t>
            </w:r>
            <w:r>
              <w:rPr>
                <w:b/>
                <w:i/>
              </w:rPr>
              <w:t xml:space="preserve">na granicach zewnętrznych </w:t>
            </w:r>
            <w:r>
              <w:t>należy utworzyć takie obiekty.</w:t>
            </w:r>
            <w:r>
              <w:rPr>
                <w:b/>
                <w:i/>
              </w:rPr>
              <w:t xml:space="preserve"> Państwa członkowskie powinny jednak dążyć do ograniczenia potrzeby przenoszenia osób ubiegających się o ochronę międzynarodową w tym celu, </w:t>
            </w:r>
            <w:r>
              <w:rPr>
                <w:b/>
                <w:i/>
              </w:rPr>
              <w:t>a zatem dążyć do utworzenia takich obiektów o wystarczającej przepustowości na przejściach granicznych lub odcinkach granicy zewnętrznej, gdzie składana jest większość wniosków o udzielenie ochrony międzynarodowej, uwzględniając również długość granicy zew</w:t>
            </w:r>
            <w:r>
              <w:rPr>
                <w:b/>
                <w:i/>
              </w:rPr>
              <w:t xml:space="preserve">nętrznej i liczbę przejść granicznych lub stref tranzytowych. </w:t>
            </w:r>
            <w:r>
              <w:t xml:space="preserve">Państwa członkowskie powinny powiadomić Komisję o konkretnych miejscach na granicy zewnętrznej, </w:t>
            </w:r>
            <w:r>
              <w:rPr>
                <w:b/>
                <w:i/>
              </w:rPr>
              <w:t xml:space="preserve">w strefach tranzytowych lub w pobliżu granicy zewnętrznej, </w:t>
            </w:r>
            <w:r>
              <w:t>w których będą przeprowadzane procedury</w:t>
            </w:r>
            <w:r>
              <w:t xml:space="preserve"> graniczne. W przypadku gdy stosowana jest procedura graniczna, a przepustowość obiektów</w:t>
            </w:r>
            <w:r>
              <w:rPr>
                <w:b/>
                <w:i/>
              </w:rPr>
              <w:t xml:space="preserve"> na granicy zewnętrznej lub w jej pobliżu</w:t>
            </w:r>
            <w:r>
              <w:t>, o których powiadomiło państwo członkowskie, zostanie tymczasowo przekroczona, państwa członkowskie mogą rozpatrywać te wniosk</w:t>
            </w:r>
            <w:r>
              <w:t>i w innym miejscu na swoim terytorium przez możliwie najkrótszy okres.</w:t>
            </w:r>
          </w:p>
        </w:tc>
        <w:tc>
          <w:tcPr>
            <w:tcW w:w="4876" w:type="dxa"/>
            <w:hideMark/>
          </w:tcPr>
          <w:p w:rsidR="00FA1C02" w:rsidRPr="002D7B59" w:rsidRDefault="00CB6874" w:rsidP="00F81EAF">
            <w:pPr>
              <w:pStyle w:val="Normal6"/>
              <w:rPr>
                <w:szCs w:val="24"/>
              </w:rPr>
            </w:pPr>
            <w:r>
              <w:lastRenderedPageBreak/>
              <w:t>(40c)</w:t>
            </w:r>
            <w:r>
              <w:tab/>
              <w:t xml:space="preserve">Stosując procedurę graniczną mającą na celu rozpatrzenie wniosku o udzielenie ochrony międzynarodowej, państwa członkowskie powinny </w:t>
            </w:r>
            <w:r>
              <w:lastRenderedPageBreak/>
              <w:t>dopilnować, aby zapewniono niezbędne warunki do</w:t>
            </w:r>
            <w:r>
              <w:t xml:space="preserve"> przyjęcia osób ubiegających się o ochronę międzynarodową, zgodnie z dyrektywą XXX/XXX/UE [dyrektywa w sprawie warunków przyjmowania]. </w:t>
            </w:r>
            <w:r>
              <w:rPr>
                <w:b/>
                <w:i/>
              </w:rPr>
              <w:t>Personel ds. azylu, przedstawiciele prawni, organizacje pozarządowe, instytucje unijne i międzynarodowe lub personel socj</w:t>
            </w:r>
            <w:r>
              <w:rPr>
                <w:b/>
                <w:i/>
              </w:rPr>
              <w:t>alno-medyczny powinni mieć zawsze dostęp do obiektów podczas procedury granicznej</w:t>
            </w:r>
            <w:r>
              <w:t>. Państwa członkowskie powinny zachować swobodę decydowania o tym, w jakich konkretnych miejscach należy utworzyć takie obiekty</w:t>
            </w:r>
            <w:r>
              <w:rPr>
                <w:b/>
                <w:i/>
              </w:rPr>
              <w:t xml:space="preserve">, ale powinny dopilnować, by zastosowanie nadal </w:t>
            </w:r>
            <w:r>
              <w:rPr>
                <w:b/>
                <w:i/>
              </w:rPr>
              <w:t>miały wymogi dla procedur granicznych</w:t>
            </w:r>
            <w:r>
              <w:t>.</w:t>
            </w:r>
            <w:r>
              <w:rPr>
                <w:b/>
                <w:i/>
              </w:rPr>
              <w:t xml:space="preserve"> Takie obiekty mogą znajdować się na granicy zewnętrznej, w jej pobliżu albo w strefach tranzytowych, pod warunkiem że gwarantują odpowiednie warunki przyjmowania, dostęp dla personelu i podstawowe usługi. </w:t>
            </w:r>
            <w:r>
              <w:t>Państwa czło</w:t>
            </w:r>
            <w:r>
              <w:t>nkowskie powinny powiadomić Komisję o konkretnych miejscach na granicy zewnętrznej, w których będą przeprowadzane procedury graniczne. W przypadku gdy stosowana jest procedura graniczna, a przepustowość obiektów, o których powiadomiło państwo członkowskie,</w:t>
            </w:r>
            <w:r>
              <w:t xml:space="preserve"> zostanie tymczasowo przekroczona</w:t>
            </w:r>
            <w:r>
              <w:rPr>
                <w:b/>
                <w:i/>
              </w:rPr>
              <w:t>, możliwości personelu są niewystarczające lub warunki przyjmowania nie są zapewnione</w:t>
            </w:r>
            <w:r>
              <w:t>, państwa członkowskie mogą rozpatrywać te wnioski w innym miejscu na swoim terytorium przez możliwie najkrótszy okres.</w:t>
            </w:r>
          </w:p>
        </w:tc>
      </w:tr>
    </w:tbl>
    <w:p w:rsidR="00FA1C02" w:rsidRPr="002D7B59" w:rsidRDefault="00CB6874" w:rsidP="00FA1C02">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rStyle w:val="HideTWBInt"/>
          <w:noProof w:val="0"/>
        </w:rPr>
        <w:t>}</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11</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c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FA1C02" w:rsidRPr="002D7B59" w:rsidRDefault="00CB6874" w:rsidP="004523C5">
            <w:pPr>
              <w:pStyle w:val="Normal6"/>
              <w:rPr>
                <w:szCs w:val="24"/>
              </w:rPr>
            </w:pPr>
            <w:r>
              <w:rPr>
                <w:b/>
                <w:i/>
              </w:rPr>
              <w:t>(40ca)</w:t>
            </w:r>
            <w:r>
              <w:rPr>
                <w:b/>
                <w:i/>
              </w:rPr>
              <w:tab/>
            </w:r>
            <w:r>
              <w:rPr>
                <w:b/>
                <w:i/>
              </w:rPr>
              <w:t>Skuteczny powrót migrantów o nieuregulowanym statusie w terminie 12 tygodni stanowi ważny element dobrze funkcjonującej procedury granicznej. W tym celu państwa członkowskie powinny poprawić i wzmocnić współpracę z państwami trzecimi w odniesieniu do powro</w:t>
            </w:r>
            <w:r>
              <w:rPr>
                <w:b/>
                <w:i/>
              </w:rPr>
              <w:t>tu, readmisji i reintegracji oraz powinny polegać na mechanizmie zgodnym z art. 7 rozporządzenia w sprawie zarządzania azylem i migracją [rozporządzenie nr XXX/XXX/UE], w dążeniu do uwzględniania wszystkich odpowiednich unijnych polityk i narzędzi oraz pop</w:t>
            </w:r>
            <w:r>
              <w:rPr>
                <w:b/>
                <w:i/>
              </w:rPr>
              <w:t xml:space="preserve">rawy koordynacji różnych działań w różnych obszarach polityki innych niż polityka </w:t>
            </w:r>
            <w:r>
              <w:rPr>
                <w:b/>
                <w:i/>
                <w:sz w:val="23"/>
              </w:rPr>
              <w:t>migracyjna, które Unia i państwa członkowskie mogą podjąć w tym celu</w:t>
            </w:r>
            <w:r>
              <w:rPr>
                <w:b/>
                <w:i/>
              </w:rPr>
              <w:t>.</w:t>
            </w:r>
          </w:p>
        </w:tc>
      </w:tr>
    </w:tbl>
    <w:p w:rsidR="00FA1C02" w:rsidRPr="002D7B59" w:rsidRDefault="00CB6874" w:rsidP="00FA1C02">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12</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d</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hideMark/>
          </w:tcPr>
          <w:p w:rsidR="00FA1C02" w:rsidRPr="002D7B59" w:rsidRDefault="00CB6874">
            <w:pPr>
              <w:pStyle w:val="Normal6"/>
            </w:pPr>
            <w:r>
              <w:t>(40d)</w:t>
            </w:r>
            <w:r>
              <w:tab/>
            </w:r>
            <w:r>
              <w:t xml:space="preserve">W przypadku gdy stosowanie procedury granicznej jest obowiązkowe, państwa członkowskie w drodze wyjątku powinny być zwolnione z obowiązku stosowania </w:t>
            </w:r>
            <w:r>
              <w:rPr>
                <w:b/>
                <w:i/>
              </w:rPr>
              <w:t xml:space="preserve">tej </w:t>
            </w:r>
            <w:r>
              <w:t xml:space="preserve">procedury do </w:t>
            </w:r>
            <w:r>
              <w:rPr>
                <w:b/>
                <w:i/>
              </w:rPr>
              <w:t xml:space="preserve">rozpatrywania wniosków o udzielenie ochrony </w:t>
            </w:r>
            <w:r>
              <w:rPr>
                <w:b/>
                <w:i/>
              </w:rPr>
              <w:lastRenderedPageBreak/>
              <w:t xml:space="preserve">międzynarodowej złożonych przez </w:t>
            </w:r>
            <w:r>
              <w:t>obywateli pańs</w:t>
            </w:r>
            <w:r>
              <w:t>twa trzeciego, które nie współpracuje w wystarczającym stopniu w zakresie readmisji, ponieważ szybki powrót takich osób po odrzuceniu ich wniosków byłby w tym przypadku mało prawdopodobny. Ustalenia, czy dane państwo trzecie w wystarczającym stopniu współp</w:t>
            </w:r>
            <w:r>
              <w:t>racuje w zakresie readmisji, powinno się dokonywać zgodnie z procedurami określonymi w art. 25a rozporządzenia (WE) nr 810/2009.</w:t>
            </w:r>
          </w:p>
        </w:tc>
        <w:tc>
          <w:tcPr>
            <w:tcW w:w="4876" w:type="dxa"/>
            <w:hideMark/>
          </w:tcPr>
          <w:p w:rsidR="00FA1C02" w:rsidRPr="002D7B59" w:rsidRDefault="00CB6874" w:rsidP="00F81EAF">
            <w:pPr>
              <w:pStyle w:val="Normal6"/>
              <w:rPr>
                <w:szCs w:val="24"/>
              </w:rPr>
            </w:pPr>
            <w:r>
              <w:lastRenderedPageBreak/>
              <w:t>(40d)</w:t>
            </w:r>
            <w:r>
              <w:tab/>
              <w:t>W przypadku gdy stosowanie procedury granicznej jest obowiązkowe, państwa członkowskie w drodze wyjątku powinny być zwoln</w:t>
            </w:r>
            <w:r>
              <w:t xml:space="preserve">ione z obowiązku stosowania procedury </w:t>
            </w:r>
            <w:r>
              <w:rPr>
                <w:b/>
                <w:i/>
              </w:rPr>
              <w:t xml:space="preserve">granicznej mającej na celu przeprowadzenie powrotu </w:t>
            </w:r>
            <w:r>
              <w:t xml:space="preserve">do </w:t>
            </w:r>
            <w:r>
              <w:lastRenderedPageBreak/>
              <w:t xml:space="preserve">obywateli państwa trzeciego, które nie współpracuje w wystarczającym stopniu w zakresie readmisji, ponieważ szybki powrót takich osób po odrzuceniu ich wniosków </w:t>
            </w:r>
            <w:r>
              <w:rPr>
                <w:b/>
                <w:i/>
              </w:rPr>
              <w:t>pod</w:t>
            </w:r>
            <w:r>
              <w:rPr>
                <w:b/>
                <w:i/>
              </w:rPr>
              <w:t xml:space="preserve">czas procedury granicznej przeprowadzanej w celu rozpatrzenia wniosku o udzielenie ochrony międzynarodowej </w:t>
            </w:r>
            <w:r>
              <w:t>byłby w tym przypadku mało prawdopodobny. Ustalenia, czy dane państwo trzecie w wystarczającym stopniu współpracuje w zakresie readmisji, powinno się</w:t>
            </w:r>
            <w:r>
              <w:t xml:space="preserve"> dokonywać zgodnie z procedurami określonymi w art. 25a rozporządzenia (WE) nr 810/2009. </w:t>
            </w:r>
            <w:r>
              <w:rPr>
                <w:b/>
                <w:i/>
              </w:rPr>
              <w:t>W przypadku gdy procedura graniczna mająca na celu przeprowadzenie powrotu wyjątkowo nie jest stosowana w tych okolicznościach, zastosowanie powinna mieć procedura pow</w:t>
            </w:r>
            <w:r>
              <w:rPr>
                <w:b/>
                <w:i/>
              </w:rPr>
              <w:t>rotu ustanowiona w dyrektywie powrotowej, a dany obywatel państwa trzeciego powinien być upoważniony do wjazdu na terytorium określonego państwa członkowskiego.</w:t>
            </w:r>
          </w:p>
        </w:tc>
      </w:tr>
    </w:tbl>
    <w:p w:rsidR="00FA1C02" w:rsidRPr="002D7B59" w:rsidRDefault="00CB6874" w:rsidP="00FA1C02">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13</w:t>
      </w:r>
      <w:r>
        <w:rPr>
          <w:rStyle w:val="HideTWBExt"/>
          <w:b w:val="0"/>
          <w:noProof w:val="0"/>
        </w:rPr>
        <w:t>&lt;/NumAm&gt;</w:t>
      </w:r>
    </w:p>
    <w:p w:rsidR="00AF1546" w:rsidRPr="002D7B59" w:rsidRDefault="00CB6874" w:rsidP="00AF1546">
      <w:pPr>
        <w:pStyle w:val="NormalBold"/>
      </w:pPr>
      <w:r>
        <w:rPr>
          <w:rStyle w:val="HideTWBExt"/>
          <w:b w:val="0"/>
          <w:noProof w:val="0"/>
        </w:rPr>
        <w:t>&lt;Members&gt;</w:t>
      </w:r>
      <w:r>
        <w:t xml:space="preserve">Fabienne </w:t>
      </w:r>
      <w:r>
        <w:t>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hideMark/>
          </w:tcPr>
          <w:p w:rsidR="00FA1C02" w:rsidRPr="002D7B59" w:rsidRDefault="00CB6874">
            <w:pPr>
              <w:pStyle w:val="Normal6"/>
            </w:pPr>
            <w:r>
              <w:t>(40e)</w:t>
            </w:r>
            <w:r>
              <w:tab/>
              <w:t xml:space="preserve">Czas trwania procedury granicznej mającej na celu rozpatrzenie wniosku o udzielenie ochrony </w:t>
            </w:r>
            <w:r>
              <w:t>międzynarodowej powinien być jak najkrótszy, a jednocześnie gwarantować pełne i rzetelne rozpatrywanie wniosków. Okres ten nie powinien w żadnym przypadku przekraczać 12 tygodni. Termin ten należy rozumieć jako odrębny termin dla azylowej procedury granicz</w:t>
            </w:r>
            <w:r>
              <w:t>nej, obejmujący zarówno decyzję w sprawie wniosku, jak i ewentualne rozstrzygnięcie w </w:t>
            </w:r>
            <w:r>
              <w:rPr>
                <w:b/>
                <w:i/>
              </w:rPr>
              <w:t xml:space="preserve">pierwszej </w:t>
            </w:r>
            <w:r>
              <w:t xml:space="preserve">instancji odwoławczej. W tym terminie </w:t>
            </w:r>
            <w:r>
              <w:lastRenderedPageBreak/>
              <w:t>państwa członkowskie są uprawnione do określenia w prawie krajowym terminu zarówno dla etapu administracyjnego, jak i odwo</w:t>
            </w:r>
            <w:r>
              <w:t xml:space="preserve">ławczego, ale powinny ustalić te terminy w taki sposób, aby zapewnić zakończenie procedury rozpatrywania wniosku, a następnie wydanie </w:t>
            </w:r>
            <w:r>
              <w:rPr>
                <w:b/>
                <w:i/>
              </w:rPr>
              <w:t xml:space="preserve">w pierwszej instancji </w:t>
            </w:r>
            <w:r>
              <w:t xml:space="preserve">rozstrzygnięcia w sprawie ewentualnego odwołania w ciągu nie więcej niż 12 tygodni. Po upływie tego </w:t>
            </w:r>
            <w:r>
              <w:t xml:space="preserve">terminu, jeżeli państwo członkowskie mimo to nie wydało odpowiedniego rozstrzygnięcia, osobie ubiegającej się o ochronę międzynarodową należy </w:t>
            </w:r>
            <w:r>
              <w:rPr>
                <w:b/>
                <w:i/>
              </w:rPr>
              <w:t xml:space="preserve">co do zasady </w:t>
            </w:r>
            <w:r>
              <w:t xml:space="preserve">zezwolić na wjazd na terytorium tego państwa członkowskiego. Nie należy jednak zezwalać osobie </w:t>
            </w:r>
            <w:r>
              <w:t>ubiegającej się o ochronę międzynarodową na wjazd na terytorium państwa, jeżeli osoba ta nie ma prawa do pozostania, jeżeli nie złożyła wniosku o zezwolenie na pozostanie do celów procedury odwoławczej lub jeżeli sąd lub trybunał postanowił, że nie powinna</w:t>
            </w:r>
            <w:r>
              <w:t xml:space="preserve"> ona uzyskać zezwolenia na pozostanie w oczekiwaniu na wynik postępowania odwoławczego. W takich przypadkach, aby zapewnić ciągłość między procedurą azylową a procedurą powrotu, procedura powrotu powinna być również przeprowadzona w ramach procedury granic</w:t>
            </w:r>
            <w:r>
              <w:t>znej w terminie nieprzekraczającym 12 tygodni. Termin ten powinno się liczyć od chwili, w której osoba ubiegająca się o ochronę międzynarodową – obywatel państwa trzeciego lub bezpaństwowiec – nie ma już prawa do pozostania ani zezwolenia na pozostanie.</w:t>
            </w:r>
          </w:p>
        </w:tc>
        <w:tc>
          <w:tcPr>
            <w:tcW w:w="4876" w:type="dxa"/>
            <w:hideMark/>
          </w:tcPr>
          <w:p w:rsidR="00FA1C02" w:rsidRPr="002D7B59" w:rsidRDefault="00CB6874" w:rsidP="00F81EAF">
            <w:pPr>
              <w:pStyle w:val="Normal6"/>
              <w:rPr>
                <w:szCs w:val="24"/>
              </w:rPr>
            </w:pPr>
            <w:r>
              <w:lastRenderedPageBreak/>
              <w:t>(4</w:t>
            </w:r>
            <w:r>
              <w:t>0e)</w:t>
            </w:r>
            <w:r>
              <w:tab/>
              <w:t>Czas trwania procedury granicznej mającej na celu rozpatrzenie wniosku o udzielenie ochrony międzynarodowej powinien być jak najkrótszy, a jednocześnie gwarantować pełne i rzetelne rozpatrywanie wniosków. Okres ten nie powinien w żadnym przypadku przek</w:t>
            </w:r>
            <w:r>
              <w:t xml:space="preserve">raczać 12 tygodni. Termin ten należy rozumieć jako odrębny termin dla azylowej procedury granicznej, obejmujący zarówno decyzję w sprawie wniosku, jak i ewentualne rozstrzygnięcie w instancji odwoławczej. W tym terminie państwa </w:t>
            </w:r>
            <w:r>
              <w:lastRenderedPageBreak/>
              <w:t>członkowskie są uprawnione d</w:t>
            </w:r>
            <w:r>
              <w:t>o określenia w prawie krajowym terminu zarówno dla etapu administracyjnego, jak i odwoławczego, ale powinny ustalić te terminy w taki sposób, aby zapewnić zakończenie procedury rozpatrywania wniosku, a następnie wydanie rozstrzygnięcia w sprawie ewentualne</w:t>
            </w:r>
            <w:r>
              <w:t>go odwołania w ciągu nie więcej niż 12 tygodni. Po upływie tego terminu, jeżeli państwo członkowskie mimo to nie wydało odpowiedniego rozstrzygnięcia, osobie ubiegającej się o ochronę międzynarodową należy zezwolić na wjazd na terytorium tego państwa człon</w:t>
            </w:r>
            <w:r>
              <w:t>kowskiego. Nie należy jednak zezwalać osobie ubiegającej się o ochronę międzynarodową na wjazd na terytorium państwa, jeżeli osoba ta nie ma prawa do pozostania, jeżeli nie złożyła wniosku o zezwolenie na pozostanie do celów procedury odwoławczej lub jeżel</w:t>
            </w:r>
            <w:r>
              <w:t>i sąd lub trybunał postanowił, że nie powinna ona uzyskać zezwolenia na pozostanie w oczekiwaniu na wynik postępowania odwoławczego. W takich przypadkach, aby zapewnić ciągłość między procedurą azylową a procedurą powrotu, procedura powrotu powinna być rów</w:t>
            </w:r>
            <w:r>
              <w:t>nież przeprowadzona w ramach procedury granicznej w terminie nieprzekraczającym 12 tygodni. Termin ten powinno się liczyć od chwili, w której osoba ubiegająca się o ochronę międzynarodową – obywatel państwa trzeciego lub bezpaństwowiec – nie ma już prawa d</w:t>
            </w:r>
            <w:r>
              <w:t xml:space="preserve">o pozostania ani zezwolenia na pozostanie. </w:t>
            </w:r>
            <w:r>
              <w:rPr>
                <w:b/>
                <w:i/>
              </w:rPr>
              <w:t>Aby zakończyć procedurę graniczną w określonym terminie, właściwe organy i wszystkie podmioty zaangażowane w procedurę graniczną powinny dążyć do zwiększenia zaangażowania i współpracy ze strony obywateli państw t</w:t>
            </w:r>
            <w:r>
              <w:rPr>
                <w:b/>
                <w:i/>
              </w:rPr>
              <w:t>rzecich na wszystkich etapach procedury.</w:t>
            </w:r>
          </w:p>
        </w:tc>
      </w:tr>
    </w:tbl>
    <w:p w:rsidR="00FA1C02" w:rsidRPr="002D7B59" w:rsidRDefault="00CB6874" w:rsidP="00FA1C02">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lastRenderedPageBreak/>
        <w:t>&lt;Amend&gt;</w:t>
      </w:r>
      <w:r>
        <w:t>Poprawka</w:t>
      </w:r>
      <w:r>
        <w:tab/>
      </w:r>
      <w:r>
        <w:tab/>
      </w:r>
      <w:r>
        <w:rPr>
          <w:rStyle w:val="HideTWBExt"/>
          <w:b w:val="0"/>
          <w:noProof w:val="0"/>
        </w:rPr>
        <w:t>&lt;NumAm&gt;</w:t>
      </w:r>
      <w:r>
        <w:t>14</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w:t>
            </w:r>
            <w:r>
              <w:t xml:space="preserve">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hideMark/>
          </w:tcPr>
          <w:p w:rsidR="00FA1C02" w:rsidRPr="002D7B59" w:rsidRDefault="00CB6874">
            <w:pPr>
              <w:pStyle w:val="Normal6"/>
            </w:pPr>
            <w:r>
              <w:t>(40f)</w:t>
            </w:r>
            <w:r>
              <w:tab/>
              <w:t>Wprawdzie procedura graniczna mająca na celu rozpatrzenie wniosku o udzielenie ochrony międzynarodowej może przebiegać bez stosowania środków detencyjnych, jednak państwo członkowskie powinno mieć możliwość zastosowania podst</w:t>
            </w:r>
            <w:r>
              <w:t>aw umieszczenia w ośrodku detencyjnym w trakcie procedury granicznej zgodnie z przepisami dyrektywy (UE) XXX/XXX [w sprawie warunków przyjmowania]</w:t>
            </w:r>
            <w:r>
              <w:rPr>
                <w:b/>
                <w:i/>
              </w:rPr>
              <w:t xml:space="preserve"> w celu podjęcia decyzji w sprawie prawa osoby</w:t>
            </w:r>
            <w:r>
              <w:t xml:space="preserve"> ubiegającej się o ochronę międzynarodową do wjazdu na terytoriu</w:t>
            </w:r>
            <w:r>
              <w:t>m tego państwa</w:t>
            </w:r>
            <w:r>
              <w:rPr>
                <w:b/>
                <w:i/>
              </w:rPr>
              <w:t>. Jeżeli w trakcie takiej procedury zastosowany zostanie środek detencyjny, zastosowanie powinny mieć przepisy dotyczące zatrzymania zawarte w dyrektywie (UE) XXX/XXX [w sprawie warunków</w:t>
            </w:r>
            <w:r>
              <w:t xml:space="preserve"> przyjmowania</w:t>
            </w:r>
            <w:r>
              <w:rPr>
                <w:b/>
                <w:i/>
              </w:rPr>
              <w:t>], w tym gwarancje</w:t>
            </w:r>
            <w:r>
              <w:t xml:space="preserve"> dla zatrzymanych osób ub</w:t>
            </w:r>
            <w:r>
              <w:t>iegających się o ochronę międzynarodową</w:t>
            </w:r>
            <w:r>
              <w:rPr>
                <w:b/>
                <w:i/>
              </w:rPr>
              <w:t xml:space="preserve"> oraz zasada, że konieczna jest indywidualna ocena</w:t>
            </w:r>
            <w:r>
              <w:t xml:space="preserve"> każdego przypadku, </w:t>
            </w:r>
            <w:r>
              <w:rPr>
                <w:b/>
                <w:i/>
              </w:rPr>
              <w:t>jak również przepisy dotyczące kontroli sądowej i warunków zatrzymania</w:t>
            </w:r>
            <w:r>
              <w:t>.</w:t>
            </w:r>
          </w:p>
        </w:tc>
        <w:tc>
          <w:tcPr>
            <w:tcW w:w="4876" w:type="dxa"/>
            <w:hideMark/>
          </w:tcPr>
          <w:p w:rsidR="00FA1C02" w:rsidRPr="002D7B59" w:rsidRDefault="00CB6874" w:rsidP="004523C5">
            <w:pPr>
              <w:pStyle w:val="Normal6"/>
              <w:rPr>
                <w:szCs w:val="24"/>
              </w:rPr>
            </w:pPr>
            <w:r>
              <w:t>(40f)</w:t>
            </w:r>
            <w:r>
              <w:tab/>
              <w:t>Wprawdzie procedura graniczna mająca na celu rozpatrzenie wniosku o u</w:t>
            </w:r>
            <w:r>
              <w:t xml:space="preserve">dzielenie ochrony międzynarodowej może przebiegać bez stosowania środków detencyjnych, jednak państwo członkowskie powinno mieć możliwość zastosowania podstaw umieszczenia w ośrodku detencyjnym w trakcie procedury granicznej zgodnie z przepisami dyrektywy </w:t>
            </w:r>
            <w:r>
              <w:t>(UE) XXX/XXX [w sprawie warunków przyjmowania]</w:t>
            </w:r>
            <w:r>
              <w:rPr>
                <w:b/>
                <w:i/>
              </w:rPr>
              <w:t>, włącznie z prawem</w:t>
            </w:r>
            <w:r>
              <w:t xml:space="preserve"> osoby ubiegającej się o ochronę międzynarodową do wjazdu na terytorium tego państwa</w:t>
            </w:r>
            <w:r>
              <w:rPr>
                <w:b/>
                <w:i/>
              </w:rPr>
              <w:t xml:space="preserve"> oraz warunkami</w:t>
            </w:r>
            <w:r>
              <w:t xml:space="preserve"> przyjmowania </w:t>
            </w:r>
            <w:r>
              <w:rPr>
                <w:b/>
                <w:i/>
              </w:rPr>
              <w:t>i gwarancjami</w:t>
            </w:r>
            <w:r>
              <w:t xml:space="preserve"> dla zatrzymanych osób ubiegających się o ochronę międzynarodową</w:t>
            </w:r>
            <w:r>
              <w:rPr>
                <w:b/>
                <w:i/>
              </w:rPr>
              <w:t>.</w:t>
            </w:r>
            <w:r>
              <w:rPr>
                <w:b/>
                <w:i/>
              </w:rPr>
              <w:t xml:space="preserve"> Decyzja o zatrzymaniu osoby ubiegającej się o ochronę międzynarodową podczas procedury granicznej nigdy nie powinna być podejmowana automatycznie. Decyzje takie powinny zawsze opierać się na indywidualnej ocenie</w:t>
            </w:r>
            <w:r>
              <w:t xml:space="preserve"> każdego przypadku, </w:t>
            </w:r>
            <w:r>
              <w:rPr>
                <w:b/>
                <w:i/>
              </w:rPr>
              <w:t>która pokazuje, że środe</w:t>
            </w:r>
            <w:r>
              <w:rPr>
                <w:b/>
                <w:i/>
              </w:rPr>
              <w:t>k detencyjny jest konieczny i proporcjonalny oraz nie jest możliwe zastosowanie mniej rygorystycznych środków przymusu</w:t>
            </w:r>
            <w:r>
              <w:t>.</w:t>
            </w:r>
            <w:r>
              <w:rPr>
                <w:b/>
                <w:i/>
              </w:rPr>
              <w:t xml:space="preserve"> Decyzje takie powinny podlegać kontroli sądowej.</w:t>
            </w:r>
          </w:p>
        </w:tc>
      </w:tr>
    </w:tbl>
    <w:p w:rsidR="00FA1C02" w:rsidRPr="002D7B59" w:rsidRDefault="00CB6874" w:rsidP="00FA1C02">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15</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f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FA1C02" w:rsidRPr="002D7B59" w:rsidRDefault="00CB6874" w:rsidP="004523C5">
            <w:pPr>
              <w:pStyle w:val="Normal6"/>
              <w:rPr>
                <w:szCs w:val="24"/>
              </w:rPr>
            </w:pPr>
            <w:r>
              <w:rPr>
                <w:b/>
                <w:i/>
              </w:rPr>
              <w:t>(40fa)</w:t>
            </w:r>
            <w:r>
              <w:rPr>
                <w:b/>
                <w:i/>
              </w:rPr>
              <w:tab/>
              <w:t xml:space="preserve">W celu unikania pozbawiania wolności, w przypadku gdy zastosowane mogą być mniej </w:t>
            </w:r>
            <w:r>
              <w:rPr>
                <w:b/>
                <w:i/>
              </w:rPr>
              <w:t>rygorystyczne środki, państwa członkowskie powinny być w stanie ograniczać swobodę przemieszczania się osób ubiegających się o ochronę międzynarodową zgodnie z przepisami dyrektywy (UE) XXX/XXX [w sprawie warunków przyjmowania] lub zastosować inne rozwiąza</w:t>
            </w:r>
            <w:r>
              <w:rPr>
                <w:b/>
                <w:i/>
              </w:rPr>
              <w:t>nia alternatywne względem środków detencyjnych. Takie środki alternatywne powinny być dostępne formalnie i faktycznie na szczeblu krajowym oraz mogą być zapewniane w szczególności względem osób ubiegających się o ochronę międzynarodową o specjalnych potrze</w:t>
            </w:r>
            <w:r>
              <w:rPr>
                <w:b/>
                <w:i/>
              </w:rPr>
              <w:t>bach w zakresie przyjmowania, zwłaszcza małoletnich, rodzin lub innych osób wymagających szczególnego traktowania. Komisja powinna określić najlepsze praktyki i wspierać państwa członkowskie we wdrażaniu rozwiązań alternatywnych względem środków detencyjny</w:t>
            </w:r>
            <w:r>
              <w:rPr>
                <w:b/>
                <w:i/>
              </w:rPr>
              <w:t>ch w kontekście procedury granicznej. Komisja powinna konsultować się z zainteresowanymi stronami posiadającymi wiedzę ekspercką w danej dziedzinie, takimi jak unijne organy, jednostki i agencje, Europejska Sieć Migracyjna, Komitet Sterujący ds. Praw Człow</w:t>
            </w:r>
            <w:r>
              <w:rPr>
                <w:b/>
                <w:i/>
              </w:rPr>
              <w:t>ieka Rady Europy, Wysoki Komisarz Narodów Zjednoczonych ds. Uchodźców, Międzynarodowa Organizacja ds. Migracji lub organizacje pozarządowe.</w:t>
            </w:r>
          </w:p>
        </w:tc>
      </w:tr>
    </w:tbl>
    <w:p w:rsidR="00FA1C02" w:rsidRPr="002D7B59" w:rsidRDefault="00CB6874" w:rsidP="00FA1C02">
      <w:pPr>
        <w:pStyle w:val="Olang"/>
        <w:rPr>
          <w:rStyle w:val="HideTWBExt"/>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707625" w:rsidRPr="002D7B59" w:rsidRDefault="00707625" w:rsidP="00FA1C02">
      <w:pPr>
        <w:pStyle w:val="Olang"/>
        <w:rPr>
          <w:noProof w:val="0"/>
        </w:rPr>
      </w:pPr>
    </w:p>
    <w:p w:rsidR="00707625" w:rsidRPr="002D7B59" w:rsidRDefault="00CB6874" w:rsidP="00707625">
      <w:r>
        <w:rPr>
          <w:rStyle w:val="HideTWBExt"/>
          <w:noProof w:val="0"/>
        </w:rPr>
        <w:t>&lt;/Amend&gt;</w:t>
      </w:r>
    </w:p>
    <w:p w:rsidR="00707625" w:rsidRPr="002D7B59" w:rsidRDefault="00707625" w:rsidP="00FA1C02">
      <w:pPr>
        <w:pStyle w:val="Olang"/>
        <w:rPr>
          <w:noProof w:val="0"/>
        </w:rPr>
      </w:pPr>
    </w:p>
    <w:p w:rsidR="00C970E2" w:rsidRPr="002D7B59" w:rsidRDefault="00CB6874" w:rsidP="00C970E2">
      <w:pPr>
        <w:pStyle w:val="AMNumberTabs0"/>
        <w:keepNext/>
      </w:pPr>
      <w:r>
        <w:rPr>
          <w:rStyle w:val="HideTWBExt"/>
          <w:b w:val="0"/>
          <w:noProof w:val="0"/>
        </w:rPr>
        <w:t>&lt;Amend&gt;</w:t>
      </w:r>
      <w:r>
        <w:t>Poprawka</w:t>
      </w:r>
      <w:r>
        <w:tab/>
      </w:r>
      <w:r>
        <w:tab/>
      </w:r>
      <w:r>
        <w:rPr>
          <w:rStyle w:val="HideTWBExt"/>
          <w:b w:val="0"/>
          <w:noProof w:val="0"/>
        </w:rPr>
        <w:t>&lt;NumAm&gt;</w:t>
      </w:r>
      <w:r>
        <w:t>16</w:t>
      </w:r>
      <w:r>
        <w:rPr>
          <w:rStyle w:val="HideTWBExt"/>
          <w:b w:val="0"/>
          <w:noProof w:val="0"/>
        </w:rPr>
        <w:t>&lt;/NumAm&gt;</w:t>
      </w:r>
    </w:p>
    <w:p w:rsidR="00C970E2" w:rsidRPr="002D7B59" w:rsidRDefault="00CB6874" w:rsidP="00C970E2">
      <w:pPr>
        <w:pStyle w:val="NormalBold"/>
      </w:pPr>
      <w:r>
        <w:rPr>
          <w:rStyle w:val="HideTWBExt"/>
          <w:b w:val="0"/>
          <w:noProof w:val="0"/>
        </w:rPr>
        <w:t>&lt;Members&gt;</w:t>
      </w:r>
      <w:r>
        <w:t>Fabienne Keller</w:t>
      </w:r>
      <w:r>
        <w:rPr>
          <w:rStyle w:val="HideTWBExt"/>
          <w:b w:val="0"/>
          <w:noProof w:val="0"/>
        </w:rPr>
        <w:t>&lt;/Members&gt;</w:t>
      </w:r>
    </w:p>
    <w:p w:rsidR="00C970E2" w:rsidRPr="002D7B59" w:rsidRDefault="00CB6874" w:rsidP="00C970E2">
      <w:pPr>
        <w:pStyle w:val="NormalBold12b"/>
        <w:keepNext/>
      </w:pPr>
      <w:r>
        <w:rPr>
          <w:rStyle w:val="HideTWBExt"/>
          <w:b w:val="0"/>
          <w:noProof w:val="0"/>
        </w:rPr>
        <w:lastRenderedPageBreak/>
        <w:t>&lt;DocAmend&gt;</w:t>
      </w:r>
      <w:r>
        <w:t>Wniosek dotyczący rozporządzenia</w:t>
      </w:r>
      <w:r>
        <w:rPr>
          <w:rStyle w:val="HideTWBExt"/>
          <w:b w:val="0"/>
          <w:noProof w:val="0"/>
        </w:rPr>
        <w:t>&lt;/DocAmend&gt;</w:t>
      </w:r>
    </w:p>
    <w:p w:rsidR="00C970E2" w:rsidRPr="002D7B59" w:rsidRDefault="00CB6874" w:rsidP="00C970E2">
      <w:pPr>
        <w:pStyle w:val="NormalBold"/>
      </w:pPr>
      <w:r>
        <w:rPr>
          <w:rStyle w:val="HideTWBExt"/>
          <w:b w:val="0"/>
          <w:noProof w:val="0"/>
        </w:rPr>
        <w:t>&lt;Article&gt;</w:t>
      </w:r>
      <w:r>
        <w:t>Motyw 40 h</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C970E2">
        <w:trPr>
          <w:jc w:val="center"/>
        </w:trPr>
        <w:tc>
          <w:tcPr>
            <w:tcW w:w="9752" w:type="dxa"/>
            <w:gridSpan w:val="2"/>
          </w:tcPr>
          <w:p w:rsidR="00C970E2" w:rsidRPr="002D7B59" w:rsidRDefault="00C970E2">
            <w:pPr>
              <w:keepNext/>
            </w:pPr>
          </w:p>
        </w:tc>
      </w:tr>
      <w:tr w:rsidR="00FA22A3" w:rsidTr="00C970E2">
        <w:trPr>
          <w:jc w:val="center"/>
        </w:trPr>
        <w:tc>
          <w:tcPr>
            <w:tcW w:w="4876" w:type="dxa"/>
            <w:hideMark/>
          </w:tcPr>
          <w:p w:rsidR="00C970E2" w:rsidRPr="002D7B59" w:rsidRDefault="00CB6874">
            <w:pPr>
              <w:pStyle w:val="ColumnHeading"/>
              <w:keepNext/>
            </w:pPr>
            <w:r>
              <w:t>Tekst proponowany przez Komisję</w:t>
            </w:r>
          </w:p>
        </w:tc>
        <w:tc>
          <w:tcPr>
            <w:tcW w:w="4876" w:type="dxa"/>
            <w:hideMark/>
          </w:tcPr>
          <w:p w:rsidR="00C970E2" w:rsidRPr="002D7B59" w:rsidRDefault="00CB6874">
            <w:pPr>
              <w:pStyle w:val="ColumnHeading"/>
              <w:keepNext/>
            </w:pPr>
            <w:r>
              <w:t>Poprawka</w:t>
            </w:r>
          </w:p>
        </w:tc>
      </w:tr>
      <w:tr w:rsidR="00FA22A3" w:rsidTr="00C970E2">
        <w:trPr>
          <w:jc w:val="center"/>
        </w:trPr>
        <w:tc>
          <w:tcPr>
            <w:tcW w:w="4876" w:type="dxa"/>
            <w:hideMark/>
          </w:tcPr>
          <w:p w:rsidR="00C970E2" w:rsidRPr="002D7B59" w:rsidRDefault="00CB6874">
            <w:pPr>
              <w:pStyle w:val="Normal6"/>
            </w:pPr>
            <w:r>
              <w:t>(40h)</w:t>
            </w:r>
            <w:r>
              <w:tab/>
            </w:r>
            <w:r>
              <w:t>Stosując procedurę graniczną mającą na celu przeprowadzenie powrotu, należy stosować niektóre przepisy [przekształconej dyrektywy powrotowej], ponieważ przepisy te regulują elementy procedury powrotu, które nie są określone w niniejszym rozporządzeniu, w s</w:t>
            </w:r>
            <w:r>
              <w:t>zczególności definicje, korzystniejsze przepisy, zasadę non-refoulement, dobro dziecka, życie rodzinne i stan zdrowia, ryzyko ucieczki, obowiązek współpracy, termin na dobrowolny wyjazd, decyzję nakazującą powrót, wydalenie, odroczenie wydalenia, powrót i </w:t>
            </w:r>
            <w:r>
              <w:t xml:space="preserve">wydalenie małoletnich bez opieki, zakazy wjazdu, zabezpieczenia do czasu powrotu, środek detencyjny, warunki zatrzymania, zatrzymanie osób małoletnich i rodzin oraz sytuacje nadzwyczajne. </w:t>
            </w:r>
            <w:r>
              <w:rPr>
                <w:b/>
                <w:i/>
              </w:rPr>
              <w:t>Aby zmniejszyć ryzyko niedozwolonego wjazdu i przemieszczania się ni</w:t>
            </w:r>
            <w:r>
              <w:rPr>
                <w:b/>
                <w:i/>
              </w:rPr>
              <w:t>elegalnie przebywających obywateli państwa trzeciego podlegających procedurze granicznej mającej na celu przeprowadzenie powrotu, można przyznać nielegalnie przebywającym obywatelom państwa trzeciego nieprzekraczający 15 dni termin na dobrowolny wyjazd, be</w:t>
            </w:r>
            <w:r>
              <w:rPr>
                <w:b/>
                <w:i/>
              </w:rPr>
              <w:t>z uszczerbku dla możliwości dobrowolnego wywiązania się z obowiązku powrotu w dowolnej chwili.</w:t>
            </w:r>
          </w:p>
        </w:tc>
        <w:tc>
          <w:tcPr>
            <w:tcW w:w="4876" w:type="dxa"/>
            <w:hideMark/>
          </w:tcPr>
          <w:p w:rsidR="00C970E2" w:rsidRPr="002D7B59" w:rsidRDefault="00CB6874">
            <w:pPr>
              <w:pStyle w:val="Normal6"/>
              <w:rPr>
                <w:szCs w:val="24"/>
              </w:rPr>
            </w:pPr>
            <w:r>
              <w:t>(40h)</w:t>
            </w:r>
            <w:r>
              <w:rPr>
                <w:b/>
                <w:i/>
              </w:rPr>
              <w:tab/>
            </w:r>
            <w:r>
              <w:t>Stosując procedurę graniczną mającą na celu przeprowadzenie powrotu, należy stosować niektóre przepisy [przekształconej dyrektywy powrotowej], ponieważ prz</w:t>
            </w:r>
            <w:r>
              <w:t>episy te regulują elementy procedury powrotu, które nie są określone w niniejszym rozporządzeniu, w szczególności definicje, korzystniejsze przepisy, zasadę non-refoulement, dobro dziecka, życie rodzinne i stan zdrowia, ryzyko ucieczki, obowiązek współprac</w:t>
            </w:r>
            <w:r>
              <w:t>y, termin na dobrowolny wyjazd, decyzję nakazującą powrót, wydalenie, odroczenie wydalenia, powrót i wydalenie małoletnich bez opieki, zakazy wjazdu, zabezpieczenia do czasu powrotu, środek detencyjny, warunki zatrzymania, zatrzymanie osób małoletnich i ro</w:t>
            </w:r>
            <w:r>
              <w:t>dzin oraz sytuacje nadzwyczajne.</w:t>
            </w:r>
          </w:p>
        </w:tc>
      </w:tr>
    </w:tbl>
    <w:p w:rsidR="009D1953" w:rsidRPr="002D7B59" w:rsidRDefault="009D1953" w:rsidP="00C970E2">
      <w:pPr>
        <w:rPr>
          <w:rStyle w:val="HideTWBExt"/>
          <w:noProof w:val="0"/>
        </w:rPr>
      </w:pPr>
    </w:p>
    <w:p w:rsidR="00257D18" w:rsidRPr="002D7B59" w:rsidRDefault="00CB6874" w:rsidP="00257D18">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257D18" w:rsidRPr="002D7B59" w:rsidRDefault="00CB6874" w:rsidP="00257D18">
      <w:r>
        <w:rPr>
          <w:rStyle w:val="HideTWBExt"/>
          <w:noProof w:val="0"/>
        </w:rPr>
        <w:t>&lt;/Amend&gt;</w:t>
      </w:r>
    </w:p>
    <w:p w:rsidR="00FA1C02" w:rsidRPr="002D7B59" w:rsidRDefault="00FA1C02" w:rsidP="00FA1C02"/>
    <w:p w:rsidR="00075989"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17</w:t>
      </w:r>
      <w:r>
        <w:rPr>
          <w:rStyle w:val="HideTWBExt"/>
          <w:b w:val="0"/>
          <w:noProof w:val="0"/>
        </w:rPr>
        <w:t>&lt;/NumAm&gt;</w:t>
      </w:r>
    </w:p>
    <w:p w:rsidR="00525CAE" w:rsidRPr="002D7B59" w:rsidRDefault="00CB6874" w:rsidP="00525CAE">
      <w:pPr>
        <w:pStyle w:val="NormalBold"/>
      </w:pPr>
      <w:r>
        <w:rPr>
          <w:rStyle w:val="HideTWBExt"/>
          <w:b w:val="0"/>
          <w:noProof w:val="0"/>
        </w:rPr>
        <w:t>&lt;Members&gt;</w:t>
      </w:r>
      <w:r>
        <w:t>Fabienne Keller</w:t>
      </w:r>
      <w:r>
        <w:rPr>
          <w:rStyle w:val="HideTWBExt"/>
          <w:b w:val="0"/>
          <w:noProof w:val="0"/>
        </w:rPr>
        <w:t>&lt;/Members&gt;</w:t>
      </w:r>
    </w:p>
    <w:p w:rsidR="00AF1546" w:rsidRPr="002D7B59" w:rsidRDefault="00AF1546" w:rsidP="00AF1546">
      <w:pPr>
        <w:pStyle w:val="NormalBold"/>
      </w:pP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h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 xml:space="preserve">Tekst </w:t>
            </w:r>
            <w:r>
              <w:t>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FA1C02" w:rsidRPr="002D7B59" w:rsidRDefault="00CB6874" w:rsidP="004561F2">
            <w:pPr>
              <w:pStyle w:val="Normal6"/>
              <w:rPr>
                <w:szCs w:val="24"/>
              </w:rPr>
            </w:pPr>
            <w:r>
              <w:rPr>
                <w:b/>
                <w:i/>
              </w:rPr>
              <w:t>(40ha)</w:t>
            </w:r>
            <w:r>
              <w:rPr>
                <w:b/>
                <w:i/>
              </w:rPr>
              <w:tab/>
              <w:t>W przypadku gdy spełnione zostaną warunki, o których mowa w prawie Unii, należy wspierać dobrowolny powrót w ramach procedury granicznej, aby zachęcać do stosowania podejścia opartego na współpracy między obywate</w:t>
            </w:r>
            <w:r>
              <w:rPr>
                <w:b/>
                <w:i/>
              </w:rPr>
              <w:t>lami państw trzecich i właściwymi organami. Obywateli państw trzecich należy należycie informować o warunkach dobrowolnego powrotu i powiązanych korzyściach na jak najwcześniejszym etapie, w tym na początku etapu poprzedzającego wjazd. Aby zmniejszyć ryzyk</w:t>
            </w:r>
            <w:r>
              <w:rPr>
                <w:b/>
                <w:i/>
              </w:rPr>
              <w:t>o niedozwolonego wjazdu i przemieszczania się nielegalnie przebywających obywateli państwa trzeciego podlegających procedurze granicznej mającej na celu przeprowadzenie powrotu, można przyznać nielegalnie przebywającym obywatelom państwa trzeciego nieprzek</w:t>
            </w:r>
            <w:r>
              <w:rPr>
                <w:b/>
                <w:i/>
              </w:rPr>
              <w:t>raczający 20 dni termin na dobrowolny wyjazd, bez uszczerbku dla możliwości dobrowolnego wywiązania się z obowiązku powrotu w dowolnej chwili. Na podstawie komunikatu Komisji z dnia 27 kwietnia 2021 r. zatytułowanego „Strategia UE na rzecz dobrowolnych pow</w:t>
            </w:r>
            <w:r>
              <w:rPr>
                <w:b/>
                <w:i/>
              </w:rPr>
              <w:t xml:space="preserve">rotów i reintegracji” państwa członkowskie powinny opracować programy dotyczące dobrowolnych powrotów i reintegracji w procedurze granicznej. Programy te kładą duży nacisk na współpracę z krajami pochodzenia w dążeniu do opracowania zrównoważonej polityki </w:t>
            </w:r>
            <w:r>
              <w:rPr>
                <w:b/>
                <w:i/>
              </w:rPr>
              <w:t>i programów reintegracji dla obywateli państw trzecich, które uwzględniają skutki gospodarcze i społeczne dla społeczności w kraju pochodzenia oraz zapewniają zaangażowanie i współpracę wszystkich zainteresowanych stron.</w:t>
            </w:r>
          </w:p>
        </w:tc>
      </w:tr>
    </w:tbl>
    <w:p w:rsidR="00FA1C02" w:rsidRPr="002D7B59" w:rsidRDefault="00CB6874" w:rsidP="00FA1C02">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w:t>
      </w:r>
      <w:r>
        <w:rPr>
          <w:rStyle w:val="HideTWBExt"/>
          <w:noProof w:val="0"/>
        </w:rPr>
        <w:t>Amend&gt;</w:t>
      </w:r>
    </w:p>
    <w:p w:rsidR="003769FF" w:rsidRPr="002D7B59" w:rsidRDefault="00CB6874" w:rsidP="003958BD">
      <w:pPr>
        <w:pStyle w:val="AMNumberTabs0"/>
        <w:keepNext/>
      </w:pPr>
      <w:r>
        <w:rPr>
          <w:rStyle w:val="HideTWBExt"/>
          <w:b w:val="0"/>
          <w:noProof w:val="0"/>
        </w:rPr>
        <w:lastRenderedPageBreak/>
        <w:t>&lt;Amend&gt;</w:t>
      </w:r>
      <w:r>
        <w:t>Poprawka</w:t>
      </w:r>
      <w:r>
        <w:tab/>
      </w:r>
      <w:r>
        <w:tab/>
      </w:r>
      <w:r>
        <w:rPr>
          <w:rStyle w:val="HideTWBExt"/>
          <w:b w:val="0"/>
          <w:noProof w:val="0"/>
        </w:rPr>
        <w:t>&lt;NumAm&gt;</w:t>
      </w:r>
      <w:r>
        <w:t>18</w:t>
      </w:r>
      <w:r>
        <w:rPr>
          <w:rStyle w:val="HideTWBExt"/>
          <w:b w:val="0"/>
          <w:noProof w:val="0"/>
        </w:rPr>
        <w:t>&lt;/NumAm&gt;</w:t>
      </w:r>
    </w:p>
    <w:p w:rsidR="00AF1546" w:rsidRPr="002D7B59" w:rsidRDefault="00CB6874" w:rsidP="003958BD">
      <w:pPr>
        <w:pStyle w:val="AMNumberTabs0"/>
        <w:keepNext/>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h 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FA1C02" w:rsidRPr="002D7B59" w:rsidRDefault="00CB6874" w:rsidP="0047508F">
            <w:pPr>
              <w:pStyle w:val="Normal6"/>
              <w:rPr>
                <w:szCs w:val="24"/>
              </w:rPr>
            </w:pPr>
            <w:r>
              <w:rPr>
                <w:b/>
                <w:i/>
              </w:rPr>
              <w:t>(40hb)</w:t>
            </w:r>
            <w:r>
              <w:rPr>
                <w:b/>
                <w:i/>
              </w:rPr>
              <w:tab/>
              <w:t>Aby zadbać o wdrażanie każdorazowo</w:t>
            </w:r>
            <w:r>
              <w:rPr>
                <w:b/>
                <w:i/>
              </w:rPr>
              <w:t xml:space="preserve"> sprawiedliwej i wydajnej procedury granicznej mającej na celu przeprowadzenie powrotu, państwa członkowskie powinny być w stanie ubiegać się o wsparcie ze strony Europejskiej Agencji Straży Granicznej i Przybrzeżnej. Europejska Agencja Straży Granicznej i</w:t>
            </w:r>
            <w:r>
              <w:rPr>
                <w:b/>
                <w:i/>
              </w:rPr>
              <w:t xml:space="preserve"> Przybrzeżnej powinna zapewniać, w ramach swojego mandatu, szybką pomoc o wysokiej jakości na potrzeby realizacji różnorodnych zadań na wszystkich etapach procedury granicznej. Na przykład Europejska Agencja Straży Granicznej i Przybrzeżnej powinna być w s</w:t>
            </w:r>
            <w:r>
              <w:rPr>
                <w:b/>
                <w:i/>
              </w:rPr>
              <w:t>tanie uzupełniać zasoby właściwych organów, zapewniając ekspertów ds. powrotu, wspierając koordynację przymusowych i dobrowolnych powrotów, organizując wspólne operacje powrotowe, ułatwiając wymianę informacji między państwami członkowskimi na temat osób p</w:t>
            </w:r>
            <w:r>
              <w:rPr>
                <w:b/>
                <w:i/>
              </w:rPr>
              <w:t>owracających, wspierając identyfikację obywateli państw trzecich i uzyskiwanie dokumentów podróży oraz monitorując operacje powrotowe na każdym etapie.</w:t>
            </w:r>
          </w:p>
        </w:tc>
      </w:tr>
    </w:tbl>
    <w:p w:rsidR="00FA1C02" w:rsidRPr="002D7B59" w:rsidRDefault="00CB6874" w:rsidP="00FA1C02">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19</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k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FA1C02" w:rsidRPr="002D7B59" w:rsidRDefault="00CB6874">
            <w:pPr>
              <w:pStyle w:val="Normal6"/>
              <w:rPr>
                <w:b/>
                <w:i/>
                <w:szCs w:val="24"/>
              </w:rPr>
            </w:pPr>
            <w:r>
              <w:rPr>
                <w:b/>
                <w:i/>
              </w:rPr>
              <w:t xml:space="preserve">(40k) Procedurę graniczną należy </w:t>
            </w:r>
            <w:r>
              <w:rPr>
                <w:b/>
                <w:i/>
              </w:rPr>
              <w:lastRenderedPageBreak/>
              <w:t xml:space="preserve">przeprowadzać z pełnym poszanowaniem Karty praw podstawowych Unii </w:t>
            </w:r>
            <w:r>
              <w:rPr>
                <w:b/>
                <w:i/>
              </w:rPr>
              <w:t>Europejskiej („karty”) i prawa Unii. Właściwe funkcjonowanie procedury granicznej zależy nieodłącznie od dostępności odpowiednich i wykwalifikowanych pracowników na każdym etapie procedury. Aby zagwarantować, że procedury graniczne są sprawiedliwe i wydajn</w:t>
            </w:r>
            <w:r>
              <w:rPr>
                <w:b/>
                <w:i/>
              </w:rPr>
              <w:t>e oraz że warunki przyjmowania są odpowiednie, właściwe organy powinny w każdych okolicznościach przydzielać wykwalifikowanych i dobrze wyszkolonych pracowników do danych lokalizacji według potrzeb. Państwa członkowskie powinny w razie konieczności uzyskiw</w:t>
            </w:r>
            <w:r>
              <w:rPr>
                <w:b/>
                <w:i/>
              </w:rPr>
              <w:t>ać wsparcie ze strony unijnych organów, jednostek i agencji, organizacji międzynarodowych i organizacji pozarządowych. Komisja powinna także pomagać właściwym organom w planowaniu przydziału wykwalifikowanych pracowników, aby zadbać o równe warunki działan</w:t>
            </w:r>
            <w:r>
              <w:rPr>
                <w:b/>
                <w:i/>
              </w:rPr>
              <w:t>ia we wszystkich państwach członkowskich.</w:t>
            </w:r>
          </w:p>
        </w:tc>
      </w:tr>
    </w:tbl>
    <w:p w:rsidR="00FA1C02" w:rsidRPr="002D7B59" w:rsidRDefault="00CB6874" w:rsidP="00FA1C02">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20</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l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 xml:space="preserve">Tekst </w:t>
            </w:r>
            <w:r>
              <w:t>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FA1C02" w:rsidRPr="002D7B59" w:rsidRDefault="00CB6874" w:rsidP="004523C5">
            <w:pPr>
              <w:pStyle w:val="Normal6"/>
              <w:rPr>
                <w:szCs w:val="24"/>
              </w:rPr>
            </w:pPr>
            <w:r>
              <w:rPr>
                <w:b/>
                <w:i/>
              </w:rPr>
              <w:t>(40l) Biorąc pod uwagę różnorodność organów i zainteresowanych stron zaangażowanych w procedurę graniczną, zasadnicze znaczenie ma, by państwa członkowskie współpracowały ze sobą w sposób ciągły i skuteczny, na przykład</w:t>
            </w:r>
            <w:r>
              <w:rPr>
                <w:b/>
                <w:i/>
              </w:rPr>
              <w:t xml:space="preserve"> w drodze wydawania odmownych decyzji azylowych i decyzji nakazujących powrót w tym samym czasie. Podczas wdrażania procedury granicznej właściwe organy </w:t>
            </w:r>
            <w:r>
              <w:rPr>
                <w:b/>
                <w:i/>
              </w:rPr>
              <w:lastRenderedPageBreak/>
              <w:t>powinny w związku z tym ustanowić jasną i silną strukturę współpracy w ramach procedury granicznej, w t</w:t>
            </w:r>
            <w:r>
              <w:rPr>
                <w:b/>
                <w:i/>
              </w:rPr>
              <w:t>ym pod względem podziału kompetencji i obowiązków lub wymiany informacji. Unijne instytucje, organy i jednostki organizacyjne powinny analizować najlepsze praktyki i dzielić się nimi, aby pomóc państwom członkowskim w osiągnięciu tego celu.</w:t>
            </w:r>
          </w:p>
        </w:tc>
      </w:tr>
    </w:tbl>
    <w:p w:rsidR="00FA1C02" w:rsidRPr="002D7B59" w:rsidRDefault="00CB6874" w:rsidP="00FA1C02">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21</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m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FA1C02" w:rsidRPr="002D7B59" w:rsidRDefault="00CB6874" w:rsidP="004523C5">
            <w:pPr>
              <w:pStyle w:val="Normal6"/>
              <w:rPr>
                <w:szCs w:val="24"/>
              </w:rPr>
            </w:pPr>
            <w:r>
              <w:rPr>
                <w:b/>
                <w:i/>
              </w:rPr>
              <w:t>(40m)</w:t>
            </w:r>
            <w:r>
              <w:rPr>
                <w:b/>
                <w:i/>
              </w:rPr>
              <w:tab/>
              <w:t xml:space="preserve">Unijne organy, </w:t>
            </w:r>
            <w:r>
              <w:rPr>
                <w:b/>
                <w:i/>
              </w:rPr>
              <w:t>jednostki i agencje powinny zdecydowanie wspierać państwa członkowskie i Komisję z myślą o zapewnieniu odpowiedniego wdrażania i funkcjonowania niniejszego rozporządzenia, w szczególności jego przepisów w sprawie przyspieszonej procedury rozpatrywania wnio</w:t>
            </w:r>
            <w:r>
              <w:rPr>
                <w:b/>
                <w:i/>
              </w:rPr>
              <w:t>sku, procedury granicznej przeprowadzanej w celu rozpatrzenia wniosku o udzielenie ochrony międzynarodowej oraz procedury granicznej mającej na celu przeprowadzenie powrotu. W szczególności Agencja Unii Europejskiej ds. Azylu, Europejska Agencja Straży Gra</w:t>
            </w:r>
            <w:r>
              <w:rPr>
                <w:b/>
                <w:i/>
              </w:rPr>
              <w:t>nicznej i Przybrzeżnej oraz Agencja Praw Podstawowych Unii Europejskiej powinny odgrywać kluczową rolę w stosowaniu niniejszego rozporządzenia oraz powinny w tym celu wykorzystywać pełny potencjał i zakres swoich kompetencji. Takie działania mogą obejmować</w:t>
            </w:r>
            <w:r>
              <w:rPr>
                <w:b/>
                <w:i/>
              </w:rPr>
              <w:t xml:space="preserve"> zapewnianie analizy i wiedzy eksperckiej, świadczenie wsparcia operacyjnego na rzecz właściwych organów lub prowadzenie misji </w:t>
            </w:r>
            <w:r>
              <w:rPr>
                <w:b/>
                <w:i/>
              </w:rPr>
              <w:lastRenderedPageBreak/>
              <w:t>monitorowania i oceny.</w:t>
            </w:r>
          </w:p>
        </w:tc>
      </w:tr>
    </w:tbl>
    <w:p w:rsidR="00FA1C02" w:rsidRPr="002D7B59" w:rsidRDefault="00CB6874" w:rsidP="00FA1C02">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22</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n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Tekst 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FA1C02" w:rsidRPr="002D7B59" w:rsidRDefault="00CB6874">
            <w:pPr>
              <w:pStyle w:val="Normal6"/>
              <w:rPr>
                <w:szCs w:val="24"/>
              </w:rPr>
            </w:pPr>
            <w:r>
              <w:rPr>
                <w:b/>
                <w:i/>
              </w:rPr>
              <w:t>(40n) Biorąc pod uwagę różnorodność przepływów migracyjnych w różnych punktach wejścia na granicach zewnętrznych Unii, unijne organy, jednostki i agencje powinny być w stanie zapewniać szybkie i dostosowane do potrzeb wsparcie na rzecz właściwych organów n</w:t>
            </w:r>
            <w:r>
              <w:rPr>
                <w:b/>
                <w:i/>
              </w:rPr>
              <w:t xml:space="preserve">a wniosek państwa członkowskiego. </w:t>
            </w:r>
          </w:p>
        </w:tc>
      </w:tr>
    </w:tbl>
    <w:p w:rsidR="00FA1C02" w:rsidRPr="002D7B59" w:rsidRDefault="00CB6874" w:rsidP="00FA1C02">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A1C02" w:rsidRPr="002D7B59" w:rsidRDefault="00CB6874" w:rsidP="00FA1C02">
      <w:r>
        <w:rPr>
          <w:rStyle w:val="HideTWBExt"/>
          <w:noProof w:val="0"/>
        </w:rPr>
        <w:t>&lt;/Amend&gt;</w:t>
      </w:r>
    </w:p>
    <w:p w:rsidR="00FA1C02" w:rsidRPr="002D7B59" w:rsidRDefault="00CB6874" w:rsidP="00FA1C02">
      <w:pPr>
        <w:pStyle w:val="AMNumberTabs0"/>
        <w:keepNext/>
      </w:pPr>
      <w:r>
        <w:rPr>
          <w:rStyle w:val="HideTWBExt"/>
          <w:b w:val="0"/>
          <w:noProof w:val="0"/>
        </w:rPr>
        <w:t>&lt;Amend&gt;</w:t>
      </w:r>
      <w:r>
        <w:t>Poprawka</w:t>
      </w:r>
      <w:r>
        <w:tab/>
      </w:r>
      <w:r>
        <w:tab/>
      </w:r>
      <w:r>
        <w:rPr>
          <w:rStyle w:val="HideTWBExt"/>
          <w:b w:val="0"/>
          <w:noProof w:val="0"/>
        </w:rPr>
        <w:t>&lt;NumAm&gt;</w:t>
      </w:r>
      <w:r>
        <w:t>23</w:t>
      </w:r>
      <w:r>
        <w:rPr>
          <w:rStyle w:val="HideTWBExt"/>
          <w:b w:val="0"/>
          <w:noProof w:val="0"/>
        </w:rPr>
        <w:t>&lt;/NumAm&gt;</w:t>
      </w:r>
    </w:p>
    <w:p w:rsidR="00AF1546" w:rsidRPr="002D7B59" w:rsidRDefault="00CB6874" w:rsidP="00AF1546">
      <w:pPr>
        <w:pStyle w:val="NormalBold"/>
      </w:pPr>
      <w:r>
        <w:rPr>
          <w:rStyle w:val="HideTWBExt"/>
          <w:b w:val="0"/>
          <w:noProof w:val="0"/>
        </w:rPr>
        <w:t>&lt;Members&gt;</w:t>
      </w:r>
      <w:r>
        <w:t>Fabienne Keller</w:t>
      </w:r>
      <w:r>
        <w:rPr>
          <w:rStyle w:val="HideTWBExt"/>
          <w:b w:val="0"/>
          <w:noProof w:val="0"/>
        </w:rPr>
        <w:t>&lt;/Members&gt;</w:t>
      </w:r>
    </w:p>
    <w:p w:rsidR="00FA1C02" w:rsidRPr="002D7B59" w:rsidRDefault="00CB6874" w:rsidP="00FA1C02">
      <w:pPr>
        <w:pStyle w:val="NormalBold12b"/>
        <w:keepNext/>
      </w:pPr>
      <w:r>
        <w:rPr>
          <w:rStyle w:val="HideTWBExt"/>
          <w:b w:val="0"/>
          <w:noProof w:val="0"/>
        </w:rPr>
        <w:t>&lt;DocAmend&gt;</w:t>
      </w:r>
      <w:r>
        <w:t>Wniosek dotyczący rozporządzenia</w:t>
      </w:r>
      <w:r>
        <w:rPr>
          <w:rStyle w:val="HideTWBExt"/>
          <w:b w:val="0"/>
          <w:noProof w:val="0"/>
        </w:rPr>
        <w:t>&lt;/DocAmend&gt;</w:t>
      </w:r>
    </w:p>
    <w:p w:rsidR="00FA1C02" w:rsidRPr="002D7B59" w:rsidRDefault="00CB6874" w:rsidP="00FA1C02">
      <w:pPr>
        <w:pStyle w:val="NormalBold"/>
      </w:pPr>
      <w:r>
        <w:rPr>
          <w:rStyle w:val="HideTWBExt"/>
          <w:b w:val="0"/>
          <w:noProof w:val="0"/>
        </w:rPr>
        <w:t>&lt;Article&gt;</w:t>
      </w:r>
      <w:r>
        <w:t>Motyw 40 o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A1C02">
        <w:trPr>
          <w:jc w:val="center"/>
        </w:trPr>
        <w:tc>
          <w:tcPr>
            <w:tcW w:w="9752" w:type="dxa"/>
            <w:gridSpan w:val="2"/>
          </w:tcPr>
          <w:p w:rsidR="00FA1C02" w:rsidRPr="002D7B59" w:rsidRDefault="00FA1C02">
            <w:pPr>
              <w:keepNext/>
            </w:pPr>
          </w:p>
        </w:tc>
      </w:tr>
      <w:tr w:rsidR="00FA22A3" w:rsidTr="00FA1C02">
        <w:trPr>
          <w:jc w:val="center"/>
        </w:trPr>
        <w:tc>
          <w:tcPr>
            <w:tcW w:w="4876" w:type="dxa"/>
            <w:hideMark/>
          </w:tcPr>
          <w:p w:rsidR="00FA1C02" w:rsidRPr="002D7B59" w:rsidRDefault="00CB6874">
            <w:pPr>
              <w:pStyle w:val="ColumnHeading"/>
              <w:keepNext/>
            </w:pPr>
            <w:r>
              <w:t xml:space="preserve">Tekst </w:t>
            </w:r>
            <w:r>
              <w:t>proponowany przez Komisję</w:t>
            </w:r>
          </w:p>
        </w:tc>
        <w:tc>
          <w:tcPr>
            <w:tcW w:w="4876" w:type="dxa"/>
            <w:hideMark/>
          </w:tcPr>
          <w:p w:rsidR="00FA1C02" w:rsidRPr="002D7B59" w:rsidRDefault="00CB6874">
            <w:pPr>
              <w:pStyle w:val="ColumnHeading"/>
              <w:keepNext/>
            </w:pPr>
            <w:r>
              <w:t>Poprawka</w:t>
            </w:r>
          </w:p>
        </w:tc>
      </w:tr>
      <w:tr w:rsidR="00FA22A3" w:rsidTr="00FA1C02">
        <w:trPr>
          <w:jc w:val="center"/>
        </w:trPr>
        <w:tc>
          <w:tcPr>
            <w:tcW w:w="4876" w:type="dxa"/>
          </w:tcPr>
          <w:p w:rsidR="00FA1C02" w:rsidRPr="002D7B59" w:rsidRDefault="00FA1C02">
            <w:pPr>
              <w:pStyle w:val="Normal6"/>
            </w:pPr>
          </w:p>
        </w:tc>
        <w:tc>
          <w:tcPr>
            <w:tcW w:w="4876" w:type="dxa"/>
            <w:hideMark/>
          </w:tcPr>
          <w:p w:rsidR="00FA1C02" w:rsidRPr="002D7B59" w:rsidRDefault="00CB6874">
            <w:pPr>
              <w:pStyle w:val="Normal6"/>
              <w:rPr>
                <w:szCs w:val="24"/>
              </w:rPr>
            </w:pPr>
            <w:r>
              <w:rPr>
                <w:b/>
                <w:i/>
              </w:rPr>
              <w:t>(40o) Unijne organy, jednostki i agencje powinny odpowiadać na wniosek państwa członkowskiego o szybkie i dostosowane do potrzeb wsparcie lub powinny móc zaproponować wsparcie z własnej inicjatywy na rzecz określonego p</w:t>
            </w:r>
            <w:r>
              <w:rPr>
                <w:b/>
                <w:i/>
              </w:rPr>
              <w:t xml:space="preserve">aństwa członkowskiego, jeśli uznają to za konieczne. W przypadku gdy unijny organ, jednostka lub agencja uzna zaproponowanie wsparcia na rzecz określonego państwa członkowskiego za konieczne, dane państwo członkowskie powinno należycie uwzględnić ten </w:t>
            </w:r>
            <w:r>
              <w:rPr>
                <w:b/>
                <w:i/>
              </w:rPr>
              <w:lastRenderedPageBreak/>
              <w:t>wnios</w:t>
            </w:r>
            <w:r>
              <w:rPr>
                <w:b/>
                <w:i/>
              </w:rPr>
              <w:t>ek i powinno być w stanie go zaakceptować, zmienić lub odrzucić.</w:t>
            </w:r>
          </w:p>
        </w:tc>
      </w:tr>
    </w:tbl>
    <w:p w:rsidR="00FA1C02" w:rsidRPr="002D7B59" w:rsidRDefault="00CB6874" w:rsidP="00FA1C02">
      <w:pPr>
        <w:pStyle w:val="Olang"/>
        <w:rPr>
          <w:rStyle w:val="HideTWBExt"/>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257D18" w:rsidRPr="002D7B59" w:rsidRDefault="00CB6874" w:rsidP="00257D18">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tab/>
      </w:r>
      <w:r>
        <w:rPr>
          <w:rStyle w:val="HideTWBExt"/>
          <w:b w:val="0"/>
          <w:noProof w:val="0"/>
        </w:rPr>
        <w:t>&lt;NumAm&gt;</w:t>
      </w:r>
      <w:r>
        <w:t>24</w:t>
      </w:r>
      <w:r>
        <w:rPr>
          <w:rStyle w:val="HideTWBExt"/>
          <w:b w:val="0"/>
          <w:noProof w:val="0"/>
        </w:rPr>
        <w:t>&lt;/NumAm&gt;</w:t>
      </w:r>
    </w:p>
    <w:p w:rsidR="00AF3AA6" w:rsidRPr="002D7B59" w:rsidRDefault="00CB6874" w:rsidP="00AF3AA6">
      <w:pPr>
        <w:pStyle w:val="NormalBold"/>
      </w:pPr>
      <w:r>
        <w:rPr>
          <w:rStyle w:val="HideTWBExt"/>
          <w:b w:val="0"/>
          <w:noProof w:val="0"/>
        </w:rPr>
        <w:t>&lt;Members&gt;</w:t>
      </w:r>
      <w:r>
        <w:t>Fabienne Keller</w:t>
      </w:r>
      <w:r>
        <w:rPr>
          <w:rStyle w:val="HideTWBExt"/>
          <w:b w:val="0"/>
          <w:noProof w:val="0"/>
        </w:rPr>
        <w:t>&lt;/Members&gt;</w:t>
      </w:r>
    </w:p>
    <w:p w:rsidR="00AF3AA6" w:rsidRPr="002D7B59" w:rsidRDefault="00AF3AA6" w:rsidP="00886A0F">
      <w:pPr>
        <w:pStyle w:val="NormalBold"/>
        <w:rPr>
          <w:rStyle w:val="HideTWBExt"/>
          <w:b w:val="0"/>
          <w:noProof w:val="0"/>
        </w:rPr>
      </w:pPr>
    </w:p>
    <w:p w:rsidR="00AF3AA6" w:rsidRPr="002D7B59" w:rsidRDefault="00AF3AA6" w:rsidP="00886A0F">
      <w:pPr>
        <w:pStyle w:val="NormalBold"/>
        <w:rPr>
          <w:rStyle w:val="HideTWBExt"/>
          <w:b w:val="0"/>
          <w:noProof w:val="0"/>
        </w:rPr>
      </w:pPr>
    </w:p>
    <w:p w:rsidR="00F278B5" w:rsidRPr="002D7B59" w:rsidRDefault="00CB6874" w:rsidP="00886A0F">
      <w:pPr>
        <w:pStyle w:val="NormalBold"/>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 xml:space="preserve">Motyw 66 c </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(66c)</w:t>
            </w:r>
            <w:r>
              <w:tab/>
              <w:t>Aby zapewnić spójność kontroli sądowej przeprowadzanej przez sąd lub trybunał w odniesieniu do decyzji o odrzuceniu wniosku o udzielenie ochrony międzynarodowej i towarzyszącej jej decyzji nakazu</w:t>
            </w:r>
            <w:r>
              <w:t>jącej powrót oraz aby przyspieszyć rozpatrywanie sprawy i zmniejszyć obciążenie właściwych organów sądowych, należy zapewnić, aby takie decyzje były przedmiotem wspólnego postępowania przed tym samym sądem lub trybunałem.</w:t>
            </w:r>
          </w:p>
        </w:tc>
        <w:tc>
          <w:tcPr>
            <w:tcW w:w="4876" w:type="dxa"/>
            <w:hideMark/>
          </w:tcPr>
          <w:p w:rsidR="00F278B5" w:rsidRPr="002D7B59" w:rsidRDefault="00CB6874">
            <w:pPr>
              <w:pStyle w:val="Normal6"/>
              <w:rPr>
                <w:szCs w:val="24"/>
              </w:rPr>
            </w:pPr>
            <w:r>
              <w:t>(66c)</w:t>
            </w:r>
            <w:r>
              <w:tab/>
              <w:t>Aby zapewnić spójność kontro</w:t>
            </w:r>
            <w:r>
              <w:t>li sądowej przeprowadzanej przez sąd lub trybunał w odniesieniu do decyzji o odrzuceniu wniosku o udzielenie ochrony międzynarodowej i towarzyszącej jej decyzji nakazującej powrót oraz aby przyspieszyć rozpatrywanie sprawy i zmniejszyć obciążenie właściwyc</w:t>
            </w:r>
            <w:r>
              <w:t>h organów sądowych, należy zapewnić</w:t>
            </w:r>
            <w:r>
              <w:rPr>
                <w:b/>
                <w:i/>
              </w:rPr>
              <w:t xml:space="preserve"> możliwość</w:t>
            </w:r>
            <w:r>
              <w:t>, aby takie decyzje były przedmiotem wspólnego postępowania przed tym samym sądem lub trybunałem</w:t>
            </w:r>
            <w:r>
              <w:rPr>
                <w:b/>
                <w:i/>
              </w:rPr>
              <w:t>, jeśli jest to możliwe w danym krajowym systemie prawnym</w:t>
            </w:r>
            <w:r>
              <w:t>.</w:t>
            </w:r>
          </w:p>
        </w:tc>
      </w:tr>
    </w:tbl>
    <w:p w:rsidR="00F278B5" w:rsidRPr="002D7B59" w:rsidRDefault="00CB6874" w:rsidP="00F278B5">
      <w:pPr>
        <w:pStyle w:val="Olang"/>
        <w:rPr>
          <w:noProof w:val="0"/>
        </w:rPr>
      </w:pPr>
      <w:r w:rsidRPr="002D7B59">
        <w:rPr>
          <w:noProof w:val="0"/>
        </w:rPr>
        <w:t xml:space="preserve">Or. </w:t>
      </w:r>
      <w:r w:rsidR="002119C0" w:rsidRPr="002D7B59">
        <w:rPr>
          <w:rStyle w:val="HideTWBExt"/>
          <w:noProof w:val="0"/>
        </w:rPr>
        <w:t>&lt;Original&gt;</w:t>
      </w:r>
      <w:r w:rsidR="002119C0" w:rsidRPr="002D7B59">
        <w:rPr>
          <w:rStyle w:val="HideTWBInt"/>
          <w:noProof w:val="0"/>
        </w:rPr>
        <w:t>{</w:t>
      </w:r>
      <w:r w:rsidRPr="002D7B59">
        <w:rPr>
          <w:rStyle w:val="HideTWBInt"/>
          <w:noProof w:val="0"/>
        </w:rPr>
        <w:t>EN}</w:t>
      </w:r>
      <w:r w:rsidRPr="002D7B59">
        <w:rPr>
          <w:noProof w:val="0"/>
        </w:rPr>
        <w:t>en</w:t>
      </w:r>
      <w:r w:rsidR="00AF3AA6"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25</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Motyw 66 e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4523C5">
            <w:pPr>
              <w:pStyle w:val="Normal6"/>
              <w:rPr>
                <w:szCs w:val="24"/>
              </w:rPr>
            </w:pPr>
            <w:r>
              <w:rPr>
                <w:b/>
                <w:i/>
              </w:rPr>
              <w:t xml:space="preserve">(66e) Komisja powinna regularnie monitorować i oceniać </w:t>
            </w:r>
            <w:r>
              <w:rPr>
                <w:b/>
                <w:i/>
              </w:rPr>
              <w:t>odpowiednie stosowanie i wdrażanie niniejszego rozporządzenia. W szczególności Komisja powinna ustanowić niezależny mechanizm monitorowania, aby sprawdzić i przeanalizować wszelkie zarzuty dotyczące braku przestrzegania praw podstawowych w związku z proced</w:t>
            </w:r>
            <w:r>
              <w:rPr>
                <w:b/>
                <w:i/>
              </w:rPr>
              <w:t xml:space="preserve">urą graniczną. Taki mechanizm monitorowania powinien </w:t>
            </w:r>
            <w:r>
              <w:rPr>
                <w:b/>
                <w:i/>
              </w:rPr>
              <w:lastRenderedPageBreak/>
              <w:t>obejmować prawa proceduralne i podstawowe, warunki przyjmowania oraz stosowanie środków detencyjnych i rozwiązań alternatywnych dla środków detencyjnych.</w:t>
            </w:r>
          </w:p>
        </w:tc>
      </w:tr>
    </w:tbl>
    <w:p w:rsidR="00F278B5" w:rsidRPr="002D7B59" w:rsidRDefault="00CB6874" w:rsidP="00F278B5">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26</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35 a – akapit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 xml:space="preserve">W przypadku gdy wniosek zostanie odrzucony jako </w:t>
            </w:r>
            <w:r>
              <w:t>niedopuszczalny, nieuzasadniony lub całkowicie nieuzasadniony, zarówno w odniesieniu do statusu uchodźcy, jak i ochrony uzupełniającej, albo jako w sposób dorozumiany lub wyraźnie wycofany, państwa członkowskie wydają decyzję nakazującą powrót zgodną z dyr</w:t>
            </w:r>
            <w:r>
              <w:t xml:space="preserve">ektywą XXX/XXX/UE [dyrektywa powrotowa]. Decyzję nakazującą powrót wydaje się w ramach decyzji o odrzuceniu wniosku o udzielenie ochrony międzynarodowej lub w odrębnym akcie. W przypadku gdy decyzja nakazująca powrót jest wydawana jako odrębny akt, wydaje </w:t>
            </w:r>
            <w:r>
              <w:t>się ją w jednocześnie z decyzją o odrzuceniu wniosku o udzielenie ochrony międzynarodowej i łącznie z tą decyzją.</w:t>
            </w:r>
          </w:p>
        </w:tc>
        <w:tc>
          <w:tcPr>
            <w:tcW w:w="4876" w:type="dxa"/>
            <w:hideMark/>
          </w:tcPr>
          <w:p w:rsidR="00F278B5" w:rsidRPr="002D7B59" w:rsidRDefault="00CB6874" w:rsidP="004523C5">
            <w:pPr>
              <w:pStyle w:val="Normal6"/>
              <w:rPr>
                <w:szCs w:val="24"/>
              </w:rPr>
            </w:pPr>
            <w:r>
              <w:t>W przypadku gdy wniosek zostanie odrzucony jako niedopuszczalny, nieuzasadniony lub całkowicie nieuzasadniony, zarówno w odniesieniu do status</w:t>
            </w:r>
            <w:r>
              <w:t>u uchodźcy, jak i ochrony uzupełniającej, albo jako w sposób dorozumiany lub wyraźnie wycofany, państwa członkowskie wydają decyzję nakazującą powrót zgodną z dyrektywą XXX/XXX/UE [dyrektywa powrotowa]</w:t>
            </w:r>
            <w:r>
              <w:rPr>
                <w:b/>
                <w:i/>
              </w:rPr>
              <w:t>, w szczególności w najlepszym interesie dziecka, życia</w:t>
            </w:r>
            <w:r>
              <w:rPr>
                <w:b/>
                <w:i/>
              </w:rPr>
              <w:t xml:space="preserve"> rodzinnego i stanu zdrowia danego obywatela państwa trzeciego oraz zgodnie z zasadą non-refoulement</w:t>
            </w:r>
            <w:r>
              <w:t>. Decyzję nakazującą powrót wydaje się w ramach decyzji o odrzuceniu wniosku o udzielenie ochrony międzynarodowej lub w odrębnym akcie. W przypadku gdy decy</w:t>
            </w:r>
            <w:r>
              <w:t>zja nakazująca powrót jest wydawana jako odrębny akt, wydaje się ją w jednocześnie z decyzją o odrzuceniu wniosku o udzielenie ochrony międzynarodowej i łącznie z tą decyzją.</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27</w:t>
      </w:r>
      <w:r>
        <w:rPr>
          <w:rStyle w:val="HideTWBExt"/>
          <w:b w:val="0"/>
          <w:noProof w:val="0"/>
        </w:rPr>
        <w:t>&lt;/NumAm&gt;</w:t>
      </w:r>
    </w:p>
    <w:p w:rsidR="00F278B5" w:rsidRPr="002D7B59" w:rsidRDefault="00CB6874" w:rsidP="00F278B5">
      <w:pPr>
        <w:pStyle w:val="NormalBold"/>
      </w:pPr>
      <w:r>
        <w:rPr>
          <w:rStyle w:val="HideTWBExt"/>
          <w:b w:val="0"/>
          <w:noProof w:val="0"/>
        </w:rPr>
        <w:t>&lt;Mem</w:t>
      </w:r>
      <w:r>
        <w:rPr>
          <w:rStyle w:val="HideTWBExt"/>
          <w:b w:val="0"/>
          <w:noProof w:val="0"/>
        </w:rPr>
        <w:t>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lastRenderedPageBreak/>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 xml:space="preserve"> Artykuł 40 – ustęp 1 – litera 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i)</w:t>
            </w:r>
            <w:r>
              <w:tab/>
              <w:t>osoba ubiegająca się o ochronę międzynarodową posiada obywatelstwo lub –</w:t>
            </w:r>
            <w:r>
              <w:t xml:space="preserve"> w przypadku bezpaństwowców – poprzednie miejsce zwykłego pobytu w państwie trzecim, dla którego obywateli wskaźnik przyznawania ochrony międzynarodowej przez organ rozstrzygający wynosi – zgodnie z najnowszymi dostępnymi średnimi rocznymi ogólnounijnymi d</w:t>
            </w:r>
            <w:r>
              <w:t>anymi Eurostatu – 20 % lub mniej, chyba że</w:t>
            </w:r>
            <w:r>
              <w:rPr>
                <w:b/>
                <w:i/>
              </w:rPr>
              <w:t xml:space="preserve"> w danym państwie trzecim nastąpiła istotna zmiana od czasu publikacji odnośnych danych Eurostatu lub osoba ubiegająca się o ochronę międzynarodową należy do kategorii osób, w przypadku których wskaźnika 20 % lub m</w:t>
            </w:r>
            <w:r>
              <w:rPr>
                <w:b/>
                <w:i/>
              </w:rPr>
              <w:t>niej nie można uznać za reprezentatywny w odniesieniu do ich potrzeb w zakresie ochrony;</w:t>
            </w:r>
          </w:p>
        </w:tc>
        <w:tc>
          <w:tcPr>
            <w:tcW w:w="4876" w:type="dxa"/>
            <w:hideMark/>
          </w:tcPr>
          <w:p w:rsidR="00F278B5" w:rsidRPr="002D7B59" w:rsidRDefault="00CB6874">
            <w:pPr>
              <w:pStyle w:val="Normal6"/>
              <w:rPr>
                <w:szCs w:val="24"/>
              </w:rPr>
            </w:pPr>
            <w:r>
              <w:t>i)</w:t>
            </w:r>
            <w:r>
              <w:tab/>
              <w:t>osoba ubiegająca się o ochronę międzynarodową posiada obywatelstwo lub – w przypadku bezpaństwowców – poprzednie miejsce zwykłego pobytu w państwie trzecim, dla któ</w:t>
            </w:r>
            <w:r>
              <w:t>rego obywateli wskaźnik przyznawania ochrony międzynarodowej przez organ rozstrzygający wynosi – zgodnie z najnowszymi dostępnymi średnimi rocznymi ogólnounijnymi danymi Eurostatu – 20 % lub mniej, chyba że</w:t>
            </w:r>
            <w:r>
              <w:rPr>
                <w:b/>
                <w:i/>
              </w:rPr>
              <w:t>:</w:t>
            </w:r>
          </w:p>
        </w:tc>
      </w:tr>
      <w:tr w:rsidR="00FA22A3" w:rsidTr="00F278B5">
        <w:trPr>
          <w:jc w:val="center"/>
        </w:trPr>
        <w:tc>
          <w:tcPr>
            <w:tcW w:w="4876" w:type="dxa"/>
          </w:tcPr>
          <w:p w:rsidR="0047508F" w:rsidRPr="002D7B59" w:rsidRDefault="0047508F">
            <w:pPr>
              <w:pStyle w:val="Normal6"/>
            </w:pPr>
          </w:p>
        </w:tc>
        <w:tc>
          <w:tcPr>
            <w:tcW w:w="4876" w:type="dxa"/>
          </w:tcPr>
          <w:p w:rsidR="0047508F" w:rsidRPr="002D7B59" w:rsidRDefault="00D736FC" w:rsidP="0047508F">
            <w:pPr>
              <w:pStyle w:val="Normal6"/>
              <w:rPr>
                <w:b/>
                <w:i/>
              </w:rPr>
            </w:pPr>
            <w:r>
              <w:rPr>
                <w:b/>
                <w:i/>
              </w:rPr>
              <w:t>(</w:t>
            </w:r>
            <w:r w:rsidR="00CB6874">
              <w:rPr>
                <w:b/>
                <w:i/>
              </w:rPr>
              <w:t xml:space="preserve">i) </w:t>
            </w:r>
            <w:r w:rsidR="00CB6874">
              <w:rPr>
                <w:b/>
                <w:i/>
              </w:rPr>
              <w:tab/>
              <w:t>na podstawie wytycznych opracowanych prze</w:t>
            </w:r>
            <w:r w:rsidR="00CB6874">
              <w:rPr>
                <w:b/>
                <w:i/>
              </w:rPr>
              <w:t>z Agencję Unii Europejskiej ds. Azylu zgodnie z art. 11 rozporządzenia (UE) nr XXX/XXX (Agencja UE ds. Azylu) Komisja stwierdzi w drodze aktu wykonawczego, że w danym państwie trzecim nastąpiła istotna zmiana od czasu publikacji odnośnych danych Eurostatu;</w:t>
            </w:r>
            <w:r w:rsidR="00CB6874">
              <w:rPr>
                <w:b/>
                <w:i/>
              </w:rPr>
              <w:t xml:space="preserve"> lub</w:t>
            </w:r>
          </w:p>
        </w:tc>
      </w:tr>
      <w:tr w:rsidR="00FA22A3" w:rsidTr="00F278B5">
        <w:trPr>
          <w:jc w:val="center"/>
        </w:trPr>
        <w:tc>
          <w:tcPr>
            <w:tcW w:w="4876" w:type="dxa"/>
          </w:tcPr>
          <w:p w:rsidR="0047508F" w:rsidRPr="002D7B59" w:rsidRDefault="0047508F">
            <w:pPr>
              <w:pStyle w:val="Normal6"/>
            </w:pPr>
          </w:p>
        </w:tc>
        <w:tc>
          <w:tcPr>
            <w:tcW w:w="4876" w:type="dxa"/>
          </w:tcPr>
          <w:p w:rsidR="0047508F" w:rsidRPr="002D7B59" w:rsidRDefault="00CB6874" w:rsidP="00701C42">
            <w:pPr>
              <w:pStyle w:val="Normal6"/>
              <w:rPr>
                <w:b/>
                <w:i/>
              </w:rPr>
            </w:pPr>
            <w:r>
              <w:rPr>
                <w:b/>
                <w:i/>
              </w:rPr>
              <w:t>(ii)</w:t>
            </w:r>
            <w:r>
              <w:rPr>
                <w:b/>
                <w:i/>
              </w:rPr>
              <w:tab/>
              <w:t xml:space="preserve">odpowiedni właściwy organ stwierdzi, że osoba ubiegająca się o ochronę międzynarodową należy do kategorii osób, w przypadku których wskaźnika 20 % lub mniej nie można uznać za reprezentatywny w odniesieniu do ich potrzeb w zakresie ochrony. </w:t>
            </w:r>
          </w:p>
        </w:tc>
      </w:tr>
      <w:tr w:rsidR="00FA22A3" w:rsidTr="00F278B5">
        <w:trPr>
          <w:jc w:val="center"/>
        </w:trPr>
        <w:tc>
          <w:tcPr>
            <w:tcW w:w="4876" w:type="dxa"/>
          </w:tcPr>
          <w:p w:rsidR="00265255" w:rsidRPr="002D7B59" w:rsidRDefault="00265255">
            <w:pPr>
              <w:pStyle w:val="Normal6"/>
            </w:pPr>
          </w:p>
        </w:tc>
        <w:tc>
          <w:tcPr>
            <w:tcW w:w="4876" w:type="dxa"/>
          </w:tcPr>
          <w:p w:rsidR="00265255" w:rsidRPr="002D7B59" w:rsidRDefault="00CB6874">
            <w:pPr>
              <w:pStyle w:val="Normal6"/>
              <w:rPr>
                <w:b/>
                <w:i/>
              </w:rPr>
            </w:pPr>
            <w:r>
              <w:rPr>
                <w:b/>
                <w:i/>
              </w:rPr>
              <w:t xml:space="preserve">Bez uszczerbku dla lit. i) pierwszego akapitu wartość progowa wynosząca 20 % ma zastosowanie we wszystkich okolicznościach, w tym w sytuacjach kryzysowych lub spowodowanych działaniem siły wyższej, zgodnie z rozporządzeniem XXX/XXX [w sprawie </w:t>
            </w:r>
            <w:r>
              <w:rPr>
                <w:b/>
                <w:i/>
              </w:rPr>
              <w:lastRenderedPageBreak/>
              <w:t>sytuacji kryz</w:t>
            </w:r>
            <w:r>
              <w:rPr>
                <w:b/>
                <w:i/>
              </w:rPr>
              <w:t>ysowych i spowodowanych działaniem siły wyższej];</w:t>
            </w:r>
          </w:p>
        </w:tc>
      </w:tr>
    </w:tbl>
    <w:p w:rsidR="00F278B5" w:rsidRPr="002D7B59" w:rsidRDefault="00CB6874" w:rsidP="00F278B5">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28</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525C95">
      <w:pPr>
        <w:pStyle w:val="Normal6"/>
      </w:pPr>
      <w:r>
        <w:rPr>
          <w:rStyle w:val="HideTWBExt"/>
          <w:b/>
          <w:noProof w:val="0"/>
        </w:rPr>
        <w:t>&lt;Article&gt;</w:t>
      </w:r>
      <w:r>
        <w:rPr>
          <w:rStyle w:val="NormalBoldChar"/>
        </w:rPr>
        <w:t>Artykuł 40 – ustęp 5 – litera c</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c)</w:t>
            </w:r>
            <w:r>
              <w:tab/>
              <w:t xml:space="preserve">osoba ubiegająca się o ochronę międzynarodową posiada obywatelstwo lub – w przypadku bezpaństwowców – poprzednie miejsce zwykłego pobytu w państwie trzecim, dla którego obywateli wskaźnik </w:t>
            </w:r>
            <w:r>
              <w:t>przyznawania ochrony międzynarodowej przez organ rozstrzygający wynosi – zgodnie z najnowszymi dostępnymi średnimi rocznymi ogólnounijnymi danymi Eurostatu – 20 % lub mniej, chyba że</w:t>
            </w:r>
            <w:r>
              <w:rPr>
                <w:b/>
                <w:i/>
              </w:rPr>
              <w:t xml:space="preserve"> w danym państwie trzecim nastąpiła istotna zmiana od czasu publikacji odp</w:t>
            </w:r>
            <w:r>
              <w:rPr>
                <w:b/>
                <w:i/>
              </w:rPr>
              <w:t>owiednich danych Eurostatu lub osoba ubiegająca się o ochronę międzynarodową należy do kategorii osób, w przypadku których wskaźnika 20 % lub mniej nie można uznać za reprezentatywny w odniesieniu do ich potrzeb w zakresie ochrony;</w:t>
            </w:r>
          </w:p>
        </w:tc>
        <w:tc>
          <w:tcPr>
            <w:tcW w:w="4876" w:type="dxa"/>
            <w:hideMark/>
          </w:tcPr>
          <w:p w:rsidR="00F278B5" w:rsidRPr="002D7B59" w:rsidRDefault="00CB6874">
            <w:pPr>
              <w:pStyle w:val="Normal6"/>
              <w:rPr>
                <w:szCs w:val="24"/>
              </w:rPr>
            </w:pPr>
            <w:r>
              <w:t>c)</w:t>
            </w:r>
            <w:r>
              <w:tab/>
              <w:t xml:space="preserve">osoba ubiegająca się </w:t>
            </w:r>
            <w:r>
              <w:t>o ochronę międzynarodową posiada obywatelstwo lub – w przypadku bezpaństwowców – poprzednie miejsce zwykłego pobytu w państwie trzecim, dla którego obywateli wskaźnik przyznawania ochrony międzynarodowej przez organ rozstrzygający wynosi – zgodnie z najnow</w:t>
            </w:r>
            <w:r>
              <w:t>szymi dostępnymi średnimi rocznymi ogólnounijnymi danymi Eurostatu – 20 % lub mniej, chyba że</w:t>
            </w:r>
            <w:r>
              <w:rPr>
                <w:b/>
                <w:i/>
              </w:rPr>
              <w:t>:</w:t>
            </w:r>
          </w:p>
        </w:tc>
      </w:tr>
      <w:tr w:rsidR="00FA22A3" w:rsidTr="00F278B5">
        <w:trPr>
          <w:jc w:val="center"/>
        </w:trPr>
        <w:tc>
          <w:tcPr>
            <w:tcW w:w="4876" w:type="dxa"/>
          </w:tcPr>
          <w:p w:rsidR="0047508F" w:rsidRPr="002D7B59" w:rsidRDefault="0047508F">
            <w:pPr>
              <w:pStyle w:val="Normal6"/>
            </w:pPr>
          </w:p>
        </w:tc>
        <w:tc>
          <w:tcPr>
            <w:tcW w:w="4876" w:type="dxa"/>
          </w:tcPr>
          <w:p w:rsidR="0047508F" w:rsidRPr="002D7B59" w:rsidRDefault="00CB6874">
            <w:pPr>
              <w:pStyle w:val="Normal6"/>
              <w:rPr>
                <w:b/>
                <w:i/>
              </w:rPr>
            </w:pPr>
            <w:r>
              <w:rPr>
                <w:b/>
                <w:i/>
              </w:rPr>
              <w:t>(i)</w:t>
            </w:r>
            <w:r>
              <w:rPr>
                <w:b/>
                <w:i/>
              </w:rPr>
              <w:tab/>
              <w:t>na podstawie wytycznych opracowanych przez Agencję Unii Europejskiej ds. Azylu zgodnie z art. 11 rozporządzenia (UE) nr XXX/XXX (Agencja UE ds. Azylu) Komi</w:t>
            </w:r>
            <w:r>
              <w:rPr>
                <w:b/>
                <w:i/>
              </w:rPr>
              <w:t xml:space="preserve">sja stwierdzi w drodze aktu wykonawczego, że w danym państwie trzecim nastąpiła istotna zmiana od czasu publikacji odnośnych danych Eurostatu; lub </w:t>
            </w:r>
          </w:p>
        </w:tc>
      </w:tr>
      <w:tr w:rsidR="00FA22A3" w:rsidTr="00F278B5">
        <w:trPr>
          <w:jc w:val="center"/>
        </w:trPr>
        <w:tc>
          <w:tcPr>
            <w:tcW w:w="4876" w:type="dxa"/>
          </w:tcPr>
          <w:p w:rsidR="0047508F" w:rsidRPr="002D7B59" w:rsidRDefault="0047508F">
            <w:pPr>
              <w:pStyle w:val="Normal6"/>
            </w:pPr>
          </w:p>
        </w:tc>
        <w:tc>
          <w:tcPr>
            <w:tcW w:w="4876" w:type="dxa"/>
          </w:tcPr>
          <w:p w:rsidR="0047508F" w:rsidRPr="002D7B59" w:rsidRDefault="00CB6874">
            <w:pPr>
              <w:pStyle w:val="Normal6"/>
              <w:rPr>
                <w:b/>
                <w:i/>
              </w:rPr>
            </w:pPr>
            <w:r>
              <w:rPr>
                <w:b/>
                <w:i/>
              </w:rPr>
              <w:t>(ii)</w:t>
            </w:r>
            <w:r>
              <w:rPr>
                <w:b/>
                <w:i/>
              </w:rPr>
              <w:tab/>
              <w:t xml:space="preserve"> odpowiedni właściwy organ stwierdzi, że osoba ubiegająca się o ochronę międzynarodową należy do kate</w:t>
            </w:r>
            <w:r>
              <w:rPr>
                <w:b/>
                <w:i/>
              </w:rPr>
              <w:t xml:space="preserve">gorii osób, w przypadku których wskaźnika 20 % lub mniej nie można </w:t>
            </w:r>
            <w:r>
              <w:rPr>
                <w:b/>
                <w:i/>
              </w:rPr>
              <w:lastRenderedPageBreak/>
              <w:t>uznać za reprezentatywny w odniesieniu do ich potrzeb w zakresie ochrony.</w:t>
            </w:r>
          </w:p>
        </w:tc>
      </w:tr>
      <w:tr w:rsidR="00FA22A3" w:rsidTr="00F278B5">
        <w:trPr>
          <w:jc w:val="center"/>
        </w:trPr>
        <w:tc>
          <w:tcPr>
            <w:tcW w:w="4876" w:type="dxa"/>
          </w:tcPr>
          <w:p w:rsidR="00265255" w:rsidRPr="002D7B59" w:rsidRDefault="00265255">
            <w:pPr>
              <w:pStyle w:val="Normal6"/>
            </w:pPr>
          </w:p>
        </w:tc>
        <w:tc>
          <w:tcPr>
            <w:tcW w:w="4876" w:type="dxa"/>
          </w:tcPr>
          <w:p w:rsidR="00265255" w:rsidRPr="002D7B59" w:rsidRDefault="00CB6874">
            <w:pPr>
              <w:pStyle w:val="Normal6"/>
              <w:rPr>
                <w:b/>
                <w:i/>
              </w:rPr>
            </w:pPr>
            <w:r>
              <w:rPr>
                <w:b/>
                <w:i/>
              </w:rPr>
              <w:t>Bez uszczerbku dla lit. c) pierwszego akapitu wartość progowa wynosząca 20 % ma zastosowanie we wszystkich okolic</w:t>
            </w:r>
            <w:r>
              <w:rPr>
                <w:b/>
                <w:i/>
              </w:rPr>
              <w:t>znościach, w tym w sytuacjach kryzysowych i spowodowanych działaniem siły wyższej, zgodnie z rozporządzeniem XXX/XXX [w sprawie sytuacji kryzysowych i spowodowanych działaniem siły wyższej];</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w:t>
      </w:r>
      <w:r>
        <w:rPr>
          <w:rStyle w:val="HideTWBExt"/>
          <w:b w:val="0"/>
          <w:noProof w:val="0"/>
        </w:rPr>
        <w:t>&gt;</w:t>
      </w:r>
      <w:r>
        <w:t>29</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40 – ustęp 6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C05343">
            <w:pPr>
              <w:pStyle w:val="Normal6"/>
              <w:rPr>
                <w:szCs w:val="24"/>
              </w:rPr>
            </w:pPr>
            <w:r>
              <w:rPr>
                <w:b/>
                <w:i/>
              </w:rPr>
              <w:t>6.</w:t>
            </w:r>
            <w:r>
              <w:rPr>
                <w:b/>
                <w:i/>
              </w:rPr>
              <w:tab/>
              <w:t>Właściwe organy, ze wsparciem ze strony wszystkich podmiotów</w:t>
            </w:r>
            <w:r>
              <w:rPr>
                <w:b/>
                <w:i/>
              </w:rPr>
              <w:t xml:space="preserve"> zaangażowanych w procedurę graniczną, dążą do zwiększenia współpracy ze strony obywateli państw trzecich na wszystkich etapach procedury granicznej.</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30</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D21161">
      <w:pPr>
        <w:pStyle w:val="NormalBold12b"/>
        <w:keepNext/>
      </w:pPr>
      <w:r>
        <w:rPr>
          <w:rStyle w:val="HideTWBExt"/>
          <w:b w:val="0"/>
          <w:noProof w:val="0"/>
        </w:rPr>
        <w:t>&lt;Article&gt;</w:t>
      </w:r>
      <w:r>
        <w:t>Artykuł 41 – ustęp 1 – wprowadzenie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1.</w:t>
            </w:r>
            <w:r>
              <w:tab/>
              <w:t xml:space="preserve">Po przeprowadzeniu procedury kontroli przesiewowej zgodnie z rozporządzeniem (UE) nr </w:t>
            </w:r>
            <w:r>
              <w:t xml:space="preserve">XXX/XXX [rozporządzenie w sprawie kontroli przesiewowej] i pod warunkiem że osobie </w:t>
            </w:r>
            <w:r>
              <w:lastRenderedPageBreak/>
              <w:t>ubiegającej się o ochronę międzynarodową nie zezwolono jeszcze na wjazd na terytorium państw członkowskich, państwo członkowskie może rozpatrzyć wniosek w ramach procedury g</w:t>
            </w:r>
            <w:r>
              <w:t>ranicznej, w przypadku gdy wniosek ten został złożony przez obywatela państwa trzeciego lub bezpaństwowca, który nie spełnia warunków wjazdu na terytorium państwa członkowskiego określonych w art. 6 rozporządzenia (UE) 2016/399. Procedura graniczna może mi</w:t>
            </w:r>
            <w:r>
              <w:t>eć miejsce:</w:t>
            </w:r>
          </w:p>
        </w:tc>
        <w:tc>
          <w:tcPr>
            <w:tcW w:w="4876" w:type="dxa"/>
            <w:hideMark/>
          </w:tcPr>
          <w:p w:rsidR="00F278B5" w:rsidRPr="002D7B59" w:rsidRDefault="00CB6874">
            <w:pPr>
              <w:pStyle w:val="Normal6"/>
              <w:rPr>
                <w:szCs w:val="24"/>
              </w:rPr>
            </w:pPr>
            <w:r>
              <w:lastRenderedPageBreak/>
              <w:t>1.</w:t>
            </w:r>
            <w:r>
              <w:tab/>
              <w:t>Po przeprowadzeniu procedury kontroli przesiewowej zgodnie z rozporządzeniem (UE) nr XXX/XXX [rozporządzenie w sprawie kontroli przesiewowej]</w:t>
            </w:r>
            <w:r>
              <w:rPr>
                <w:b/>
                <w:i/>
              </w:rPr>
              <w:t xml:space="preserve">, w stosownych </w:t>
            </w:r>
            <w:r>
              <w:rPr>
                <w:b/>
                <w:i/>
              </w:rPr>
              <w:lastRenderedPageBreak/>
              <w:t>przypadkach,</w:t>
            </w:r>
            <w:r>
              <w:t xml:space="preserve"> i pod warunkiem że osobie ubiegającej się o ochronę międzynarodową nie z</w:t>
            </w:r>
            <w:r>
              <w:t>ezwolono jeszcze na wjazd na terytorium państw członkowskich, państwo członkowskie może rozpatrzyć wniosek w ramach procedury granicznej, w przypadku gdy wniosek ten został złożony przez obywatela państwa trzeciego lub bezpaństwowca, który nie spełnia waru</w:t>
            </w:r>
            <w:r>
              <w:t>nków wjazdu na terytorium państwa członkowskiego określonych w art. 6 rozporządzenia (UE) 2016/399. Procedura graniczna może mieć miejsce:</w:t>
            </w:r>
          </w:p>
        </w:tc>
      </w:tr>
    </w:tbl>
    <w:p w:rsidR="00F278B5" w:rsidRPr="002D7B59" w:rsidRDefault="00CB6874" w:rsidP="00F278B5">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31</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w:t>
      </w:r>
      <w:r>
        <w:rPr>
          <w:rStyle w:val="HideTWBExt"/>
          <w:b w:val="0"/>
          <w:noProof w:val="0"/>
        </w:rPr>
        <w:t>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1 – litera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b)</w:t>
            </w:r>
            <w:r>
              <w:tab/>
              <w:t xml:space="preserve">po zatrzymaniu </w:t>
            </w:r>
            <w:r>
              <w:rPr>
                <w:b/>
                <w:i/>
              </w:rPr>
              <w:t>w związku z niedozwolonym przekroczeniem</w:t>
            </w:r>
            <w:r>
              <w:t xml:space="preserve"> granicy zewnętrznej;</w:t>
            </w:r>
          </w:p>
        </w:tc>
        <w:tc>
          <w:tcPr>
            <w:tcW w:w="4876" w:type="dxa"/>
            <w:hideMark/>
          </w:tcPr>
          <w:p w:rsidR="00F278B5" w:rsidRPr="002D7B59" w:rsidRDefault="00CB6874">
            <w:pPr>
              <w:pStyle w:val="Normal6"/>
              <w:rPr>
                <w:szCs w:val="24"/>
              </w:rPr>
            </w:pPr>
            <w:r>
              <w:t>b)</w:t>
            </w:r>
            <w:r>
              <w:tab/>
              <w:t xml:space="preserve">po zatrzymaniu </w:t>
            </w:r>
            <w:r>
              <w:rPr>
                <w:b/>
                <w:i/>
              </w:rPr>
              <w:t>tego obywatela</w:t>
            </w:r>
            <w:r>
              <w:rPr>
                <w:b/>
                <w:i/>
              </w:rPr>
              <w:t xml:space="preserve"> państwa trzeciego lub bezpaństwowca przez właściwe organy w państwie członkowskim po przekroczeniu przez niego</w:t>
            </w:r>
            <w:r>
              <w:t xml:space="preserve"> granicy zewnętrznej</w:t>
            </w:r>
            <w:r>
              <w:rPr>
                <w:b/>
                <w:i/>
              </w:rPr>
              <w:t xml:space="preserve"> bez pozwolenia</w:t>
            </w:r>
            <w:r>
              <w:t>;</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32</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w:t>
      </w:r>
      <w:r>
        <w:rPr>
          <w:rStyle w:val="HideTWBExt"/>
          <w:b w:val="0"/>
          <w:noProof w:val="0"/>
        </w:rPr>
        <w:t>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rPr>
                <w:b/>
                <w:i/>
              </w:rPr>
              <w:t>4.</w:t>
            </w:r>
            <w:r>
              <w:rPr>
                <w:b/>
                <w:i/>
              </w:rPr>
              <w:tab/>
              <w:t xml:space="preserve">Państwo członkowskie może podjąć decyzję o niestosowaniu ust. 3 do obywateli lub bezpaństwowców mających </w:t>
            </w:r>
            <w:r>
              <w:rPr>
                <w:b/>
                <w:i/>
              </w:rPr>
              <w:t xml:space="preserve">miejsce zwykłego pobytu w państwach trzecich, w odniesieniu do których to </w:t>
            </w:r>
            <w:r>
              <w:rPr>
                <w:b/>
                <w:i/>
              </w:rPr>
              <w:lastRenderedPageBreak/>
              <w:t>państwo członkowskie przedłożyło Komisji powiadomienie zgodnie z art. 25a ust. 3 rozporządzenia (WE) nr 810/2009.</w:t>
            </w:r>
          </w:p>
        </w:tc>
        <w:tc>
          <w:tcPr>
            <w:tcW w:w="4876" w:type="dxa"/>
            <w:hideMark/>
          </w:tcPr>
          <w:p w:rsidR="00F278B5" w:rsidRPr="002D7B59" w:rsidRDefault="00CB6874">
            <w:pPr>
              <w:pStyle w:val="Normal6"/>
              <w:rPr>
                <w:szCs w:val="24"/>
              </w:rPr>
            </w:pPr>
            <w:r>
              <w:rPr>
                <w:b/>
                <w:i/>
              </w:rPr>
              <w:lastRenderedPageBreak/>
              <w:t>skreśla się</w:t>
            </w:r>
          </w:p>
        </w:tc>
      </w:tr>
      <w:tr w:rsidR="00FA22A3" w:rsidTr="00F278B5">
        <w:trPr>
          <w:jc w:val="center"/>
        </w:trPr>
        <w:tc>
          <w:tcPr>
            <w:tcW w:w="4876" w:type="dxa"/>
            <w:hideMark/>
          </w:tcPr>
          <w:p w:rsidR="00F278B5" w:rsidRPr="002D7B59" w:rsidRDefault="00CB6874">
            <w:pPr>
              <w:pStyle w:val="Normal6"/>
            </w:pPr>
            <w:r>
              <w:rPr>
                <w:b/>
                <w:i/>
              </w:rPr>
              <w:t>Jeżeli w wyniku analizy przeprowadzonej zgodnie z art. </w:t>
            </w:r>
            <w:r>
              <w:rPr>
                <w:b/>
                <w:i/>
              </w:rPr>
              <w:t>25a ust. 4 rozporządzenia (WE) nr 810/2009 Komisja uzna, że państwo trzecie współpracuje w wystarczającym stopniu, państwo członkowskie ponownie zaczyna stosować przepisy ust. 3.</w:t>
            </w:r>
          </w:p>
        </w:tc>
        <w:tc>
          <w:tcPr>
            <w:tcW w:w="4876" w:type="dxa"/>
          </w:tcPr>
          <w:p w:rsidR="00F278B5" w:rsidRPr="002D7B59" w:rsidRDefault="00F278B5">
            <w:pPr>
              <w:pStyle w:val="Normal6"/>
              <w:rPr>
                <w:szCs w:val="24"/>
              </w:rPr>
            </w:pPr>
          </w:p>
        </w:tc>
      </w:tr>
      <w:tr w:rsidR="00FA22A3" w:rsidTr="00F278B5">
        <w:trPr>
          <w:jc w:val="center"/>
        </w:trPr>
        <w:tc>
          <w:tcPr>
            <w:tcW w:w="4876" w:type="dxa"/>
            <w:hideMark/>
          </w:tcPr>
          <w:p w:rsidR="00F278B5" w:rsidRPr="002D7B59" w:rsidRDefault="00CB6874">
            <w:pPr>
              <w:pStyle w:val="Normal6"/>
            </w:pPr>
            <w:r>
              <w:rPr>
                <w:b/>
                <w:i/>
              </w:rPr>
              <w:t>W przypadku gdy Komisja uzna, że dane państwo trzecie nie współpracuje w wy</w:t>
            </w:r>
            <w:r>
              <w:rPr>
                <w:b/>
                <w:i/>
              </w:rPr>
              <w:t>starczającym stopniu, państwo członkowskie może nadal nie stosować ust. 3:</w:t>
            </w:r>
          </w:p>
        </w:tc>
        <w:tc>
          <w:tcPr>
            <w:tcW w:w="4876" w:type="dxa"/>
          </w:tcPr>
          <w:p w:rsidR="00F278B5" w:rsidRPr="002D7B59" w:rsidRDefault="00F278B5">
            <w:pPr>
              <w:pStyle w:val="Normal6"/>
              <w:rPr>
                <w:szCs w:val="24"/>
              </w:rPr>
            </w:pPr>
          </w:p>
        </w:tc>
      </w:tr>
      <w:tr w:rsidR="00FA22A3" w:rsidTr="00F278B5">
        <w:trPr>
          <w:jc w:val="center"/>
        </w:trPr>
        <w:tc>
          <w:tcPr>
            <w:tcW w:w="4876" w:type="dxa"/>
            <w:hideMark/>
          </w:tcPr>
          <w:p w:rsidR="00F278B5" w:rsidRPr="002D7B59" w:rsidRDefault="00CB6874">
            <w:pPr>
              <w:pStyle w:val="Normal6"/>
            </w:pPr>
            <w:r>
              <w:rPr>
                <w:b/>
                <w:i/>
              </w:rPr>
              <w:t>a)</w:t>
            </w:r>
            <w:r>
              <w:rPr>
                <w:b/>
                <w:i/>
              </w:rPr>
              <w:tab/>
              <w:t>do czasu uchylenia lub zmiany aktu wykonawczego przyjętego uprzednio przez Radę zgodnie z art. 25a ust. 5 rozporządzenia (WE) nr 810/2009;</w:t>
            </w:r>
          </w:p>
        </w:tc>
        <w:tc>
          <w:tcPr>
            <w:tcW w:w="4876" w:type="dxa"/>
          </w:tcPr>
          <w:p w:rsidR="00F278B5" w:rsidRPr="002D7B59" w:rsidRDefault="00F278B5">
            <w:pPr>
              <w:pStyle w:val="Normal6"/>
              <w:rPr>
                <w:szCs w:val="24"/>
              </w:rPr>
            </w:pPr>
          </w:p>
        </w:tc>
      </w:tr>
      <w:tr w:rsidR="00FA22A3" w:rsidTr="00F278B5">
        <w:trPr>
          <w:jc w:val="center"/>
        </w:trPr>
        <w:tc>
          <w:tcPr>
            <w:tcW w:w="4876" w:type="dxa"/>
            <w:hideMark/>
          </w:tcPr>
          <w:p w:rsidR="00F278B5" w:rsidRPr="002D7B59" w:rsidRDefault="00CB6874">
            <w:pPr>
              <w:pStyle w:val="Normal6"/>
            </w:pPr>
            <w:r>
              <w:rPr>
                <w:b/>
                <w:i/>
              </w:rPr>
              <w:t>b)</w:t>
            </w:r>
            <w:r>
              <w:rPr>
                <w:b/>
                <w:i/>
              </w:rPr>
              <w:tab/>
              <w:t>w przypadku gdy Komisja uzna, że</w:t>
            </w:r>
            <w:r>
              <w:rPr>
                <w:b/>
                <w:i/>
              </w:rPr>
              <w:t xml:space="preserve"> nie jest konieczne podjęcie działań na podstawie art. 25a rozporządzenia (WE) nr 810/2009, dopóki w swojej ocenie przeprowadzonej zgodnie z ust. 2 tego artykułu Komisja nie stwierdzi istotnych zmian we współpracy danego państwa trzeciego.</w:t>
            </w:r>
          </w:p>
        </w:tc>
        <w:tc>
          <w:tcPr>
            <w:tcW w:w="4876" w:type="dxa"/>
          </w:tcPr>
          <w:p w:rsidR="00F278B5" w:rsidRPr="002D7B59" w:rsidRDefault="00F278B5">
            <w:pPr>
              <w:pStyle w:val="Normal6"/>
              <w:rPr>
                <w:szCs w:val="24"/>
              </w:rPr>
            </w:pP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33</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5.</w:t>
            </w:r>
            <w:r>
              <w:tab/>
              <w:t xml:space="preserve">Procedurę </w:t>
            </w:r>
            <w:r>
              <w:t>graniczną można stosować wobec małoletnich bez opieki oraz małoletnich poniżej 12. roku życia i członków ich rodzin wyłącznie w przypadkach, o których mowa w art. 40 ust. 5 lit. b).</w:t>
            </w:r>
          </w:p>
        </w:tc>
        <w:tc>
          <w:tcPr>
            <w:tcW w:w="4876" w:type="dxa"/>
            <w:hideMark/>
          </w:tcPr>
          <w:p w:rsidR="00F278B5" w:rsidRPr="002D7B59" w:rsidRDefault="00CB6874">
            <w:pPr>
              <w:pStyle w:val="Normal6"/>
              <w:rPr>
                <w:szCs w:val="24"/>
              </w:rPr>
            </w:pPr>
            <w:r>
              <w:t>5.</w:t>
            </w:r>
            <w:r>
              <w:tab/>
              <w:t>Procedurę graniczną można stosować wobec małoletnich bez opieki oraz ma</w:t>
            </w:r>
            <w:r>
              <w:t xml:space="preserve">łoletnich poniżej 12. roku życia i członków ich rodzin wyłącznie w przypadkach, o których mowa w art. 40 ust. 5 lit. b). </w:t>
            </w:r>
            <w:r>
              <w:rPr>
                <w:b/>
                <w:i/>
              </w:rPr>
              <w:t xml:space="preserve">Najlepszy interes dziecka i zabezpieczenia przewidziane w dyrektywie </w:t>
            </w:r>
            <w:r>
              <w:rPr>
                <w:b/>
                <w:i/>
              </w:rPr>
              <w:lastRenderedPageBreak/>
              <w:t>XXX/XXX/UE [wersja przekształcona dyrektywy w sprawie warunków prz</w:t>
            </w:r>
            <w:r>
              <w:rPr>
                <w:b/>
                <w:i/>
              </w:rPr>
              <w:t>yjmowania], w szczególności art. 11, 12, 13, 14, 20, 21, 22 i 23, stanowią kwestię nadrzędną dla właściwych organów w odniesieniu do stosowania niniejszego ustępu.</w:t>
            </w:r>
          </w:p>
        </w:tc>
      </w:tr>
    </w:tbl>
    <w:p w:rsidR="00F278B5" w:rsidRPr="002D7B59" w:rsidRDefault="00CB6874" w:rsidP="00F278B5">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34</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w:t>
      </w:r>
      <w:r>
        <w:t>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6.</w:t>
            </w:r>
            <w:r>
              <w:tab/>
              <w:t xml:space="preserve">Bez uszczerbku dla ust. 9 i 11 osobom ubiegającym się o ochronę międzynarodową podlegającym </w:t>
            </w:r>
            <w:r>
              <w:t>procedurze granicznej nie zezwala się na wjazd na terytorium państwa członkowskiego.</w:t>
            </w:r>
          </w:p>
        </w:tc>
        <w:tc>
          <w:tcPr>
            <w:tcW w:w="4876" w:type="dxa"/>
            <w:hideMark/>
          </w:tcPr>
          <w:p w:rsidR="00F278B5" w:rsidRPr="002D7B59" w:rsidRDefault="00CB6874">
            <w:pPr>
              <w:pStyle w:val="Normal6"/>
              <w:rPr>
                <w:szCs w:val="24"/>
              </w:rPr>
            </w:pPr>
            <w:r>
              <w:t>6.</w:t>
            </w:r>
            <w:r>
              <w:tab/>
              <w:t>Bez uszczerbku dla ust. 9 i 11 osobom ubiegającym się o ochronę międzynarodową podlegającym procedurze granicznej nie zezwala się na wjazd na terytorium państwa członko</w:t>
            </w:r>
            <w:r>
              <w:t xml:space="preserve">wskiego. </w:t>
            </w:r>
            <w:r>
              <w:rPr>
                <w:b/>
                <w:i/>
              </w:rPr>
              <w:t>Zgodnie z dyrektywą XXX/XXX/UE [wersja przekształcona dyrektywy w sprawie warunków przyjmowania] państwo członkowskie nie podejmuje decyzji o zastosowaniu środka detencyjnego wobec osoby ubiegającej się o ochronę międzynarodową do czasu indywidual</w:t>
            </w:r>
            <w:r>
              <w:rPr>
                <w:b/>
                <w:i/>
              </w:rPr>
              <w:t>nej oceny przypadku danej osoby i skutecznego uwzględnienia rozwiązań alternatywnych względem środka detencyjnego lub mniej rygorystycznych środków.</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35</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w:t>
      </w:r>
      <w:r>
        <w:rPr>
          <w:rStyle w:val="HideTWBExt"/>
          <w:b w:val="0"/>
          <w:noProof w:val="0"/>
        </w:rPr>
        <w:t>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akapit 6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F96799">
            <w:pPr>
              <w:pStyle w:val="Normal6"/>
              <w:rPr>
                <w:szCs w:val="24"/>
              </w:rPr>
            </w:pPr>
            <w:r>
              <w:rPr>
                <w:b/>
                <w:i/>
              </w:rPr>
              <w:t>6a.</w:t>
            </w:r>
            <w:r>
              <w:rPr>
                <w:b/>
                <w:i/>
              </w:rPr>
              <w:tab/>
              <w:t xml:space="preserve">Państwa członkowskie przyjmują proporcjonalne środki, aby zapewnić, by osoby ubiegające się </w:t>
            </w:r>
            <w:r>
              <w:rPr>
                <w:b/>
                <w:i/>
              </w:rPr>
              <w:t>o ochronę międzynarodową w ramach procedury granicznej pozostały w wyznaczonych miejscach zgodnie z art. 41 ust. 13 i 14.</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36</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 xml:space="preserve">Wniosek </w:t>
      </w:r>
      <w:r>
        <w:t>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6 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F96799">
            <w:pPr>
              <w:pStyle w:val="Normal6"/>
              <w:rPr>
                <w:szCs w:val="24"/>
              </w:rPr>
            </w:pPr>
            <w:r>
              <w:rPr>
                <w:b/>
                <w:i/>
              </w:rPr>
              <w:t>6b.</w:t>
            </w:r>
            <w:r>
              <w:rPr>
                <w:b/>
                <w:i/>
              </w:rPr>
              <w:tab/>
              <w:t>Zgodnie z art. 8 ust. 2 dyrektywy XXX/XXX/UE [wersja przekształcona dyrektywy w sprawie warunków przyjmowania] i dyrektywą</w:t>
            </w:r>
            <w:r>
              <w:rPr>
                <w:b/>
                <w:i/>
              </w:rPr>
              <w:t xml:space="preserve"> XXX/XXX/UE [wersja przekształcona dyrektywy powrotowej], państwa członkowskie mogą zastosować środek detencyjny wobec osoby ubiegającej się o ochronę międzynarodową w ramach procedury granicznej, pod warunkiem że okaże się to konieczne po przeprowadzeniu </w:t>
            </w:r>
            <w:r>
              <w:rPr>
                <w:b/>
                <w:i/>
              </w:rPr>
              <w:t>indywidualnej oceny przypadku danej osoby i stwierdzeniu, że mniej rygorystyczne rozwiązania alternatywne nie mogą zostać skutecznie zastosowane. Decyzja o zastosowaniu środka detencyjnego wobec osoby ubiegającej się o ochronę międzynarodową jest podejmowa</w:t>
            </w:r>
            <w:r>
              <w:rPr>
                <w:b/>
                <w:i/>
              </w:rPr>
              <w:t>na przez sędziego, a okres zatrzymania jest proporcjonalny i ulega zakończeniu, gdy nie mają już zastosowania podstawy tego środka.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4523C5">
            <w:pPr>
              <w:pStyle w:val="Normal6"/>
              <w:rPr>
                <w:szCs w:val="24"/>
              </w:rPr>
            </w:pPr>
            <w:r>
              <w:rPr>
                <w:b/>
                <w:i/>
              </w:rPr>
              <w:t>Zgodnie z art. 7 dyrektywy XXX/XXX/UE [wersja przekształcona dyrektywy w sprawie warunków przyjmowania] państwa członkowsk</w:t>
            </w:r>
            <w:r>
              <w:rPr>
                <w:b/>
                <w:i/>
              </w:rPr>
              <w:t xml:space="preserve">ie mogą ograniczyć swobodę przemieszczania się osób </w:t>
            </w:r>
            <w:r>
              <w:rPr>
                <w:b/>
                <w:i/>
              </w:rPr>
              <w:lastRenderedPageBreak/>
              <w:t>ubiegających się o ochronę międzynarodową na potrzeby rozpatrzenia wniosków w ramach procedury granicznej.</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4523C5">
            <w:pPr>
              <w:pStyle w:val="Normal6"/>
              <w:rPr>
                <w:szCs w:val="24"/>
              </w:rPr>
            </w:pPr>
            <w:r>
              <w:rPr>
                <w:b/>
                <w:i/>
              </w:rPr>
              <w:t>Państwa członkowskie korzystają z rozwiązań alternatywnych dla środków detencyjnych ustanowiony</w:t>
            </w:r>
            <w:r>
              <w:rPr>
                <w:b/>
                <w:i/>
              </w:rPr>
              <w:t>ch w prawie krajowym zgodnie z art. 8 ust. 4 dyrektywy XXX/XXX/UE [wersja przekształcona dyrektywy w sprawie warunków przyjmowania], które są skutecznie dostępne, gdy zastosowanie mają podstawy dla środka detencyjnego, w szczególności względem szczególnych</w:t>
            </w:r>
            <w:r>
              <w:rPr>
                <w:b/>
                <w:i/>
              </w:rPr>
              <w:t xml:space="preserve"> grup takich jak małoletni lub rodziny.</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37</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6 c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B34DE8">
            <w:pPr>
              <w:pStyle w:val="Normal6"/>
              <w:rPr>
                <w:b/>
                <w:i/>
              </w:rPr>
            </w:pPr>
            <w:r>
              <w:rPr>
                <w:b/>
                <w:i/>
              </w:rPr>
              <w:t>6c.</w:t>
            </w:r>
            <w:r>
              <w:rPr>
                <w:b/>
                <w:i/>
              </w:rPr>
              <w:tab/>
              <w:t>Do dnia … [sześć miesięcy po dacie wejścia w życie niniejszego rozporządzenia] Komisja zwraca się do Agencji Unii Europejskiej ds. Azylu, zgodnie z art. 13 ust. 2 rozporządzenia</w:t>
            </w:r>
            <w:r w:rsidR="000A16FF">
              <w:rPr>
                <w:b/>
                <w:i/>
              </w:rPr>
              <w:t xml:space="preserve"> (UE)</w:t>
            </w:r>
            <w:r>
              <w:rPr>
                <w:b/>
                <w:i/>
              </w:rPr>
              <w:t xml:space="preserve"> nr XXX/XXX (Agencji UE ds. Azy</w:t>
            </w:r>
            <w:r>
              <w:rPr>
                <w:b/>
                <w:i/>
              </w:rPr>
              <w:t>lu), o opracowanie wytycznych w sprawie różnych praktyk odnoszących się do rozwiązań alternatywnych względem środków detencyjnych, które mogłyby być stosowane w kontekście procedury granicznej.</w:t>
            </w:r>
          </w:p>
        </w:tc>
      </w:tr>
      <w:tr w:rsidR="00FA22A3" w:rsidTr="00F278B5">
        <w:trPr>
          <w:jc w:val="center"/>
        </w:trPr>
        <w:tc>
          <w:tcPr>
            <w:tcW w:w="4876" w:type="dxa"/>
          </w:tcPr>
          <w:p w:rsidR="00837372" w:rsidRPr="002D7B59" w:rsidRDefault="00837372">
            <w:pPr>
              <w:pStyle w:val="Normal6"/>
            </w:pPr>
          </w:p>
        </w:tc>
        <w:tc>
          <w:tcPr>
            <w:tcW w:w="4876" w:type="dxa"/>
          </w:tcPr>
          <w:p w:rsidR="00837372" w:rsidRPr="002D7B59" w:rsidRDefault="00CB6874" w:rsidP="0047508F">
            <w:pPr>
              <w:pStyle w:val="Normal6"/>
              <w:rPr>
                <w:b/>
                <w:i/>
              </w:rPr>
            </w:pPr>
            <w:r>
              <w:rPr>
                <w:b/>
                <w:i/>
              </w:rPr>
              <w:t xml:space="preserve">Wytyczne, o których mowa w pierwszym akapicie, określają </w:t>
            </w:r>
            <w:r>
              <w:rPr>
                <w:b/>
                <w:i/>
              </w:rPr>
              <w:t xml:space="preserve">warunki stosowania rozwiązań alternatywnych względem środków detencyjnych oraz mają na celu uwzględnienie sytuacji i potrzeb różnych kategorii osób ubiegających się o ochronę międzynarodową, takich jak kobiety, małoletni, małoletni bez opieki lub </w:t>
            </w:r>
            <w:r>
              <w:rPr>
                <w:b/>
                <w:i/>
              </w:rPr>
              <w:lastRenderedPageBreak/>
              <w:t xml:space="preserve">rodziny. </w:t>
            </w:r>
            <w:r>
              <w:rPr>
                <w:b/>
                <w:i/>
              </w:rPr>
              <w:t>Wytyczne te mają na celu budowanie zaufania wśród osób ubiegających się o ochronę międzynarodową oraz zapewniają ich zaangażowanie w procedurę graniczną i jej przestrzeganie.</w:t>
            </w:r>
          </w:p>
        </w:tc>
      </w:tr>
    </w:tbl>
    <w:p w:rsidR="00F278B5" w:rsidRPr="002D7B59" w:rsidRDefault="00CB6874" w:rsidP="00F278B5">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38</w:t>
      </w:r>
      <w:r>
        <w:rPr>
          <w:rStyle w:val="HideTWBExt"/>
          <w:b w:val="0"/>
          <w:noProof w:val="0"/>
        </w:rPr>
        <w:t>&lt;/NumAm&gt;</w:t>
      </w:r>
    </w:p>
    <w:p w:rsidR="00F278B5" w:rsidRPr="002D7B59" w:rsidRDefault="00CB6874" w:rsidP="00F278B5">
      <w:pPr>
        <w:pStyle w:val="NormalBold"/>
      </w:pPr>
      <w:r>
        <w:rPr>
          <w:rStyle w:val="HideTWBExt"/>
          <w:b w:val="0"/>
          <w:noProof w:val="0"/>
        </w:rPr>
        <w:t>&lt;Mem</w:t>
      </w:r>
      <w:r>
        <w:rPr>
          <w:rStyle w:val="HideTWBExt"/>
          <w:b w:val="0"/>
          <w:noProof w:val="0"/>
        </w:rPr>
        <w:t>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6 d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B34DE8">
            <w:pPr>
              <w:pStyle w:val="Normal6"/>
              <w:rPr>
                <w:szCs w:val="24"/>
              </w:rPr>
            </w:pPr>
            <w:r>
              <w:rPr>
                <w:b/>
                <w:i/>
              </w:rPr>
              <w:t>6d.</w:t>
            </w:r>
            <w:r>
              <w:rPr>
                <w:b/>
                <w:i/>
              </w:rPr>
              <w:tab/>
              <w:t xml:space="preserve">Do dnia … [18 miesięcy po wejściu w życie niniejszego rozporządzenia] </w:t>
            </w:r>
            <w:r>
              <w:rPr>
                <w:b/>
                <w:i/>
              </w:rPr>
              <w:t>Komisja ocenia stosowanie ust. 6c.</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39</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7</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 xml:space="preserve">Tekst </w:t>
            </w:r>
            <w:r>
              <w:t>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7.</w:t>
            </w:r>
            <w:r>
              <w:tab/>
              <w:t xml:space="preserve">Stosując procedurę graniczną, państwa członkowskie </w:t>
            </w:r>
            <w:r>
              <w:rPr>
                <w:b/>
                <w:i/>
              </w:rPr>
              <w:t>mogą przeprowadzić</w:t>
            </w:r>
            <w:r>
              <w:t xml:space="preserve"> procedurę ustalania państwa członkowskiego odpowiedzialnego za rozpatrzenie wniosku, zgodnie z rozporządzeniem (UE) nr XXX/XXX [rozporządzenie w sp</w:t>
            </w:r>
            <w:r>
              <w:t>rawie zarządzania azylem i migracją], bez uszczerbku dla terminów określonych w ust. 11.</w:t>
            </w:r>
          </w:p>
        </w:tc>
        <w:tc>
          <w:tcPr>
            <w:tcW w:w="4876" w:type="dxa"/>
            <w:hideMark/>
          </w:tcPr>
          <w:p w:rsidR="00F278B5" w:rsidRPr="002D7B59" w:rsidRDefault="00CB6874" w:rsidP="00B34DE8">
            <w:pPr>
              <w:pStyle w:val="Normal6"/>
              <w:rPr>
                <w:szCs w:val="24"/>
              </w:rPr>
            </w:pPr>
            <w:r>
              <w:t>7.</w:t>
            </w:r>
            <w:r>
              <w:tab/>
              <w:t>Stosując procedurę graniczną</w:t>
            </w:r>
            <w:r>
              <w:rPr>
                <w:b/>
                <w:i/>
              </w:rPr>
              <w:t xml:space="preserve"> wobec osoby ubiegającej się o ochronę międzynarodową</w:t>
            </w:r>
            <w:r>
              <w:t xml:space="preserve">, państwa członkowskie </w:t>
            </w:r>
            <w:r>
              <w:rPr>
                <w:b/>
                <w:i/>
              </w:rPr>
              <w:t>przeprowadzają</w:t>
            </w:r>
            <w:r>
              <w:t xml:space="preserve"> procedurę ustalania państwa członkowskiego od</w:t>
            </w:r>
            <w:r>
              <w:t>powiedzialnego za rozpatrzenie wniosku, zgodnie z rozporządzeniem (UE) nr XXX/XXX [rozporządzenie w sprawie zarządzania azylem i migracją], bez uszczerbku dla terminów określonych w ust. 11.</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lastRenderedPageBreak/>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40</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7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47508F">
            <w:pPr>
              <w:pStyle w:val="Normal6"/>
              <w:rPr>
                <w:szCs w:val="24"/>
              </w:rPr>
            </w:pPr>
            <w:r>
              <w:rPr>
                <w:b/>
                <w:i/>
              </w:rPr>
              <w:t>7a.</w:t>
            </w:r>
            <w:r>
              <w:rPr>
                <w:b/>
                <w:i/>
              </w:rPr>
              <w:tab/>
              <w:t>W drodze wyjątku od art. 29 ust. 1 i 2 oraz art. 30</w:t>
            </w:r>
            <w:r>
              <w:rPr>
                <w:b/>
                <w:i/>
              </w:rPr>
              <w:t xml:space="preserve"> ust. 1, 2 i 7 rozporządzenia (UE) nr XXX/XXX [rozporządzenie w sprawie zarządzania azylem i migracją], w przypadku gdy państwo członkowskie, w którym zarejestrowany został wniosek o udzielenie ochrony międzynarodowej w kontekście etapu poprzedzającego wja</w:t>
            </w:r>
            <w:r>
              <w:rPr>
                <w:b/>
                <w:i/>
              </w:rPr>
              <w:t>zd, uważa, że inne państwo członkowskie jest odpowiedzialne za rozpatrzenie tego wniosku, bez zwłoki i w żadnym wypadku nie później niż trzy tygodnie od daty zarejestrowania wniosku zwraca się do tego innego państwa członkowskiego o przejęcie osoby ubiegaj</w:t>
            </w:r>
            <w:r>
              <w:rPr>
                <w:b/>
                <w:i/>
              </w:rPr>
              <w:t>ącej się o ochronę międzynarodową. Państwo członkowskie, do którego skierowano wniosek, przeprowadza niezbędne czynności sprawdzające i podejmuje decyzję w sprawie wniosku o przejęcie osoby ubiegającej się o ochronę międzynarodową w terminie jednego tygodn</w:t>
            </w:r>
            <w:r>
              <w:rPr>
                <w:b/>
                <w:i/>
              </w:rPr>
              <w:t>ia od otrzymania tego wniosku.</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41</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9 – akapit 2</w:t>
      </w:r>
      <w:r>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 xml:space="preserve">Tekst </w:t>
            </w:r>
            <w:r>
              <w:t>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tcPr>
          <w:p w:rsidR="00F278B5" w:rsidRPr="002D7B59" w:rsidRDefault="00CB6874">
            <w:pPr>
              <w:pStyle w:val="Normal6"/>
            </w:pPr>
            <w:r>
              <w:t xml:space="preserve">W takich przypadkach właściwy organ zezwala osobie ubiegającej się o ochronę międzynarodową na wjazd na terytorium </w:t>
            </w:r>
            <w:r>
              <w:lastRenderedPageBreak/>
              <w:t>państwa członkowskiego.</w:t>
            </w:r>
          </w:p>
        </w:tc>
        <w:tc>
          <w:tcPr>
            <w:tcW w:w="4876" w:type="dxa"/>
            <w:hideMark/>
          </w:tcPr>
          <w:p w:rsidR="00F278B5" w:rsidRPr="002D7B59" w:rsidRDefault="00CB6874" w:rsidP="004523C5">
            <w:pPr>
              <w:pStyle w:val="Normal6"/>
              <w:rPr>
                <w:b/>
                <w:i/>
                <w:szCs w:val="24"/>
              </w:rPr>
            </w:pPr>
            <w:r>
              <w:lastRenderedPageBreak/>
              <w:t xml:space="preserve">W takich przypadkach właściwy organ zezwala osobie ubiegającej się o ochronę międzynarodową na wjazd na terytorium </w:t>
            </w:r>
            <w:r>
              <w:lastRenderedPageBreak/>
              <w:t xml:space="preserve">państwa członkowskiego. </w:t>
            </w:r>
          </w:p>
        </w:tc>
      </w:tr>
      <w:tr w:rsidR="00FA22A3" w:rsidTr="00F278B5">
        <w:trPr>
          <w:jc w:val="center"/>
        </w:trPr>
        <w:tc>
          <w:tcPr>
            <w:tcW w:w="4876" w:type="dxa"/>
          </w:tcPr>
          <w:p w:rsidR="001C42FB" w:rsidRPr="002D7B59" w:rsidRDefault="001C42FB">
            <w:pPr>
              <w:pStyle w:val="Normal6"/>
            </w:pPr>
          </w:p>
        </w:tc>
        <w:tc>
          <w:tcPr>
            <w:tcW w:w="4876" w:type="dxa"/>
          </w:tcPr>
          <w:p w:rsidR="001C42FB" w:rsidRPr="002D7B59" w:rsidRDefault="00CB6874">
            <w:pPr>
              <w:pStyle w:val="Normal6"/>
              <w:rPr>
                <w:b/>
                <w:i/>
              </w:rPr>
            </w:pPr>
            <w:r>
              <w:rPr>
                <w:b/>
                <w:i/>
              </w:rPr>
              <w:t xml:space="preserve">Państwa członkowskie regularnie monitorują stosowanie akapitu pierwszego. Państwa członkowskie mogą zwrócić się o </w:t>
            </w:r>
            <w:r>
              <w:rPr>
                <w:b/>
                <w:i/>
              </w:rPr>
              <w:t>wsparcie w tym celu do unijnych organów, jednostek i agencji.</w:t>
            </w:r>
          </w:p>
        </w:tc>
      </w:tr>
      <w:tr w:rsidR="00FA22A3" w:rsidTr="00F278B5">
        <w:trPr>
          <w:jc w:val="center"/>
        </w:trPr>
        <w:tc>
          <w:tcPr>
            <w:tcW w:w="4876" w:type="dxa"/>
          </w:tcPr>
          <w:p w:rsidR="001C42FB" w:rsidRPr="002D7B59" w:rsidRDefault="001C42FB">
            <w:pPr>
              <w:pStyle w:val="Normal6"/>
            </w:pPr>
          </w:p>
        </w:tc>
        <w:tc>
          <w:tcPr>
            <w:tcW w:w="4876" w:type="dxa"/>
          </w:tcPr>
          <w:p w:rsidR="001C42FB" w:rsidRPr="002D7B59" w:rsidRDefault="00CB6874">
            <w:pPr>
              <w:pStyle w:val="Normal6"/>
              <w:rPr>
                <w:b/>
                <w:i/>
              </w:rPr>
            </w:pPr>
            <w:r>
              <w:rPr>
                <w:b/>
                <w:i/>
              </w:rPr>
              <w:t>Komisja regularnie ocenia stosowanie niniejszego ustępu, ze wsparciem ze strony Agencji Unii Europejskiej ds. Azylu, oraz co roku przekazuje wnioski z tej oceny do Parlamentu Europejskiego i R</w:t>
            </w:r>
            <w:r>
              <w:rPr>
                <w:b/>
                <w:i/>
              </w:rPr>
              <w:t>ady.</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42</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10</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10.</w:t>
            </w:r>
            <w:r>
              <w:tab/>
              <w:t>Na zasadzie odstępstwa od art. 28 niniejszego rozporządzenia wnioski podlegające procedurze granicznej składa się nie później niż pięć dni od daty pierwszej rejestracji lub, po relokacji przeprowadzonej zgodnie z art. [x] rozporządzenia (UE) XXX/XXX [r</w:t>
            </w:r>
            <w:r>
              <w:t>ozporządzenie w sprawie zarządzania azylem i migracją], pięć dni od chwili przybycia osoby ubiegającej się o ochronę międzynarodową do odpowiedzialnego państwa członkowskiego w następstwie przekazania na podstawie art. 56 ust. 1 lit. e) tego rozporządzenia</w:t>
            </w:r>
            <w:r>
              <w:t>.</w:t>
            </w:r>
          </w:p>
        </w:tc>
        <w:tc>
          <w:tcPr>
            <w:tcW w:w="4876" w:type="dxa"/>
            <w:hideMark/>
          </w:tcPr>
          <w:p w:rsidR="00F278B5" w:rsidRPr="002D7B59" w:rsidRDefault="00CB6874">
            <w:pPr>
              <w:pStyle w:val="Normal6"/>
              <w:rPr>
                <w:szCs w:val="24"/>
              </w:rPr>
            </w:pPr>
            <w:r>
              <w:t>10.</w:t>
            </w:r>
            <w:r>
              <w:tab/>
              <w:t xml:space="preserve">Na zasadzie odstępstwa od art. 28 niniejszego rozporządzenia wnioski podlegające procedurze granicznej składa się nie później niż pięć dni </w:t>
            </w:r>
            <w:r>
              <w:rPr>
                <w:b/>
                <w:i/>
              </w:rPr>
              <w:t xml:space="preserve">roboczych </w:t>
            </w:r>
            <w:r>
              <w:t>od daty pierwszej rejestracji lub, po relokacji przeprowadzonej zgodnie z art. [x] rozporządzenia (UE</w:t>
            </w:r>
            <w:r>
              <w:t xml:space="preserve">) XXX/XXX [rozporządzenie w sprawie zarządzania azylem i migracją], pięć dni </w:t>
            </w:r>
            <w:r>
              <w:rPr>
                <w:b/>
                <w:i/>
              </w:rPr>
              <w:t xml:space="preserve">roboczych </w:t>
            </w:r>
            <w:r>
              <w:t>od chwili przybycia osoby ubiegającej się o ochronę międzynarodową do odpowiedzialnego państwa członkowskiego w następstwie przekazania na podstawie art. 56 ust. 1 lit. </w:t>
            </w:r>
            <w:r>
              <w:t>e) tego rozporządzenia</w:t>
            </w:r>
            <w:r>
              <w:rPr>
                <w:b/>
                <w:i/>
              </w:rPr>
              <w:t>, pod warunkiem że osoba ta otrzymuje skuteczną możliwość dokonania tego w podanych terminach</w:t>
            </w:r>
            <w:r>
              <w:t>.</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43</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lastRenderedPageBreak/>
        <w:t>&lt;DocAmend&gt;</w:t>
      </w:r>
      <w:r>
        <w:t>Wniosek dotyczący</w:t>
      </w:r>
      <w:r>
        <w:t xml:space="preserve">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 xml:space="preserve">Artykuł 41 – ustęp 11 </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11.</w:t>
            </w:r>
            <w:r>
              <w:tab/>
              <w:t>Procedura graniczna mająca na celu rozpatrzenie wniosku o udzielenie ochrony międzynarodowej powinna trwać jak najkrócej, a jednocześnie gw</w:t>
            </w:r>
            <w:r>
              <w:t>arantować pełne i rzetelne rozpatrywanie wniosków. Obejmuje ona decyzję, o której mowa w ust. 2 i 3, oraz każdą ewentualną decyzję w sprawie odwołania i należy ją zakończyć w terminie 12 tygodni od daty zarejestrowania wniosku. Po upływie tego okresu osobi</w:t>
            </w:r>
            <w:r>
              <w:t xml:space="preserve">e ubiegającej się o ochronę międzynarodową zezwala się na wjazd na terytorium państwa członkowskiego, z wyjątkiem przypadków, gdy zastosowanie ma art. 41a ust. 1. . Na zasadzie odstępstwa od terminów określonych w art. 34, art. 40 ust. 2 i art. 55 państwa </w:t>
            </w:r>
            <w:r>
              <w:t>członkowskie ustanawiają przepisy dotyczące czasu trwania procedury rozpatrywania wniosku i procedury odwoławczej, w których zapewniają, aby w przypadku odwołania od decyzji o odrzuceniu wniosku w ramach procedury granicznej rozstrzygnięcie w sprawie takie</w:t>
            </w:r>
            <w:r>
              <w:t>go odwołania zostało wydane w terminie 12 tygodni od daty zarejestrowania wniosku.</w:t>
            </w:r>
          </w:p>
        </w:tc>
        <w:tc>
          <w:tcPr>
            <w:tcW w:w="4876" w:type="dxa"/>
            <w:hideMark/>
          </w:tcPr>
          <w:p w:rsidR="00F278B5" w:rsidRPr="002D7B59" w:rsidRDefault="00CB6874">
            <w:pPr>
              <w:pStyle w:val="Normal6"/>
              <w:rPr>
                <w:szCs w:val="24"/>
              </w:rPr>
            </w:pPr>
            <w:r>
              <w:t>11.</w:t>
            </w:r>
            <w:r>
              <w:tab/>
              <w:t xml:space="preserve">Procedura graniczna mająca na celu rozpatrzenie wniosku o udzielenie ochrony międzynarodowej powinna trwać jak najkrócej, a jednocześnie gwarantować pełne i rzetelne </w:t>
            </w:r>
            <w:r>
              <w:t>rozpatrywanie wniosków</w:t>
            </w:r>
            <w:r>
              <w:rPr>
                <w:b/>
                <w:i/>
              </w:rPr>
              <w:t>. Indywidualne prawa proceduralne przewidziane w niniejszym rozporządzeniu, takie jak dostęp do informacji, pomoc prawna oraz reprezentacja i usługi tłumaczenia ustnego, są skutecznie gwarantowane podczas całej procedury granicznej. P</w:t>
            </w:r>
            <w:r>
              <w:rPr>
                <w:b/>
                <w:i/>
              </w:rPr>
              <w:t>aństwa członkowskie zapewniają odpowiedni przydział pracowników oraz wydajną koordynację między różnymi podmiotami i organami w procedurze granicznej, zgodnie z art. 41b i 41c</w:t>
            </w:r>
            <w:r>
              <w:t>. Obejmuje ona decyzję, o której mowa w ust. 2 i 3, oraz każdą ewentualną decyzję</w:t>
            </w:r>
            <w:r>
              <w:t xml:space="preserve"> w sprawie odwołania i należy ją zakończyć w terminie 12 tygodni od daty zarejestrowania wniosku. Po upływie tego okresu osobie ubiegającej się o ochronę międzynarodową zezwala się na wjazd na terytorium państwa członkowskiego, z wyjątkiem przypadków, gdy </w:t>
            </w:r>
            <w:r>
              <w:t>zastosowanie ma art. 41a ust. 1. Na zasadzie odstępstwa od terminów określonych w art. 34, art. 40 ust. 2 i art. 55 państwa członkowskie ustanawiają przepisy dotyczące czasu trwania procedury rozpatrywania wniosku i procedury odwoławczej, w których zapewni</w:t>
            </w:r>
            <w:r>
              <w:t>ają, aby w przypadku odwołania od decyzji o odrzuceniu wniosku w ramach procedury granicznej rozstrzygnięcie w sprawie takiego odwołania zostało wydane w terminie 12 tygodni od daty zarejestrowania wniosku.</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lastRenderedPageBreak/>
        <w:t>&lt;Amend&gt;</w:t>
      </w:r>
      <w:r>
        <w:t>Poprawka</w:t>
      </w:r>
      <w:r>
        <w:tab/>
      </w:r>
      <w:r>
        <w:tab/>
      </w:r>
      <w:r>
        <w:rPr>
          <w:rStyle w:val="HideTWBExt"/>
          <w:b w:val="0"/>
          <w:noProof w:val="0"/>
        </w:rPr>
        <w:t>&lt;NumAm&gt;</w:t>
      </w:r>
      <w:r>
        <w:t>44</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13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13.</w:t>
            </w:r>
            <w:r>
              <w:tab/>
            </w:r>
            <w:r>
              <w:t xml:space="preserve">Podczas rozpatrywania wniosków podlegających procedurze granicznej </w:t>
            </w:r>
            <w:r>
              <w:rPr>
                <w:b/>
                <w:i/>
              </w:rPr>
              <w:t>osoby ubiegające</w:t>
            </w:r>
            <w:r>
              <w:t xml:space="preserve"> się o ochronę międzynarodową </w:t>
            </w:r>
            <w:r>
              <w:rPr>
                <w:b/>
                <w:i/>
              </w:rPr>
              <w:t>są przetrzymywane</w:t>
            </w:r>
            <w:r>
              <w:t xml:space="preserve"> na granicy zewnętrznej, w jej pobliżu albo w strefach tranzytowych. Najpóźniej [dwa miesiące od daty rozpoczęcia stosowania n</w:t>
            </w:r>
            <w:r>
              <w:t>iniejszego rozporządzenia] każde państwo członkowskie powiadamia Komisję o miejscach, w których będzie prowadzona procedura graniczna</w:t>
            </w:r>
            <w:r>
              <w:rPr>
                <w:b/>
                <w:i/>
              </w:rPr>
              <w:t xml:space="preserve"> – na granicach zewnętrznych, w pobliżu granic zewnętrznych albo w strefach tranzytowych –</w:t>
            </w:r>
            <w:r>
              <w:t xml:space="preserve"> w tym przy stosowaniu ust. 3, or</w:t>
            </w:r>
            <w:r>
              <w:t xml:space="preserve">az zapewnia, aby przepustowość tych miejsc była wystarczająca do rozpatrzenia wniosków objętych tym ustępem. Wszelkie zmiany miejsc, w których stosowana jest procedura graniczna, zgłasza się Komisji dwa </w:t>
            </w:r>
            <w:r>
              <w:rPr>
                <w:b/>
                <w:i/>
              </w:rPr>
              <w:t>miesiące</w:t>
            </w:r>
            <w:r>
              <w:t xml:space="preserve"> przed wejściem tych zmian w życie.</w:t>
            </w:r>
          </w:p>
        </w:tc>
        <w:tc>
          <w:tcPr>
            <w:tcW w:w="4876" w:type="dxa"/>
            <w:hideMark/>
          </w:tcPr>
          <w:p w:rsidR="00F278B5" w:rsidRPr="002D7B59" w:rsidRDefault="00CB6874">
            <w:pPr>
              <w:pStyle w:val="Normal6"/>
              <w:rPr>
                <w:szCs w:val="24"/>
              </w:rPr>
            </w:pPr>
            <w:r>
              <w:t>13.</w:t>
            </w:r>
            <w:r>
              <w:tab/>
              <w:t>Podcz</w:t>
            </w:r>
            <w:r>
              <w:t xml:space="preserve">as rozpatrywania wniosków podlegających procedurze granicznej </w:t>
            </w:r>
            <w:r>
              <w:rPr>
                <w:b/>
                <w:i/>
              </w:rPr>
              <w:t>właściwe organy krajowe mogą zwrócić się do osób ubiegających</w:t>
            </w:r>
            <w:r>
              <w:t xml:space="preserve"> się o ochronę międzynarodową </w:t>
            </w:r>
            <w:r>
              <w:rPr>
                <w:b/>
                <w:i/>
              </w:rPr>
              <w:t>o pozostanie w miejscach wyznaczonych zgodnie z ich uznaniem, do czasu zakończenia procedury granicznej</w:t>
            </w:r>
            <w:r>
              <w:rPr>
                <w:b/>
                <w:i/>
              </w:rPr>
              <w:t xml:space="preserve"> na terytorium państwa członkowskiego, w pełnej zgodności z dyrektywą XXX/XXX/UE [wersja przekształcona dyrektywy w sprawie warunków przyjmowania]. Procedura graniczna może być wykonywana</w:t>
            </w:r>
            <w:r>
              <w:t xml:space="preserve"> na granicy zewnętrznej, w jej pobliżu albo w strefach tranzytowych</w:t>
            </w:r>
            <w:r>
              <w:rPr>
                <w:b/>
                <w:i/>
              </w:rPr>
              <w:t xml:space="preserve"> n</w:t>
            </w:r>
            <w:r>
              <w:rPr>
                <w:b/>
                <w:i/>
              </w:rPr>
              <w:t>a terytorium państwa członkowskiego, pod warunkiem że zachowana jest pełna zgodność z warunkami niniejszego ustępu oraz odpowiednio zabezpieczone są szczególne potrzeby osób ubiegających się o ochronę międzynarodową</w:t>
            </w:r>
            <w:r>
              <w:t>. Najpóźniej [dwa miesiące od daty rozpoc</w:t>
            </w:r>
            <w:r>
              <w:t>zęcia stosowania niniejszego rozporządzenia] każde państwo członkowskie powiadamia Komisję o miejscach, w których będzie prowadzona procedura graniczna</w:t>
            </w:r>
            <w:r>
              <w:rPr>
                <w:b/>
                <w:i/>
              </w:rPr>
              <w:t>,</w:t>
            </w:r>
            <w:r>
              <w:t xml:space="preserve"> w tym przy stosowaniu ust. 3, oraz zapewnia, aby przepustowość tych miejsc była wystarczająca do rozpat</w:t>
            </w:r>
            <w:r>
              <w:t>rzenia wniosków objętych tym ustępem. Wszelkie zmiany miejsc, w których stosowana jest procedura graniczna</w:t>
            </w:r>
            <w:r>
              <w:rPr>
                <w:b/>
                <w:i/>
              </w:rPr>
              <w:t xml:space="preserve"> na podstawie decyzji właściwych organów krajowych</w:t>
            </w:r>
            <w:r>
              <w:t xml:space="preserve">, zgłasza się Komisji </w:t>
            </w:r>
            <w:r>
              <w:rPr>
                <w:b/>
                <w:i/>
              </w:rPr>
              <w:t xml:space="preserve">jak najszybciej, a co najmniej </w:t>
            </w:r>
            <w:r>
              <w:t xml:space="preserve">dwa </w:t>
            </w:r>
            <w:r>
              <w:rPr>
                <w:b/>
                <w:i/>
              </w:rPr>
              <w:t>tygodnie</w:t>
            </w:r>
            <w:r>
              <w:t xml:space="preserve"> przed wejściem tych zmian w życie.</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lastRenderedPageBreak/>
        <w:t>&lt;Amend&gt;</w:t>
      </w:r>
      <w:r>
        <w:t>Poprawka</w:t>
      </w:r>
      <w:r>
        <w:tab/>
      </w:r>
      <w:r>
        <w:tab/>
      </w:r>
      <w:r>
        <w:rPr>
          <w:rStyle w:val="HideTWBExt"/>
          <w:b w:val="0"/>
          <w:noProof w:val="0"/>
        </w:rPr>
        <w:t>&lt;NumAm&gt;</w:t>
      </w:r>
      <w:r>
        <w:t>45</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 ustęp 14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14.</w:t>
            </w:r>
            <w:r>
              <w:tab/>
            </w:r>
            <w:r>
              <w:t xml:space="preserve">W sytuacjach, w których przepustowość </w:t>
            </w:r>
            <w:r>
              <w:rPr>
                <w:b/>
                <w:i/>
              </w:rPr>
              <w:t>miejsc zgłoszonych</w:t>
            </w:r>
            <w:r>
              <w:t xml:space="preserve"> przez </w:t>
            </w:r>
            <w:r>
              <w:rPr>
                <w:b/>
                <w:i/>
              </w:rPr>
              <w:t>państwa</w:t>
            </w:r>
            <w:r>
              <w:t xml:space="preserve"> członkowskie na podstawie ust. </w:t>
            </w:r>
            <w:r>
              <w:rPr>
                <w:b/>
                <w:i/>
              </w:rPr>
              <w:t>14</w:t>
            </w:r>
            <w:r>
              <w:t xml:space="preserve"> jest tymczasowo niewystarczająca do rozpatrzenia wniosków osób ubiegających się o ochronę międzynarodową objętych przepisami ust. 3, </w:t>
            </w:r>
            <w:r>
              <w:rPr>
                <w:b/>
                <w:i/>
              </w:rPr>
              <w:t>państwa</w:t>
            </w:r>
            <w:r>
              <w:t xml:space="preserve"> członkowsk</w:t>
            </w:r>
            <w:r>
              <w:t xml:space="preserve">ie </w:t>
            </w:r>
            <w:r>
              <w:rPr>
                <w:b/>
                <w:i/>
              </w:rPr>
              <w:t>mogą wyznaczyć</w:t>
            </w:r>
            <w:r>
              <w:t xml:space="preserve"> inne miejsca na terytorium </w:t>
            </w:r>
            <w:r>
              <w:rPr>
                <w:b/>
                <w:i/>
              </w:rPr>
              <w:t xml:space="preserve">państwa członkowskiego </w:t>
            </w:r>
            <w:r>
              <w:t>i po powiadomieniu Komisji o tym fakcie umieścić tam osoby ubiegające się o ochronę międzynarodową</w:t>
            </w:r>
            <w:r>
              <w:rPr>
                <w:b/>
                <w:i/>
              </w:rPr>
              <w:t xml:space="preserve"> tymczasowo i możliwie najkrótszy okres</w:t>
            </w:r>
            <w:r>
              <w:t>.</w:t>
            </w:r>
          </w:p>
        </w:tc>
        <w:tc>
          <w:tcPr>
            <w:tcW w:w="4876" w:type="dxa"/>
            <w:hideMark/>
          </w:tcPr>
          <w:p w:rsidR="00F278B5" w:rsidRPr="002D7B59" w:rsidRDefault="00CB6874">
            <w:pPr>
              <w:pStyle w:val="Normal6"/>
              <w:rPr>
                <w:szCs w:val="24"/>
              </w:rPr>
            </w:pPr>
            <w:r>
              <w:t>14.</w:t>
            </w:r>
            <w:r>
              <w:tab/>
              <w:t xml:space="preserve">W sytuacjach, w których </w:t>
            </w:r>
            <w:r>
              <w:rPr>
                <w:b/>
                <w:i/>
              </w:rPr>
              <w:t>na podstawie oceny do</w:t>
            </w:r>
            <w:r>
              <w:rPr>
                <w:b/>
                <w:i/>
              </w:rPr>
              <w:t xml:space="preserve">konanej przez Komisję lub właściwy organ krajowy danego państwa członkowskiego stwierdza się, że </w:t>
            </w:r>
            <w:r>
              <w:t xml:space="preserve">przepustowość </w:t>
            </w:r>
            <w:r>
              <w:rPr>
                <w:b/>
                <w:i/>
              </w:rPr>
              <w:t>miejsca zgłoszonego</w:t>
            </w:r>
            <w:r>
              <w:t xml:space="preserve"> przez </w:t>
            </w:r>
            <w:r>
              <w:rPr>
                <w:b/>
                <w:i/>
              </w:rPr>
              <w:t>to państwo</w:t>
            </w:r>
            <w:r>
              <w:t xml:space="preserve"> członkowskie na podstawie ust. </w:t>
            </w:r>
            <w:r>
              <w:rPr>
                <w:b/>
                <w:i/>
              </w:rPr>
              <w:t>13</w:t>
            </w:r>
            <w:r>
              <w:t xml:space="preserve"> jest tymczasowo niewystarczająca do rozpatrzenia wniosków osób ubiegającyc</w:t>
            </w:r>
            <w:r>
              <w:t xml:space="preserve">h się o ochronę międzynarodową objętych przepisami ust. 3, </w:t>
            </w:r>
            <w:r>
              <w:rPr>
                <w:b/>
                <w:i/>
              </w:rPr>
              <w:t>to państwo</w:t>
            </w:r>
            <w:r>
              <w:t xml:space="preserve"> członkowskie </w:t>
            </w:r>
            <w:r>
              <w:rPr>
                <w:b/>
                <w:i/>
              </w:rPr>
              <w:t>wyznacza</w:t>
            </w:r>
            <w:r>
              <w:t xml:space="preserve"> inne miejsca na </w:t>
            </w:r>
            <w:r>
              <w:rPr>
                <w:b/>
                <w:i/>
              </w:rPr>
              <w:t xml:space="preserve">swoim </w:t>
            </w:r>
            <w:r>
              <w:t xml:space="preserve">terytorium i po powiadomieniu Komisji o tym fakcie </w:t>
            </w:r>
            <w:r>
              <w:rPr>
                <w:b/>
                <w:i/>
              </w:rPr>
              <w:t>umieszcza</w:t>
            </w:r>
            <w:r>
              <w:t xml:space="preserve"> tam osoby ubiegające się o ochronę międzynarodową</w:t>
            </w:r>
            <w:r>
              <w:rPr>
                <w:b/>
                <w:i/>
              </w:rPr>
              <w:t>, zgodnie z warunkami przewidzia</w:t>
            </w:r>
            <w:r>
              <w:rPr>
                <w:b/>
                <w:i/>
              </w:rPr>
              <w:t>nymi w dyrektywie XXX/XXX/UE [wersja przekształcona dyrektywy w sprawie warunków przyjmowania]</w:t>
            </w:r>
            <w:r>
              <w:t>.</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46</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w:t>
      </w:r>
      <w:r>
        <w:rPr>
          <w:rStyle w:val="HideTWBExt"/>
          <w:b w:val="0"/>
          <w:noProof w:val="0"/>
        </w:rPr>
        <w:t>mend&gt;</w:t>
      </w:r>
    </w:p>
    <w:p w:rsidR="00F278B5" w:rsidRPr="002D7B59" w:rsidRDefault="00CB6874" w:rsidP="00F278B5">
      <w:pPr>
        <w:pStyle w:val="NormalBold"/>
      </w:pPr>
      <w:r>
        <w:rPr>
          <w:rStyle w:val="HideTWBExt"/>
          <w:b w:val="0"/>
          <w:noProof w:val="0"/>
        </w:rPr>
        <w:t>&lt;Article&gt;</w:t>
      </w:r>
      <w:r>
        <w:t>Artykuł 41 a – ustęp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2.</w:t>
            </w:r>
            <w:r>
              <w:tab/>
              <w:t xml:space="preserve">Osoby, o których mowa w ust. 1, są przetrzymywane przez okres nieprzekraczający 12 tygodni w miejscach na granicy zewnętrznej, w jej pobliżu lub w strefach </w:t>
            </w:r>
            <w:r>
              <w:t>tranzytowych</w:t>
            </w:r>
            <w:r>
              <w:rPr>
                <w:b/>
                <w:i/>
              </w:rPr>
              <w:t>; w przypadku gdy państwo członkowskie nie może ich umieścić w tych miejscach, może skorzystać z innych lokalizacji na swoim terytorium</w:t>
            </w:r>
            <w:r>
              <w:t xml:space="preserve">. Ten 12-tygodniowy termin </w:t>
            </w:r>
            <w:r>
              <w:lastRenderedPageBreak/>
              <w:t>liczy się od chwili, w której osoba ubiegająca się o ochronę międzynarodową – obyw</w:t>
            </w:r>
            <w:r>
              <w:t>atel państwa trzeciego lub bezpaństwowiec – nie ma już prawa do pozostania lub nie ma zezwolenia na pozostanie.</w:t>
            </w:r>
          </w:p>
        </w:tc>
        <w:tc>
          <w:tcPr>
            <w:tcW w:w="4876" w:type="dxa"/>
            <w:hideMark/>
          </w:tcPr>
          <w:p w:rsidR="00F278B5" w:rsidRPr="002D7B59" w:rsidRDefault="00CB6874">
            <w:pPr>
              <w:pStyle w:val="Normal6"/>
              <w:rPr>
                <w:szCs w:val="24"/>
              </w:rPr>
            </w:pPr>
            <w:r>
              <w:lastRenderedPageBreak/>
              <w:t>2.</w:t>
            </w:r>
            <w:r>
              <w:tab/>
              <w:t xml:space="preserve">Osoby, o których mowa w ust. 1, są przetrzymywane przez okres nieprzekraczający 12 tygodni w miejscach </w:t>
            </w:r>
            <w:r>
              <w:rPr>
                <w:b/>
                <w:i/>
              </w:rPr>
              <w:t>wyznaczonych zgodnie z uznaniem państw</w:t>
            </w:r>
            <w:r>
              <w:rPr>
                <w:b/>
                <w:i/>
              </w:rPr>
              <w:t xml:space="preserve"> członkowskich, które mogą znajdować się </w:t>
            </w:r>
            <w:r>
              <w:t>na granicy zewnętrznej, w jej pobliżu lub w strefach tranzytowych</w:t>
            </w:r>
            <w:r>
              <w:rPr>
                <w:b/>
                <w:i/>
              </w:rPr>
              <w:t xml:space="preserve"> na terytorium Unii. Miejsca, o których mowa w niniejszym ustępie, są w pełni zgodne z </w:t>
            </w:r>
            <w:r>
              <w:rPr>
                <w:b/>
                <w:i/>
              </w:rPr>
              <w:lastRenderedPageBreak/>
              <w:t xml:space="preserve">wymogami dyrektywy XXX/XXX/UE [wersja przekształcona dyrektywy </w:t>
            </w:r>
            <w:r>
              <w:rPr>
                <w:b/>
                <w:i/>
              </w:rPr>
              <w:t>w sprawie warunków przyjmowania]</w:t>
            </w:r>
            <w:r>
              <w:t xml:space="preserve">. Ten 12-tygodniowy termin liczy się od chwili, w której osoba ubiegająca się o ochronę międzynarodową – obywatel państwa trzeciego lub bezpaństwowiec – nie ma już prawa do pozostania lub nie ma zezwolenia na pozostanie. </w:t>
            </w:r>
          </w:p>
        </w:tc>
      </w:tr>
    </w:tbl>
    <w:p w:rsidR="00F278B5" w:rsidRPr="002D7B59" w:rsidRDefault="00CB6874" w:rsidP="00F278B5">
      <w:pPr>
        <w:pStyle w:val="Olang"/>
        <w:rPr>
          <w:noProof w:val="0"/>
        </w:rPr>
      </w:pPr>
      <w:r w:rsidRPr="002D7B59">
        <w:rPr>
          <w:noProof w:val="0"/>
        </w:rPr>
        <w:lastRenderedPageBreak/>
        <w:t>O</w:t>
      </w:r>
      <w:r w:rsidRPr="002D7B59">
        <w:rPr>
          <w:noProof w:val="0"/>
        </w:rPr>
        <w:t xml:space="preserve">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47</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a – ustęp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3.</w:t>
            </w:r>
            <w:r>
              <w:tab/>
              <w:t xml:space="preserve">Do </w:t>
            </w:r>
            <w:r>
              <w:t>celów niniejszego artykułu stosuje się art. 3, art. 4 ust. 1, art. 5–7, art. 8 ust. 1–5, art. 9 ust. 2–4, art. 10–13, art. 15, art. 17 ust. 1, art. 18 ust. 2–4 oraz art. 19–21 dyrektywy XXX/XXX/UE [wersja przekształcona dyrektywy powrotowej].</w:t>
            </w:r>
          </w:p>
        </w:tc>
        <w:tc>
          <w:tcPr>
            <w:tcW w:w="4876" w:type="dxa"/>
            <w:hideMark/>
          </w:tcPr>
          <w:p w:rsidR="00F278B5" w:rsidRPr="002D7B59" w:rsidRDefault="00CB6874">
            <w:pPr>
              <w:pStyle w:val="Normal6"/>
              <w:rPr>
                <w:szCs w:val="24"/>
              </w:rPr>
            </w:pPr>
            <w:r>
              <w:t>3.</w:t>
            </w:r>
            <w:r>
              <w:tab/>
              <w:t>Do celów n</w:t>
            </w:r>
            <w:r>
              <w:t xml:space="preserve">iniejszego artykułu stosuje się art. 3, art. 4 ust. 1, art. 5–7, art. 8 ust. 1–5, art. 9 ust. 2–4, art. 10–13, </w:t>
            </w:r>
            <w:r>
              <w:rPr>
                <w:b/>
                <w:i/>
              </w:rPr>
              <w:t xml:space="preserve">art. 14 ust. 3, </w:t>
            </w:r>
            <w:r>
              <w:t>art. 15, art. 17 ust. 1, art. 18 ust. 2–4 oraz art. 19–21 dyrektywy XXX/XXX/UE [wersja przekształcona dyrektywy powrotowej].</w:t>
            </w:r>
          </w:p>
        </w:tc>
      </w:tr>
    </w:tbl>
    <w:p w:rsidR="00F278B5" w:rsidRPr="002D7B59" w:rsidRDefault="00CB6874" w:rsidP="00F278B5">
      <w:pPr>
        <w:pStyle w:val="Olang"/>
        <w:rPr>
          <w:noProof w:val="0"/>
        </w:rPr>
      </w:pPr>
      <w:r w:rsidRPr="002D7B59">
        <w:rPr>
          <w:noProof w:val="0"/>
        </w:rPr>
        <w:t>Or.</w:t>
      </w:r>
      <w:r w:rsidRPr="002D7B59">
        <w:rPr>
          <w:noProof w:val="0"/>
        </w:rPr>
        <w:t xml:space="preserve">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48</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a – ustęp 3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47508F">
            <w:pPr>
              <w:pStyle w:val="Normal6"/>
              <w:rPr>
                <w:szCs w:val="24"/>
              </w:rPr>
            </w:pPr>
            <w:r>
              <w:rPr>
                <w:b/>
                <w:i/>
              </w:rPr>
              <w:t>3a.</w:t>
            </w:r>
            <w:r>
              <w:rPr>
                <w:b/>
                <w:i/>
              </w:rPr>
              <w:tab/>
              <w:t xml:space="preserve">Państwo członkowskie może podjąć decyzję o niestosowaniu procedury granicznej mającej na celu przeprowadzenie powrotu do obywateli lub bezpaństwowców mających miejsce zwykłego pobytu w państwach trzecich, w odniesieniu do których to państwo </w:t>
            </w:r>
            <w:r>
              <w:rPr>
                <w:b/>
                <w:i/>
              </w:rPr>
              <w:lastRenderedPageBreak/>
              <w:t>członkows</w:t>
            </w:r>
            <w:r>
              <w:rPr>
                <w:b/>
                <w:i/>
              </w:rPr>
              <w:t>kie przedłożyło Komisji powiadomienie zgodnie z art. 25a ust. 3 rozporządzenia (WE) nr 810/2009.</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BE7601">
            <w:pPr>
              <w:pStyle w:val="Normal6"/>
              <w:rPr>
                <w:szCs w:val="24"/>
              </w:rPr>
            </w:pPr>
            <w:r>
              <w:rPr>
                <w:b/>
                <w:i/>
              </w:rPr>
              <w:t xml:space="preserve">Jeżeli w wyniku analizy przeprowadzonej zgodnie z art. 25a ust. 4 rozporządzenia (WE) nr 810/2009 Komisja uzna, że państwo trzecie współpracuje </w:t>
            </w:r>
            <w:r>
              <w:rPr>
                <w:b/>
                <w:i/>
              </w:rPr>
              <w:t>w wystarczającym stopniu, państwo członkowskie ponownie zaczyna stosować procedurę graniczną mającą na celu przeprowadzenie powrotu.</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BE7601">
            <w:pPr>
              <w:pStyle w:val="Normal6"/>
              <w:rPr>
                <w:szCs w:val="24"/>
              </w:rPr>
            </w:pPr>
            <w:r>
              <w:rPr>
                <w:b/>
                <w:i/>
              </w:rPr>
              <w:t>W przypadku gdy Komisja uzna, że dane państwo trzecie nie współpracuje w wystarczającym stopniu, państwo członkowskie moż</w:t>
            </w:r>
            <w:r>
              <w:rPr>
                <w:b/>
                <w:i/>
              </w:rPr>
              <w:t>e nadal nie stosować procedury granicznej mającej na celu przeprowadzenie powrotu:</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a)</w:t>
            </w:r>
            <w:r>
              <w:rPr>
                <w:b/>
                <w:i/>
              </w:rPr>
              <w:tab/>
              <w:t>do czasu uchylenia lub zmiany aktu wykonawczego przyjętego uprzednio przez Radę zgodnie z art. 25a ust. 5 rozporządzenia (WE) nr 810/2009;</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b)</w:t>
            </w:r>
            <w:r>
              <w:rPr>
                <w:b/>
                <w:i/>
              </w:rPr>
              <w:tab/>
              <w:t>do czasu stwierdzenia pr</w:t>
            </w:r>
            <w:r>
              <w:rPr>
                <w:b/>
                <w:i/>
              </w:rPr>
              <w:t>zez Komisję na podstawie oceny przeprowadzonej zgodnie z art. 25a ust. 2 rozporządzenia (WE) nr 810/2009, że miały miejsce istotne zmiany we współpracy danego państwa trzeciego, pod warunkiem że Komisja nie stwierdzi, iż konieczne są działania zgodnie z ty</w:t>
            </w:r>
            <w:r>
              <w:rPr>
                <w:b/>
                <w:i/>
              </w:rPr>
              <w:t>m artykułem.</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49</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a – ustęp 4</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4.</w:t>
            </w:r>
            <w:r>
              <w:tab/>
              <w:t xml:space="preserve">Bez uszczerbku dla możliwości dobrowolnego powrotu w dowolnym momencie osobom, o których mowa w ust. 1, można wyznaczyć </w:t>
            </w:r>
            <w:r>
              <w:lastRenderedPageBreak/>
              <w:t xml:space="preserve">nieprzekraczający </w:t>
            </w:r>
            <w:r>
              <w:rPr>
                <w:b/>
                <w:i/>
              </w:rPr>
              <w:t>15</w:t>
            </w:r>
            <w:r>
              <w:t xml:space="preserve"> dni termin na dobrowolny wyjazd.</w:t>
            </w:r>
          </w:p>
        </w:tc>
        <w:tc>
          <w:tcPr>
            <w:tcW w:w="4876" w:type="dxa"/>
            <w:hideMark/>
          </w:tcPr>
          <w:p w:rsidR="00F278B5" w:rsidRPr="002D7B59" w:rsidRDefault="00CB6874" w:rsidP="00197154">
            <w:pPr>
              <w:pStyle w:val="Normal6"/>
              <w:rPr>
                <w:b/>
                <w:i/>
              </w:rPr>
            </w:pPr>
            <w:r>
              <w:lastRenderedPageBreak/>
              <w:t>4.</w:t>
            </w:r>
            <w:r>
              <w:tab/>
              <w:t>Bez uszczerbku dla możliwości dobrowolnego powrotu w dowolnym mome</w:t>
            </w:r>
            <w:r>
              <w:t xml:space="preserve">ncie osobom, o których mowa w ust. 1, można wyznaczyć </w:t>
            </w:r>
            <w:r>
              <w:lastRenderedPageBreak/>
              <w:t xml:space="preserve">nieprzekraczający </w:t>
            </w:r>
            <w:r>
              <w:rPr>
                <w:b/>
                <w:i/>
              </w:rPr>
              <w:t>20</w:t>
            </w:r>
            <w:r>
              <w:t xml:space="preserve"> dni termin na dobrowolny wyjazd</w:t>
            </w:r>
            <w:r>
              <w:rPr>
                <w:b/>
                <w:i/>
              </w:rPr>
              <w:t xml:space="preserve"> i wymagać od nich współpracy z właściwymi organami. </w:t>
            </w:r>
          </w:p>
        </w:tc>
      </w:tr>
      <w:tr w:rsidR="00FA22A3" w:rsidTr="00F278B5">
        <w:trPr>
          <w:jc w:val="center"/>
        </w:trPr>
        <w:tc>
          <w:tcPr>
            <w:tcW w:w="4876" w:type="dxa"/>
          </w:tcPr>
          <w:p w:rsidR="001C42FB" w:rsidRPr="002D7B59" w:rsidRDefault="001C42FB">
            <w:pPr>
              <w:pStyle w:val="Normal6"/>
            </w:pPr>
          </w:p>
        </w:tc>
        <w:tc>
          <w:tcPr>
            <w:tcW w:w="4876" w:type="dxa"/>
          </w:tcPr>
          <w:p w:rsidR="001C42FB" w:rsidRPr="002D7B59" w:rsidRDefault="00CB6874">
            <w:pPr>
              <w:pStyle w:val="Normal6"/>
              <w:rPr>
                <w:b/>
                <w:i/>
              </w:rPr>
            </w:pPr>
            <w:r>
              <w:rPr>
                <w:b/>
                <w:i/>
              </w:rPr>
              <w:t xml:space="preserve">Właściwe organy krajowe lub personel odpowiedzialny za procedurę graniczną informują osoby, o </w:t>
            </w:r>
            <w:r>
              <w:rPr>
                <w:b/>
                <w:i/>
              </w:rPr>
              <w:t>których mowa w ust. 1, kwalifikujące się do dobrowolnego powrotu zgodnie z tym artykułem, o ich prawach i obowiązkach w odniesieniu do dobrowolnego powrotu od pierwszego dnia procedury granicznej</w:t>
            </w:r>
            <w:r>
              <w:t xml:space="preserve">. </w:t>
            </w:r>
            <w:r>
              <w:rPr>
                <w:b/>
                <w:i/>
              </w:rPr>
              <w:t>Na wszystkich etapach otrzymują one skuteczną pomoc, w stos</w:t>
            </w:r>
            <w:r>
              <w:rPr>
                <w:b/>
                <w:i/>
              </w:rPr>
              <w:t>ownych przypadkach, od wykwalifikowanych pracowników.</w:t>
            </w:r>
          </w:p>
        </w:tc>
      </w:tr>
      <w:tr w:rsidR="00FA22A3" w:rsidTr="00F278B5">
        <w:trPr>
          <w:jc w:val="center"/>
        </w:trPr>
        <w:tc>
          <w:tcPr>
            <w:tcW w:w="4876" w:type="dxa"/>
          </w:tcPr>
          <w:p w:rsidR="001C42FB" w:rsidRPr="002D7B59" w:rsidRDefault="001C42FB">
            <w:pPr>
              <w:pStyle w:val="Normal6"/>
            </w:pPr>
          </w:p>
        </w:tc>
        <w:tc>
          <w:tcPr>
            <w:tcW w:w="4876" w:type="dxa"/>
          </w:tcPr>
          <w:p w:rsidR="001C42FB" w:rsidRPr="002D7B59" w:rsidRDefault="00CB6874">
            <w:pPr>
              <w:pStyle w:val="Normal6"/>
            </w:pPr>
            <w:r>
              <w:rPr>
                <w:b/>
                <w:i/>
              </w:rPr>
              <w:t xml:space="preserve">Państwa członkowskie ustanawiają programy przewidujące wzmocnioną pomoc i doradztwo w odniesieniu do dobrowolnych powrotów w ramach procedury granicznej. Taka pomoc może obejmować wsparcie na rzecz </w:t>
            </w:r>
            <w:r>
              <w:rPr>
                <w:b/>
                <w:i/>
              </w:rPr>
              <w:t>reintegracji w państwie trzecim będącym państwem powrotu.</w:t>
            </w:r>
          </w:p>
        </w:tc>
      </w:tr>
      <w:tr w:rsidR="00FA22A3" w:rsidTr="00F278B5">
        <w:trPr>
          <w:jc w:val="center"/>
        </w:trPr>
        <w:tc>
          <w:tcPr>
            <w:tcW w:w="4876" w:type="dxa"/>
          </w:tcPr>
          <w:p w:rsidR="001C42FB" w:rsidRPr="002D7B59" w:rsidRDefault="001C42FB">
            <w:pPr>
              <w:pStyle w:val="Normal6"/>
            </w:pPr>
          </w:p>
        </w:tc>
        <w:tc>
          <w:tcPr>
            <w:tcW w:w="4876" w:type="dxa"/>
          </w:tcPr>
          <w:p w:rsidR="001C42FB" w:rsidRPr="002D7B59" w:rsidRDefault="00CB6874">
            <w:pPr>
              <w:pStyle w:val="Normal6"/>
              <w:rPr>
                <w:b/>
                <w:i/>
              </w:rPr>
            </w:pPr>
            <w:r>
              <w:rPr>
                <w:b/>
                <w:i/>
              </w:rPr>
              <w:t xml:space="preserve">Programy, o których mowa w trzecim akapicie, mogą obejmować pomoc logistyczną, finansową lub inną pomoc materialną bądź rzeczową. </w:t>
            </w:r>
          </w:p>
        </w:tc>
      </w:tr>
      <w:tr w:rsidR="00FA22A3" w:rsidTr="00F278B5">
        <w:trPr>
          <w:jc w:val="center"/>
        </w:trPr>
        <w:tc>
          <w:tcPr>
            <w:tcW w:w="4876" w:type="dxa"/>
          </w:tcPr>
          <w:p w:rsidR="001C42FB" w:rsidRPr="002D7B59" w:rsidRDefault="001C42FB">
            <w:pPr>
              <w:pStyle w:val="Normal6"/>
            </w:pPr>
          </w:p>
        </w:tc>
        <w:tc>
          <w:tcPr>
            <w:tcW w:w="4876" w:type="dxa"/>
          </w:tcPr>
          <w:p w:rsidR="001C42FB" w:rsidRPr="002D7B59" w:rsidRDefault="00CB6874">
            <w:pPr>
              <w:pStyle w:val="Normal6"/>
              <w:rPr>
                <w:b/>
                <w:i/>
              </w:rPr>
            </w:pPr>
            <w:r>
              <w:rPr>
                <w:b/>
                <w:i/>
              </w:rPr>
              <w:t>Komisja może przekazać wytyczne na temat wspólnych norm dotyczą</w:t>
            </w:r>
            <w:r>
              <w:rPr>
                <w:b/>
                <w:i/>
              </w:rPr>
              <w:t>cych dobrowolnych powrotów w ramach procedury granicznej.</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50</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a – ustęp 5</w:t>
      </w:r>
      <w:r>
        <w:rPr>
          <w:rStyle w:val="HideTWBExt"/>
          <w:b w:val="0"/>
          <w:noProof w:val="0"/>
        </w:rPr>
        <w:t>&lt;</w:t>
      </w:r>
      <w:r>
        <w:rPr>
          <w:rStyle w:val="HideTWBExt"/>
          <w:b w:val="0"/>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5.</w:t>
            </w:r>
            <w:r>
              <w:tab/>
              <w:t xml:space="preserve">Wobec osób, o których mowa w ust. 1, które zostały zatrzymane w trakcie procedury, o której mowa w art. 41, i które nie mają już prawa do </w:t>
            </w:r>
            <w:r>
              <w:lastRenderedPageBreak/>
              <w:t xml:space="preserve">pozostania ani nie mają zezwolenia na pozostanie, można </w:t>
            </w:r>
            <w:r>
              <w:t>zastosować środek detencyjny w celu uniemożliwienia im wjazdu na terytorium państwa członkowskiego, w celu przygotowania do powrotu lub w celu wydalenia.</w:t>
            </w:r>
          </w:p>
        </w:tc>
        <w:tc>
          <w:tcPr>
            <w:tcW w:w="4876" w:type="dxa"/>
            <w:hideMark/>
          </w:tcPr>
          <w:p w:rsidR="00F278B5" w:rsidRPr="002D7B59" w:rsidRDefault="00CB6874">
            <w:pPr>
              <w:pStyle w:val="Normal6"/>
              <w:rPr>
                <w:szCs w:val="24"/>
              </w:rPr>
            </w:pPr>
            <w:r>
              <w:lastRenderedPageBreak/>
              <w:t>5.</w:t>
            </w:r>
            <w:r>
              <w:tab/>
              <w:t>Wobec osób, o których mowa w ust. 1, które zostały zatrzymane w trakcie procedury, o której mowa w </w:t>
            </w:r>
            <w:r>
              <w:t xml:space="preserve">art. 41, i które nie mają już prawa do </w:t>
            </w:r>
            <w:r>
              <w:lastRenderedPageBreak/>
              <w:t>pozostania ani nie mają zezwolenia na pozostanie, można zastosować środek detencyjny w celu uniemożliwienia im wjazdu na terytorium państwa członkowskiego, w celu przygotowania do powrotu lub w celu wydalenia</w:t>
            </w:r>
            <w:r>
              <w:rPr>
                <w:b/>
                <w:i/>
              </w:rPr>
              <w:t>, pod war</w:t>
            </w:r>
            <w:r>
              <w:rPr>
                <w:b/>
                <w:i/>
              </w:rPr>
              <w:t>unkiem że nadal zastosowanie mają podstawy dla środka detencyjnego zgodnie z dyrektywą XXX/XXX/UE [wersja przekształcona dyrektywy powrotowej]</w:t>
            </w:r>
            <w:r>
              <w:t>.</w:t>
            </w:r>
          </w:p>
        </w:tc>
      </w:tr>
    </w:tbl>
    <w:p w:rsidR="00F278B5" w:rsidRPr="002D7B59" w:rsidRDefault="00CB6874" w:rsidP="00F278B5">
      <w:pPr>
        <w:pStyle w:val="Olang"/>
        <w:rPr>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pPr>
        <w:rPr>
          <w:rStyle w:val="HideTWBExt"/>
          <w:noProof w:val="0"/>
        </w:rPr>
      </w:pPr>
      <w:r>
        <w:rPr>
          <w:rStyle w:val="HideTWBExt"/>
          <w:noProof w:val="0"/>
        </w:rPr>
        <w:t>&lt;/Amend&gt;</w:t>
      </w:r>
    </w:p>
    <w:p w:rsidR="00376C2D" w:rsidRPr="002D7B59" w:rsidRDefault="00CB6874" w:rsidP="00376C2D">
      <w:pPr>
        <w:pStyle w:val="AMNumberTabs0"/>
        <w:keepNext/>
      </w:pPr>
      <w:r>
        <w:rPr>
          <w:rStyle w:val="HideTWBExt"/>
          <w:b w:val="0"/>
          <w:noProof w:val="0"/>
        </w:rPr>
        <w:t>&lt;Amend&gt;</w:t>
      </w:r>
      <w:r>
        <w:t>Poprawka</w:t>
      </w:r>
      <w:r>
        <w:tab/>
      </w:r>
      <w:r>
        <w:tab/>
      </w:r>
      <w:r>
        <w:rPr>
          <w:rStyle w:val="HideTWBExt"/>
          <w:b w:val="0"/>
          <w:noProof w:val="0"/>
        </w:rPr>
        <w:t>&lt;NumAm&gt;</w:t>
      </w:r>
      <w:r>
        <w:t>51</w:t>
      </w:r>
      <w:r>
        <w:rPr>
          <w:rStyle w:val="HideTWBExt"/>
          <w:b w:val="0"/>
          <w:noProof w:val="0"/>
        </w:rPr>
        <w:t>&lt;/NumAm&gt;</w:t>
      </w:r>
    </w:p>
    <w:p w:rsidR="00376C2D" w:rsidRPr="002D7B59" w:rsidRDefault="00CB6874" w:rsidP="00376C2D">
      <w:pPr>
        <w:pStyle w:val="NormalBold"/>
      </w:pPr>
      <w:r>
        <w:rPr>
          <w:rStyle w:val="HideTWBExt"/>
          <w:b w:val="0"/>
          <w:noProof w:val="0"/>
        </w:rPr>
        <w:t>&lt;Members&gt;</w:t>
      </w:r>
      <w:r>
        <w:t>Fabienne Keller</w:t>
      </w:r>
      <w:r>
        <w:rPr>
          <w:rStyle w:val="HideTWBExt"/>
          <w:b w:val="0"/>
          <w:noProof w:val="0"/>
        </w:rPr>
        <w:t>&lt;/Members&gt;</w:t>
      </w:r>
    </w:p>
    <w:p w:rsidR="00376C2D" w:rsidRPr="002D7B59" w:rsidRDefault="00CB6874" w:rsidP="00376C2D">
      <w:pPr>
        <w:pStyle w:val="NormalBold12b"/>
        <w:keepNext/>
      </w:pPr>
      <w:r>
        <w:rPr>
          <w:rStyle w:val="HideTWBExt"/>
          <w:b w:val="0"/>
          <w:noProof w:val="0"/>
        </w:rPr>
        <w:t>&lt;DocAmend&gt;</w:t>
      </w:r>
      <w:r>
        <w:t>Wniosek dotyczący rozporządzenia</w:t>
      </w:r>
      <w:r>
        <w:rPr>
          <w:rStyle w:val="HideTWBExt"/>
          <w:b w:val="0"/>
          <w:noProof w:val="0"/>
        </w:rPr>
        <w:t>&lt;/DocAmend&gt;</w:t>
      </w:r>
    </w:p>
    <w:p w:rsidR="00376C2D" w:rsidRPr="002D7B59" w:rsidRDefault="00CB6874" w:rsidP="00376C2D">
      <w:pPr>
        <w:pStyle w:val="NormalBold"/>
      </w:pPr>
      <w:r>
        <w:rPr>
          <w:rStyle w:val="HideTWBExt"/>
          <w:b w:val="0"/>
          <w:noProof w:val="0"/>
        </w:rPr>
        <w:t>&lt;Article&gt;</w:t>
      </w:r>
      <w:r>
        <w:t>Artykuł 41 a – ustęp 8 a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A5552D">
        <w:trPr>
          <w:jc w:val="center"/>
        </w:trPr>
        <w:tc>
          <w:tcPr>
            <w:tcW w:w="9752" w:type="dxa"/>
            <w:gridSpan w:val="2"/>
          </w:tcPr>
          <w:p w:rsidR="00376C2D" w:rsidRPr="002D7B59" w:rsidRDefault="00376C2D" w:rsidP="00A5552D">
            <w:pPr>
              <w:keepNext/>
            </w:pPr>
          </w:p>
        </w:tc>
      </w:tr>
      <w:tr w:rsidR="00FA22A3" w:rsidTr="00A5552D">
        <w:trPr>
          <w:jc w:val="center"/>
        </w:trPr>
        <w:tc>
          <w:tcPr>
            <w:tcW w:w="4876" w:type="dxa"/>
            <w:hideMark/>
          </w:tcPr>
          <w:p w:rsidR="00376C2D" w:rsidRPr="002D7B59" w:rsidRDefault="00CB6874" w:rsidP="00A5552D">
            <w:pPr>
              <w:pStyle w:val="ColumnHeading"/>
              <w:keepNext/>
            </w:pPr>
            <w:r>
              <w:t>Tekst proponowany przez Komisję</w:t>
            </w:r>
          </w:p>
        </w:tc>
        <w:tc>
          <w:tcPr>
            <w:tcW w:w="4876" w:type="dxa"/>
            <w:hideMark/>
          </w:tcPr>
          <w:p w:rsidR="00376C2D" w:rsidRPr="002D7B59" w:rsidRDefault="00CB6874" w:rsidP="00A5552D">
            <w:pPr>
              <w:pStyle w:val="ColumnHeading"/>
              <w:keepNext/>
            </w:pPr>
            <w:r>
              <w:t>Poprawka</w:t>
            </w:r>
          </w:p>
        </w:tc>
      </w:tr>
      <w:tr w:rsidR="00FA22A3" w:rsidTr="00A5552D">
        <w:trPr>
          <w:jc w:val="center"/>
        </w:trPr>
        <w:tc>
          <w:tcPr>
            <w:tcW w:w="4876" w:type="dxa"/>
          </w:tcPr>
          <w:p w:rsidR="00376C2D" w:rsidRPr="002D7B59" w:rsidRDefault="00376C2D" w:rsidP="00A5552D">
            <w:pPr>
              <w:pStyle w:val="Normal6"/>
            </w:pPr>
          </w:p>
        </w:tc>
        <w:tc>
          <w:tcPr>
            <w:tcW w:w="4876" w:type="dxa"/>
            <w:hideMark/>
          </w:tcPr>
          <w:p w:rsidR="00376C2D" w:rsidRPr="002D7B59" w:rsidRDefault="00CB6874" w:rsidP="00A5552D">
            <w:pPr>
              <w:pStyle w:val="Normal6"/>
              <w:rPr>
                <w:szCs w:val="24"/>
              </w:rPr>
            </w:pPr>
            <w:r>
              <w:rPr>
                <w:b/>
                <w:i/>
              </w:rPr>
              <w:t>8a.</w:t>
            </w:r>
            <w:r>
              <w:rPr>
                <w:b/>
                <w:i/>
              </w:rPr>
              <w:tab/>
              <w:t>W mocy niniejszego artykułu</w:t>
            </w:r>
            <w:r>
              <w:rPr>
                <w:rStyle w:val="Emphasis"/>
                <w:b/>
              </w:rPr>
              <w:t xml:space="preserve"> Europejska Agencja Straży Granicznej i Przybrzeżnej może</w:t>
            </w:r>
            <w:r>
              <w:rPr>
                <w:b/>
                <w:i/>
              </w:rPr>
              <w:t xml:space="preserve">, na podstawie </w:t>
            </w:r>
            <w:r>
              <w:rPr>
                <w:b/>
                <w:i/>
              </w:rPr>
              <w:t>swojego mandatu, wspierać organy krajowe w operacjach powrotowych i readmisji, między innymi zapewniając ekspertów ds. powrotu, wspierając koordynację przymusowych i dobrowolnych powrotów, organizując wspólne operacje powrotowe, ułatwiając wymianę informac</w:t>
            </w:r>
            <w:r>
              <w:rPr>
                <w:b/>
                <w:i/>
              </w:rPr>
              <w:t>ji między państwami członkowskimi na temat osób powracających, wspierając identyfikację obywateli państw trzecich i uzyskiwanie dokumentów podróży oraz monitorując operacje powrotowe na każdym etapie.</w:t>
            </w:r>
          </w:p>
        </w:tc>
      </w:tr>
    </w:tbl>
    <w:p w:rsidR="00376C2D" w:rsidRPr="002D7B59" w:rsidRDefault="00CB6874" w:rsidP="00376C2D">
      <w:pPr>
        <w:pStyle w:val="Olang"/>
        <w:rPr>
          <w:rStyle w:val="HideTWBExt"/>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A237A5" w:rsidRPr="002D7B59" w:rsidRDefault="00CB6874" w:rsidP="00A237A5">
      <w:pPr>
        <w:rPr>
          <w:rStyle w:val="HideTWBExt"/>
          <w:noProof w:val="0"/>
        </w:rPr>
      </w:pPr>
      <w:r>
        <w:rPr>
          <w:rStyle w:val="HideTWBExt"/>
          <w:noProof w:val="0"/>
        </w:rPr>
        <w:t>&lt;/Amend&gt;</w:t>
      </w:r>
    </w:p>
    <w:p w:rsidR="00A237A5" w:rsidRPr="002D7B59" w:rsidRDefault="00A237A5" w:rsidP="00376C2D">
      <w:pPr>
        <w:pStyle w:val="Olang"/>
        <w:rPr>
          <w:noProof w:val="0"/>
        </w:rPr>
      </w:pPr>
    </w:p>
    <w:p w:rsidR="00376C2D" w:rsidRPr="002D7B59" w:rsidRDefault="00376C2D" w:rsidP="00F278B5"/>
    <w:p w:rsidR="00F278B5" w:rsidRPr="002D7B59" w:rsidRDefault="00CB6874" w:rsidP="00F278B5">
      <w:pPr>
        <w:pStyle w:val="AMNumberTabs0"/>
        <w:keepNext/>
      </w:pPr>
      <w:r>
        <w:rPr>
          <w:rStyle w:val="HideTWBExt"/>
          <w:b w:val="0"/>
          <w:noProof w:val="0"/>
        </w:rPr>
        <w:t>&lt;Amend&gt;</w:t>
      </w:r>
      <w:r>
        <w:t>Poprawka</w:t>
      </w:r>
      <w:r>
        <w:tab/>
      </w:r>
      <w:r>
        <w:rPr>
          <w:rStyle w:val="HideTWBExt"/>
          <w:b w:val="0"/>
          <w:noProof w:val="0"/>
        </w:rPr>
        <w:t>&lt;NumAm&gt;</w:t>
      </w:r>
      <w:r>
        <w:t>52</w:t>
      </w:r>
      <w:r>
        <w:rPr>
          <w:rStyle w:val="HideTWBExt"/>
          <w:b w:val="0"/>
          <w:noProof w:val="0"/>
        </w:rPr>
        <w:t>&lt;/NumAm&gt;</w:t>
      </w:r>
    </w:p>
    <w:p w:rsidR="00153B49" w:rsidRPr="002D7B59" w:rsidRDefault="00CB6874" w:rsidP="00153B49">
      <w:pPr>
        <w:pStyle w:val="NormalBold"/>
      </w:pPr>
      <w:r>
        <w:rPr>
          <w:rStyle w:val="HideTWBExt"/>
          <w:b w:val="0"/>
          <w:noProof w:val="0"/>
        </w:rPr>
        <w:t>&lt;Members&gt;</w:t>
      </w:r>
      <w:r>
        <w:t>Fabienne Keller</w:t>
      </w:r>
      <w:r>
        <w:rPr>
          <w:rStyle w:val="HideTWBExt"/>
          <w:b w:val="0"/>
          <w:noProof w:val="0"/>
        </w:rPr>
        <w:t>&lt;/Members&gt;</w:t>
      </w:r>
    </w:p>
    <w:p w:rsidR="00886A0F" w:rsidRPr="002D7B59" w:rsidRDefault="00886A0F" w:rsidP="00886A0F">
      <w:pPr>
        <w:pStyle w:val="NormalBold"/>
        <w:rPr>
          <w:rStyle w:val="HideTWBExt"/>
          <w:b w:val="0"/>
          <w:noProof w:val="0"/>
        </w:rPr>
      </w:pPr>
    </w:p>
    <w:p w:rsidR="00C47D47" w:rsidRPr="002D7B59" w:rsidRDefault="00C47D47" w:rsidP="00886A0F">
      <w:pPr>
        <w:pStyle w:val="NormalBold"/>
        <w:rPr>
          <w:rStyle w:val="HideTWBExt"/>
          <w:b w:val="0"/>
          <w:noProof w:val="0"/>
        </w:rPr>
      </w:pPr>
    </w:p>
    <w:p w:rsidR="00F278B5" w:rsidRPr="002D7B59" w:rsidRDefault="00CB6874" w:rsidP="00886A0F">
      <w:pPr>
        <w:pStyle w:val="NormalBold"/>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3958BD">
            <w:pPr>
              <w:pStyle w:val="Normal6"/>
              <w:jc w:val="center"/>
              <w:rPr>
                <w:szCs w:val="24"/>
              </w:rPr>
            </w:pPr>
            <w:r>
              <w:rPr>
                <w:b/>
                <w:i/>
              </w:rPr>
              <w:t>Artykuł 41b</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3958BD">
            <w:pPr>
              <w:pStyle w:val="Normal6"/>
              <w:jc w:val="center"/>
              <w:rPr>
                <w:szCs w:val="24"/>
              </w:rPr>
            </w:pPr>
            <w:r>
              <w:rPr>
                <w:b/>
                <w:i/>
              </w:rPr>
              <w:t>Personel w ramach procedury granicznej</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4523C5">
            <w:pPr>
              <w:pStyle w:val="Normal6"/>
              <w:rPr>
                <w:szCs w:val="24"/>
              </w:rPr>
            </w:pPr>
            <w:r>
              <w:rPr>
                <w:b/>
                <w:i/>
              </w:rPr>
              <w:t>1.</w:t>
            </w:r>
            <w:r>
              <w:rPr>
                <w:b/>
                <w:i/>
              </w:rPr>
              <w:tab/>
              <w:t>Państwa członkowskie dopilnowują, by ich personel, który jest zaangażowany w procedurę graniczną, posiadał przeszkolenie na odpowiednim poziomie we wszystkich okolicznościach. Państwa członkowskie zapewniają, by wszystkie osoby ubiegające się o ochronę</w:t>
            </w:r>
            <w:r>
              <w:rPr>
                <w:b/>
                <w:i/>
              </w:rPr>
              <w:t xml:space="preserve"> międzynarodową miały skuteczny dostęp do organizacji pozarządowych w obiektach wykorzystywanych do celów procedury granicznej.</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2.</w:t>
            </w:r>
            <w:r>
              <w:rPr>
                <w:b/>
                <w:i/>
              </w:rPr>
              <w:tab/>
              <w:t xml:space="preserve">Do dnia … [sześć miesięcy po wejściu w życie niniejszego rozporządzenia] Komisja zwraca się do Agencji Unii Europejskiej </w:t>
            </w:r>
            <w:r>
              <w:rPr>
                <w:b/>
                <w:i/>
              </w:rPr>
              <w:t>ds. Azylu o wydanie wytycznych, we współpracy z organami krajowymi oraz innymi unijnymi organami, jednostkami i agencjami, aby zapewnić pomoc państwom członkowskim w planowaniu i przydziale odpowiedniej liczby pracowników, zgodnie z ust. 1. Wytyczne określ</w:t>
            </w:r>
            <w:r>
              <w:rPr>
                <w:b/>
                <w:i/>
              </w:rPr>
              <w:t>ają średnie wymogi dla personelu, aby możliwe było spełnienie wymogów proceduralnych i dotyczących przyjmowania pod względem liczby, typu i kwalifikacji.</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3.</w:t>
            </w:r>
            <w:r>
              <w:rPr>
                <w:b/>
                <w:i/>
              </w:rPr>
              <w:tab/>
              <w:t xml:space="preserve">W przypadku złożenia wniosku przez państwo członkowskie unijne organy, jednostki i agencje </w:t>
            </w:r>
            <w:r>
              <w:rPr>
                <w:b/>
                <w:i/>
              </w:rPr>
              <w:t>zapewniają mu szybkie i dostosowane do potrzeb wsparcie w ramach procedury granicznej zgodnie z art. 57a, w szczególności gdy to państwo członkowskie doświadcza znacznego wzrostu liczby wniosków.</w:t>
            </w:r>
          </w:p>
        </w:tc>
      </w:tr>
    </w:tbl>
    <w:p w:rsidR="00A237A5" w:rsidRPr="002D7B59" w:rsidRDefault="00CB6874" w:rsidP="00A237A5">
      <w:pPr>
        <w:pStyle w:val="Olang"/>
        <w:rPr>
          <w:rStyle w:val="HideTWBExt"/>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886A0F" w:rsidRPr="002D7B59" w:rsidRDefault="00886A0F" w:rsidP="00886A0F">
      <w:pPr>
        <w:pStyle w:val="Olang"/>
        <w:rPr>
          <w:noProof w:val="0"/>
        </w:rPr>
      </w:pPr>
    </w:p>
    <w:p w:rsidR="008D4B63" w:rsidRPr="002D7B59" w:rsidRDefault="00CB6874" w:rsidP="00886A0F">
      <w:pPr>
        <w:pStyle w:val="Olang"/>
        <w:rPr>
          <w:noProof w:val="0"/>
        </w:rPr>
      </w:pPr>
      <w:r w:rsidRPr="002D7B59">
        <w:rPr>
          <w:rStyle w:val="HideTWBExt"/>
          <w:noProof w:val="0"/>
        </w:rPr>
        <w:t>&lt;/Amend&gt;</w:t>
      </w:r>
    </w:p>
    <w:p w:rsidR="008D4B63" w:rsidRPr="002D7B59" w:rsidRDefault="00CB6874" w:rsidP="008D4B63">
      <w:pPr>
        <w:pStyle w:val="AMNumberTabs0"/>
        <w:keepNext/>
      </w:pPr>
      <w:r>
        <w:rPr>
          <w:rStyle w:val="HideTWBExt"/>
          <w:b w:val="0"/>
          <w:noProof w:val="0"/>
        </w:rPr>
        <w:t>&lt;Amend&gt;</w:t>
      </w:r>
      <w:r>
        <w:t>Poprawka</w:t>
      </w:r>
      <w:r>
        <w:tab/>
      </w:r>
      <w:r>
        <w:tab/>
      </w:r>
      <w:r>
        <w:rPr>
          <w:rStyle w:val="HideTWBExt"/>
          <w:b w:val="0"/>
          <w:noProof w:val="0"/>
        </w:rPr>
        <w:t>&lt;NumAm&gt;</w:t>
      </w:r>
      <w:r>
        <w:t>53</w:t>
      </w:r>
      <w:r>
        <w:rPr>
          <w:rStyle w:val="HideTWBExt"/>
          <w:b w:val="0"/>
          <w:noProof w:val="0"/>
        </w:rPr>
        <w:t>&lt;/NumAm&gt;</w:t>
      </w:r>
    </w:p>
    <w:p w:rsidR="008D4B63" w:rsidRPr="002D7B59" w:rsidRDefault="00CB6874" w:rsidP="008D4B63">
      <w:pPr>
        <w:pStyle w:val="NormalBold"/>
      </w:pPr>
      <w:r>
        <w:rPr>
          <w:rStyle w:val="HideTWBExt"/>
          <w:b w:val="0"/>
          <w:noProof w:val="0"/>
        </w:rPr>
        <w:t>&lt;Members&gt;</w:t>
      </w:r>
      <w:r>
        <w:t>Fabienne Keller</w:t>
      </w:r>
      <w:r>
        <w:rPr>
          <w:rStyle w:val="HideTWBExt"/>
          <w:b w:val="0"/>
          <w:noProof w:val="0"/>
        </w:rPr>
        <w:t>&lt;/Members&gt;</w:t>
      </w:r>
    </w:p>
    <w:p w:rsidR="008D4B63" w:rsidRPr="002D7B59" w:rsidRDefault="00CB6874" w:rsidP="008D4B63">
      <w:pPr>
        <w:pStyle w:val="NormalBold12b"/>
        <w:keepNext/>
      </w:pPr>
      <w:r>
        <w:rPr>
          <w:rStyle w:val="HideTWBExt"/>
          <w:b w:val="0"/>
          <w:noProof w:val="0"/>
        </w:rPr>
        <w:lastRenderedPageBreak/>
        <w:t>&lt;DocAmend&gt;</w:t>
      </w:r>
      <w:r>
        <w:t>Wniosek dotyczący rozporządzenia</w:t>
      </w:r>
      <w:r>
        <w:rPr>
          <w:rStyle w:val="HideTWBExt"/>
          <w:b w:val="0"/>
          <w:noProof w:val="0"/>
        </w:rPr>
        <w:t>&lt;/DocAmend&gt;</w:t>
      </w:r>
    </w:p>
    <w:p w:rsidR="008D4B63" w:rsidRPr="002D7B59" w:rsidRDefault="00CB6874" w:rsidP="008D4B63">
      <w:pPr>
        <w:pStyle w:val="NormalBold"/>
      </w:pPr>
      <w:r>
        <w:rPr>
          <w:rStyle w:val="HideTWBExt"/>
          <w:b w:val="0"/>
          <w:noProof w:val="0"/>
        </w:rPr>
        <w:t>&lt;Article&gt;</w:t>
      </w:r>
      <w:r>
        <w:t>Artykuł 41 c (nowy)</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22A3" w:rsidTr="008D4B63">
        <w:trPr>
          <w:jc w:val="center"/>
        </w:trPr>
        <w:tc>
          <w:tcPr>
            <w:tcW w:w="9752" w:type="dxa"/>
            <w:gridSpan w:val="2"/>
          </w:tcPr>
          <w:p w:rsidR="008D4B63" w:rsidRPr="002D7B59" w:rsidRDefault="008D4B63">
            <w:pPr>
              <w:keepNext/>
            </w:pPr>
          </w:p>
        </w:tc>
      </w:tr>
      <w:tr w:rsidR="00FA22A3" w:rsidTr="008D4B63">
        <w:trPr>
          <w:jc w:val="center"/>
        </w:trPr>
        <w:tc>
          <w:tcPr>
            <w:tcW w:w="4876" w:type="dxa"/>
            <w:hideMark/>
          </w:tcPr>
          <w:p w:rsidR="008D4B63" w:rsidRPr="002D7B59" w:rsidRDefault="00CB6874">
            <w:pPr>
              <w:pStyle w:val="ColumnHeading"/>
              <w:keepNext/>
            </w:pPr>
            <w:r>
              <w:t>Tekst proponowany przez Komisję</w:t>
            </w:r>
          </w:p>
        </w:tc>
        <w:tc>
          <w:tcPr>
            <w:tcW w:w="4876" w:type="dxa"/>
            <w:hideMark/>
          </w:tcPr>
          <w:p w:rsidR="008D4B63" w:rsidRPr="002D7B59" w:rsidRDefault="00CB6874">
            <w:pPr>
              <w:pStyle w:val="ColumnHeading"/>
              <w:keepNext/>
            </w:pPr>
            <w:r>
              <w:t>Poprawka</w:t>
            </w:r>
          </w:p>
        </w:tc>
      </w:tr>
      <w:tr w:rsidR="00FA22A3" w:rsidTr="008D4B63">
        <w:trPr>
          <w:jc w:val="center"/>
        </w:trPr>
        <w:tc>
          <w:tcPr>
            <w:tcW w:w="4876" w:type="dxa"/>
          </w:tcPr>
          <w:p w:rsidR="008D4B63" w:rsidRPr="002D7B59" w:rsidRDefault="008D4B63">
            <w:pPr>
              <w:pStyle w:val="Normal6"/>
            </w:pPr>
          </w:p>
        </w:tc>
        <w:tc>
          <w:tcPr>
            <w:tcW w:w="4876" w:type="dxa"/>
            <w:hideMark/>
          </w:tcPr>
          <w:p w:rsidR="008D4B63" w:rsidRPr="002D7B59" w:rsidRDefault="00CB6874" w:rsidP="003958BD">
            <w:pPr>
              <w:pStyle w:val="Normal6"/>
              <w:jc w:val="center"/>
              <w:rPr>
                <w:szCs w:val="24"/>
              </w:rPr>
            </w:pPr>
            <w:r>
              <w:rPr>
                <w:b/>
                <w:i/>
              </w:rPr>
              <w:t>Artykuł 41c</w:t>
            </w:r>
          </w:p>
        </w:tc>
      </w:tr>
      <w:tr w:rsidR="00FA22A3" w:rsidTr="008D4B63">
        <w:trPr>
          <w:jc w:val="center"/>
        </w:trPr>
        <w:tc>
          <w:tcPr>
            <w:tcW w:w="4876" w:type="dxa"/>
          </w:tcPr>
          <w:p w:rsidR="008D4B63" w:rsidRPr="002D7B59" w:rsidRDefault="008D4B63">
            <w:pPr>
              <w:pStyle w:val="Normal6"/>
            </w:pPr>
          </w:p>
        </w:tc>
        <w:tc>
          <w:tcPr>
            <w:tcW w:w="4876" w:type="dxa"/>
            <w:hideMark/>
          </w:tcPr>
          <w:p w:rsidR="008D4B63" w:rsidRPr="002D7B59" w:rsidRDefault="00CB6874" w:rsidP="003958BD">
            <w:pPr>
              <w:pStyle w:val="Normal6"/>
              <w:jc w:val="center"/>
              <w:rPr>
                <w:szCs w:val="24"/>
              </w:rPr>
            </w:pPr>
            <w:r>
              <w:rPr>
                <w:b/>
                <w:i/>
              </w:rPr>
              <w:t xml:space="preserve">Koordynacja między podmiotami w ramach procedury </w:t>
            </w:r>
            <w:r>
              <w:rPr>
                <w:b/>
                <w:i/>
              </w:rPr>
              <w:t>granicznej</w:t>
            </w:r>
          </w:p>
        </w:tc>
      </w:tr>
      <w:tr w:rsidR="00FA22A3" w:rsidTr="008D4B63">
        <w:trPr>
          <w:jc w:val="center"/>
        </w:trPr>
        <w:tc>
          <w:tcPr>
            <w:tcW w:w="4876" w:type="dxa"/>
          </w:tcPr>
          <w:p w:rsidR="008D4B63" w:rsidRPr="002D7B59" w:rsidRDefault="008D4B63">
            <w:pPr>
              <w:pStyle w:val="Normal6"/>
            </w:pPr>
          </w:p>
        </w:tc>
        <w:tc>
          <w:tcPr>
            <w:tcW w:w="4876" w:type="dxa"/>
            <w:hideMark/>
          </w:tcPr>
          <w:p w:rsidR="008D4B63" w:rsidRPr="002D7B59" w:rsidRDefault="00CB6874">
            <w:pPr>
              <w:pStyle w:val="Normal6"/>
              <w:rPr>
                <w:szCs w:val="24"/>
              </w:rPr>
            </w:pPr>
            <w:r>
              <w:rPr>
                <w:b/>
                <w:i/>
              </w:rPr>
              <w:t>1.</w:t>
            </w:r>
            <w:r>
              <w:rPr>
                <w:b/>
                <w:i/>
              </w:rPr>
              <w:tab/>
              <w:t>Państwa członkowskie dbają o to, by wszystkie podmioty i organy zaangażowane w różne etapy procedury granicznej, w szczególności organy krajowe, Komisja, unijne organy, jednostki i agencje, organizacje międzynarodowe, organizacje pozarządow</w:t>
            </w:r>
            <w:r>
              <w:rPr>
                <w:b/>
                <w:i/>
              </w:rPr>
              <w:t>e, przedstawiciele prawni i prawnicy, skutecznie koordynowały swoje działania i dzieliły się ze sobą informacjami.</w:t>
            </w:r>
          </w:p>
        </w:tc>
      </w:tr>
      <w:tr w:rsidR="00FA22A3" w:rsidTr="008D4B63">
        <w:trPr>
          <w:jc w:val="center"/>
        </w:trPr>
        <w:tc>
          <w:tcPr>
            <w:tcW w:w="4876" w:type="dxa"/>
          </w:tcPr>
          <w:p w:rsidR="008D4B63" w:rsidRPr="002D7B59"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FA22A3" w:rsidTr="008D4B63">
              <w:trPr>
                <w:jc w:val="center"/>
              </w:trPr>
              <w:tc>
                <w:tcPr>
                  <w:tcW w:w="4876" w:type="dxa"/>
                  <w:hideMark/>
                </w:tcPr>
                <w:p w:rsidR="008D4B63" w:rsidRPr="002D7B59" w:rsidRDefault="00CB6874" w:rsidP="008D4B63">
                  <w:pPr>
                    <w:pStyle w:val="Normal6"/>
                    <w:rPr>
                      <w:szCs w:val="24"/>
                    </w:rPr>
                  </w:pPr>
                  <w:r>
                    <w:rPr>
                      <w:b/>
                      <w:i/>
                    </w:rPr>
                    <w:t>2.</w:t>
                  </w:r>
                  <w:r>
                    <w:rPr>
                      <w:b/>
                      <w:i/>
                    </w:rPr>
                    <w:tab/>
                  </w:r>
                  <w:r>
                    <w:rPr>
                      <w:b/>
                      <w:i/>
                    </w:rPr>
                    <w:t>Organy krajowe odpowiedzialne za procedurę graniczną ustanawiają strategię zarządzania, przyjmują odpowiednie procesy i opracowują narzędzia, aby wspierać wymianę informacji na temat osób ubiegających się o ochronę międzynarodową między właściwymi podmiota</w:t>
                  </w:r>
                  <w:r>
                    <w:rPr>
                      <w:b/>
                      <w:i/>
                    </w:rPr>
                    <w:t xml:space="preserve">mi zaangażowanymi w procedury. </w:t>
                  </w:r>
                </w:p>
              </w:tc>
            </w:tr>
          </w:tbl>
          <w:p w:rsidR="008D4B63" w:rsidRPr="002D7B59" w:rsidRDefault="00CB6874" w:rsidP="00FA4DA4">
            <w:pPr>
              <w:pStyle w:val="Normal6"/>
              <w:rPr>
                <w:szCs w:val="24"/>
              </w:rPr>
            </w:pPr>
            <w:r>
              <w:rPr>
                <w:b/>
                <w:i/>
              </w:rPr>
              <w:t>3.</w:t>
            </w:r>
            <w:r>
              <w:rPr>
                <w:b/>
                <w:i/>
              </w:rPr>
              <w:tab/>
              <w:t>Komisja oraz unijne organy, jednostki i agencje mogą określić najlepsze praktyki i przekazać państwom członkowskim wytyczne w odniesieniu do niniejszego artykułu.</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54</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41 d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3958BD">
            <w:pPr>
              <w:pStyle w:val="Normal6"/>
              <w:jc w:val="center"/>
              <w:rPr>
                <w:szCs w:val="24"/>
              </w:rPr>
            </w:pPr>
            <w:r>
              <w:rPr>
                <w:b/>
                <w:i/>
              </w:rPr>
              <w:t>Artykuł 41d</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3958BD">
            <w:pPr>
              <w:pStyle w:val="Normal6"/>
              <w:jc w:val="center"/>
              <w:rPr>
                <w:szCs w:val="24"/>
              </w:rPr>
            </w:pPr>
            <w:r>
              <w:rPr>
                <w:b/>
                <w:i/>
              </w:rPr>
              <w:t xml:space="preserve">Warunki przyjmowania w ramach procedury </w:t>
            </w:r>
            <w:r>
              <w:rPr>
                <w:b/>
                <w:i/>
              </w:rPr>
              <w:t>granicznej</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BE7601">
            <w:pPr>
              <w:pStyle w:val="Normal6"/>
              <w:rPr>
                <w:szCs w:val="24"/>
              </w:rPr>
            </w:pPr>
            <w:r>
              <w:rPr>
                <w:b/>
                <w:i/>
              </w:rPr>
              <w:t>1.</w:t>
            </w:r>
            <w:r>
              <w:rPr>
                <w:b/>
                <w:i/>
              </w:rPr>
              <w:tab/>
              <w:t xml:space="preserve">Państwa członkowskie zapewniają osobom ubiegającym się o ochronę międzynarodową w ramach procedury granicznej odpowiednie materialne warunki przyjmowania i adekwatny standard życia przewidziane w prawie krajowym zgodnie z dyrektywą </w:t>
            </w:r>
            <w:r>
              <w:rPr>
                <w:b/>
                <w:i/>
              </w:rPr>
              <w:t>XXX/XXX/UE [wersja przekształcona dyrektywy w sprawie warunków przyjmowania]. Szczególną uwagę należy zwrócić na osoby ubiegające się o ochronę międzynarodową o specjalnych potrzebach w kwestii przyjmowania, zgodnie z art. 20 tej dyrektywy.</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4523C5">
            <w:pPr>
              <w:pStyle w:val="Normal6"/>
              <w:rPr>
                <w:szCs w:val="24"/>
              </w:rPr>
            </w:pPr>
            <w:r>
              <w:rPr>
                <w:b/>
                <w:i/>
              </w:rPr>
              <w:t>2.</w:t>
            </w:r>
            <w:r>
              <w:rPr>
                <w:b/>
                <w:i/>
              </w:rPr>
              <w:tab/>
              <w:t>Obiekty wy</w:t>
            </w:r>
            <w:r>
              <w:rPr>
                <w:b/>
                <w:i/>
              </w:rPr>
              <w:t>korzystywane do celów procedury granicznej są w pełni finansowane z budżetu Unii. Obejmuje to budowę, prowadzenie i renowację istniejących i przyszłych obiektów.</w:t>
            </w:r>
          </w:p>
        </w:tc>
      </w:tr>
    </w:tbl>
    <w:p w:rsidR="00F278B5" w:rsidRPr="002D7B59" w:rsidRDefault="00CB6874" w:rsidP="00F278B5">
      <w:pPr>
        <w:pStyle w:val="Olang"/>
        <w:rPr>
          <w:rStyle w:val="HideTWBExt"/>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8D4B63" w:rsidRPr="002D7B59" w:rsidRDefault="008D4B63" w:rsidP="00F278B5">
      <w:pPr>
        <w:pStyle w:val="Olang"/>
        <w:rPr>
          <w:rStyle w:val="HideTWBExt"/>
          <w:noProof w:val="0"/>
        </w:rPr>
      </w:pPr>
    </w:p>
    <w:p w:rsidR="008D4B63" w:rsidRPr="002D7B59" w:rsidRDefault="00CB6874" w:rsidP="008D4B63">
      <w:r>
        <w:rPr>
          <w:rStyle w:val="HideTWBExt"/>
          <w:noProof w:val="0"/>
        </w:rPr>
        <w:t>&lt;/Amend&gt;</w:t>
      </w:r>
    </w:p>
    <w:p w:rsidR="008D4B63" w:rsidRPr="002D7B59" w:rsidRDefault="00CB6874" w:rsidP="008D4B63">
      <w:pPr>
        <w:pStyle w:val="AMNumberTabs0"/>
        <w:keepNext/>
      </w:pPr>
      <w:r>
        <w:rPr>
          <w:rStyle w:val="HideTWBExt"/>
          <w:b w:val="0"/>
          <w:noProof w:val="0"/>
        </w:rPr>
        <w:t>&lt;Amend&gt;</w:t>
      </w:r>
      <w:r>
        <w:t>Poprawka</w:t>
      </w:r>
      <w:r>
        <w:tab/>
      </w:r>
      <w:r>
        <w:tab/>
      </w:r>
      <w:r>
        <w:rPr>
          <w:rStyle w:val="HideTWBExt"/>
          <w:b w:val="0"/>
          <w:noProof w:val="0"/>
        </w:rPr>
        <w:t>&lt;NumAm&gt;</w:t>
      </w:r>
      <w:r>
        <w:t>55</w:t>
      </w:r>
      <w:r>
        <w:rPr>
          <w:rStyle w:val="HideTWBExt"/>
          <w:b w:val="0"/>
          <w:noProof w:val="0"/>
        </w:rPr>
        <w:t>&lt;/NumAm&gt;</w:t>
      </w:r>
    </w:p>
    <w:p w:rsidR="008D4B63" w:rsidRPr="002D7B59" w:rsidRDefault="00CB6874" w:rsidP="008D4B63">
      <w:pPr>
        <w:pStyle w:val="NormalBold"/>
      </w:pPr>
      <w:r>
        <w:rPr>
          <w:rStyle w:val="HideTWBExt"/>
          <w:b w:val="0"/>
          <w:noProof w:val="0"/>
        </w:rPr>
        <w:t>&lt;Members&gt;</w:t>
      </w:r>
      <w:r>
        <w:t>Fabienne Keller</w:t>
      </w:r>
      <w:r>
        <w:rPr>
          <w:rStyle w:val="HideTWBExt"/>
          <w:b w:val="0"/>
          <w:noProof w:val="0"/>
        </w:rPr>
        <w:t>&lt;/Members&gt;</w:t>
      </w:r>
    </w:p>
    <w:p w:rsidR="008D4B63" w:rsidRPr="002D7B59" w:rsidRDefault="00CB6874" w:rsidP="008D4B63">
      <w:pPr>
        <w:pStyle w:val="NormalBold12b"/>
        <w:keepNext/>
      </w:pPr>
      <w:r>
        <w:rPr>
          <w:rStyle w:val="HideTWBExt"/>
          <w:b w:val="0"/>
          <w:noProof w:val="0"/>
        </w:rPr>
        <w:t>&lt;DocAmend&gt;</w:t>
      </w:r>
      <w:r>
        <w:t>Wniosek dotyczący rozporządzenia</w:t>
      </w:r>
      <w:r>
        <w:rPr>
          <w:rStyle w:val="HideTWBExt"/>
          <w:b w:val="0"/>
          <w:noProof w:val="0"/>
        </w:rPr>
        <w:t>&lt;/DocAmend&gt;</w:t>
      </w:r>
    </w:p>
    <w:p w:rsidR="008D4B63" w:rsidRPr="002D7B59" w:rsidRDefault="00CB6874" w:rsidP="008D4B63">
      <w:pPr>
        <w:pStyle w:val="NormalBold"/>
      </w:pPr>
      <w:r>
        <w:rPr>
          <w:rStyle w:val="HideTWBExt"/>
          <w:b w:val="0"/>
          <w:noProof w:val="0"/>
        </w:rPr>
        <w:t>&lt;Article&gt;</w:t>
      </w:r>
      <w:r>
        <w:t>Artykuł 53 – ustęp 1 – akapit 2</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22A3" w:rsidTr="00257D18">
        <w:trPr>
          <w:jc w:val="center"/>
        </w:trPr>
        <w:tc>
          <w:tcPr>
            <w:tcW w:w="9752" w:type="dxa"/>
            <w:gridSpan w:val="2"/>
          </w:tcPr>
          <w:p w:rsidR="008D4B63" w:rsidRPr="002D7B59" w:rsidRDefault="008D4B63" w:rsidP="00A5552D">
            <w:pPr>
              <w:keepNext/>
            </w:pPr>
          </w:p>
        </w:tc>
      </w:tr>
      <w:tr w:rsidR="00FA22A3" w:rsidTr="00257D18">
        <w:trPr>
          <w:jc w:val="center"/>
        </w:trPr>
        <w:tc>
          <w:tcPr>
            <w:tcW w:w="4876" w:type="dxa"/>
            <w:hideMark/>
          </w:tcPr>
          <w:p w:rsidR="008D4B63" w:rsidRPr="002D7B59" w:rsidRDefault="00CB6874" w:rsidP="00A5552D">
            <w:pPr>
              <w:pStyle w:val="ColumnHeading"/>
              <w:keepNext/>
            </w:pPr>
            <w:r>
              <w:t>Tekst proponowany przez Komisję</w:t>
            </w:r>
          </w:p>
        </w:tc>
        <w:tc>
          <w:tcPr>
            <w:tcW w:w="4876" w:type="dxa"/>
            <w:hideMark/>
          </w:tcPr>
          <w:p w:rsidR="008D4B63" w:rsidRPr="002D7B59" w:rsidRDefault="00CB6874" w:rsidP="00A5552D">
            <w:pPr>
              <w:pStyle w:val="ColumnHeading"/>
              <w:keepNext/>
            </w:pPr>
            <w:r>
              <w:t>Poprawka</w:t>
            </w:r>
          </w:p>
        </w:tc>
      </w:tr>
      <w:tr w:rsidR="00FA22A3" w:rsidTr="00257D18">
        <w:trPr>
          <w:jc w:val="center"/>
        </w:trPr>
        <w:tc>
          <w:tcPr>
            <w:tcW w:w="4876" w:type="dxa"/>
            <w:hideMark/>
          </w:tcPr>
          <w:p w:rsidR="008D4B63" w:rsidRPr="002D7B59" w:rsidRDefault="00CB6874" w:rsidP="00A5552D">
            <w:pPr>
              <w:pStyle w:val="Normal6"/>
            </w:pPr>
            <w:r>
              <w:t xml:space="preserve">Od decyzji nakazujących powrót </w:t>
            </w:r>
            <w:r>
              <w:rPr>
                <w:b/>
                <w:i/>
              </w:rPr>
              <w:t>przysługuje odwołanie</w:t>
            </w:r>
            <w:r>
              <w:t xml:space="preserve"> do tego samego sądu lub trybunału, w ramach tego samego postępowania sądowego i w tych samych terminach, co od decyzji, o których mowa w lit. a), b), c) i d).</w:t>
            </w:r>
          </w:p>
        </w:tc>
        <w:tc>
          <w:tcPr>
            <w:tcW w:w="4876" w:type="dxa"/>
            <w:hideMark/>
          </w:tcPr>
          <w:p w:rsidR="008D4B63" w:rsidRPr="002D7B59" w:rsidRDefault="00CB6874" w:rsidP="00BE7601">
            <w:pPr>
              <w:pStyle w:val="Normal6"/>
              <w:rPr>
                <w:szCs w:val="24"/>
              </w:rPr>
            </w:pPr>
            <w:r>
              <w:t xml:space="preserve">Od decyzji nakazujących powrót </w:t>
            </w:r>
            <w:r>
              <w:rPr>
                <w:b/>
                <w:i/>
              </w:rPr>
              <w:t>można odwołać się</w:t>
            </w:r>
            <w:r>
              <w:t xml:space="preserve"> do tego samego sądu lub trybunału, w ramach teg</w:t>
            </w:r>
            <w:r>
              <w:t xml:space="preserve">o samego postępowania sądowego i w tych samych terminach, co od decyzji, o których mowa w lit. a), b), c) i d). </w:t>
            </w:r>
            <w:r>
              <w:rPr>
                <w:b/>
                <w:i/>
              </w:rPr>
              <w:t>Osoby ubiegające się o ochronę międzynarodową należy należycie poinformować w terminowy sposób o przysługującym im prawie do odwołania się.</w:t>
            </w:r>
          </w:p>
        </w:tc>
      </w:tr>
    </w:tbl>
    <w:p w:rsidR="00257D18" w:rsidRPr="002D7B59" w:rsidRDefault="00CB6874" w:rsidP="00257D18">
      <w:pPr>
        <w:pStyle w:val="Olang"/>
        <w:rPr>
          <w:rStyle w:val="HideTWBExt"/>
          <w:noProof w:val="0"/>
        </w:rPr>
      </w:pPr>
      <w:r w:rsidRPr="002D7B59">
        <w:rPr>
          <w:noProof w:val="0"/>
        </w:rPr>
        <w:t>Or.</w:t>
      </w:r>
      <w:r w:rsidRPr="002D7B59">
        <w:rPr>
          <w:noProof w:val="0"/>
        </w:rPr>
        <w:t xml:space="preserve">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257D18" w:rsidRPr="002D7B59" w:rsidRDefault="00257D18" w:rsidP="00257D18">
      <w:pPr>
        <w:pStyle w:val="Olang"/>
        <w:rPr>
          <w:rStyle w:val="HideTWBExt"/>
          <w:noProof w:val="0"/>
        </w:rPr>
      </w:pPr>
    </w:p>
    <w:p w:rsidR="00A7340D" w:rsidRPr="002D7B59" w:rsidRDefault="00A7340D" w:rsidP="00A7340D">
      <w:pPr>
        <w:rPr>
          <w:rStyle w:val="HideTWBExt"/>
          <w:noProof w:val="0"/>
        </w:rPr>
      </w:pPr>
    </w:p>
    <w:p w:rsidR="00A7340D" w:rsidRPr="002D7B59" w:rsidRDefault="00CB6874" w:rsidP="00A7340D">
      <w:r>
        <w:rPr>
          <w:rStyle w:val="HideTWBExt"/>
          <w:noProof w:val="0"/>
        </w:rPr>
        <w:t>&lt;/Amend&gt;</w:t>
      </w:r>
    </w:p>
    <w:p w:rsidR="00F95264" w:rsidRPr="002D7B59" w:rsidRDefault="00CB6874" w:rsidP="00F95264">
      <w:pPr>
        <w:pStyle w:val="AMNumberTabs0"/>
        <w:keepNext/>
      </w:pPr>
      <w:r>
        <w:rPr>
          <w:rStyle w:val="HideTWBExt"/>
          <w:b w:val="0"/>
          <w:noProof w:val="0"/>
        </w:rPr>
        <w:t>&lt;Amend&gt;</w:t>
      </w:r>
      <w:r>
        <w:t>Poprawka</w:t>
      </w:r>
      <w:r>
        <w:tab/>
        <w:t xml:space="preserve"> </w:t>
      </w:r>
      <w:r>
        <w:tab/>
      </w:r>
      <w:r>
        <w:rPr>
          <w:rStyle w:val="HideTWBExt"/>
          <w:b w:val="0"/>
          <w:noProof w:val="0"/>
        </w:rPr>
        <w:t>&lt;NumAm&gt;</w:t>
      </w:r>
      <w:r>
        <w:t>56</w:t>
      </w:r>
      <w:r>
        <w:rPr>
          <w:rStyle w:val="HideTWBExt"/>
          <w:b w:val="0"/>
          <w:noProof w:val="0"/>
        </w:rPr>
        <w:t>&lt;/NumAm&gt;</w:t>
      </w:r>
    </w:p>
    <w:p w:rsidR="00C47D47" w:rsidRPr="002D7B59" w:rsidRDefault="00CB6874" w:rsidP="00886A0F">
      <w:pPr>
        <w:pStyle w:val="NormalBold"/>
        <w:rPr>
          <w:rStyle w:val="HideTWBExt"/>
          <w:b w:val="0"/>
          <w:noProof w:val="0"/>
        </w:rPr>
      </w:pPr>
      <w:r>
        <w:rPr>
          <w:rStyle w:val="HideTWBExt"/>
          <w:b w:val="0"/>
          <w:noProof w:val="0"/>
        </w:rPr>
        <w:t>&lt;Members&gt;</w:t>
      </w:r>
      <w:r>
        <w:t>Fabienne Keller</w:t>
      </w:r>
      <w:r>
        <w:rPr>
          <w:rStyle w:val="HideTWBExt"/>
          <w:b w:val="0"/>
          <w:noProof w:val="0"/>
        </w:rPr>
        <w:t>&lt;/Members&gt;</w:t>
      </w:r>
    </w:p>
    <w:p w:rsidR="00F95264" w:rsidRPr="002D7B59" w:rsidRDefault="00F95264" w:rsidP="00886A0F">
      <w:pPr>
        <w:pStyle w:val="NormalBold"/>
        <w:rPr>
          <w:rStyle w:val="HideTWBExt"/>
          <w:b w:val="0"/>
          <w:noProof w:val="0"/>
        </w:rPr>
      </w:pPr>
    </w:p>
    <w:p w:rsidR="0024765E" w:rsidRPr="002D7B59" w:rsidRDefault="00CB6874" w:rsidP="00886A0F">
      <w:pPr>
        <w:pStyle w:val="NormalBold"/>
      </w:pPr>
      <w:r>
        <w:rPr>
          <w:rStyle w:val="HideTWBExt"/>
          <w:b w:val="0"/>
          <w:noProof w:val="0"/>
        </w:rPr>
        <w:t>&lt;DocAmend&gt;</w:t>
      </w:r>
      <w:r>
        <w:t>Wniosek dotyczący rozporządzenia</w:t>
      </w:r>
      <w:r>
        <w:rPr>
          <w:rStyle w:val="HideTWBExt"/>
          <w:b w:val="0"/>
          <w:noProof w:val="0"/>
        </w:rPr>
        <w:t>&lt;/DocAmend&gt;</w:t>
      </w:r>
    </w:p>
    <w:p w:rsidR="00F95264" w:rsidRPr="002D7B59" w:rsidRDefault="00CB6874" w:rsidP="00F95264">
      <w:pPr>
        <w:pStyle w:val="NormalBold"/>
      </w:pPr>
      <w:r>
        <w:rPr>
          <w:rStyle w:val="HideTWBExt"/>
          <w:b w:val="0"/>
          <w:noProof w:val="0"/>
        </w:rPr>
        <w:t>&lt;Article&gt;</w:t>
      </w:r>
      <w:r>
        <w:t>Artykuł 53 – ustęp 6</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22A3" w:rsidTr="002F150F">
        <w:trPr>
          <w:jc w:val="center"/>
        </w:trPr>
        <w:tc>
          <w:tcPr>
            <w:tcW w:w="9752" w:type="dxa"/>
            <w:gridSpan w:val="2"/>
          </w:tcPr>
          <w:p w:rsidR="0024765E" w:rsidRPr="002D7B59" w:rsidRDefault="0024765E" w:rsidP="00A5552D">
            <w:pPr>
              <w:keepNext/>
            </w:pPr>
          </w:p>
        </w:tc>
      </w:tr>
      <w:tr w:rsidR="00FA22A3" w:rsidTr="002F150F">
        <w:trPr>
          <w:jc w:val="center"/>
        </w:trPr>
        <w:tc>
          <w:tcPr>
            <w:tcW w:w="4876" w:type="dxa"/>
            <w:hideMark/>
          </w:tcPr>
          <w:p w:rsidR="0024765E" w:rsidRPr="002D7B59" w:rsidRDefault="00CB6874" w:rsidP="00A5552D">
            <w:pPr>
              <w:pStyle w:val="ColumnHeading"/>
              <w:keepNext/>
            </w:pPr>
            <w:r>
              <w:t>Tekst proponowany przez Komisję</w:t>
            </w:r>
          </w:p>
        </w:tc>
        <w:tc>
          <w:tcPr>
            <w:tcW w:w="4876" w:type="dxa"/>
            <w:hideMark/>
          </w:tcPr>
          <w:p w:rsidR="0024765E" w:rsidRPr="002D7B59" w:rsidRDefault="00CB6874" w:rsidP="00A5552D">
            <w:pPr>
              <w:pStyle w:val="ColumnHeading"/>
              <w:keepNext/>
            </w:pPr>
            <w:r>
              <w:t>Poprawka</w:t>
            </w:r>
          </w:p>
        </w:tc>
      </w:tr>
      <w:tr w:rsidR="00FA22A3" w:rsidTr="002F150F">
        <w:trPr>
          <w:jc w:val="center"/>
        </w:trPr>
        <w:tc>
          <w:tcPr>
            <w:tcW w:w="4876" w:type="dxa"/>
            <w:hideMark/>
          </w:tcPr>
          <w:p w:rsidR="0024765E" w:rsidRPr="002D7B59" w:rsidRDefault="00CB6874" w:rsidP="00A5552D">
            <w:pPr>
              <w:pStyle w:val="Normal6"/>
            </w:pPr>
            <w:r>
              <w:t>6.</w:t>
            </w:r>
            <w:r>
              <w:tab/>
            </w:r>
            <w:r>
              <w:t>Jeżeli dokumenty nie zostaną przedłożone w terminie umożliwiającym sądowi lub trybunałowi zapewnienie ich tłumaczenia, sąd lub trybunał może odmówić uwzględnienia tych dokumentów, jeżeli nie dołączono do nich tłumaczenia dostarczonego przez osobę ubiegając</w:t>
            </w:r>
            <w:r>
              <w:t>ą się o ochronę międzynarodową.</w:t>
            </w:r>
          </w:p>
        </w:tc>
        <w:tc>
          <w:tcPr>
            <w:tcW w:w="4876" w:type="dxa"/>
            <w:hideMark/>
          </w:tcPr>
          <w:p w:rsidR="0024765E" w:rsidRPr="002D7B59" w:rsidRDefault="00CB6874" w:rsidP="00C47AC3">
            <w:pPr>
              <w:pStyle w:val="Normal6"/>
              <w:rPr>
                <w:szCs w:val="24"/>
              </w:rPr>
            </w:pPr>
            <w:r>
              <w:t>6.</w:t>
            </w:r>
            <w:r>
              <w:tab/>
            </w:r>
            <w:r>
              <w:rPr>
                <w:b/>
                <w:i/>
              </w:rPr>
              <w:t>Sąd lub trybunał uwzględnia wszystkie dokumenty i informacje przekazane przez osobę ubiegającą się o ochronę międzynarodową.</w:t>
            </w:r>
            <w:r>
              <w:t xml:space="preserve"> Jeżeli dokumenty nie zostaną przedłożone w </w:t>
            </w:r>
            <w:r>
              <w:rPr>
                <w:b/>
                <w:i/>
              </w:rPr>
              <w:t xml:space="preserve">rozsądnym </w:t>
            </w:r>
            <w:r>
              <w:t>terminie umożliwiającym sądowi lub trybunał</w:t>
            </w:r>
            <w:r>
              <w:t>owi zapewnienie ich tłumaczenia, sąd lub trybunał może odmówić uwzględnienia tych dokumentów, jeżeli nie dołączono do nich tłumaczenia dostarczonego przez osobę ubiegającą się o ochronę międzynarodową</w:t>
            </w:r>
            <w:r>
              <w:rPr>
                <w:b/>
                <w:i/>
              </w:rPr>
              <w:t>, chyba że osoba ta przekaże racjonalne uzasadnienie opó</w:t>
            </w:r>
            <w:r>
              <w:rPr>
                <w:b/>
                <w:i/>
              </w:rPr>
              <w:t>źnienia w przekazywaniu tych dokumentów</w:t>
            </w:r>
            <w:r>
              <w:t>.</w:t>
            </w:r>
          </w:p>
        </w:tc>
      </w:tr>
    </w:tbl>
    <w:p w:rsidR="00A7340D" w:rsidRPr="002D7B59" w:rsidRDefault="00CB6874" w:rsidP="00A7340D">
      <w:pPr>
        <w:pStyle w:val="Olang"/>
        <w:rPr>
          <w:rStyle w:val="HideTWBExt"/>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A7340D" w:rsidRPr="002D7B59" w:rsidRDefault="00CB6874" w:rsidP="00A7340D">
      <w:r>
        <w:rPr>
          <w:rStyle w:val="HideTWBExt"/>
          <w:noProof w:val="0"/>
        </w:rPr>
        <w:t>&lt;/Amend&gt;</w:t>
      </w:r>
    </w:p>
    <w:p w:rsidR="00F95264" w:rsidRPr="002D7B59" w:rsidRDefault="00F95264" w:rsidP="00F95264"/>
    <w:p w:rsidR="00B04610" w:rsidRPr="002D7B59" w:rsidRDefault="00CB6874" w:rsidP="00B04610">
      <w:pPr>
        <w:pStyle w:val="AMNumberTabs0"/>
        <w:keepNext/>
      </w:pPr>
      <w:r>
        <w:rPr>
          <w:rStyle w:val="HideTWBExt"/>
          <w:b w:val="0"/>
          <w:noProof w:val="0"/>
        </w:rPr>
        <w:t>&lt;Amend&gt;</w:t>
      </w:r>
      <w:r>
        <w:t>Poprawka</w:t>
      </w:r>
      <w:r>
        <w:tab/>
      </w:r>
      <w:r>
        <w:tab/>
      </w:r>
      <w:r>
        <w:rPr>
          <w:rStyle w:val="HideTWBExt"/>
          <w:b w:val="0"/>
          <w:noProof w:val="0"/>
        </w:rPr>
        <w:t>&lt;NumAm&gt;</w:t>
      </w:r>
      <w:r>
        <w:t>57</w:t>
      </w:r>
      <w:r>
        <w:rPr>
          <w:rStyle w:val="HideTWBExt"/>
          <w:b w:val="0"/>
          <w:noProof w:val="0"/>
        </w:rPr>
        <w:t>&lt;/NumAm&gt;</w:t>
      </w:r>
    </w:p>
    <w:p w:rsidR="00B04610" w:rsidRPr="002D7B59" w:rsidRDefault="00CB6874" w:rsidP="00B04610">
      <w:pPr>
        <w:pStyle w:val="NormalBold"/>
      </w:pPr>
      <w:r>
        <w:rPr>
          <w:rStyle w:val="HideTWBExt"/>
          <w:b w:val="0"/>
          <w:noProof w:val="0"/>
        </w:rPr>
        <w:t>&lt;Members&gt;</w:t>
      </w:r>
      <w:r>
        <w:t>Fabienne Keller</w:t>
      </w:r>
      <w:r>
        <w:rPr>
          <w:rStyle w:val="HideTWBExt"/>
          <w:b w:val="0"/>
          <w:noProof w:val="0"/>
        </w:rPr>
        <w:t>&lt;/Members&gt;</w:t>
      </w:r>
    </w:p>
    <w:p w:rsidR="00B04610" w:rsidRPr="002D7B59" w:rsidRDefault="00CB6874" w:rsidP="00B04610">
      <w:pPr>
        <w:pStyle w:val="NormalBold12b"/>
        <w:keepNext/>
      </w:pPr>
      <w:r>
        <w:rPr>
          <w:rStyle w:val="HideTWBExt"/>
          <w:b w:val="0"/>
          <w:noProof w:val="0"/>
        </w:rPr>
        <w:t>&lt;DocAmend&gt;</w:t>
      </w:r>
      <w:r>
        <w:t>Wniosek dotyczący rozporządzenia</w:t>
      </w:r>
      <w:r>
        <w:rPr>
          <w:rStyle w:val="HideTWBExt"/>
          <w:b w:val="0"/>
          <w:noProof w:val="0"/>
        </w:rPr>
        <w:t>&lt;/DocAmend&gt;</w:t>
      </w:r>
    </w:p>
    <w:p w:rsidR="00B04610" w:rsidRPr="002D7B59" w:rsidRDefault="00CB6874" w:rsidP="00B04610">
      <w:pPr>
        <w:pStyle w:val="NormalBold"/>
      </w:pPr>
      <w:r>
        <w:rPr>
          <w:rStyle w:val="HideTWBExt"/>
          <w:b w:val="0"/>
          <w:noProof w:val="0"/>
        </w:rPr>
        <w:t>&lt;Article&gt;</w:t>
      </w:r>
      <w:r>
        <w:t>Artykuł 53 – ustęp 9</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A5552D">
        <w:trPr>
          <w:jc w:val="center"/>
        </w:trPr>
        <w:tc>
          <w:tcPr>
            <w:tcW w:w="9752" w:type="dxa"/>
            <w:gridSpan w:val="2"/>
          </w:tcPr>
          <w:p w:rsidR="00B04610" w:rsidRPr="002D7B59" w:rsidRDefault="00B04610" w:rsidP="00A5552D">
            <w:pPr>
              <w:keepNext/>
            </w:pPr>
          </w:p>
        </w:tc>
      </w:tr>
      <w:tr w:rsidR="00FA22A3" w:rsidTr="00A5552D">
        <w:trPr>
          <w:jc w:val="center"/>
        </w:trPr>
        <w:tc>
          <w:tcPr>
            <w:tcW w:w="4876" w:type="dxa"/>
            <w:hideMark/>
          </w:tcPr>
          <w:p w:rsidR="00B04610" w:rsidRPr="002D7B59" w:rsidRDefault="00CB6874" w:rsidP="00A5552D">
            <w:pPr>
              <w:pStyle w:val="ColumnHeading"/>
              <w:keepNext/>
            </w:pPr>
            <w:r>
              <w:t xml:space="preserve">Tekst </w:t>
            </w:r>
            <w:r>
              <w:t>proponowany przez Komisję</w:t>
            </w:r>
          </w:p>
        </w:tc>
        <w:tc>
          <w:tcPr>
            <w:tcW w:w="4876" w:type="dxa"/>
            <w:hideMark/>
          </w:tcPr>
          <w:p w:rsidR="00B04610" w:rsidRPr="002D7B59" w:rsidRDefault="00CB6874" w:rsidP="00A5552D">
            <w:pPr>
              <w:pStyle w:val="ColumnHeading"/>
              <w:keepNext/>
            </w:pPr>
            <w:r>
              <w:t>Poprawka</w:t>
            </w:r>
          </w:p>
        </w:tc>
      </w:tr>
      <w:tr w:rsidR="00FA22A3" w:rsidTr="00A5552D">
        <w:trPr>
          <w:jc w:val="center"/>
        </w:trPr>
        <w:tc>
          <w:tcPr>
            <w:tcW w:w="4876" w:type="dxa"/>
            <w:hideMark/>
          </w:tcPr>
          <w:p w:rsidR="00B04610" w:rsidRPr="002D7B59" w:rsidRDefault="00CB6874" w:rsidP="00A5552D">
            <w:pPr>
              <w:pStyle w:val="Normal6"/>
            </w:pPr>
            <w:r>
              <w:t>9.</w:t>
            </w:r>
            <w:r>
              <w:tab/>
              <w:t xml:space="preserve">Państwa członkowskie przewidują </w:t>
            </w:r>
            <w:r>
              <w:rPr>
                <w:b/>
                <w:i/>
              </w:rPr>
              <w:t>tylko</w:t>
            </w:r>
            <w:r>
              <w:t xml:space="preserve"> jedną instancję odwoławczą w odniesieniu do decyzji podjętej w ramach procedury granicznej.</w:t>
            </w:r>
          </w:p>
        </w:tc>
        <w:tc>
          <w:tcPr>
            <w:tcW w:w="4876" w:type="dxa"/>
            <w:hideMark/>
          </w:tcPr>
          <w:p w:rsidR="00B04610" w:rsidRPr="002D7B59" w:rsidRDefault="00CB6874" w:rsidP="00BE7601">
            <w:pPr>
              <w:pStyle w:val="Normal6"/>
              <w:rPr>
                <w:szCs w:val="24"/>
              </w:rPr>
            </w:pPr>
            <w:r>
              <w:t>9.</w:t>
            </w:r>
            <w:r>
              <w:tab/>
              <w:t xml:space="preserve">Państwa członkowskie przewidują </w:t>
            </w:r>
            <w:r>
              <w:rPr>
                <w:b/>
                <w:i/>
              </w:rPr>
              <w:t>co najmniej</w:t>
            </w:r>
            <w:r>
              <w:t xml:space="preserve"> jedną instancję odwoławczą w odniesieniu do decyzji podjętej w ramach procedury granicznej. </w:t>
            </w:r>
            <w:r>
              <w:rPr>
                <w:b/>
                <w:i/>
              </w:rPr>
              <w:t>W przypadku gdy państwo członkowskie przewiduje więcej niż jedną instancję odwoławczą, dopilnowuje, by procedura graniczna została zakończona w terminie 12 tygodni</w:t>
            </w:r>
            <w:r>
              <w:rPr>
                <w:b/>
                <w:i/>
              </w:rPr>
              <w:t>, o którym mowa w art. 41 ust. 11.</w:t>
            </w:r>
          </w:p>
        </w:tc>
      </w:tr>
    </w:tbl>
    <w:p w:rsidR="00B04610" w:rsidRPr="002D7B59" w:rsidRDefault="00B04610" w:rsidP="0024765E">
      <w:pPr>
        <w:pStyle w:val="Olang"/>
        <w:jc w:val="center"/>
        <w:rPr>
          <w:noProof w:val="0"/>
        </w:rPr>
      </w:pPr>
    </w:p>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8D4B63" w:rsidRPr="002D7B59" w:rsidRDefault="008D4B63" w:rsidP="00F278B5">
      <w:pPr>
        <w:pStyle w:val="Olang"/>
        <w:rPr>
          <w:noProof w:val="0"/>
        </w:rPr>
      </w:pP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lastRenderedPageBreak/>
        <w:t>&lt;Amend&gt;</w:t>
      </w:r>
      <w:r>
        <w:t>Poprawka</w:t>
      </w:r>
      <w:r>
        <w:tab/>
      </w:r>
      <w:r>
        <w:tab/>
      </w:r>
      <w:r>
        <w:rPr>
          <w:rStyle w:val="HideTWBExt"/>
          <w:b w:val="0"/>
          <w:noProof w:val="0"/>
        </w:rPr>
        <w:t>&lt;NumAm&gt;</w:t>
      </w:r>
      <w:r>
        <w:t>58</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54 – ustęp 5 – litera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a)</w:t>
            </w:r>
            <w:r>
              <w:tab/>
              <w:t>osobie ubiegającej się o ochronę międzynarodową przysługuje termin co najmniej 5 dni od dnia powiadomienia jej o decyzji na złożenie wniosku o zezwolenie na pozostanie na terytorium danego państwa do czasu rozpa</w:t>
            </w:r>
            <w:r>
              <w:t>trzenia środka zaskarżenia;</w:t>
            </w:r>
          </w:p>
        </w:tc>
        <w:tc>
          <w:tcPr>
            <w:tcW w:w="4876" w:type="dxa"/>
            <w:hideMark/>
          </w:tcPr>
          <w:p w:rsidR="00F278B5" w:rsidRPr="002D7B59" w:rsidRDefault="00CB6874">
            <w:pPr>
              <w:pStyle w:val="Normal6"/>
              <w:rPr>
                <w:szCs w:val="24"/>
              </w:rPr>
            </w:pPr>
            <w:r>
              <w:t>a)</w:t>
            </w:r>
            <w:r>
              <w:tab/>
              <w:t xml:space="preserve">osobie ubiegającej się o ochronę międzynarodową przysługuje termin co najmniej 5 dni </w:t>
            </w:r>
            <w:r>
              <w:rPr>
                <w:b/>
                <w:i/>
              </w:rPr>
              <w:t xml:space="preserve">roboczych </w:t>
            </w:r>
            <w:r>
              <w:t>od dnia powiadomienia jej o decyzji na złożenie wniosku o zezwolenie na pozostanie na terytorium danego państwa do czasu rozpatrze</w:t>
            </w:r>
            <w:r>
              <w:t>nia środka zaskarżenia;</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59</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54 – ustęp 5 – litera e (nowa)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 xml:space="preserve">Tekst </w:t>
            </w:r>
            <w:r>
              <w:t>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F278B5">
            <w:pPr>
              <w:pStyle w:val="Normal6"/>
            </w:pPr>
          </w:p>
        </w:tc>
        <w:tc>
          <w:tcPr>
            <w:tcW w:w="4876" w:type="dxa"/>
            <w:hideMark/>
          </w:tcPr>
          <w:p w:rsidR="00F278B5" w:rsidRPr="002D7B59" w:rsidRDefault="00CB6874" w:rsidP="00C47AC3">
            <w:pPr>
              <w:pStyle w:val="Normal6"/>
              <w:rPr>
                <w:szCs w:val="24"/>
              </w:rPr>
            </w:pPr>
            <w:r>
              <w:rPr>
                <w:b/>
                <w:i/>
              </w:rPr>
              <w:t>e)</w:t>
            </w:r>
            <w:r>
              <w:tab/>
            </w:r>
            <w:r>
              <w:rPr>
                <w:b/>
                <w:i/>
              </w:rPr>
              <w:t>osobę ubiegającą się o ochronę międzynarodową należy należycie poinformować w terminowy sposób o przysługujących jej prawach na mocy niniejszego ustępu.</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w:t>
      </w:r>
      <w:r>
        <w:rPr>
          <w:rStyle w:val="HideTWBExt"/>
          <w:b w:val="0"/>
          <w:noProof w:val="0"/>
        </w:rPr>
        <w:t>Am&gt;</w:t>
      </w:r>
      <w:r>
        <w:t>60</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Artykuł 54 – ustęp 6</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hideMark/>
          </w:tcPr>
          <w:p w:rsidR="00F278B5" w:rsidRPr="002D7B59" w:rsidRDefault="00CB6874">
            <w:pPr>
              <w:pStyle w:val="Normal6"/>
            </w:pPr>
            <w:r>
              <w:t>6.</w:t>
            </w:r>
            <w:r>
              <w:tab/>
              <w:t>W przypadku kolejnych wniosków, na zasadzie odstępstwa od ust. </w:t>
            </w:r>
            <w:r>
              <w:rPr>
                <w:b/>
                <w:i/>
              </w:rPr>
              <w:t>6</w:t>
            </w:r>
            <w:r>
              <w:t xml:space="preserve"> lit. d) niniejszego artykułu, państwa </w:t>
            </w:r>
            <w:r>
              <w:lastRenderedPageBreak/>
              <w:t>członkowskie mogą przewidzieć w prawie krajowym, że osoba ubiegająca się o ochronę międzynarodową nie ma prawa do pozostania</w:t>
            </w:r>
            <w:r>
              <w:rPr>
                <w:b/>
                <w:i/>
              </w:rPr>
              <w:t>, bez uszczerbku dla przestrzegania zasady non-refoulement</w:t>
            </w:r>
            <w:r>
              <w:t>, jeżeli odwołanie zostało wniesion</w:t>
            </w:r>
            <w:r>
              <w:t xml:space="preserve">e wyłącznie w celu opóźnienia lub zakłócenia wykonania decyzji nakazującej powrót, która skutkowałaby natychmiastowym wydaleniem osoby ubiegającej się o ochronę międzynarodową z państwa członkowskiego, w przypadkach gdy dla sądu jest od razu jasne, że nie </w:t>
            </w:r>
            <w:r>
              <w:t>przedstawiono żadnych nowych elementów zgodnie z art. 42 ust. 4.</w:t>
            </w:r>
          </w:p>
        </w:tc>
        <w:tc>
          <w:tcPr>
            <w:tcW w:w="4876" w:type="dxa"/>
            <w:hideMark/>
          </w:tcPr>
          <w:p w:rsidR="00F278B5" w:rsidRPr="002D7B59" w:rsidRDefault="00CB6874">
            <w:pPr>
              <w:pStyle w:val="Normal6"/>
              <w:rPr>
                <w:szCs w:val="24"/>
              </w:rPr>
            </w:pPr>
            <w:r>
              <w:lastRenderedPageBreak/>
              <w:t>6.</w:t>
            </w:r>
            <w:r>
              <w:tab/>
            </w:r>
            <w:r>
              <w:rPr>
                <w:b/>
                <w:i/>
              </w:rPr>
              <w:t xml:space="preserve">Z pełnym poszanowaniem zasady non-refoulement, </w:t>
            </w:r>
            <w:r>
              <w:t xml:space="preserve">w przypadku kolejnych wniosków, na zasadzie odstępstwa od </w:t>
            </w:r>
            <w:r>
              <w:lastRenderedPageBreak/>
              <w:t>ust. </w:t>
            </w:r>
            <w:r>
              <w:rPr>
                <w:b/>
                <w:i/>
              </w:rPr>
              <w:t>5</w:t>
            </w:r>
            <w:r>
              <w:t xml:space="preserve"> lit. d) niniejszego artykułu, państwa członkowskie mogą przewidzieć w prawie</w:t>
            </w:r>
            <w:r>
              <w:t xml:space="preserve"> krajowym, że osoba ubiegająca się o ochronę międzynarodową nie ma prawa do pozostania, jeżeli odwołanie zostało wniesione wyłącznie w celu opóźnienia lub zakłócenia wykonania decyzji nakazującej powrót, która skutkowałaby natychmiastowym wydaleniem osoby </w:t>
            </w:r>
            <w:r>
              <w:t>ubiegającej się o ochronę międzynarodową z państwa członkowskiego, w przypadkach gdy dla sądu jest od razu jasne, że nie przedstawiono żadnych nowych elementów zgodnie z art. 42 ust. 4.</w:t>
            </w:r>
          </w:p>
        </w:tc>
      </w:tr>
    </w:tbl>
    <w:p w:rsidR="00F278B5" w:rsidRPr="002D7B59" w:rsidRDefault="00CB6874" w:rsidP="00F278B5">
      <w:pPr>
        <w:pStyle w:val="Olang"/>
        <w:rPr>
          <w:rStyle w:val="HideTWBExt"/>
          <w:noProof w:val="0"/>
        </w:rPr>
      </w:pPr>
      <w:r w:rsidRPr="002D7B59">
        <w:rPr>
          <w:noProof w:val="0"/>
        </w:rPr>
        <w:lastRenderedPageBreak/>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891EDD" w:rsidRPr="002D7B59" w:rsidRDefault="00891EDD" w:rsidP="00F278B5">
      <w:pPr>
        <w:pStyle w:val="Olang"/>
        <w:rPr>
          <w:rStyle w:val="HideTWBExt"/>
          <w:noProof w:val="0"/>
        </w:rPr>
      </w:pPr>
    </w:p>
    <w:p w:rsidR="00891EDD" w:rsidRPr="002D7B59" w:rsidRDefault="00CB6874" w:rsidP="00891EDD">
      <w:r>
        <w:rPr>
          <w:rStyle w:val="HideTWBExt"/>
          <w:noProof w:val="0"/>
        </w:rPr>
        <w:t>&lt;/Amend&gt;</w:t>
      </w:r>
    </w:p>
    <w:p w:rsidR="00B04610" w:rsidRPr="002D7B59" w:rsidRDefault="00CB6874" w:rsidP="00B04610">
      <w:pPr>
        <w:pStyle w:val="AMNumberTabs0"/>
        <w:keepNext/>
      </w:pPr>
      <w:r>
        <w:rPr>
          <w:rStyle w:val="HideTWBExt"/>
          <w:b w:val="0"/>
          <w:noProof w:val="0"/>
        </w:rPr>
        <w:t>&lt;Amend&gt;</w:t>
      </w:r>
      <w:r>
        <w:t>Poprawka</w:t>
      </w:r>
      <w:r>
        <w:tab/>
      </w:r>
      <w:r>
        <w:tab/>
      </w:r>
      <w:r>
        <w:rPr>
          <w:rStyle w:val="HideTWBExt"/>
          <w:b w:val="0"/>
          <w:noProof w:val="0"/>
        </w:rPr>
        <w:t>&lt;NumAm&gt;</w:t>
      </w:r>
      <w:r>
        <w:t>61</w:t>
      </w:r>
      <w:r>
        <w:rPr>
          <w:rStyle w:val="HideTWBExt"/>
          <w:b w:val="0"/>
          <w:noProof w:val="0"/>
        </w:rPr>
        <w:t>&lt;/NumAm&gt;</w:t>
      </w:r>
    </w:p>
    <w:p w:rsidR="00B04610" w:rsidRPr="002D7B59" w:rsidRDefault="00CB6874" w:rsidP="00B04610">
      <w:pPr>
        <w:pStyle w:val="NormalBold"/>
      </w:pPr>
      <w:r>
        <w:rPr>
          <w:rStyle w:val="HideTWBExt"/>
          <w:b w:val="0"/>
          <w:noProof w:val="0"/>
        </w:rPr>
        <w:t>&lt;Members&gt;</w:t>
      </w:r>
      <w:r>
        <w:t>Fabienne Keller</w:t>
      </w:r>
      <w:r>
        <w:rPr>
          <w:rStyle w:val="HideTWBExt"/>
          <w:b w:val="0"/>
          <w:noProof w:val="0"/>
        </w:rPr>
        <w:t>&lt;/Members&gt;</w:t>
      </w:r>
    </w:p>
    <w:p w:rsidR="00B04610" w:rsidRPr="002D7B59" w:rsidRDefault="00CB6874" w:rsidP="00B04610">
      <w:pPr>
        <w:pStyle w:val="NormalBold12b"/>
        <w:keepNext/>
      </w:pPr>
      <w:r>
        <w:rPr>
          <w:rStyle w:val="HideTWBExt"/>
          <w:b w:val="0"/>
          <w:noProof w:val="0"/>
        </w:rPr>
        <w:t>&lt;DocAmend&gt;</w:t>
      </w:r>
      <w:r>
        <w:t>Wniosek dotyczący rozporządzenia</w:t>
      </w:r>
      <w:r>
        <w:rPr>
          <w:rStyle w:val="HideTWBExt"/>
          <w:b w:val="0"/>
          <w:noProof w:val="0"/>
        </w:rPr>
        <w:t>&lt;/DocAmend&gt;</w:t>
      </w:r>
    </w:p>
    <w:p w:rsidR="00B04610" w:rsidRPr="002D7B59" w:rsidRDefault="00CB6874" w:rsidP="00B04610">
      <w:pPr>
        <w:pStyle w:val="NormalBold"/>
      </w:pPr>
      <w:r>
        <w:rPr>
          <w:rStyle w:val="HideTWBExt"/>
          <w:b w:val="0"/>
          <w:noProof w:val="0"/>
        </w:rPr>
        <w:t>&lt;Article&gt;</w:t>
      </w:r>
      <w:r>
        <w:t>Artykuł 57 a (nowy)</w:t>
      </w:r>
      <w:r>
        <w:rPr>
          <w:rStyle w:val="HideTWBExt"/>
          <w:rFonts w:ascii="Times New Roman" w:hAnsi="Times New Roman"/>
          <w:b w:val="0"/>
          <w:noProof w:val="0"/>
          <w:color w:val="auto"/>
          <w:sz w:val="24"/>
        </w:rPr>
        <w:t>&lt;/</w:t>
      </w:r>
      <w:r>
        <w:rPr>
          <w:rStyle w:val="HideTWBExt"/>
          <w:b w:val="0"/>
          <w:noProof w:val="0"/>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22A3" w:rsidTr="00863A0F">
        <w:trPr>
          <w:jc w:val="center"/>
        </w:trPr>
        <w:tc>
          <w:tcPr>
            <w:tcW w:w="9752" w:type="dxa"/>
            <w:gridSpan w:val="2"/>
          </w:tcPr>
          <w:p w:rsidR="00B04610" w:rsidRPr="002D7B59" w:rsidRDefault="00B04610" w:rsidP="00A5552D">
            <w:pPr>
              <w:keepNext/>
            </w:pPr>
          </w:p>
        </w:tc>
      </w:tr>
      <w:tr w:rsidR="00FA22A3" w:rsidTr="00863A0F">
        <w:trPr>
          <w:jc w:val="center"/>
        </w:trPr>
        <w:tc>
          <w:tcPr>
            <w:tcW w:w="4876" w:type="dxa"/>
            <w:hideMark/>
          </w:tcPr>
          <w:p w:rsidR="00B04610" w:rsidRPr="002D7B59" w:rsidRDefault="00CB6874" w:rsidP="00A5552D">
            <w:pPr>
              <w:pStyle w:val="ColumnHeading"/>
              <w:keepNext/>
            </w:pPr>
            <w:r>
              <w:t>Tekst proponowany przez Komisję</w:t>
            </w:r>
          </w:p>
        </w:tc>
        <w:tc>
          <w:tcPr>
            <w:tcW w:w="4876" w:type="dxa"/>
            <w:hideMark/>
          </w:tcPr>
          <w:p w:rsidR="00B04610" w:rsidRPr="002D7B59" w:rsidRDefault="00CB6874" w:rsidP="00A5552D">
            <w:pPr>
              <w:pStyle w:val="ColumnHeading"/>
              <w:keepNext/>
            </w:pPr>
            <w:r>
              <w:t>Poprawka</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3958BD">
            <w:pPr>
              <w:pStyle w:val="Normal6"/>
              <w:jc w:val="center"/>
              <w:rPr>
                <w:szCs w:val="24"/>
              </w:rPr>
            </w:pPr>
            <w:r>
              <w:rPr>
                <w:b/>
                <w:i/>
              </w:rPr>
              <w:t>Artykuł 57a</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3958BD">
            <w:pPr>
              <w:pStyle w:val="Normal6"/>
              <w:jc w:val="center"/>
              <w:rPr>
                <w:szCs w:val="24"/>
              </w:rPr>
            </w:pPr>
            <w:r>
              <w:rPr>
                <w:b/>
                <w:i/>
              </w:rPr>
              <w:t>Rola unijnych organów, jednostek i agencji</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5552D">
            <w:pPr>
              <w:pStyle w:val="Normal6"/>
              <w:rPr>
                <w:szCs w:val="24"/>
              </w:rPr>
            </w:pPr>
            <w:r>
              <w:rPr>
                <w:b/>
                <w:i/>
              </w:rPr>
              <w:t>1.</w:t>
            </w:r>
            <w:r>
              <w:rPr>
                <w:b/>
                <w:i/>
              </w:rPr>
              <w:tab/>
              <w:t xml:space="preserve">Unijne </w:t>
            </w:r>
            <w:r>
              <w:rPr>
                <w:b/>
                <w:i/>
              </w:rPr>
              <w:t>organy, jednostki i agencje działające w obszarze azylu i zarządzania migracjami, na podstawie swoich mandatów, zdecydowanie wspierają państwa członkowskie i Komisję w dążeniu do zapewnienia odpowiedniego wdrażania i funkcjonowania niniejszego rozporządzen</w:t>
            </w:r>
            <w:r>
              <w:rPr>
                <w:b/>
                <w:i/>
              </w:rPr>
              <w:t>ia, w szczególności jego przepisów w sprawie przyspieszonej procedury rozpatrywania wniosku zgodnie z art. 40, procedury granicznej przeprowadzanej w celu rozpatrzenia wniosku o udzielenie ochrony międzynarodowej zgodnie z art. 41 oraz procedury granicznej</w:t>
            </w:r>
            <w:r>
              <w:rPr>
                <w:b/>
                <w:i/>
              </w:rPr>
              <w:t xml:space="preserve"> mającej na celu przeprowadzenie powrotu zgodnie z art. 41a.</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B602C0">
            <w:pPr>
              <w:pStyle w:val="Normal6"/>
              <w:rPr>
                <w:b/>
                <w:i/>
                <w:szCs w:val="24"/>
              </w:rPr>
            </w:pPr>
            <w:r>
              <w:rPr>
                <w:b/>
                <w:i/>
              </w:rPr>
              <w:t xml:space="preserve">Do celów pierwszego akapitu unijne </w:t>
            </w:r>
            <w:r>
              <w:rPr>
                <w:b/>
                <w:i/>
              </w:rPr>
              <w:lastRenderedPageBreak/>
              <w:t>organy, jednostki i agencje, o których tam mowa, mogą zapewniać organom krajowym analizę, wiedzę ekspercką i wsparcie operacyjne oraz mogą przeprowadzać misje</w:t>
            </w:r>
            <w:r>
              <w:rPr>
                <w:b/>
                <w:i/>
              </w:rPr>
              <w:t xml:space="preserve"> monitorowania i oceny. Agencja Unii Europejskiej ds. Azylu, Europejska Agencja Straży Granicznej i Przybrzeżnej oraz Agencja Praw Podstawowych Unii Europejskiej odgrywają kluczową rolę w stosowaniu niniejszego rozporządzenia.</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BE7601">
            <w:pPr>
              <w:pStyle w:val="Normal6"/>
              <w:rPr>
                <w:szCs w:val="24"/>
              </w:rPr>
            </w:pPr>
            <w:r>
              <w:rPr>
                <w:b/>
                <w:i/>
              </w:rPr>
              <w:t>2.</w:t>
            </w:r>
            <w:r>
              <w:rPr>
                <w:b/>
                <w:i/>
              </w:rPr>
              <w:tab/>
              <w:t>Na wniosek państwa człon</w:t>
            </w:r>
            <w:r>
              <w:rPr>
                <w:b/>
                <w:i/>
              </w:rPr>
              <w:t>kowskiego unijny organ, jednostka lub agencja może zapewnić mu wsparcie. Komisja lub unijny organ, jednostka lub agencja mogą, z własnej inicjatywy, zaproponować wsparcie danemu państwu członkowskiemu. W przypadku gdy Komisja lub unijny organ, jednostka lu</w:t>
            </w:r>
            <w:r>
              <w:rPr>
                <w:b/>
                <w:i/>
              </w:rPr>
              <w:t>b agencja proponuje wsparcie państwu członkowskiemu, to państwo członkowskie należycie uwzględnia ten wniosek. Dane państwo członkowskie może zaakceptować ten wniosek, zmienić go lub odrzucić. Państwo członkowskie przedstawia Komisji w sposób terminowy uza</w:t>
            </w:r>
            <w:r>
              <w:rPr>
                <w:b/>
                <w:i/>
              </w:rPr>
              <w:t>sadnioną decyzję dotyczącą zaakceptowania, zmiany lub odrzucenia tego wniosku.</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773ED">
            <w:pPr>
              <w:pStyle w:val="Normal6"/>
              <w:rPr>
                <w:szCs w:val="24"/>
              </w:rPr>
            </w:pPr>
            <w:r>
              <w:rPr>
                <w:b/>
                <w:i/>
              </w:rPr>
              <w:t>3.</w:t>
            </w:r>
            <w:r>
              <w:rPr>
                <w:b/>
                <w:i/>
              </w:rPr>
              <w:tab/>
              <w:t>W koordynacji z organami krajowymi unijne organy, jednostki lub agencje mogą realizować następujące zadania:</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773ED">
            <w:pPr>
              <w:pStyle w:val="Normal6"/>
              <w:rPr>
                <w:szCs w:val="24"/>
              </w:rPr>
            </w:pPr>
            <w:r>
              <w:rPr>
                <w:b/>
                <w:i/>
              </w:rPr>
              <w:t>a)</w:t>
            </w:r>
            <w:r>
              <w:rPr>
                <w:b/>
                <w:i/>
              </w:rPr>
              <w:tab/>
              <w:t xml:space="preserve">zapewniać wsparcie operacyjne na wszystkich etapach </w:t>
            </w:r>
            <w:r>
              <w:rPr>
                <w:b/>
                <w:i/>
              </w:rPr>
              <w:t>procedur azylowych i powrotowych, przydzielając pracowników w terenie, aby:</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773ED">
            <w:pPr>
              <w:pStyle w:val="Normal6"/>
              <w:rPr>
                <w:szCs w:val="24"/>
              </w:rPr>
            </w:pPr>
            <w:r>
              <w:rPr>
                <w:b/>
                <w:i/>
              </w:rPr>
              <w:t>(i)</w:t>
            </w:r>
            <w:r>
              <w:rPr>
                <w:b/>
                <w:i/>
              </w:rPr>
              <w:tab/>
              <w:t>przekazywać osobom ubiegającym się o ochronę międzynarodową w terminowy sposób informacje na temat ich praw proceduralnych i podstawowych;</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5552D">
            <w:pPr>
              <w:pStyle w:val="Normal6"/>
              <w:rPr>
                <w:szCs w:val="24"/>
              </w:rPr>
            </w:pPr>
            <w:r>
              <w:rPr>
                <w:b/>
                <w:i/>
              </w:rPr>
              <w:t>(ii)</w:t>
            </w:r>
            <w:r>
              <w:rPr>
                <w:b/>
                <w:i/>
              </w:rPr>
              <w:tab/>
              <w:t>przeprowadzać oceny narażeni</w:t>
            </w:r>
            <w:r>
              <w:rPr>
                <w:b/>
                <w:i/>
              </w:rPr>
              <w:t>a i kwalifikowalności, aby określić mającą zastosowanie procedurę;</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5552D">
            <w:pPr>
              <w:pStyle w:val="Normal6"/>
              <w:rPr>
                <w:szCs w:val="24"/>
              </w:rPr>
            </w:pPr>
            <w:r>
              <w:rPr>
                <w:b/>
                <w:i/>
              </w:rPr>
              <w:t>(iii)</w:t>
            </w:r>
            <w:r>
              <w:rPr>
                <w:b/>
                <w:i/>
              </w:rPr>
              <w:tab/>
              <w:t>przeprowadzać wywiady i świadczyć usługi tłumaczeń ustnych;</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5552D">
            <w:pPr>
              <w:pStyle w:val="Normal6"/>
              <w:rPr>
                <w:szCs w:val="24"/>
              </w:rPr>
            </w:pPr>
            <w:r>
              <w:rPr>
                <w:b/>
                <w:i/>
              </w:rPr>
              <w:t>(iv)</w:t>
            </w:r>
            <w:r>
              <w:rPr>
                <w:b/>
                <w:i/>
              </w:rPr>
              <w:tab/>
              <w:t>analizować wnioski o azyl i przygotowywać decyzje w pierwszej instancji;</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5552D">
            <w:pPr>
              <w:pStyle w:val="Normal6"/>
              <w:rPr>
                <w:szCs w:val="24"/>
              </w:rPr>
            </w:pPr>
            <w:r>
              <w:rPr>
                <w:b/>
                <w:i/>
              </w:rPr>
              <w:t>(v)</w:t>
            </w:r>
            <w:r>
              <w:rPr>
                <w:b/>
                <w:i/>
              </w:rPr>
              <w:tab/>
              <w:t xml:space="preserve">wspierać organy krajowe w zakresie </w:t>
            </w:r>
            <w:r>
              <w:rPr>
                <w:b/>
                <w:i/>
              </w:rPr>
              <w:t>działań powrotowych;</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5552D">
            <w:pPr>
              <w:pStyle w:val="Normal6"/>
              <w:rPr>
                <w:szCs w:val="24"/>
              </w:rPr>
            </w:pPr>
            <w:r>
              <w:rPr>
                <w:b/>
                <w:i/>
              </w:rPr>
              <w:t>(vi)</w:t>
            </w:r>
            <w:r>
              <w:rPr>
                <w:b/>
                <w:i/>
              </w:rPr>
              <w:tab/>
              <w:t>wspierać organy krajowe i doradzać im w organizacji procedury granicznej i zarządzania nią, w szczególności w odniesieniu do warunków i procesów przyjmowania, ocen narażenia i monitorowania praw podstawowych;</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773ED">
            <w:pPr>
              <w:pStyle w:val="Normal6"/>
              <w:rPr>
                <w:szCs w:val="24"/>
              </w:rPr>
            </w:pPr>
            <w:r>
              <w:rPr>
                <w:b/>
                <w:i/>
              </w:rPr>
              <w:t>b)</w:t>
            </w:r>
            <w:r>
              <w:rPr>
                <w:b/>
                <w:i/>
              </w:rPr>
              <w:tab/>
              <w:t xml:space="preserve">wspierać </w:t>
            </w:r>
            <w:r>
              <w:rPr>
                <w:b/>
                <w:i/>
              </w:rPr>
              <w:t>szkolenie pracowników zaangażowanych w różne etapy procedur granicznych;</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F94324">
            <w:pPr>
              <w:pStyle w:val="Normal6"/>
              <w:rPr>
                <w:szCs w:val="24"/>
              </w:rPr>
            </w:pPr>
            <w:r>
              <w:rPr>
                <w:b/>
                <w:i/>
              </w:rPr>
              <w:t>c)</w:t>
            </w:r>
            <w:r>
              <w:rPr>
                <w:b/>
                <w:i/>
              </w:rPr>
              <w:tab/>
              <w:t>opracowywać analizę ekspercką i wymieniać się wiarygodnymi informacjami na szczeblu Unii, w szczególności w dziedzinie analizy kraju pochodzenia;</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5552D">
            <w:pPr>
              <w:pStyle w:val="Normal6"/>
              <w:rPr>
                <w:szCs w:val="24"/>
              </w:rPr>
            </w:pPr>
            <w:r>
              <w:rPr>
                <w:b/>
                <w:i/>
              </w:rPr>
              <w:t>d)</w:t>
            </w:r>
            <w:r>
              <w:rPr>
                <w:b/>
                <w:i/>
              </w:rPr>
              <w:tab/>
              <w:t>przeprowadzać regularne zad</w:t>
            </w:r>
            <w:r>
              <w:rPr>
                <w:b/>
                <w:i/>
              </w:rPr>
              <w:t>ania związane z monitorowaniem i oceną, w szczególności w odniesieniu do przepisów w sprawie przyjmowania, praw proceduralnych lub środków detencyjnych;</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5552D">
            <w:pPr>
              <w:pStyle w:val="Normal6"/>
              <w:rPr>
                <w:szCs w:val="24"/>
              </w:rPr>
            </w:pPr>
            <w:r>
              <w:rPr>
                <w:b/>
                <w:i/>
              </w:rPr>
              <w:t>e)</w:t>
            </w:r>
            <w:r>
              <w:rPr>
                <w:b/>
                <w:i/>
              </w:rPr>
              <w:tab/>
              <w:t>opracowywać zalecenia dotyczące udoskonalenia i dostosowania procedury granicznej na podstawie dzi</w:t>
            </w:r>
            <w:r>
              <w:rPr>
                <w:b/>
                <w:i/>
              </w:rPr>
              <w:t>ałań dotyczących monitorowania i oceny.</w:t>
            </w:r>
          </w:p>
        </w:tc>
      </w:tr>
      <w:tr w:rsidR="00FA22A3" w:rsidTr="00863A0F">
        <w:trPr>
          <w:jc w:val="center"/>
        </w:trPr>
        <w:tc>
          <w:tcPr>
            <w:tcW w:w="4876" w:type="dxa"/>
          </w:tcPr>
          <w:p w:rsidR="00B04610" w:rsidRPr="002D7B59" w:rsidRDefault="00B04610" w:rsidP="00A5552D">
            <w:pPr>
              <w:pStyle w:val="Normal6"/>
            </w:pPr>
          </w:p>
        </w:tc>
        <w:tc>
          <w:tcPr>
            <w:tcW w:w="4876" w:type="dxa"/>
            <w:hideMark/>
          </w:tcPr>
          <w:p w:rsidR="00B04610" w:rsidRPr="002D7B59" w:rsidRDefault="00CB6874" w:rsidP="00A5552D">
            <w:pPr>
              <w:pStyle w:val="Normal6"/>
              <w:rPr>
                <w:szCs w:val="24"/>
              </w:rPr>
            </w:pPr>
            <w:r>
              <w:rPr>
                <w:b/>
                <w:i/>
              </w:rPr>
              <w:t>4.</w:t>
            </w:r>
            <w:r>
              <w:rPr>
                <w:b/>
                <w:i/>
              </w:rPr>
              <w:tab/>
              <w:t xml:space="preserve">Organizacje międzynarodowe, takie jak Wysoki Komisarz Narodów Zjednoczonych ds. Uchodźców lub Międzynarodowa Organizacja ds. Migracji, mogą, na podstawie swoich mandatów i w koordynacji z państwami </w:t>
            </w:r>
            <w:r>
              <w:rPr>
                <w:b/>
                <w:i/>
              </w:rPr>
              <w:t>członkowskimi, wspierać państwa członkowskie w procedurze granicznej.</w:t>
            </w:r>
          </w:p>
        </w:tc>
      </w:tr>
    </w:tbl>
    <w:p w:rsidR="00863A0F" w:rsidRPr="002D7B59" w:rsidRDefault="00CB6874" w:rsidP="00863A0F">
      <w:pPr>
        <w:pStyle w:val="Olang"/>
        <w:rPr>
          <w:rStyle w:val="HideTWBExt"/>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62</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dotyczący rozporządzenia</w:t>
      </w:r>
      <w:r>
        <w:rPr>
          <w:rStyle w:val="HideTWBExt"/>
          <w:b w:val="0"/>
          <w:noProof w:val="0"/>
        </w:rPr>
        <w:t>&lt;/DocAmend&gt;</w:t>
      </w:r>
    </w:p>
    <w:p w:rsidR="00F278B5" w:rsidRPr="002D7B59" w:rsidRDefault="00CB6874" w:rsidP="00F278B5">
      <w:pPr>
        <w:pStyle w:val="NormalBold"/>
      </w:pPr>
      <w:r>
        <w:rPr>
          <w:rStyle w:val="HideTWBExt"/>
          <w:b w:val="0"/>
          <w:noProof w:val="0"/>
        </w:rPr>
        <w:t>&lt;Article&gt;</w:t>
      </w:r>
      <w:r>
        <w:t xml:space="preserve">Artykuł 57 </w:t>
      </w:r>
      <w:r>
        <w:t>b (nowy)</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22A3" w:rsidTr="00F278B5">
        <w:trPr>
          <w:jc w:val="center"/>
        </w:trPr>
        <w:tc>
          <w:tcPr>
            <w:tcW w:w="9752" w:type="dxa"/>
            <w:gridSpan w:val="2"/>
          </w:tcPr>
          <w:p w:rsidR="00F278B5" w:rsidRPr="002D7B59" w:rsidRDefault="00F278B5">
            <w:pPr>
              <w:keepNext/>
            </w:pPr>
          </w:p>
        </w:tc>
      </w:tr>
      <w:tr w:rsidR="00FA22A3" w:rsidTr="00F278B5">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3958BD">
            <w:pPr>
              <w:pStyle w:val="Normal6"/>
              <w:jc w:val="center"/>
              <w:rPr>
                <w:szCs w:val="24"/>
              </w:rPr>
            </w:pPr>
            <w:r>
              <w:rPr>
                <w:b/>
                <w:i/>
              </w:rPr>
              <w:t>Artykuł 57b</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3958BD">
            <w:pPr>
              <w:pStyle w:val="Normal6"/>
              <w:jc w:val="center"/>
              <w:rPr>
                <w:szCs w:val="24"/>
              </w:rPr>
            </w:pPr>
            <w:r>
              <w:rPr>
                <w:b/>
                <w:i/>
              </w:rPr>
              <w:t>Monitorowanie stosowania procedury granicznej</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1.</w:t>
            </w:r>
            <w:r>
              <w:rPr>
                <w:b/>
                <w:i/>
              </w:rPr>
              <w:tab/>
              <w:t>Komisja regularnie monitoruje stosowanie procedury granicznej, w tym w szczególności następujące aspekty:</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4523C5">
            <w:pPr>
              <w:pStyle w:val="Normal6"/>
              <w:rPr>
                <w:szCs w:val="24"/>
              </w:rPr>
            </w:pPr>
            <w:r>
              <w:rPr>
                <w:b/>
                <w:i/>
              </w:rPr>
              <w:t>a)</w:t>
            </w:r>
            <w:r>
              <w:rPr>
                <w:b/>
                <w:i/>
              </w:rPr>
              <w:tab/>
              <w:t xml:space="preserve">dostęp </w:t>
            </w:r>
            <w:r>
              <w:rPr>
                <w:b/>
                <w:i/>
              </w:rPr>
              <w:t>wszystkich właściwych podmiotów do obiektów wykorzystywanych do celów procedury granicznej;</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b)</w:t>
            </w:r>
            <w:r>
              <w:rPr>
                <w:b/>
                <w:i/>
              </w:rPr>
              <w:tab/>
              <w:t>warunki przyjmowania i wymogi szczególne dotyczące procedury granicznej;</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c)</w:t>
            </w:r>
            <w:r>
              <w:rPr>
                <w:b/>
                <w:i/>
              </w:rPr>
              <w:tab/>
              <w:t>poszanowanie praw proceduralnych, takich jak dostęp do informacji, pomocy prawnej</w:t>
            </w:r>
            <w:r>
              <w:rPr>
                <w:b/>
                <w:i/>
              </w:rPr>
              <w:t xml:space="preserve"> oraz reprezentacji i usług tłumaczeń ustnych lub dostęp do skutecznego środka zaskarżenia;</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d)</w:t>
            </w:r>
            <w:r>
              <w:rPr>
                <w:b/>
                <w:i/>
              </w:rPr>
              <w:tab/>
              <w:t>jakość podejmowania decyzji w procedurze granicznej.</w:t>
            </w:r>
          </w:p>
        </w:tc>
      </w:tr>
      <w:tr w:rsidR="00FA22A3" w:rsidTr="00F278B5">
        <w:trPr>
          <w:jc w:val="center"/>
        </w:trPr>
        <w:tc>
          <w:tcPr>
            <w:tcW w:w="4876" w:type="dxa"/>
          </w:tcPr>
          <w:p w:rsidR="00F278B5" w:rsidRPr="002D7B59" w:rsidRDefault="00F278B5">
            <w:pPr>
              <w:pStyle w:val="Normal6"/>
            </w:pPr>
          </w:p>
        </w:tc>
        <w:tc>
          <w:tcPr>
            <w:tcW w:w="4876" w:type="dxa"/>
            <w:hideMark/>
          </w:tcPr>
          <w:p w:rsidR="00F278B5" w:rsidRPr="002D7B59" w:rsidRDefault="00CB6874" w:rsidP="00BE7601">
            <w:pPr>
              <w:pStyle w:val="Normal6"/>
              <w:rPr>
                <w:szCs w:val="24"/>
              </w:rPr>
            </w:pPr>
            <w:r>
              <w:rPr>
                <w:b/>
                <w:i/>
              </w:rPr>
              <w:t>2.</w:t>
            </w:r>
            <w:r>
              <w:rPr>
                <w:b/>
                <w:i/>
              </w:rPr>
              <w:tab/>
              <w:t xml:space="preserve">Komisja ostrzega państwo członkowskie, w przypadku gdy przepustowość miejsca zgłoszonego zgodnie z </w:t>
            </w:r>
            <w:r>
              <w:rPr>
                <w:b/>
                <w:i/>
              </w:rPr>
              <w:t>art. 41 ust. 14 jest tymczasowo niewystarczająca do rozpatrzenia wniosków osób ubiegających się o ochronę międzynarodową.</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w:t>
      </w:r>
    </w:p>
    <w:p w:rsidR="00F278B5" w:rsidRPr="002D7B59" w:rsidRDefault="00CB6874" w:rsidP="00F278B5">
      <w:pPr>
        <w:pStyle w:val="AMNumberTabs0"/>
        <w:keepNext/>
      </w:pPr>
      <w:r>
        <w:rPr>
          <w:rStyle w:val="HideTWBExt"/>
          <w:b w:val="0"/>
          <w:noProof w:val="0"/>
        </w:rPr>
        <w:t>&lt;Amend&gt;</w:t>
      </w:r>
      <w:r>
        <w:t>Poprawka</w:t>
      </w:r>
      <w:r>
        <w:tab/>
      </w:r>
      <w:r>
        <w:tab/>
      </w:r>
      <w:r>
        <w:rPr>
          <w:rStyle w:val="HideTWBExt"/>
          <w:b w:val="0"/>
          <w:noProof w:val="0"/>
        </w:rPr>
        <w:t>&lt;NumAm&gt;</w:t>
      </w:r>
      <w:r>
        <w:t>63</w:t>
      </w:r>
      <w:r>
        <w:rPr>
          <w:rStyle w:val="HideTWBExt"/>
          <w:b w:val="0"/>
          <w:noProof w:val="0"/>
        </w:rPr>
        <w:t>&lt;/NumAm&gt;</w:t>
      </w:r>
    </w:p>
    <w:p w:rsidR="00F278B5" w:rsidRPr="002D7B59" w:rsidRDefault="00CB6874" w:rsidP="00F278B5">
      <w:pPr>
        <w:pStyle w:val="NormalBold"/>
      </w:pPr>
      <w:r>
        <w:rPr>
          <w:rStyle w:val="HideTWBExt"/>
          <w:b w:val="0"/>
          <w:noProof w:val="0"/>
        </w:rPr>
        <w:t>&lt;Members&gt;</w:t>
      </w:r>
      <w:r>
        <w:t>Fabienne Keller</w:t>
      </w:r>
      <w:r>
        <w:rPr>
          <w:rStyle w:val="HideTWBExt"/>
          <w:b w:val="0"/>
          <w:noProof w:val="0"/>
        </w:rPr>
        <w:t>&lt;/Members&gt;</w:t>
      </w:r>
    </w:p>
    <w:p w:rsidR="00F278B5" w:rsidRPr="002D7B59" w:rsidRDefault="00CB6874" w:rsidP="00F278B5">
      <w:pPr>
        <w:pStyle w:val="NormalBold12b"/>
        <w:keepNext/>
      </w:pPr>
      <w:r>
        <w:rPr>
          <w:rStyle w:val="HideTWBExt"/>
          <w:b w:val="0"/>
          <w:noProof w:val="0"/>
        </w:rPr>
        <w:t>&lt;DocAmend&gt;</w:t>
      </w:r>
      <w:r>
        <w:t>Wniosek doty</w:t>
      </w:r>
      <w:r>
        <w:t>czący rozporządzenia</w:t>
      </w:r>
      <w:r>
        <w:rPr>
          <w:rStyle w:val="HideTWBExt"/>
          <w:b w:val="0"/>
          <w:noProof w:val="0"/>
        </w:rPr>
        <w:t>&lt;/DocAmend&gt;</w:t>
      </w:r>
    </w:p>
    <w:p w:rsidR="00B04610" w:rsidRPr="002D7B59" w:rsidRDefault="00CB6874" w:rsidP="00B04610">
      <w:pPr>
        <w:pStyle w:val="NormalBold"/>
      </w:pPr>
      <w:r>
        <w:rPr>
          <w:rStyle w:val="HideTWBExt"/>
          <w:b w:val="0"/>
          <w:noProof w:val="0"/>
        </w:rPr>
        <w:t>&lt;Article&gt;</w:t>
      </w:r>
      <w:r>
        <w:t>Artykuł 57 c (nowy)</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22A3" w:rsidTr="009D1953">
        <w:trPr>
          <w:jc w:val="center"/>
        </w:trPr>
        <w:tc>
          <w:tcPr>
            <w:tcW w:w="9752" w:type="dxa"/>
            <w:gridSpan w:val="2"/>
          </w:tcPr>
          <w:p w:rsidR="00F278B5" w:rsidRPr="002D7B59" w:rsidRDefault="00F278B5">
            <w:pPr>
              <w:keepNext/>
            </w:pPr>
          </w:p>
        </w:tc>
      </w:tr>
      <w:tr w:rsidR="00FA22A3" w:rsidTr="009D1953">
        <w:trPr>
          <w:jc w:val="center"/>
        </w:trPr>
        <w:tc>
          <w:tcPr>
            <w:tcW w:w="4876" w:type="dxa"/>
            <w:hideMark/>
          </w:tcPr>
          <w:p w:rsidR="00F278B5" w:rsidRPr="002D7B59" w:rsidRDefault="00CB6874">
            <w:pPr>
              <w:pStyle w:val="ColumnHeading"/>
              <w:keepNext/>
            </w:pPr>
            <w:r>
              <w:t>Tekst proponowany przez Komisję</w:t>
            </w:r>
          </w:p>
        </w:tc>
        <w:tc>
          <w:tcPr>
            <w:tcW w:w="4876" w:type="dxa"/>
            <w:hideMark/>
          </w:tcPr>
          <w:p w:rsidR="00F278B5" w:rsidRPr="002D7B59" w:rsidRDefault="00CB6874">
            <w:pPr>
              <w:pStyle w:val="ColumnHeading"/>
              <w:keepNext/>
            </w:pPr>
            <w:r>
              <w:t>Poprawka</w:t>
            </w:r>
          </w:p>
        </w:tc>
      </w:tr>
      <w:tr w:rsidR="00FA22A3" w:rsidTr="009D1953">
        <w:trPr>
          <w:jc w:val="center"/>
        </w:trPr>
        <w:tc>
          <w:tcPr>
            <w:tcW w:w="4876" w:type="dxa"/>
          </w:tcPr>
          <w:p w:rsidR="00F278B5" w:rsidRPr="002D7B59" w:rsidRDefault="00F278B5">
            <w:pPr>
              <w:pStyle w:val="Normal6"/>
            </w:pPr>
          </w:p>
        </w:tc>
        <w:tc>
          <w:tcPr>
            <w:tcW w:w="4876" w:type="dxa"/>
            <w:hideMark/>
          </w:tcPr>
          <w:p w:rsidR="00F278B5" w:rsidRPr="002D7B59" w:rsidRDefault="00CB6874" w:rsidP="00155311">
            <w:pPr>
              <w:pStyle w:val="Normal6"/>
              <w:jc w:val="center"/>
              <w:rPr>
                <w:b/>
                <w:i/>
              </w:rPr>
            </w:pPr>
            <w:r>
              <w:rPr>
                <w:b/>
                <w:i/>
              </w:rPr>
              <w:t>Artykuł 57c</w:t>
            </w:r>
          </w:p>
        </w:tc>
      </w:tr>
      <w:tr w:rsidR="00FA22A3" w:rsidTr="009D1953">
        <w:trPr>
          <w:jc w:val="center"/>
        </w:trPr>
        <w:tc>
          <w:tcPr>
            <w:tcW w:w="4876" w:type="dxa"/>
          </w:tcPr>
          <w:p w:rsidR="00155311" w:rsidRPr="002D7B59" w:rsidRDefault="00155311">
            <w:pPr>
              <w:pStyle w:val="Normal6"/>
            </w:pPr>
          </w:p>
        </w:tc>
        <w:tc>
          <w:tcPr>
            <w:tcW w:w="4876" w:type="dxa"/>
          </w:tcPr>
          <w:p w:rsidR="00155311" w:rsidRPr="002D7B59" w:rsidRDefault="00CB6874" w:rsidP="003958BD">
            <w:pPr>
              <w:pStyle w:val="Normal6"/>
              <w:jc w:val="center"/>
              <w:rPr>
                <w:b/>
                <w:i/>
              </w:rPr>
            </w:pPr>
            <w:r>
              <w:rPr>
                <w:b/>
                <w:i/>
              </w:rPr>
              <w:t>Monitorowanie praw podstawowych w ramach procedury granicznej</w:t>
            </w:r>
          </w:p>
        </w:tc>
      </w:tr>
      <w:tr w:rsidR="00FA22A3" w:rsidTr="009D1953">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1.</w:t>
            </w:r>
            <w:r>
              <w:rPr>
                <w:b/>
                <w:i/>
              </w:rPr>
              <w:tab/>
              <w:t xml:space="preserve">Zarzuty dotyczące naruszania praw podstawowych w </w:t>
            </w:r>
            <w:r>
              <w:rPr>
                <w:b/>
                <w:i/>
              </w:rPr>
              <w:t>odniesieniu do procedury granicznej przeprowadzanej w celu rozpatrzenia wniosku o udzielenie ochrony międzynarodowej zgodnie z art. 41 oraz procedury granicznej mającej na celu przeprowadzenie powrotu zgodnie z art. 41a należy odpowiednio badać w oparciu o</w:t>
            </w:r>
            <w:r>
              <w:rPr>
                <w:b/>
                <w:i/>
              </w:rPr>
              <w:t xml:space="preserve"> niezależny mechanizm monitorowania, o którym mowa w ust. 2 niniejszego artykułu.</w:t>
            </w:r>
          </w:p>
        </w:tc>
      </w:tr>
      <w:tr w:rsidR="00FA22A3" w:rsidTr="009D1953">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2.</w:t>
            </w:r>
            <w:r>
              <w:rPr>
                <w:b/>
                <w:i/>
              </w:rPr>
              <w:tab/>
              <w:t>Komisja ustanawia niezależny mechanizm monitorowania, we współpracy z państwami członkowskimi oraz unijnymi organami, jednostkami i agencjami posiadającymi kompetencje w</w:t>
            </w:r>
            <w:r>
              <w:rPr>
                <w:b/>
                <w:i/>
              </w:rPr>
              <w:t xml:space="preserve"> dziedzinie monitorowania, w szczególności Agencją Praw Podstawowych Unii Europejskiej, Agencją Unii Europejskiej ds. Azylu oraz</w:t>
            </w:r>
            <w:r>
              <w:rPr>
                <w:rStyle w:val="Emphasis"/>
                <w:b/>
              </w:rPr>
              <w:t xml:space="preserve"> Europejską Agencją Straży Granicznej i Przybrzeżnej</w:t>
            </w:r>
            <w:r>
              <w:rPr>
                <w:b/>
                <w:i/>
              </w:rPr>
              <w:t>. Celem tego mechanizmu jest:</w:t>
            </w:r>
          </w:p>
        </w:tc>
      </w:tr>
      <w:tr w:rsidR="00FA22A3" w:rsidTr="009D1953">
        <w:trPr>
          <w:jc w:val="center"/>
        </w:trPr>
        <w:tc>
          <w:tcPr>
            <w:tcW w:w="4876" w:type="dxa"/>
          </w:tcPr>
          <w:p w:rsidR="00F278B5" w:rsidRPr="002D7B59" w:rsidRDefault="00F278B5">
            <w:pPr>
              <w:pStyle w:val="Normal6"/>
            </w:pPr>
          </w:p>
        </w:tc>
        <w:tc>
          <w:tcPr>
            <w:tcW w:w="4876" w:type="dxa"/>
            <w:hideMark/>
          </w:tcPr>
          <w:p w:rsidR="00F278B5" w:rsidRPr="002D7B59" w:rsidRDefault="00CB6874" w:rsidP="00BE7601">
            <w:pPr>
              <w:pStyle w:val="Normal6"/>
              <w:rPr>
                <w:b/>
                <w:i/>
                <w:szCs w:val="24"/>
              </w:rPr>
            </w:pPr>
            <w:r>
              <w:rPr>
                <w:b/>
                <w:i/>
              </w:rPr>
              <w:t xml:space="preserve">a) </w:t>
            </w:r>
            <w:r>
              <w:rPr>
                <w:b/>
                <w:i/>
              </w:rPr>
              <w:tab/>
              <w:t xml:space="preserve">zapewnienie, by wszystkie podmioty </w:t>
            </w:r>
            <w:r>
              <w:rPr>
                <w:b/>
                <w:i/>
              </w:rPr>
              <w:t>zaangażowane w procedurę graniczną przestrzegały prawa Unii i prawa międzynarodowego podczas procedury granicznej;</w:t>
            </w:r>
          </w:p>
        </w:tc>
      </w:tr>
      <w:tr w:rsidR="00FA22A3" w:rsidTr="009D1953">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b/>
                <w:i/>
                <w:szCs w:val="24"/>
              </w:rPr>
            </w:pPr>
            <w:r>
              <w:rPr>
                <w:b/>
                <w:i/>
              </w:rPr>
              <w:t xml:space="preserve">b) </w:t>
            </w:r>
            <w:r>
              <w:rPr>
                <w:b/>
                <w:i/>
              </w:rPr>
              <w:tab/>
              <w:t>zapewnienie zgodności, w stosownych przypadkach, z europejskimi przepisami w sprawie zatrzymywania osób, w szczególności przepisami dot</w:t>
            </w:r>
            <w:r>
              <w:rPr>
                <w:b/>
                <w:i/>
              </w:rPr>
              <w:t>yczącymi podstawy i czasu trwania zatrzymania;</w:t>
            </w:r>
          </w:p>
        </w:tc>
      </w:tr>
      <w:tr w:rsidR="00FA22A3" w:rsidTr="009D1953">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b/>
                <w:i/>
                <w:szCs w:val="24"/>
              </w:rPr>
            </w:pPr>
            <w:r>
              <w:rPr>
                <w:b/>
                <w:i/>
              </w:rPr>
              <w:t xml:space="preserve">c) </w:t>
            </w:r>
            <w:r>
              <w:rPr>
                <w:b/>
                <w:i/>
              </w:rPr>
              <w:tab/>
              <w:t>dopilnowanie, by zarzuty dotyczące naruszania praw podstawowych w związku z udzielaniem azylu i powrotami w ramach procedur granicznych, w tym w odniesieniu do dostępu do procedury azylowej i zasady non-</w:t>
            </w:r>
            <w:r>
              <w:rPr>
                <w:b/>
                <w:i/>
              </w:rPr>
              <w:t>refoulement, były rozpatrywane skutecznie i bez zbędnej zwłoki.</w:t>
            </w:r>
          </w:p>
        </w:tc>
      </w:tr>
      <w:tr w:rsidR="00FA22A3" w:rsidTr="009D1953">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 xml:space="preserve">Komisja wdroży odpowiednie zabezpieczenia, aby zagwarantować </w:t>
            </w:r>
            <w:r>
              <w:rPr>
                <w:b/>
                <w:i/>
              </w:rPr>
              <w:lastRenderedPageBreak/>
              <w:t>niezależność mechanizmów monitorowania, o których mowa w akapicie pierwszym.</w:t>
            </w:r>
          </w:p>
        </w:tc>
      </w:tr>
      <w:tr w:rsidR="00FA22A3" w:rsidTr="009D1953">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b/>
                <w:i/>
                <w:szCs w:val="24"/>
              </w:rPr>
            </w:pPr>
            <w:r>
              <w:rPr>
                <w:b/>
                <w:i/>
              </w:rPr>
              <w:t xml:space="preserve">Agencja Praw Podstawowych Unii Europejskiej </w:t>
            </w:r>
            <w:r>
              <w:rPr>
                <w:b/>
                <w:i/>
              </w:rPr>
              <w:t>zapewnia Komisji ogólne wytyczne dotyczące ustanawiania mechanizmu monitorowania, o którym mowa w akapicie pierwszym, w tym w odniesieniu do niezależnego funkcjonowania mechanizmu, wykorzystywanej metodyki monitorowania i odpowiednich programów szkoleń.</w:t>
            </w:r>
          </w:p>
        </w:tc>
      </w:tr>
      <w:tr w:rsidR="00FA22A3" w:rsidTr="009D1953">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Komisja może zaprosić właściwe organizacje i organy krajowe, międzynarodowe i pozarządowe do udziału w monitorowaniu prowadzonym w oparciu o mechanizm monitorowania, o którym mowa w akapicie pierwszym.</w:t>
            </w:r>
          </w:p>
        </w:tc>
      </w:tr>
      <w:tr w:rsidR="00FA22A3" w:rsidTr="009D1953">
        <w:trPr>
          <w:jc w:val="center"/>
        </w:trPr>
        <w:tc>
          <w:tcPr>
            <w:tcW w:w="4876" w:type="dxa"/>
          </w:tcPr>
          <w:p w:rsidR="00F278B5" w:rsidRPr="002D7B59" w:rsidRDefault="00F278B5">
            <w:pPr>
              <w:pStyle w:val="Normal6"/>
            </w:pPr>
          </w:p>
        </w:tc>
        <w:tc>
          <w:tcPr>
            <w:tcW w:w="4876" w:type="dxa"/>
            <w:hideMark/>
          </w:tcPr>
          <w:p w:rsidR="00F278B5" w:rsidRPr="002D7B59" w:rsidRDefault="00CB6874">
            <w:pPr>
              <w:pStyle w:val="Normal6"/>
              <w:rPr>
                <w:szCs w:val="24"/>
              </w:rPr>
            </w:pPr>
            <w:r>
              <w:rPr>
                <w:b/>
                <w:i/>
              </w:rPr>
              <w:t>3.</w:t>
            </w:r>
            <w:r>
              <w:rPr>
                <w:b/>
                <w:i/>
              </w:rPr>
              <w:tab/>
              <w:t xml:space="preserve">W przypadku gdy w wyniku monitorowania w oparciu </w:t>
            </w:r>
            <w:r>
              <w:rPr>
                <w:b/>
                <w:i/>
              </w:rPr>
              <w:t>o mechanizm monitorowania, o którym mowa w ust. 2, stwierdzone zostaną naruszenia praw podstawowych, Komisja przyjmuje odpowiednie i proporcjonalne kary.</w:t>
            </w:r>
          </w:p>
        </w:tc>
      </w:tr>
    </w:tbl>
    <w:p w:rsidR="00F278B5" w:rsidRPr="002D7B59" w:rsidRDefault="00CB6874" w:rsidP="00F278B5">
      <w:pPr>
        <w:pStyle w:val="Olang"/>
        <w:rPr>
          <w:noProof w:val="0"/>
        </w:rPr>
      </w:pPr>
      <w:r w:rsidRPr="002D7B59">
        <w:rPr>
          <w:noProof w:val="0"/>
        </w:rPr>
        <w:t xml:space="preserve">Or. </w:t>
      </w:r>
      <w:r w:rsidRPr="002D7B59">
        <w:rPr>
          <w:rStyle w:val="HideTWBExt"/>
          <w:noProof w:val="0"/>
        </w:rPr>
        <w:t>&lt;Original&gt;</w:t>
      </w:r>
      <w:r w:rsidRPr="002D7B59">
        <w:rPr>
          <w:rStyle w:val="HideTWBInt"/>
          <w:noProof w:val="0"/>
        </w:rPr>
        <w:t>{EN}</w:t>
      </w:r>
      <w:r w:rsidRPr="002D7B59">
        <w:rPr>
          <w:noProof w:val="0"/>
        </w:rPr>
        <w:t>en</w:t>
      </w:r>
      <w:r w:rsidRPr="002D7B59">
        <w:rPr>
          <w:rStyle w:val="HideTWBExt"/>
          <w:noProof w:val="0"/>
        </w:rPr>
        <w:t>&lt;/Original&gt;</w:t>
      </w:r>
    </w:p>
    <w:p w:rsidR="00F278B5" w:rsidRPr="002D7B59" w:rsidRDefault="00CB6874" w:rsidP="00F278B5">
      <w:r>
        <w:rPr>
          <w:rStyle w:val="HideTWBExt"/>
          <w:noProof w:val="0"/>
        </w:rPr>
        <w:t>&lt;/Amend&gt;&lt;/RepeatBlock-Amend&gt;</w:t>
      </w:r>
    </w:p>
    <w:p w:rsidR="00F278B5" w:rsidRPr="002D7B59" w:rsidRDefault="00F278B5" w:rsidP="00F278B5"/>
    <w:sectPr w:rsidR="00F278B5" w:rsidRPr="002D7B59" w:rsidSect="00321DF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B6874">
      <w:r>
        <w:separator/>
      </w:r>
    </w:p>
  </w:endnote>
  <w:endnote w:type="continuationSeparator" w:id="0">
    <w:p w:rsidR="00000000" w:rsidRDefault="00CB6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DF0" w:rsidRPr="00A51101" w:rsidRDefault="00CB6874" w:rsidP="00321DF0">
    <w:pPr>
      <w:pStyle w:val="EPFooter"/>
      <w:rPr>
        <w:lang w:val="de-DE"/>
      </w:rPr>
    </w:pPr>
    <w:r w:rsidRPr="00A51101">
      <w:rPr>
        <w:lang w:val="de-DE"/>
      </w:rPr>
      <w:t>PE</w:t>
    </w:r>
    <w:r w:rsidRPr="00A51101">
      <w:rPr>
        <w:rStyle w:val="HideTWBExt"/>
        <w:noProof w:val="0"/>
        <w:lang w:val="de-DE"/>
      </w:rPr>
      <w:t>&lt;NoPE&gt;</w:t>
    </w:r>
    <w:r w:rsidRPr="00A51101">
      <w:rPr>
        <w:lang w:val="de-DE"/>
      </w:rPr>
      <w:t>697.689</w:t>
    </w:r>
    <w:r w:rsidRPr="00A51101">
      <w:rPr>
        <w:rStyle w:val="HideTWBExt"/>
        <w:noProof w:val="0"/>
        <w:lang w:val="de-DE"/>
      </w:rPr>
      <w:t>&lt;/NoPE&gt;&lt;Version&gt;</w:t>
    </w:r>
    <w:r w:rsidRPr="00A51101">
      <w:rPr>
        <w:lang w:val="de-DE"/>
      </w:rPr>
      <w:t>v01-00</w:t>
    </w:r>
    <w:r w:rsidRPr="00A51101">
      <w:rPr>
        <w:rStyle w:val="HideTWBExt"/>
        <w:noProof w:val="0"/>
        <w:lang w:val="de-DE"/>
      </w:rPr>
      <w:t>&lt;/Version&gt;</w:t>
    </w:r>
    <w:r w:rsidRPr="00A51101">
      <w:rPr>
        <w:lang w:val="de-DE"/>
      </w:rPr>
      <w:tab/>
    </w:r>
    <w:r w:rsidRPr="002D7B59">
      <w:fldChar w:fldCharType="begin"/>
    </w:r>
    <w:r w:rsidRPr="00A51101">
      <w:rPr>
        <w:lang w:val="de-DE"/>
      </w:rPr>
      <w:instrText xml:space="preserve"> PAGE  \* MERGEFORMAT </w:instrText>
    </w:r>
    <w:r w:rsidRPr="002D7B59">
      <w:fldChar w:fldCharType="separate"/>
    </w:r>
    <w:r>
      <w:rPr>
        <w:noProof/>
        <w:lang w:val="de-DE"/>
      </w:rPr>
      <w:t>2</w:t>
    </w:r>
    <w:r w:rsidRPr="002D7B59">
      <w:fldChar w:fldCharType="end"/>
    </w:r>
    <w:r w:rsidRPr="00A51101">
      <w:rPr>
        <w:lang w:val="de-DE"/>
      </w:rPr>
      <w:t>/</w:t>
    </w:r>
    <w:r w:rsidR="00175E3F">
      <w:fldChar w:fldCharType="begin"/>
    </w:r>
    <w:r w:rsidR="00175E3F" w:rsidRPr="00A51101">
      <w:rPr>
        <w:lang w:val="de-DE"/>
      </w:rPr>
      <w:instrText xml:space="preserve"> NUMPAGES  \* MERGEFORMAT </w:instrText>
    </w:r>
    <w:r w:rsidR="00175E3F">
      <w:fldChar w:fldCharType="separate"/>
    </w:r>
    <w:r>
      <w:rPr>
        <w:noProof/>
        <w:lang w:val="de-DE"/>
      </w:rPr>
      <w:t>53</w:t>
    </w:r>
    <w:r w:rsidR="00175E3F">
      <w:fldChar w:fldCharType="end"/>
    </w:r>
    <w:r w:rsidRPr="00A51101">
      <w:rPr>
        <w:lang w:val="de-DE"/>
      </w:rPr>
      <w:tab/>
    </w:r>
    <w:r w:rsidRPr="00A51101">
      <w:rPr>
        <w:rStyle w:val="HideTWBExt"/>
        <w:noProof w:val="0"/>
        <w:lang w:val="de-DE"/>
      </w:rPr>
      <w:t>&lt;PathFdR&gt;</w:t>
    </w:r>
    <w:r w:rsidRPr="00A51101">
      <w:rPr>
        <w:lang w:val="de-DE"/>
      </w:rPr>
      <w:t>AM\1240207PL.docx</w:t>
    </w:r>
    <w:r w:rsidRPr="00A51101">
      <w:rPr>
        <w:rStyle w:val="HideTWBExt"/>
        <w:noProof w:val="0"/>
        <w:lang w:val="de-DE"/>
      </w:rPr>
      <w:t>&lt;/PathFdR&gt;</w:t>
    </w:r>
  </w:p>
  <w:p w:rsidR="0061749A" w:rsidRPr="002D7B59" w:rsidRDefault="00CB6874" w:rsidP="00321DF0">
    <w:pPr>
      <w:pStyle w:val="EPFooter2"/>
    </w:pPr>
    <w:r w:rsidRPr="002D7B59">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DF0" w:rsidRPr="00A51101" w:rsidRDefault="00CB6874" w:rsidP="00321DF0">
    <w:pPr>
      <w:pStyle w:val="EPFooter"/>
      <w:rPr>
        <w:lang w:val="de-DE"/>
      </w:rPr>
    </w:pPr>
    <w:r w:rsidRPr="00A51101">
      <w:rPr>
        <w:rStyle w:val="HideTWBExt"/>
        <w:noProof w:val="0"/>
        <w:lang w:val="de-DE"/>
      </w:rPr>
      <w:t>&lt;PathFdR&gt;</w:t>
    </w:r>
    <w:r w:rsidRPr="00A51101">
      <w:rPr>
        <w:lang w:val="de-DE"/>
      </w:rPr>
      <w:t>AM\1240207PL.docx</w:t>
    </w:r>
    <w:r w:rsidRPr="00A51101">
      <w:rPr>
        <w:rStyle w:val="HideTWBExt"/>
        <w:noProof w:val="0"/>
        <w:lang w:val="de-DE"/>
      </w:rPr>
      <w:t>&lt;/PathFdR&gt;</w:t>
    </w:r>
    <w:r w:rsidRPr="00A51101">
      <w:rPr>
        <w:lang w:val="de-DE"/>
      </w:rPr>
      <w:tab/>
    </w:r>
    <w:r w:rsidRPr="002D7B59">
      <w:fldChar w:fldCharType="begin"/>
    </w:r>
    <w:r w:rsidRPr="00A51101">
      <w:rPr>
        <w:lang w:val="de-DE"/>
      </w:rPr>
      <w:instrText xml:space="preserve"> PAGE  \* MERGEFORMAT </w:instrText>
    </w:r>
    <w:r w:rsidRPr="002D7B59">
      <w:fldChar w:fldCharType="separate"/>
    </w:r>
    <w:r>
      <w:rPr>
        <w:noProof/>
        <w:lang w:val="de-DE"/>
      </w:rPr>
      <w:t>53</w:t>
    </w:r>
    <w:r w:rsidRPr="002D7B59">
      <w:fldChar w:fldCharType="end"/>
    </w:r>
    <w:r w:rsidRPr="00A51101">
      <w:rPr>
        <w:lang w:val="de-DE"/>
      </w:rPr>
      <w:t>/</w:t>
    </w:r>
    <w:r w:rsidR="00175E3F">
      <w:fldChar w:fldCharType="begin"/>
    </w:r>
    <w:r w:rsidR="00175E3F" w:rsidRPr="00A51101">
      <w:rPr>
        <w:lang w:val="de-DE"/>
      </w:rPr>
      <w:instrText xml:space="preserve"> NUMPAGES  \* MERGEFORMAT </w:instrText>
    </w:r>
    <w:r w:rsidR="00175E3F">
      <w:fldChar w:fldCharType="separate"/>
    </w:r>
    <w:r>
      <w:rPr>
        <w:noProof/>
        <w:lang w:val="de-DE"/>
      </w:rPr>
      <w:t>53</w:t>
    </w:r>
    <w:r w:rsidR="00175E3F">
      <w:fldChar w:fldCharType="end"/>
    </w:r>
    <w:r w:rsidRPr="00A51101">
      <w:rPr>
        <w:lang w:val="de-DE"/>
      </w:rPr>
      <w:tab/>
      <w:t>PE</w:t>
    </w:r>
    <w:r w:rsidRPr="00A51101">
      <w:rPr>
        <w:rStyle w:val="HideTWBExt"/>
        <w:noProof w:val="0"/>
        <w:lang w:val="de-DE"/>
      </w:rPr>
      <w:t>&lt;NoPE&gt;</w:t>
    </w:r>
    <w:r w:rsidRPr="00A51101">
      <w:rPr>
        <w:lang w:val="de-DE"/>
      </w:rPr>
      <w:t>697.689</w:t>
    </w:r>
    <w:r w:rsidRPr="00A51101">
      <w:rPr>
        <w:rStyle w:val="HideTWBExt"/>
        <w:noProof w:val="0"/>
        <w:lang w:val="de-DE"/>
      </w:rPr>
      <w:t>&lt;/NoPE&gt;&lt;Version&gt;</w:t>
    </w:r>
    <w:r w:rsidRPr="00A51101">
      <w:rPr>
        <w:lang w:val="de-DE"/>
      </w:rPr>
      <w:t>v01-00</w:t>
    </w:r>
    <w:r w:rsidRPr="00A51101">
      <w:rPr>
        <w:rStyle w:val="HideTWBExt"/>
        <w:noProof w:val="0"/>
        <w:lang w:val="de-DE"/>
      </w:rPr>
      <w:t>&lt;/Version&gt;</w:t>
    </w:r>
  </w:p>
  <w:p w:rsidR="0061749A" w:rsidRPr="002D7B59" w:rsidRDefault="00CB6874" w:rsidP="00321DF0">
    <w:pPr>
      <w:pStyle w:val="EPFooter2"/>
    </w:pPr>
    <w:r w:rsidRPr="00A51101">
      <w:rPr>
        <w:lang w:val="de-DE"/>
      </w:rPr>
      <w:tab/>
    </w:r>
    <w:r w:rsidRPr="00A51101">
      <w:rPr>
        <w:lang w:val="de-DE"/>
      </w:rPr>
      <w:tab/>
    </w:r>
    <w:r w:rsidRPr="002D7B59">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DF0" w:rsidRPr="00A51101" w:rsidRDefault="00CB6874" w:rsidP="00321DF0">
    <w:pPr>
      <w:pStyle w:val="EPFooter"/>
      <w:rPr>
        <w:lang w:val="de-DE"/>
      </w:rPr>
    </w:pPr>
    <w:r w:rsidRPr="00A51101">
      <w:rPr>
        <w:rStyle w:val="HideTWBExt"/>
        <w:noProof w:val="0"/>
        <w:lang w:val="de-DE"/>
      </w:rPr>
      <w:t>&lt;PathFdR&gt;</w:t>
    </w:r>
    <w:r w:rsidRPr="00A51101">
      <w:rPr>
        <w:lang w:val="de-DE"/>
      </w:rPr>
      <w:t>AM\1240207PL.docx</w:t>
    </w:r>
    <w:r w:rsidRPr="00A51101">
      <w:rPr>
        <w:rStyle w:val="HideTWBExt"/>
        <w:noProof w:val="0"/>
        <w:lang w:val="de-DE"/>
      </w:rPr>
      <w:t>&lt;/PathFdR&gt;</w:t>
    </w:r>
    <w:r w:rsidRPr="00A51101">
      <w:rPr>
        <w:lang w:val="de-DE"/>
      </w:rPr>
      <w:tab/>
    </w:r>
    <w:r w:rsidRPr="00A51101">
      <w:rPr>
        <w:lang w:val="de-DE"/>
      </w:rPr>
      <w:tab/>
      <w:t>PE</w:t>
    </w:r>
    <w:r w:rsidRPr="00A51101">
      <w:rPr>
        <w:rStyle w:val="HideTWBExt"/>
        <w:noProof w:val="0"/>
        <w:lang w:val="de-DE"/>
      </w:rPr>
      <w:t>&lt;NoPE&gt;</w:t>
    </w:r>
    <w:r w:rsidRPr="00A51101">
      <w:rPr>
        <w:lang w:val="de-DE"/>
      </w:rPr>
      <w:t>697.689</w:t>
    </w:r>
    <w:r w:rsidRPr="00A51101">
      <w:rPr>
        <w:rStyle w:val="HideTWBExt"/>
        <w:noProof w:val="0"/>
        <w:lang w:val="de-DE"/>
      </w:rPr>
      <w:t>&lt;/NoPE&gt;&lt;Version&gt;</w:t>
    </w:r>
    <w:r w:rsidRPr="00A51101">
      <w:rPr>
        <w:lang w:val="de-DE"/>
      </w:rPr>
      <w:t>v01-00</w:t>
    </w:r>
    <w:r w:rsidRPr="00A51101">
      <w:rPr>
        <w:rStyle w:val="HideTWBExt"/>
        <w:noProof w:val="0"/>
        <w:lang w:val="de-DE"/>
      </w:rPr>
      <w:t>&lt;/Version&gt;</w:t>
    </w:r>
  </w:p>
  <w:p w:rsidR="0061749A" w:rsidRPr="002D7B59" w:rsidRDefault="00CB6874" w:rsidP="00321DF0">
    <w:pPr>
      <w:pStyle w:val="EPFooter2"/>
    </w:pPr>
    <w:r w:rsidRPr="002D7B59">
      <w:t>PL</w:t>
    </w:r>
    <w:r w:rsidRPr="002D7B59">
      <w:tab/>
    </w:r>
    <w:r w:rsidRPr="002D7B59">
      <w:rPr>
        <w:b w:val="0"/>
        <w:i/>
        <w:color w:val="C0C0C0"/>
        <w:sz w:val="22"/>
      </w:rPr>
      <w:t>Zjednoczona w różnorodności</w:t>
    </w:r>
    <w:r w:rsidRPr="002D7B59">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B6874">
      <w:r>
        <w:separator/>
      </w:r>
    </w:p>
  </w:footnote>
  <w:footnote w:type="continuationSeparator" w:id="0">
    <w:p w:rsidR="00000000" w:rsidRDefault="00CB6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101" w:rsidRDefault="00A511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101" w:rsidRDefault="00A511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101" w:rsidRDefault="00A511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PL"/>
    <w:docVar w:name="TXTLANGUEMIN" w:val="pl"/>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PL.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A16FF"/>
    <w:rsid w:val="000B0781"/>
    <w:rsid w:val="000D446F"/>
    <w:rsid w:val="000E708D"/>
    <w:rsid w:val="000E7234"/>
    <w:rsid w:val="000F2A80"/>
    <w:rsid w:val="000F7815"/>
    <w:rsid w:val="00107424"/>
    <w:rsid w:val="00126BC4"/>
    <w:rsid w:val="00147421"/>
    <w:rsid w:val="00147E0D"/>
    <w:rsid w:val="00150057"/>
    <w:rsid w:val="0015078D"/>
    <w:rsid w:val="001507AB"/>
    <w:rsid w:val="00153B49"/>
    <w:rsid w:val="00155311"/>
    <w:rsid w:val="00156E26"/>
    <w:rsid w:val="00166CCB"/>
    <w:rsid w:val="00175E3F"/>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D7B59"/>
    <w:rsid w:val="002E3F68"/>
    <w:rsid w:val="002E4311"/>
    <w:rsid w:val="002E6B4F"/>
    <w:rsid w:val="002F150F"/>
    <w:rsid w:val="002F4CA4"/>
    <w:rsid w:val="003003A7"/>
    <w:rsid w:val="0030087B"/>
    <w:rsid w:val="003045CA"/>
    <w:rsid w:val="00315664"/>
    <w:rsid w:val="00321DF0"/>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D1953"/>
    <w:rsid w:val="009E2963"/>
    <w:rsid w:val="009F230F"/>
    <w:rsid w:val="009F3AD3"/>
    <w:rsid w:val="00A15973"/>
    <w:rsid w:val="00A233E9"/>
    <w:rsid w:val="00A237A5"/>
    <w:rsid w:val="00A46736"/>
    <w:rsid w:val="00A507FC"/>
    <w:rsid w:val="00A51101"/>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6874"/>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36FC"/>
    <w:rsid w:val="00D755F1"/>
    <w:rsid w:val="00D767AC"/>
    <w:rsid w:val="00D82FCC"/>
    <w:rsid w:val="00D87B31"/>
    <w:rsid w:val="00DA4CF9"/>
    <w:rsid w:val="00DB429F"/>
    <w:rsid w:val="00DB65C2"/>
    <w:rsid w:val="00DC4160"/>
    <w:rsid w:val="00DC6A1B"/>
    <w:rsid w:val="00DE672F"/>
    <w:rsid w:val="00E067CD"/>
    <w:rsid w:val="00E15A86"/>
    <w:rsid w:val="00E25DC5"/>
    <w:rsid w:val="00E3684C"/>
    <w:rsid w:val="00E44BB0"/>
    <w:rsid w:val="00E471BE"/>
    <w:rsid w:val="00E57F50"/>
    <w:rsid w:val="00E660E2"/>
    <w:rsid w:val="00EA25AE"/>
    <w:rsid w:val="00EB3A71"/>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22A3"/>
    <w:rsid w:val="00FA4DA4"/>
    <w:rsid w:val="00FC1B08"/>
    <w:rsid w:val="00FC4670"/>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9D8E75"/>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pl-PL"/>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pl-PL"/>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11307</Words>
  <Characters>74684</Characters>
  <Application>Microsoft Office Word</Application>
  <DocSecurity>0</DocSecurity>
  <Lines>2894</Lines>
  <Paragraphs>622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2021-10-25T12:05:00Z</dcterms:created>
  <dcterms:modified xsi:type="dcterms:W3CDTF">2021-10-25T12:05:00Z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1240207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AM\1240207PL.docx</vt:lpwstr>
  </property>
  <property fmtid="{D5CDD505-2E9C-101B-9397-08002B2CF9AE}" pid="10" name="LastEdited with">
    <vt:lpwstr>9.11.0 Build [20210902]</vt:lpwstr>
  </property>
  <property fmtid="{D5CDD505-2E9C-101B-9397-08002B2CF9AE}" pid="11" name="PE number">
    <vt:lpwstr>697.689</vt:lpwstr>
  </property>
  <property fmtid="{D5CDD505-2E9C-101B-9397-08002B2CF9AE}" pid="12" name="SDLStudio">
    <vt:lpwstr/>
  </property>
  <property fmtid="{D5CDD505-2E9C-101B-9397-08002B2CF9AE}" pid="13" name="SendToEpades">
    <vt:lpwstr>OK - 2021/10/11 13:45</vt:lpwstr>
  </property>
  <property fmtid="{D5CDD505-2E9C-101B-9397-08002B2CF9AE}" pid="14" name="Bookout">
    <vt:lpwstr>OK - 2021/10/25 14:04</vt:lpwstr>
  </property>
</Properties>
</file>