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Evropský parlament</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51576"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{LIBE}</w:t>
      </w:r>
      <w:r>
        <w:t>Výbor pro občanské svobody, spravedlnost a vnitřní věci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26/01/2022</w:t>
      </w:r>
      <w:r>
        <w:rPr>
          <w:rStyle w:val="HideTWBInt"/>
        </w:rPr>
        <w:t>}</w:t>
      </w:r>
      <w:r>
        <w:t>26. 1. 2022</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POZMĚŇOVACÍ NÁVRHY</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145 - 444</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Návrh zprávy</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Birgit Sippel</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PE700.425v01-00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Zavádění prověřování státních příslušníků třetích zemí na vnějších hranicích a změna nařízení (ES) č. 767/2008, (EU) 2017/2226, (EU) 2018/1240 a (EU) 2019/817</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COM(2020)0612</w:t>
      </w:r>
      <w:r>
        <w:t xml:space="preserve"> – </w:t>
      </w:r>
      <w:r>
        <w:t>C9-0307/2020</w:t>
      </w:r>
      <w:r>
        <w:t xml:space="preserve"> – </w:t>
      </w:r>
      <w:r>
        <w:t>2020/0278(COD)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t xml:space="preserve">, </w:t>
      </w:r>
      <w:r>
        <w:t>Malin Björk</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p>
        </w:tc>
        <w:tc>
          <w:tcPr>
            <w:tcW w:w="4876" w:type="dxa"/>
            <w:vAlign w:val="top"/>
          </w:tcPr>
          <w:p>
            <w:pPr>
              <w:pStyle w:val="AmColumnHeading"/>
            </w:pPr>
            <w:r>
              <w:t>Návrh na zamítnutí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AmColumnHeading"/>
            </w:pPr>
          </w:p>
        </w:tc>
        <w:tc>
          <w:tcPr>
            <w:tcW w:w="4876" w:type="dxa"/>
            <w:vAlign w:val="top"/>
          </w:tcPr>
          <w:p>
            <w:pPr>
              <w:pStyle w:val="Normal6a"/>
            </w:pPr>
            <w:r>
              <w:rPr>
                <w:rStyle w:val="BoldItalic"/>
              </w:rPr>
              <w:t>Evropský parlament zamítá návrh Komise.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Hlava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Návrh</w:t>
            </w:r>
          </w:p>
          <w:p>
            <w:pPr>
              <w:pStyle w:val="Normal6a"/>
            </w:pPr>
            <w:r>
              <w:t>NAŘÍZENÍ EVROPSKÉHO PARLAMENTU A RADY</w:t>
            </w:r>
            <w:r>
              <w:rPr>
                <w:b/>
                <w:i/>
                <w:strike w:val="0"/>
                <w:color w:val="auto"/>
                <w:highlight w:val="none"/>
                <w:u w:val="none" w:color="auto"/>
                <w:vertAlign w:val="baseline"/>
              </w:rPr>
              <w:t>,</w:t>
            </w:r>
          </w:p>
          <w:p>
            <w:pPr>
              <w:pStyle w:val="Normal6a"/>
            </w:pPr>
            <w:r>
              <w:t xml:space="preserve">kterým se zavádí prověřování státních příslušníků třetích zemí na vnějších hranicích a mění nařízení </w:t>
            </w:r>
            <w:r>
              <w:rPr>
                <w:b/>
                <w:i/>
                <w:strike w:val="0"/>
                <w:color w:val="auto"/>
                <w:highlight w:val="none"/>
                <w:u w:val="none" w:color="auto"/>
                <w:vertAlign w:val="baseline"/>
              </w:rPr>
              <w:t>(ES) č. 767/2008, (EU) 2017/2226, (EU) 2018/1240 a</w:t>
            </w:r>
            <w:r>
              <w:t xml:space="preserve"> (EU) 2019/817</w:t>
            </w:r>
          </w:p>
        </w:tc>
        <w:tc>
          <w:tcPr>
            <w:tcW w:w="4876" w:type="dxa"/>
            <w:vAlign w:val="top"/>
          </w:tcPr>
          <w:p>
            <w:pPr>
              <w:pStyle w:val="Normal6a"/>
            </w:pPr>
            <w:r>
              <w:t>Návrh</w:t>
            </w:r>
          </w:p>
          <w:p>
            <w:pPr>
              <w:pStyle w:val="Normal6a"/>
            </w:pPr>
            <w:r>
              <w:t>NAŘÍZENÍ EVROPSKÉHO PARLAMENTU A RADY</w:t>
            </w:r>
          </w:p>
          <w:p>
            <w:pPr>
              <w:pStyle w:val="Normal6a"/>
            </w:pPr>
            <w:r>
              <w:t>kterým se zavádí prověřování státních příslušníků třetích zemí na vnějších hranicích a mění nařízení (EU) 2019/817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s ohledem na Smlouvu o fungování Evropské unie, a zejména na čl. 77 odst. 2 písm. b) a</w:t>
            </w:r>
            <w:r>
              <w:rPr>
                <w:b/>
                <w:i/>
                <w:strike w:val="0"/>
                <w:color w:val="auto"/>
                <w:highlight w:val="none"/>
                <w:u w:val="none" w:color="auto"/>
                <w:vertAlign w:val="baseline"/>
              </w:rPr>
              <w:t xml:space="preserve"> d)</w:t>
            </w:r>
            <w:r>
              <w:t xml:space="preserve"> této smlouvy,</w:t>
            </w:r>
          </w:p>
        </w:tc>
        <w:tc>
          <w:tcPr>
            <w:tcW w:w="4876" w:type="dxa"/>
            <w:vAlign w:val="top"/>
          </w:tcPr>
          <w:p>
            <w:pPr>
              <w:pStyle w:val="Normal6a"/>
            </w:pPr>
            <w:r>
              <w:t>s ohledem na Smlouvu o fungování Evropské unie, a zejména na čl. 77 odst. 2 písm. b) a</w:t>
            </w:r>
            <w:r>
              <w:rPr>
                <w:b/>
                <w:i/>
                <w:strike w:val="0"/>
                <w:color w:val="auto"/>
                <w:highlight w:val="none"/>
                <w:u w:val="none" w:color="auto"/>
                <w:vertAlign w:val="baseline"/>
              </w:rPr>
              <w:t> d) a čl. 78 odst. 2 písm. e)</w:t>
            </w:r>
            <w:r>
              <w:t xml:space="preserve"> této smlouvy,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s ohledem na Smlouvu o fungování Evropské unie, a zejména na čl. 77 odst. 2 písm. b) a</w:t>
            </w:r>
            <w:r>
              <w:rPr>
                <w:b/>
                <w:i/>
                <w:strike w:val="0"/>
                <w:color w:val="auto"/>
                <w:highlight w:val="none"/>
                <w:u w:val="none" w:color="auto"/>
                <w:vertAlign w:val="baseline"/>
              </w:rPr>
              <w:t xml:space="preserve"> d)</w:t>
            </w:r>
            <w:r>
              <w:t xml:space="preserve"> této smlouvy,</w:t>
            </w:r>
          </w:p>
        </w:tc>
        <w:tc>
          <w:tcPr>
            <w:tcW w:w="4876" w:type="dxa"/>
            <w:vAlign w:val="top"/>
          </w:tcPr>
          <w:p>
            <w:pPr>
              <w:pStyle w:val="Normal6a"/>
            </w:pPr>
            <w:r>
              <w:t>s ohledem na Smlouvu o fungování Evropské unie, a zejména na čl. 77 odst. 2 písm. b) a</w:t>
            </w:r>
            <w:r>
              <w:rPr>
                <w:b/>
                <w:i/>
                <w:strike w:val="0"/>
                <w:color w:val="auto"/>
                <w:highlight w:val="none"/>
                <w:u w:val="none" w:color="auto"/>
                <w:vertAlign w:val="baseline"/>
              </w:rPr>
              <w:t> d) a čl. 78 odst. 2 písm. e)</w:t>
            </w:r>
            <w:r>
              <w:t xml:space="preserve"> této smlouvy,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Schengenský prostor byl vytvořen za účelem </w:t>
            </w:r>
            <w:r>
              <w:rPr>
                <w:b/>
                <w:i/>
                <w:strike w:val="0"/>
                <w:color w:val="auto"/>
                <w:highlight w:val="none"/>
                <w:u w:val="none" w:color="auto"/>
                <w:vertAlign w:val="baseline"/>
              </w:rPr>
              <w:t>dosažení cíle Unie vytvořit prostor</w:t>
            </w:r>
            <w:r>
              <w:t xml:space="preserve"> bez vnitřních hranic, v němž je zaručen volný pohyb </w:t>
            </w:r>
            <w:r>
              <w:rPr>
                <w:b/>
                <w:i/>
                <w:strike w:val="0"/>
                <w:color w:val="auto"/>
                <w:highlight w:val="none"/>
                <w:u w:val="none" w:color="auto"/>
                <w:vertAlign w:val="baseline"/>
              </w:rPr>
              <w:t>osob, jak je stanoveno v čl. 3 odst. 2 Smlouvy o Evropské unii. Dobré</w:t>
            </w:r>
            <w:r>
              <w:t xml:space="preserve"> fungování </w:t>
            </w:r>
            <w:r>
              <w:rPr>
                <w:b/>
                <w:i/>
                <w:strike w:val="0"/>
                <w:color w:val="auto"/>
                <w:highlight w:val="none"/>
                <w:u w:val="none" w:color="auto"/>
                <w:vertAlign w:val="baseline"/>
              </w:rPr>
              <w:t>tohoto</w:t>
            </w:r>
            <w:r>
              <w:t xml:space="preserve"> prostoru závisí na vzájemné důvěře mezi členskými státy a </w:t>
            </w:r>
            <w:r>
              <w:rPr>
                <w:b/>
                <w:i/>
                <w:strike w:val="0"/>
                <w:color w:val="auto"/>
                <w:highlight w:val="none"/>
                <w:u w:val="none" w:color="auto"/>
                <w:vertAlign w:val="baseline"/>
              </w:rPr>
              <w:t>účinné správě</w:t>
            </w:r>
            <w:r>
              <w:t xml:space="preserve"> vnějších </w:t>
            </w:r>
            <w:r>
              <w:rPr>
                <w:b/>
                <w:i/>
                <w:strike w:val="0"/>
                <w:color w:val="auto"/>
                <w:highlight w:val="none"/>
                <w:u w:val="none" w:color="auto"/>
                <w:vertAlign w:val="baseline"/>
              </w:rPr>
              <w:t>hranic</w:t>
            </w:r>
            <w:r>
              <w:t>.</w:t>
            </w:r>
          </w:p>
        </w:tc>
        <w:tc>
          <w:tcPr>
            <w:tcW w:w="4876" w:type="dxa"/>
            <w:vAlign w:val="top"/>
          </w:tcPr>
          <w:p>
            <w:pPr>
              <w:pStyle w:val="Normal6a"/>
            </w:pPr>
            <w:r>
              <w:t>(1)</w:t>
            </w:r>
            <w:r>
              <w:tab/>
            </w:r>
            <w:r>
              <w:t xml:space="preserve">Schengenský prostor byl vytvořen za účelem </w:t>
            </w:r>
            <w:r>
              <w:rPr>
                <w:b/>
                <w:i/>
                <w:strike w:val="0"/>
                <w:color w:val="auto"/>
                <w:highlight w:val="none"/>
                <w:u w:val="none" w:color="auto"/>
                <w:vertAlign w:val="baseline"/>
              </w:rPr>
              <w:t>vytvoření prostoru</w:t>
            </w:r>
            <w:r>
              <w:t xml:space="preserve"> bez vnitřních hranic, v němž je zaručen volný pohyb</w:t>
            </w:r>
            <w:r>
              <w:rPr>
                <w:b/>
                <w:i/>
                <w:strike w:val="0"/>
                <w:color w:val="auto"/>
                <w:highlight w:val="none"/>
                <w:u w:val="none" w:color="auto"/>
                <w:vertAlign w:val="baseline"/>
              </w:rPr>
              <w:t>.</w:t>
            </w:r>
            <w:r>
              <w:t xml:space="preserve"> </w:t>
            </w:r>
            <w:r>
              <w:rPr>
                <w:b/>
                <w:i/>
                <w:strike w:val="0"/>
                <w:color w:val="auto"/>
                <w:highlight w:val="none"/>
                <w:u w:val="none" w:color="auto"/>
                <w:vertAlign w:val="baseline"/>
              </w:rPr>
              <w:t>Důvěra veřejnosti a</w:t>
            </w:r>
            <w:r>
              <w:t xml:space="preserve"> fungování </w:t>
            </w:r>
            <w:r>
              <w:rPr>
                <w:b/>
                <w:i/>
                <w:strike w:val="0"/>
                <w:color w:val="auto"/>
                <w:highlight w:val="none"/>
                <w:u w:val="none" w:color="auto"/>
                <w:vertAlign w:val="baseline"/>
              </w:rPr>
              <w:t>schengenského</w:t>
            </w:r>
            <w:r>
              <w:t xml:space="preserve"> prostoru závisí na vzájemné důvěře mezi členskými státy a </w:t>
            </w:r>
            <w:r>
              <w:rPr>
                <w:b/>
                <w:i/>
                <w:strike w:val="0"/>
                <w:color w:val="auto"/>
                <w:highlight w:val="none"/>
                <w:u w:val="none" w:color="auto"/>
                <w:vertAlign w:val="baseline"/>
              </w:rPr>
              <w:t>bezpečně a účinně spravovaných</w:t>
            </w:r>
            <w:r>
              <w:t xml:space="preserve"> vnějších </w:t>
            </w:r>
            <w:r>
              <w:rPr>
                <w:b/>
                <w:i/>
                <w:strike w:val="0"/>
                <w:color w:val="auto"/>
                <w:highlight w:val="none"/>
                <w:u w:val="none" w:color="auto"/>
                <w:vertAlign w:val="baseline"/>
              </w:rPr>
              <w:t>hranicích</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Schengenský prostor byl vytvořen za účelem dosažení cíle Unie vytvořit prostor bez vnitřních hranic, v němž je zaručen volný pohyb osob, jak je stanoveno v čl. 3 odst. 2 Smlouvy o Evropské unii. Dobré fungování tohoto prostoru závisí na vzájemné důvěře mezi členskými státy a </w:t>
            </w:r>
            <w:r>
              <w:rPr>
                <w:b/>
                <w:i/>
                <w:strike w:val="0"/>
                <w:color w:val="auto"/>
                <w:highlight w:val="none"/>
                <w:u w:val="none" w:color="auto"/>
                <w:vertAlign w:val="baseline"/>
              </w:rPr>
              <w:t>účinné</w:t>
            </w:r>
            <w:r>
              <w:t xml:space="preserve"> správě vnějších hranic.</w:t>
            </w:r>
          </w:p>
        </w:tc>
        <w:tc>
          <w:tcPr>
            <w:tcW w:w="4876" w:type="dxa"/>
            <w:vAlign w:val="top"/>
          </w:tcPr>
          <w:p>
            <w:pPr>
              <w:pStyle w:val="Normal6a"/>
            </w:pPr>
            <w:r>
              <w:t>(1)</w:t>
            </w:r>
            <w:r>
              <w:tab/>
            </w:r>
            <w:r>
              <w:t xml:space="preserve">Schengenský prostor byl vytvořen za účelem dosažení cíle Unie vytvořit prostor bez vnitřních hranic, v němž je zaručen volný pohyb osob, jak je stanoveno v čl. 3 odst. 2 Smlouvy o Evropské unii. Dobré fungování tohoto prostoru závisí na vzájemné důvěře mezi členskými státy a správě vnějších hranic </w:t>
            </w:r>
            <w:r>
              <w:rPr>
                <w:b/>
                <w:i/>
                <w:strike w:val="0"/>
                <w:color w:val="auto"/>
                <w:highlight w:val="none"/>
                <w:u w:val="none" w:color="auto"/>
                <w:vertAlign w:val="baseline"/>
              </w:rPr>
              <w:t>a plném dodržování základních práv během všech souvisejících opatření a postupů</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Schengenský prostor byl vytvořen za účelem dosažení cíle Unie vytvořit prostor bez vnitřních hranic, v němž je zaručen volný pohyb osob, jak je stanoveno v čl. 3 odst. 2 Smlouvy o Evropské unii. Dobré fungování tohoto prostoru závisí na vzájemné důvěře </w:t>
            </w:r>
            <w:r>
              <w:rPr>
                <w:b/>
                <w:i/>
                <w:strike w:val="0"/>
                <w:color w:val="auto"/>
                <w:highlight w:val="none"/>
                <w:u w:val="none" w:color="auto"/>
                <w:vertAlign w:val="baseline"/>
              </w:rPr>
              <w:t>mezi členskými</w:t>
            </w:r>
            <w:r>
              <w:t xml:space="preserve"> státy a účinné správě vnějších hranic.</w:t>
            </w:r>
          </w:p>
        </w:tc>
        <w:tc>
          <w:tcPr>
            <w:tcW w:w="4876" w:type="dxa"/>
            <w:vAlign w:val="top"/>
          </w:tcPr>
          <w:p>
            <w:pPr>
              <w:pStyle w:val="Normal6a"/>
            </w:pPr>
            <w:r>
              <w:t>(1)</w:t>
            </w:r>
            <w:r>
              <w:tab/>
            </w:r>
            <w:r>
              <w:t>Schengenský prostor byl vytvořen za účelem dosažení cíle Unie vytvořit prostor bez vnitřních hranic, v němž je zaručen volný pohyb osob, jak je stanoveno v čl. 3 odst. 2 Smlouvy o Evropské unii. Dobré fungování tohoto prostoru závisí na vzájemné důvěře</w:t>
            </w:r>
            <w:r>
              <w:rPr>
                <w:b/>
                <w:i/>
                <w:strike w:val="0"/>
                <w:color w:val="auto"/>
                <w:highlight w:val="none"/>
                <w:u w:val="none" w:color="auto"/>
                <w:vertAlign w:val="baseline"/>
              </w:rPr>
              <w:t>, solidaritě a spravedlivém rozdělení odpovědnosti mezi členské</w:t>
            </w:r>
            <w:r>
              <w:t xml:space="preserve"> státy a účinné správě vnějších hranic.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Schengenský prostor byl vytvořen za účelem dosažení cíle Unie vytvořit prostor bez vnitřních hranic, v němž je zaručen volný pohyb osob, jak je stanoveno v čl. 3 odst. 2 Smlouvy o Evropské unii. Dobré fungování tohoto prostoru závisí na vzájemné důvěře mezi členskými státy a účinné správě vnějších hranic.</w:t>
            </w:r>
          </w:p>
        </w:tc>
        <w:tc>
          <w:tcPr>
            <w:tcW w:w="4876" w:type="dxa"/>
            <w:vAlign w:val="top"/>
          </w:tcPr>
          <w:p>
            <w:pPr>
              <w:pStyle w:val="Normal6a"/>
            </w:pPr>
            <w:r>
              <w:t>(1)</w:t>
            </w:r>
            <w:r>
              <w:tab/>
            </w:r>
            <w:r>
              <w:t xml:space="preserve">Schengenský prostor byl vytvořen za účelem dosažení cíle Unie vytvořit prostor bez vnitřních hranic, v němž je zaručen volný pohyb osob, </w:t>
            </w:r>
            <w:r>
              <w:rPr>
                <w:b/>
                <w:i/>
                <w:strike w:val="0"/>
                <w:color w:val="auto"/>
                <w:highlight w:val="none"/>
                <w:u w:val="none" w:color="auto"/>
                <w:vertAlign w:val="baseline"/>
              </w:rPr>
              <w:t>zboží a služeb,</w:t>
            </w:r>
            <w:r>
              <w:t xml:space="preserve"> jak je stanoveno v čl. 3 odst. 2 Smlouvy o Evropské unii. Dobré fungování tohoto prostoru závisí na vzájemné důvěře mezi členskými státy a účinné správě vnějších hranic.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Musíme však konstatovat, že neexistují účinné vnější hranice, které jsou nezbytným předpokladem vytvoření a řádného fungování schengenského prostoru, a že teroristé využívají migrační trasy.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t>přijatém podle čl. 77 odst. 2 písm.</w:t>
            </w:r>
            <w:r>
              <w:rPr>
                <w:b/>
                <w:i/>
                <w:strike w:val="0"/>
                <w:color w:val="auto"/>
                <w:highlight w:val="none"/>
                <w:u w:val="none" w:color="auto"/>
                <w:vertAlign w:val="baseline"/>
              </w:rPr>
              <w:t xml:space="preserve"> b)</w:t>
            </w:r>
            <w:r>
              <w:t xml:space="preserve"> Smlouvy o fungování Evropské unie. V zájmu dalšího rozvoje politiky Unie s cílem </w:t>
            </w:r>
            <w:r>
              <w:rPr>
                <w:b/>
                <w:i/>
                <w:strike w:val="0"/>
                <w:color w:val="auto"/>
                <w:highlight w:val="none"/>
                <w:u w:val="none" w:color="auto"/>
                <w:vertAlign w:val="baseline"/>
              </w:rPr>
              <w:t>zajistit kontrolu osob a účinný dohled nad překračováním vnějších hranic uvedeným v čl. 77 odst. 1 Smlouvy o fungování Evropské unie by měla další opatření</w:t>
            </w:r>
            <w:r>
              <w:t xml:space="preserve"> řešit situace, kdy </w:t>
            </w:r>
            <w:r>
              <w:rPr>
                <w:b/>
                <w:i/>
                <w:strike w:val="0"/>
                <w:color w:val="auto"/>
                <w:highlight w:val="none"/>
                <w:u w:val="none" w:color="auto"/>
                <w:vertAlign w:val="baseline"/>
              </w:rPr>
              <w:t>se státním příslušníkům</w:t>
            </w:r>
            <w:r>
              <w:t xml:space="preserve"> třetích zemí </w:t>
            </w:r>
            <w:r>
              <w:rPr>
                <w:b/>
                <w:i/>
                <w:strike w:val="0"/>
                <w:color w:val="auto"/>
                <w:highlight w:val="none"/>
                <w:u w:val="none" w:color="auto"/>
                <w:vertAlign w:val="baseline"/>
              </w:rPr>
              <w:t>podaří vyhnout se hraniční kontrole na vnější hranici nebo případy,</w:t>
            </w:r>
            <w:r>
              <w:t xml:space="preserve"> kdy jsou státní příslušníci třetích zemí vyloděni po pátracích a záchranných operacích</w:t>
            </w:r>
            <w:r>
              <w:rPr>
                <w:b/>
                <w:i/>
                <w:strike w:val="0"/>
                <w:color w:val="auto"/>
                <w:highlight w:val="none"/>
                <w:u w:val="none" w:color="auto"/>
                <w:vertAlign w:val="baseline"/>
              </w:rPr>
              <w:t>, jakož i situace,</w:t>
            </w:r>
            <w:r>
              <w:t xml:space="preserve"> kdy státní příslušníci třetích zemí žádají o mezinárodní ochranu na hraničním přechodu</w:t>
            </w:r>
            <w:r>
              <w:rPr>
                <w:b/>
                <w:i/>
                <w:strike w:val="0"/>
                <w:color w:val="auto"/>
                <w:highlight w:val="none"/>
                <w:u w:val="none" w:color="auto"/>
                <w:vertAlign w:val="baseline"/>
              </w:rPr>
              <w:t>, přičemž nesplňují</w:t>
            </w:r>
            <w:r>
              <w:t xml:space="preserve"> podmínky vstupu </w:t>
            </w:r>
            <w:r>
              <w:rPr>
                <w:b/>
                <w:i/>
                <w:strike w:val="0"/>
                <w:color w:val="auto"/>
                <w:highlight w:val="none"/>
                <w:u w:val="none" w:color="auto"/>
                <w:vertAlign w:val="baseline"/>
              </w:rPr>
              <w:t>na území</w:t>
            </w:r>
            <w:r>
              <w:t xml:space="preserve">. Toto nařízení doplňuje a upřesňuje nařízení (EU) 2016/399 s ohledem na uvedené </w:t>
            </w:r>
            <w:r>
              <w:rPr>
                <w:b/>
                <w:i/>
                <w:strike w:val="0"/>
                <w:color w:val="auto"/>
                <w:highlight w:val="none"/>
                <w:u w:val="none" w:color="auto"/>
                <w:vertAlign w:val="baseline"/>
              </w:rPr>
              <w:t>tři</w:t>
            </w:r>
            <w:r>
              <w:t xml:space="preserve"> situace.</w:t>
            </w:r>
          </w:p>
        </w:tc>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rPr>
                <w:b/>
                <w:i/>
                <w:strike w:val="0"/>
                <w:color w:val="auto"/>
                <w:highlight w:val="none"/>
                <w:u w:val="none" w:color="auto"/>
                <w:vertAlign w:val="baseline"/>
              </w:rPr>
              <w:t> </w:t>
            </w:r>
            <w:r>
              <w:t>přijatém podle čl. 77 odst. 2 písm.</w:t>
            </w:r>
            <w:r>
              <w:rPr>
                <w:b/>
                <w:i/>
                <w:strike w:val="0"/>
                <w:color w:val="auto"/>
                <w:highlight w:val="none"/>
                <w:u w:val="none" w:color="auto"/>
                <w:vertAlign w:val="baseline"/>
              </w:rPr>
              <w:t> b)</w:t>
            </w:r>
            <w:r>
              <w:t xml:space="preserve"> Smlouvy o fungování Evropské unie. V zájmu dalšího rozvoje politiky Unie s cílem řešit situace, kdy </w:t>
            </w:r>
            <w:r>
              <w:rPr>
                <w:b/>
                <w:i/>
                <w:strike w:val="0"/>
                <w:color w:val="auto"/>
                <w:highlight w:val="none"/>
                <w:u w:val="none" w:color="auto"/>
                <w:vertAlign w:val="baseline"/>
              </w:rPr>
              <w:t>státní příslušníci</w:t>
            </w:r>
            <w:r>
              <w:t xml:space="preserve"> třetích zemí </w:t>
            </w:r>
            <w:r>
              <w:rPr>
                <w:b/>
                <w:i/>
                <w:strike w:val="0"/>
                <w:color w:val="auto"/>
                <w:highlight w:val="none"/>
                <w:u w:val="none" w:color="auto"/>
                <w:vertAlign w:val="baseline"/>
              </w:rPr>
              <w:t>nebyli podrobeni hraničním kontrolám na vnějších hranicích nebo</w:t>
            </w:r>
            <w:r>
              <w:t xml:space="preserve"> kdy jsou státní příslušníci třetích zemí vyloděni po pátracích a záchranných operacích </w:t>
            </w:r>
            <w:r>
              <w:rPr>
                <w:b/>
                <w:i/>
                <w:strike w:val="0"/>
                <w:color w:val="auto"/>
                <w:highlight w:val="none"/>
                <w:u w:val="none" w:color="auto"/>
                <w:vertAlign w:val="baseline"/>
              </w:rPr>
              <w:t>a</w:t>
            </w:r>
            <w:r>
              <w:t xml:space="preserve"> kdy státní příslušníci třetích zemí žádají o mezinárodní ochranu na hraničním přechodu </w:t>
            </w:r>
            <w:r>
              <w:rPr>
                <w:b/>
                <w:i/>
                <w:strike w:val="0"/>
                <w:color w:val="auto"/>
                <w:highlight w:val="none"/>
                <w:u w:val="none" w:color="auto"/>
                <w:vertAlign w:val="baseline"/>
              </w:rPr>
              <w:t>nebo v jakémkoli jiném místě na vnějších hranicích, aniž by splňovali</w:t>
            </w:r>
            <w:r>
              <w:t xml:space="preserve"> podmínky vstupu. Toto nařízení doplňuje a upřesňuje nařízení (EU) 2016/399 s ohledem na uvedené situace.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t>přijatém podle čl. 77 odst. 2 písm.</w:t>
            </w:r>
            <w:r>
              <w:rPr>
                <w:b/>
                <w:i/>
                <w:strike w:val="0"/>
                <w:color w:val="auto"/>
                <w:highlight w:val="none"/>
                <w:u w:val="none" w:color="auto"/>
                <w:vertAlign w:val="baseline"/>
              </w:rPr>
              <w:t xml:space="preserve">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se státním příslušníkům třetích zemí podaří vyhnout se hraniční kontrole na vnější hranici </w:t>
            </w:r>
            <w:r>
              <w:rPr>
                <w:b/>
                <w:i/>
                <w:strike w:val="0"/>
                <w:color w:val="auto"/>
                <w:highlight w:val="none"/>
                <w:u w:val="none" w:color="auto"/>
                <w:vertAlign w:val="baseline"/>
              </w:rPr>
              <w:t>nebo případy, kdy jsou státní příslušníci třetích zemí vyloděni po pátracích a záchranných operacích</w:t>
            </w:r>
            <w:r>
              <w:t xml:space="preserve">, jakož i situace, kdy státní příslušníci třetích zemí žádají o mezinárodní ochranu na hraničním přechodu, přičemž nesplňují podmínky vstupu na území. Toto nařízení doplňuje a upřesňuje nařízení (EU) 2016/399 s ohledem na uvedené </w:t>
            </w:r>
            <w:r>
              <w:rPr>
                <w:b/>
                <w:i/>
                <w:strike w:val="0"/>
                <w:color w:val="auto"/>
                <w:highlight w:val="none"/>
                <w:u w:val="none" w:color="auto"/>
                <w:vertAlign w:val="baseline"/>
              </w:rPr>
              <w:t>tři</w:t>
            </w:r>
            <w:r>
              <w:t xml:space="preserve"> situace.</w:t>
            </w:r>
          </w:p>
        </w:tc>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rPr>
                <w:b/>
                <w:i/>
                <w:strike w:val="0"/>
                <w:color w:val="auto"/>
                <w:highlight w:val="none"/>
                <w:u w:val="none" w:color="auto"/>
                <w:vertAlign w:val="baseline"/>
              </w:rPr>
              <w:t> </w:t>
            </w:r>
            <w:r>
              <w:t>přijatém podle čl. 77 odst. 2 písm.</w:t>
            </w:r>
            <w:r>
              <w:rPr>
                <w:b/>
                <w:i/>
                <w:strike w:val="0"/>
                <w:color w:val="auto"/>
                <w:highlight w:val="none"/>
                <w:u w:val="none" w:color="auto"/>
                <w:vertAlign w:val="baseline"/>
              </w:rPr>
              <w:t>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se státním příslušníkům třetích zemí podaří vyhnout se hraniční kontrole na vnější hranici, jakož i situace, kdy státní příslušníci třetích zemí žádají o mezinárodní ochranu na hraničním přechodu, přičemž nesplňují podmínky vstupu na území. Toto nařízení doplňuje a upřesňuje nařízení (EU) 2016/399 s ohledem na uvedené situace.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t>přijatém podle čl. 77 odst. 2 písm.</w:t>
            </w:r>
            <w:r>
              <w:rPr>
                <w:b/>
                <w:i/>
                <w:strike w:val="0"/>
                <w:color w:val="auto"/>
                <w:highlight w:val="none"/>
                <w:u w:val="none" w:color="auto"/>
                <w:vertAlign w:val="baseline"/>
              </w:rPr>
              <w:t xml:space="preserve">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w:t>
            </w:r>
            <w:r>
              <w:rPr>
                <w:b/>
                <w:i/>
                <w:strike w:val="0"/>
                <w:color w:val="auto"/>
                <w:highlight w:val="none"/>
                <w:u w:val="none" w:color="auto"/>
                <w:vertAlign w:val="baseline"/>
              </w:rPr>
              <w:t>se státním příslušníkům</w:t>
            </w:r>
            <w:r>
              <w:t xml:space="preserve"> třetích zemí </w:t>
            </w:r>
            <w:r>
              <w:rPr>
                <w:b/>
                <w:i/>
                <w:strike w:val="0"/>
                <w:color w:val="auto"/>
                <w:highlight w:val="none"/>
                <w:u w:val="none" w:color="auto"/>
                <w:vertAlign w:val="baseline"/>
              </w:rPr>
              <w:t>podaří vyhnout se</w:t>
            </w:r>
            <w:r>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rPr>
                <w:b/>
                <w:i/>
                <w:strike w:val="0"/>
                <w:color w:val="auto"/>
                <w:highlight w:val="none"/>
                <w:u w:val="none" w:color="auto"/>
                <w:vertAlign w:val="baseline"/>
              </w:rPr>
              <w:t> </w:t>
            </w:r>
            <w:r>
              <w:t>přijatém podle čl. 77 odst. 2 písm.</w:t>
            </w:r>
            <w:r>
              <w:rPr>
                <w:b/>
                <w:i/>
                <w:strike w:val="0"/>
                <w:color w:val="auto"/>
                <w:highlight w:val="none"/>
                <w:u w:val="none" w:color="auto"/>
                <w:vertAlign w:val="baseline"/>
              </w:rPr>
              <w:t>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w:t>
            </w:r>
            <w:r>
              <w:rPr>
                <w:b/>
                <w:i/>
                <w:strike w:val="0"/>
                <w:color w:val="auto"/>
                <w:highlight w:val="none"/>
                <w:u w:val="none" w:color="auto"/>
                <w:vertAlign w:val="baseline"/>
              </w:rPr>
              <w:t>státní příslušníci</w:t>
            </w:r>
            <w:r>
              <w:t xml:space="preserve"> třetích zemí </w:t>
            </w:r>
            <w:r>
              <w:rPr>
                <w:b/>
                <w:i/>
                <w:strike w:val="0"/>
                <w:color w:val="auto"/>
                <w:highlight w:val="none"/>
                <w:u w:val="none" w:color="auto"/>
                <w:vertAlign w:val="baseline"/>
              </w:rPr>
              <w:t>nebyli podrobeni</w:t>
            </w:r>
            <w:r>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t>přijatém podle čl. 77 odst. 2 písm. b)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se státním příslušníkům třetích zemí podaří vyhnout se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c>
          <w:tcPr>
            <w:tcW w:w="4876" w:type="dxa"/>
            <w:vAlign w:val="top"/>
          </w:tcPr>
          <w:p>
            <w:pPr>
              <w:pStyle w:val="Normal6a"/>
            </w:pPr>
            <w:r>
              <w:rPr>
                <w:b w:val="0"/>
                <w:i/>
                <w:strike w:val="0"/>
                <w:color w:val="auto"/>
                <w:highlight w:val="none"/>
                <w:u w:val="none" w:color="auto"/>
                <w:vertAlign w:val="baseline"/>
              </w:rPr>
              <w:t>(Netýká se českého znění.)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t>přijatém podle čl. 77 odst. 2 písm.</w:t>
            </w:r>
            <w:r>
              <w:rPr>
                <w:b/>
                <w:i/>
                <w:strike w:val="0"/>
                <w:color w:val="auto"/>
                <w:highlight w:val="none"/>
                <w:u w:val="none" w:color="auto"/>
                <w:vertAlign w:val="baseline"/>
              </w:rPr>
              <w:t xml:space="preserve">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w:t>
            </w:r>
            <w:r>
              <w:rPr>
                <w:b/>
                <w:i/>
                <w:strike w:val="0"/>
                <w:color w:val="auto"/>
                <w:highlight w:val="none"/>
                <w:u w:val="none" w:color="auto"/>
                <w:vertAlign w:val="baseline"/>
              </w:rPr>
              <w:t>se státním příslušníkům</w:t>
            </w:r>
            <w:r>
              <w:t xml:space="preserve"> třetích zemí </w:t>
            </w:r>
            <w:r>
              <w:rPr>
                <w:b/>
                <w:i/>
                <w:strike w:val="0"/>
                <w:color w:val="auto"/>
                <w:highlight w:val="none"/>
                <w:u w:val="none" w:color="auto"/>
                <w:vertAlign w:val="baseline"/>
              </w:rPr>
              <w:t>podaří vyhnout se</w:t>
            </w:r>
            <w:r>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rPr>
                <w:b/>
                <w:i/>
                <w:strike w:val="0"/>
                <w:color w:val="auto"/>
                <w:highlight w:val="none"/>
                <w:u w:val="none" w:color="auto"/>
                <w:vertAlign w:val="baseline"/>
              </w:rPr>
              <w:t> </w:t>
            </w:r>
            <w:r>
              <w:t>přijatém podle čl. 77 odst. 2 písm.</w:t>
            </w:r>
            <w:r>
              <w:rPr>
                <w:b/>
                <w:i/>
                <w:strike w:val="0"/>
                <w:color w:val="auto"/>
                <w:highlight w:val="none"/>
                <w:u w:val="none" w:color="auto"/>
                <w:vertAlign w:val="baseline"/>
              </w:rPr>
              <w:t>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w:t>
            </w:r>
            <w:r>
              <w:rPr>
                <w:b/>
                <w:i/>
                <w:strike w:val="0"/>
                <w:color w:val="auto"/>
                <w:highlight w:val="none"/>
                <w:u w:val="none" w:color="auto"/>
                <w:vertAlign w:val="baseline"/>
              </w:rPr>
              <w:t>státní příslušníci</w:t>
            </w:r>
            <w:r>
              <w:t xml:space="preserve"> třetích zemí </w:t>
            </w:r>
            <w:r>
              <w:rPr>
                <w:b/>
                <w:i/>
                <w:strike w:val="0"/>
                <w:color w:val="auto"/>
                <w:highlight w:val="none"/>
                <w:u w:val="none" w:color="auto"/>
                <w:vertAlign w:val="baseline"/>
              </w:rPr>
              <w:t>nejsou podrobeni</w:t>
            </w:r>
            <w:r>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t>přijatém podle čl. 77 odst. 2 písm.</w:t>
            </w:r>
            <w:r>
              <w:rPr>
                <w:b/>
                <w:i/>
                <w:strike w:val="0"/>
                <w:color w:val="auto"/>
                <w:highlight w:val="none"/>
                <w:u w:val="none" w:color="auto"/>
                <w:vertAlign w:val="baseline"/>
              </w:rPr>
              <w:t xml:space="preserve">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se státním příslušníkům třetích zemí podaří vyhnout se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c>
          <w:tcPr>
            <w:tcW w:w="4876" w:type="dxa"/>
            <w:vAlign w:val="top"/>
          </w:tcPr>
          <w:p>
            <w:pPr>
              <w:pStyle w:val="Normal6a"/>
            </w:pPr>
            <w:r>
              <w:t>(2)</w:t>
            </w:r>
            <w:r>
              <w:tab/>
            </w:r>
            <w:r>
              <w:t>Pravidla, jež upravují ochranu hranic ve vztahu k osobám překračujícím vnější hranice členských států Unie, jsou stanovena v nařízení Evropského parlamentu a Rady (EU) 2016/399 (Schengenský hraniční kodex)</w:t>
            </w:r>
            <w:r>
              <w:rPr>
                <w:rStyle w:val="Sup"/>
              </w:rPr>
              <w:t>21</w:t>
            </w:r>
            <w:r>
              <w:rPr>
                <w:b/>
                <w:i/>
                <w:strike w:val="0"/>
                <w:color w:val="auto"/>
                <w:highlight w:val="none"/>
                <w:u w:val="none" w:color="auto"/>
                <w:vertAlign w:val="baseline"/>
              </w:rPr>
              <w:t> </w:t>
            </w:r>
            <w:r>
              <w:t>přijatém podle čl. 77 odst. 2 písm.</w:t>
            </w:r>
            <w:r>
              <w:rPr>
                <w:b/>
                <w:i/>
                <w:strike w:val="0"/>
                <w:color w:val="auto"/>
                <w:highlight w:val="none"/>
                <w:u w:val="none" w:color="auto"/>
                <w:vertAlign w:val="baseline"/>
              </w:rPr>
              <w:t> b)</w:t>
            </w:r>
            <w:r>
              <w:t xml:space="preserve"> Smlouvy o fungování Evropské unie. V zájmu dalšího rozvoje politiky Unie s cílem zajistit kontrolu osob a účinný dohled nad překračováním vnějších hranic uvedeným v čl. 77 odst. 1 Smlouvy o fungování Evropské unie by měla další opatření řešit situace, kdy se státním příslušníkům třetích zemí podaří vyhnout se</w:t>
            </w:r>
            <w:r>
              <w:rPr>
                <w:b/>
                <w:i/>
                <w:strike w:val="0"/>
                <w:color w:val="auto"/>
                <w:highlight w:val="none"/>
                <w:u w:val="none" w:color="auto"/>
                <w:vertAlign w:val="baseline"/>
              </w:rPr>
              <w:t>, ať už záměrně či nikoliv,</w:t>
            </w:r>
            <w:r>
              <w:t xml:space="preserve"> hraniční kontrole na vnější hranici nebo případy, kdy jsou státní příslušníci třetích zemí vyloděni po pátracích a záchranných operacích, jakož i situace, kdy státní příslušníci třetích zemí žádají o mezinárodní ochranu na hraničním přechodu, přičemž nesplňují podmínky vstupu na území. Toto nařízení doplňuje a upřesňuje nařízení (EU) 2016/399 s ohledem na uvedené tři situace.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21</w:t>
            </w:r>
            <w:r>
              <w:t xml:space="preserve"> </w:t>
            </w:r>
            <w:r>
              <w:t>Nařízení Evropského parlamentu a Rady (EU) 2016/399 ze dne 9. března 2016, kterým se stanoví kodex Unie o pravidlech upravujících přeshraniční pohyb osob (Schengenský hraniční kodex) (Úř. věst. L 77, 23.3.2016,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w:t>
            </w:r>
            <w:r>
              <w:rPr>
                <w:b/>
                <w:i/>
                <w:strike w:val="0"/>
                <w:color w:val="auto"/>
                <w:highlight w:val="none"/>
                <w:u w:val="none" w:color="auto"/>
                <w:vertAlign w:val="baseline"/>
              </w:rPr>
              <w:t>třech</w:t>
            </w:r>
            <w:r>
              <w:t xml:space="preserve"> situacích byli státní příslušníci třetích zemí prověřeni za účelem usnadnění jejich řádné identifikace a </w:t>
            </w:r>
            <w:r>
              <w:rPr>
                <w:b/>
                <w:i/>
                <w:strike w:val="0"/>
                <w:color w:val="auto"/>
                <w:highlight w:val="none"/>
                <w:u w:val="none" w:color="auto"/>
                <w:vertAlign w:val="baseline"/>
              </w:rPr>
              <w:t>dále, aby bylo možné je účinně nasměrovat</w:t>
            </w:r>
            <w:r>
              <w:t xml:space="preserve"> k příslušnému řízení, což může podle okolností být postup pro mezinárodní ochranu </w:t>
            </w:r>
            <w:r>
              <w:rPr>
                <w:b/>
                <w:i/>
                <w:strike w:val="0"/>
                <w:color w:val="auto"/>
                <w:highlight w:val="none"/>
                <w:u w:val="none" w:color="auto"/>
                <w:vertAlign w:val="baseline"/>
              </w:rPr>
              <w:t>nebo řízení v souladu se směrnicí</w:t>
            </w:r>
            <w:r>
              <w:t xml:space="preserve"> Evropského parlamentu a Rady 2008/115/ES (</w:t>
            </w:r>
            <w:r>
              <w:rPr>
                <w:b/>
                <w:i/>
                <w:strike w:val="0"/>
                <w:color w:val="auto"/>
                <w:highlight w:val="none"/>
                <w:u w:val="none" w:color="auto"/>
                <w:vertAlign w:val="baseline"/>
              </w:rPr>
              <w:t>„směrnice o navracení“</w:t>
            </w:r>
            <w:r>
              <w:t>)</w:t>
            </w:r>
            <w:r>
              <w:rPr>
                <w:rStyle w:val="SupBoldItalic"/>
              </w:rPr>
              <w:t>22</w:t>
            </w:r>
            <w:r>
              <w:rPr>
                <w:b/>
                <w:i/>
                <w:strike w:val="0"/>
                <w:color w:val="auto"/>
                <w:highlight w:val="none"/>
                <w:u w:val="none" w:color="auto"/>
                <w:vertAlign w:val="baseline"/>
              </w:rPr>
              <w:t>. Prověřování by mělo konzistentně doplňovat kontroly prováděné na vnějších hranicích nebo kompenzovat skutečnost, že se státní příslušníci třetích zemí při překračování vnější hranice těmto kontrolám vyhnuli</w:t>
            </w:r>
            <w:r>
              <w:t>.</w:t>
            </w:r>
          </w:p>
        </w:tc>
        <w:tc>
          <w:tcPr>
            <w:tcW w:w="4876" w:type="dxa"/>
            <w:vAlign w:val="top"/>
          </w:tcPr>
          <w:p>
            <w:pPr>
              <w:pStyle w:val="Normal6a"/>
            </w:pPr>
            <w:r>
              <w:t>(3)</w:t>
            </w:r>
            <w:r>
              <w:tab/>
            </w:r>
            <w:r>
              <w:t xml:space="preserve">Je nezbytné zajistit, aby v těchto situacích byli státní příslušníci třetích zemí prověřeni za účelem usnadnění jejich řádné identifikace a </w:t>
            </w:r>
            <w:r>
              <w:rPr>
                <w:b/>
                <w:i/>
                <w:strike w:val="0"/>
                <w:color w:val="auto"/>
                <w:highlight w:val="none"/>
                <w:u w:val="none" w:color="auto"/>
                <w:vertAlign w:val="baseline"/>
              </w:rPr>
              <w:t>mohli být nasměrováni</w:t>
            </w:r>
            <w:r>
              <w:t xml:space="preserve"> k příslušnému řízení, což může podle okolností být </w:t>
            </w:r>
            <w:r>
              <w:rPr>
                <w:b/>
                <w:i/>
                <w:strike w:val="0"/>
                <w:color w:val="auto"/>
                <w:highlight w:val="none"/>
                <w:u w:val="none" w:color="auto"/>
                <w:vertAlign w:val="baseline"/>
              </w:rPr>
              <w:t>společný </w:t>
            </w:r>
            <w:r>
              <w:t>postup pro mezinárodní ochranu</w:t>
            </w:r>
            <w:r>
              <w:rPr>
                <w:b/>
                <w:i/>
                <w:strike w:val="0"/>
                <w:color w:val="auto"/>
                <w:highlight w:val="none"/>
                <w:u w:val="none" w:color="auto"/>
                <w:vertAlign w:val="baseline"/>
              </w:rPr>
              <w:t>, jak je stanoven v nařízení (EU) XXXX/202X</w:t>
            </w:r>
            <w:r>
              <w:t xml:space="preserve"> Evropského parlamentu a Rady 2008/115/ES (</w:t>
            </w:r>
            <w:r>
              <w:rPr>
                <w:b/>
                <w:i/>
                <w:strike w:val="0"/>
                <w:color w:val="auto"/>
                <w:highlight w:val="none"/>
                <w:u w:val="none" w:color="auto"/>
                <w:vertAlign w:val="baseline"/>
              </w:rPr>
              <w:t>nařízení o azylovém řízení</w:t>
            </w:r>
            <w:r>
              <w:t>)</w:t>
            </w:r>
            <w:r>
              <w:rPr>
                <w:b/>
                <w:i/>
                <w:strike w:val="0"/>
                <w:color w:val="auto"/>
                <w:highlight w:val="none"/>
                <w:u w:val="none" w:color="auto"/>
                <w:vertAlign w:val="baseline"/>
              </w:rPr>
              <w:t>.</w:t>
            </w:r>
            <w:r>
              <w:t xml:space="preserve"> </w:t>
            </w:r>
            <w:r>
              <w:rPr>
                <w:b/>
                <w:i/>
                <w:strike w:val="0"/>
                <w:color w:val="auto"/>
                <w:highlight w:val="none"/>
                <w:u w:val="none" w:color="auto"/>
                <w:vertAlign w:val="baseline"/>
              </w:rPr>
              <w:t>Tím není dotčena ochrana osob identifikovaných jako osoby bez státní příslušnosti nebo osob, kterým hrozí, že nebudou mít státní příslušnost, a které by měly být postoupeny příslušným orgánům, aby určily, zda je daná osoba bez státní příslušnosti, a poskytly odpovídající ochranu v souladu s mezinárodním a vnitrostátním právem.</w:t>
            </w:r>
            <w:r>
              <w:t xml:space="preserve"> </w:t>
            </w:r>
            <w:r>
              <w:rPr>
                <w:b/>
                <w:i/>
                <w:strike w:val="0"/>
                <w:color w:val="auto"/>
                <w:highlight w:val="none"/>
                <w:u w:val="none" w:color="auto"/>
                <w:vertAlign w:val="baseline"/>
              </w:rPr>
              <w:t>Jakmile prověřování skončí a pokud státní příslušník třetí země jednoznačně odmítl požádat o mezinárodní ochranu a není způsobilý požádat o povolení k pobytu nebo jiné povolení zakládající oprávnění k pobytu ze solidárních, humanitárních nebo jiných důvodů podle právních předpisů členského státu nebo jiných ustanovení práva Unie nebo mezinárodního práva, mohou příslušné orgány členského státu rozhodnout, že daná osoba by měla být navrácena.</w:t>
            </w:r>
            <w:r>
              <w:t xml:space="preserve"> </w:t>
            </w:r>
            <w:r>
              <w:rPr>
                <w:b/>
                <w:i/>
                <w:strike w:val="0"/>
                <w:color w:val="auto"/>
                <w:highlight w:val="none"/>
                <w:u w:val="none" w:color="auto"/>
                <w:vertAlign w:val="baseline"/>
              </w:rPr>
              <w:t>V takových případech by se měla použít směrnice (EU) 2008/115/ES (směrnice o navracení).</w:t>
            </w:r>
            <w:r>
              <w:t xml:space="preserve"> </w:t>
            </w:r>
            <w:r>
              <w:rPr>
                <w:b/>
                <w:i/>
                <w:strike w:val="0"/>
                <w:color w:val="auto"/>
                <w:highlight w:val="none"/>
                <w:u w:val="none" w:color="auto"/>
                <w:vertAlign w:val="baseline"/>
              </w:rPr>
              <w:t>Prověřování by mělo konzistentně doplňovat kontroly prováděné na vnějších hranicích</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22</w:t>
            </w:r>
            <w:r>
              <w:t xml:space="preserve"> </w:t>
            </w:r>
            <w:r>
              <w:rPr>
                <w:b/>
                <w:i/>
                <w:strike w:val="0"/>
                <w:color w:val="auto"/>
                <w:highlight w:val="none"/>
                <w:u w:val="none" w:color="auto"/>
                <w:vertAlign w:val="baseline"/>
              </w:rPr>
              <w:t>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w:t>
            </w:r>
            <w:r>
              <w:rPr>
                <w:b/>
                <w:i/>
                <w:strike w:val="0"/>
                <w:color w:val="auto"/>
                <w:highlight w:val="none"/>
                <w:u w:val="none" w:color="auto"/>
                <w:vertAlign w:val="baseline"/>
              </w:rPr>
              <w:t>dále, aby bylo možné je</w:t>
            </w:r>
            <w:r>
              <w:t xml:space="preserve"> účinně </w:t>
            </w:r>
            <w:r>
              <w:rPr>
                <w:b/>
                <w:i/>
                <w:strike w:val="0"/>
                <w:color w:val="auto"/>
                <w:highlight w:val="none"/>
                <w:u w:val="none" w:color="auto"/>
                <w:vertAlign w:val="baseline"/>
              </w:rPr>
              <w:t>nasměrovat k příslušnému</w:t>
            </w:r>
            <w:r>
              <w:t xml:space="preserve"> řízení, což </w:t>
            </w:r>
            <w:r>
              <w:rPr>
                <w:b/>
                <w:i/>
                <w:strike w:val="0"/>
                <w:color w:val="auto"/>
                <w:highlight w:val="none"/>
                <w:u w:val="none" w:color="auto"/>
                <w:vertAlign w:val="baseline"/>
              </w:rPr>
              <w:t>může</w:t>
            </w:r>
            <w:r>
              <w:t xml:space="preserve"> podle okolností </w:t>
            </w:r>
            <w:r>
              <w:rPr>
                <w:b/>
                <w:i/>
                <w:strike w:val="0"/>
                <w:color w:val="auto"/>
                <w:highlight w:val="none"/>
                <w:u w:val="none" w:color="auto"/>
                <w:vertAlign w:val="baseline"/>
              </w:rPr>
              <w:t>být</w:t>
            </w:r>
            <w:r>
              <w:t xml:space="preserve"> postup pro mezinárodní ochranu </w:t>
            </w:r>
            <w:r>
              <w:rPr>
                <w:b/>
                <w:i/>
                <w:strike w:val="0"/>
                <w:color w:val="auto"/>
                <w:highlight w:val="none"/>
                <w:u w:val="none" w:color="auto"/>
                <w:vertAlign w:val="baseline"/>
              </w:rPr>
              <w:t>nebo řízení v souladu se směrnicí</w:t>
            </w:r>
            <w:r>
              <w:t xml:space="preserve"> Evropského parlamentu a Rady 2008/115/ES („směrnice o navracení“)</w:t>
            </w:r>
            <w:r>
              <w:rPr>
                <w:rStyle w:val="Sup"/>
              </w:rPr>
              <w:t>22</w:t>
            </w:r>
            <w:r>
              <w:t xml:space="preserve">. Prověřování by mělo konzistentně doplňovat kontroly prováděné na vnějších hranicích </w:t>
            </w:r>
            <w:r>
              <w:rPr>
                <w:b/>
                <w:i/>
                <w:strike w:val="0"/>
                <w:color w:val="auto"/>
                <w:highlight w:val="none"/>
                <w:u w:val="none" w:color="auto"/>
                <w:vertAlign w:val="baseline"/>
              </w:rPr>
              <w:t>nebo kompenzovat skutečnost, že se státní příslušníci třetích zemí při překračování vnější hranice těmto kontrolám vyhnuli</w:t>
            </w:r>
            <w:r>
              <w:t>.</w:t>
            </w:r>
          </w:p>
        </w:tc>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w:t>
            </w:r>
            <w:r>
              <w:rPr>
                <w:b/>
                <w:i/>
                <w:strike w:val="0"/>
                <w:color w:val="auto"/>
                <w:highlight w:val="none"/>
                <w:u w:val="none" w:color="auto"/>
                <w:vertAlign w:val="baseline"/>
              </w:rPr>
              <w:t>aby mohli být</w:t>
            </w:r>
            <w:r>
              <w:t xml:space="preserve"> účinně </w:t>
            </w:r>
            <w:r>
              <w:rPr>
                <w:b/>
                <w:i/>
                <w:strike w:val="0"/>
                <w:color w:val="auto"/>
                <w:highlight w:val="none"/>
                <w:u w:val="none" w:color="auto"/>
                <w:vertAlign w:val="baseline"/>
              </w:rPr>
              <w:t>nasměrováni ke správnému</w:t>
            </w:r>
            <w:r>
              <w:t xml:space="preserve"> řízení, což </w:t>
            </w:r>
            <w:r>
              <w:rPr>
                <w:b/>
                <w:i/>
                <w:strike w:val="0"/>
                <w:color w:val="auto"/>
                <w:highlight w:val="none"/>
                <w:u w:val="none" w:color="auto"/>
                <w:vertAlign w:val="baseline"/>
              </w:rPr>
              <w:t>by mohl být</w:t>
            </w:r>
            <w:r>
              <w:t xml:space="preserve"> podle okolností </w:t>
            </w:r>
            <w:r>
              <w:rPr>
                <w:b/>
                <w:i/>
                <w:strike w:val="0"/>
                <w:color w:val="auto"/>
                <w:highlight w:val="none"/>
                <w:u w:val="none" w:color="auto"/>
                <w:vertAlign w:val="baseline"/>
              </w:rPr>
              <w:t>společný</w:t>
            </w:r>
            <w:r>
              <w:t xml:space="preserve"> postup pro mezinárodní ochranu</w:t>
            </w:r>
            <w:r>
              <w:rPr>
                <w:b/>
                <w:i/>
                <w:strike w:val="0"/>
                <w:color w:val="auto"/>
                <w:highlight w:val="none"/>
                <w:u w:val="none" w:color="auto"/>
                <w:vertAlign w:val="baseline"/>
              </w:rPr>
              <w:t>, jak je stanoveno v nařízení Evropského parlamentu a Rady (EU) XXXX/202X [nařízení o azylovém řízení], nebo řízení stanovené ve směrnici</w:t>
            </w:r>
            <w:r>
              <w:t xml:space="preserve"> Evropského parlamentu a Rady 2008/115/ES („směrnice o navracení“)</w:t>
            </w:r>
            <w:r>
              <w:rPr>
                <w:rStyle w:val="Sup"/>
              </w:rPr>
              <w:t>22</w:t>
            </w:r>
            <w:r>
              <w:rPr>
                <w:b/>
                <w:i/>
                <w:strike w:val="0"/>
                <w:color w:val="auto"/>
                <w:highlight w:val="none"/>
                <w:u w:val="none" w:color="auto"/>
                <w:vertAlign w:val="baseline"/>
              </w:rPr>
              <w:t>, aniž je dotčena možnost členského státu udělit povolení k pobytu nebo jiná povolení zakládající právo pobytu ze solidárních, humanitárních nebo jiných důvodů podle vnitrostátního práva</w:t>
            </w:r>
            <w:r>
              <w:t xml:space="preserve">. Prověřování by mělo konzistentně doplňovat kontroly prováděné na vnějších hranicích </w:t>
            </w:r>
            <w:r>
              <w:rPr>
                <w:b/>
                <w:i/>
                <w:strike w:val="0"/>
                <w:color w:val="auto"/>
                <w:highlight w:val="none"/>
                <w:u w:val="none" w:color="auto"/>
                <w:vertAlign w:val="baseline"/>
              </w:rPr>
              <w:t>a mělo by být prováděno souběžně s již podanými žádostmi o mezinárodní ochranu</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 xml:space="preserve">Směrnice Evropského parlamentu a Rady 2008/115/ES ze dne 16. prosince 2008 o společných normách a postupech v členských státech při navracení neoprávněně pobývajících státních příslušníků třetích zemí </w:t>
            </w:r>
            <w:r>
              <w:rPr>
                <w:b/>
                <w:i/>
                <w:strike w:val="0"/>
                <w:color w:val="auto"/>
                <w:highlight w:val="none"/>
                <w:u w:val="none" w:color="auto"/>
                <w:vertAlign w:val="baseline"/>
              </w:rPr>
              <w:t>(</w:t>
            </w:r>
            <w:r>
              <w:t>Úř. věst. L 348, 24.12.2008, s. 98</w:t>
            </w:r>
            <w:r>
              <w:rPr>
                <w:b/>
                <w:i/>
                <w:strike w:val="0"/>
                <w:color w:val="auto"/>
                <w:highlight w:val="none"/>
                <w:u w:val="none" w:color="auto"/>
                <w:vertAlign w:val="baseline"/>
              </w:rPr>
              <w:t>)</w:t>
            </w:r>
            <w:r>
              <w:t>.</w:t>
            </w:r>
          </w:p>
        </w:tc>
        <w:tc>
          <w:tcPr>
            <w:tcW w:w="4876" w:type="dxa"/>
            <w:vAlign w:val="top"/>
          </w:tcPr>
          <w:p>
            <w:pPr>
              <w:pStyle w:val="Normal6a"/>
            </w:pPr>
            <w:r>
              <w:rPr>
                <w:rStyle w:val="Sup"/>
              </w:rPr>
              <w:t>22</w:t>
            </w:r>
            <w:r>
              <w:t xml:space="preserve"> </w:t>
            </w:r>
            <w:r>
              <w:t>Směrnice Evropského parlamentu a Rady 2008/115/ES ze dne 16. prosince 2008 o společných normách a postupech v členských státech při navracení neoprávněně pobývajících státních příslušníků třetích zemí</w:t>
            </w:r>
            <w:r>
              <w:rPr>
                <w:b/>
                <w:i/>
                <w:strike w:val="0"/>
                <w:color w:val="auto"/>
                <w:highlight w:val="none"/>
                <w:u w:val="none" w:color="auto"/>
                <w:vertAlign w:val="baseline"/>
              </w:rPr>
              <w:t>,</w:t>
            </w:r>
            <w:r>
              <w:t xml:space="preserve"> Úř. věst. L 348, 24.12.2008, s.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w:t>
            </w:r>
            <w:r>
              <w:rPr>
                <w:b/>
                <w:i/>
                <w:strike w:val="0"/>
                <w:color w:val="auto"/>
                <w:highlight w:val="none"/>
                <w:u w:val="none" w:color="auto"/>
                <w:vertAlign w:val="baseline"/>
              </w:rPr>
              <w:t>dále, aby bylo možné je účinně nasměrovat</w:t>
            </w:r>
            <w:r>
              <w:t xml:space="preserve"> k příslušnému řízení, což může podle okolností být postup pro mezinárodní ochranu nebo řízení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w:t>
            </w:r>
            <w:r>
              <w:rPr>
                <w:b/>
                <w:i/>
                <w:strike w:val="0"/>
                <w:color w:val="auto"/>
                <w:highlight w:val="none"/>
                <w:u w:val="none" w:color="auto"/>
                <w:vertAlign w:val="baseline"/>
              </w:rPr>
              <w:t>účinného nasměrování</w:t>
            </w:r>
            <w:r>
              <w:t xml:space="preserve"> k příslušnému řízení, což může podle okolností být postup pro mezinárodní ochranu nebo </w:t>
            </w:r>
            <w:r>
              <w:rPr>
                <w:b/>
                <w:i/>
                <w:strike w:val="0"/>
                <w:color w:val="auto"/>
                <w:highlight w:val="none"/>
                <w:u w:val="none" w:color="auto"/>
                <w:vertAlign w:val="baseline"/>
              </w:rPr>
              <w:t>odepření vstupu v souladu s nařízením (EU) 2016/399 (Schengenský hraniční kodex ) a</w:t>
            </w:r>
            <w:r>
              <w:t xml:space="preserve"> řízení </w:t>
            </w:r>
            <w:r>
              <w:rPr>
                <w:b/>
                <w:i/>
                <w:strike w:val="0"/>
                <w:color w:val="auto"/>
                <w:highlight w:val="none"/>
                <w:u w:val="none" w:color="auto"/>
                <w:vertAlign w:val="baseline"/>
              </w:rPr>
              <w:t>o navrácení</w:t>
            </w:r>
            <w:r>
              <w:t xml:space="preserve">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 xml:space="preserve">Směrnice Evropského parlamentu a Rady 2008/115/ES ze dne 16. prosince 2008 o společných normách a postupech v členských státech při navracení neoprávněně pobývajících státních příslušníků třetích zemí </w:t>
            </w:r>
            <w:r>
              <w:rPr>
                <w:b/>
                <w:i/>
                <w:strike w:val="0"/>
                <w:color w:val="auto"/>
                <w:highlight w:val="none"/>
                <w:u w:val="none" w:color="auto"/>
                <w:vertAlign w:val="baseline"/>
              </w:rPr>
              <w:t>(</w:t>
            </w:r>
            <w:r>
              <w:t>Úř. věst. L 348, 24.12.2008, s. 98</w:t>
            </w:r>
            <w:r>
              <w:rPr>
                <w:b/>
                <w:i/>
                <w:strike w:val="0"/>
                <w:color w:val="auto"/>
                <w:highlight w:val="none"/>
                <w:u w:val="none" w:color="auto"/>
                <w:vertAlign w:val="baseline"/>
              </w:rPr>
              <w:t>)</w:t>
            </w:r>
            <w:r>
              <w:t>.</w:t>
            </w:r>
          </w:p>
        </w:tc>
        <w:tc>
          <w:tcPr>
            <w:tcW w:w="4876" w:type="dxa"/>
            <w:vAlign w:val="top"/>
          </w:tcPr>
          <w:p>
            <w:pPr>
              <w:pStyle w:val="Normal6a"/>
            </w:pPr>
            <w:r>
              <w:rPr>
                <w:rStyle w:val="Sup"/>
              </w:rPr>
              <w:t>22</w:t>
            </w:r>
            <w:r>
              <w:t xml:space="preserve"> </w:t>
            </w:r>
            <w:r>
              <w:t>Směrnice Evropského parlamentu a Rady 2008/115/ES ze dne 16. prosince 2008 o společných normách a postupech v členských státech při navracení neoprávněně pobývajících státních příslušníků třetích zemí</w:t>
            </w:r>
            <w:r>
              <w:rPr>
                <w:b/>
                <w:i/>
                <w:strike w:val="0"/>
                <w:color w:val="auto"/>
                <w:highlight w:val="none"/>
                <w:u w:val="none" w:color="auto"/>
                <w:vertAlign w:val="baseline"/>
              </w:rPr>
              <w:t>,</w:t>
            </w:r>
            <w:r>
              <w:t xml:space="preserve"> Úř. věst. L 348, 24.12.2008, s.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dále, aby bylo možné je účinně nasměrovat k příslušnému řízení, což může podle okolností být postup pro mezinárodní ochranu nebo </w:t>
            </w:r>
            <w:r>
              <w:rPr>
                <w:b/>
                <w:i/>
                <w:strike w:val="0"/>
                <w:color w:val="auto"/>
                <w:highlight w:val="none"/>
                <w:u w:val="none" w:color="auto"/>
                <w:vertAlign w:val="baseline"/>
              </w:rPr>
              <w:t>řízení v souladu se směrnicí Evropského parlamentu a Rady 2008/115/ES („směrnice o navracení“)</w:t>
            </w:r>
            <w:r>
              <w:rPr>
                <w:rStyle w:val="SupBoldItalic"/>
              </w:rPr>
              <w:t>22</w:t>
            </w:r>
            <w:r>
              <w:t xml:space="preserve">. Prověřování by mělo </w:t>
            </w:r>
            <w:r>
              <w:rPr>
                <w:b/>
                <w:i/>
                <w:strike w:val="0"/>
                <w:color w:val="auto"/>
                <w:highlight w:val="none"/>
                <w:u w:val="none" w:color="auto"/>
                <w:vertAlign w:val="baseline"/>
              </w:rPr>
              <w:t>konzistentně</w:t>
            </w:r>
            <w:r>
              <w:t xml:space="preserve"> doplňovat kontroly prováděné na vnějších hranicích nebo kompenzovat skutečnost, že se státní příslušníci třetích zemí při překračování vnější hranice těmto kontrolám vyhnuli.</w:t>
            </w:r>
          </w:p>
        </w:tc>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dále, aby bylo možné je účinně nasměrovat k příslušnému řízení, což může podle okolností být postup pro mezinárodní ochranu nebo </w:t>
            </w:r>
            <w:r>
              <w:rPr>
                <w:b/>
                <w:i/>
                <w:strike w:val="0"/>
                <w:color w:val="auto"/>
                <w:highlight w:val="none"/>
                <w:u w:val="none" w:color="auto"/>
                <w:vertAlign w:val="baseline"/>
              </w:rPr>
              <w:t>postup členského státu umožňující návrat</w:t>
            </w:r>
            <w:r>
              <w:t>. Prověřování by mělo doplňovat kontroly prováděné na vnějších hranicích nebo kompenzovat skutečnost, že se státní příslušníci třetích zemí při překračování vnější hranice těmto kontrolám vyhnuli.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22</w:t>
            </w:r>
            <w:r>
              <w:t xml:space="preserve"> </w:t>
            </w:r>
            <w:r>
              <w:rPr>
                <w:b/>
                <w:i/>
                <w:strike w:val="0"/>
                <w:color w:val="auto"/>
                <w:highlight w:val="none"/>
                <w:u w:val="none" w:color="auto"/>
                <w:vertAlign w:val="baseline"/>
              </w:rPr>
              <w:t>Směrnice Evropského parlamentu a Rady 2008/115/ES ze dne 16. prosince 2008 o společných normách a postupech v členských státech při navracení neoprávněně pobývajících státních příslušníků třetích zemí (Úř. věst. L 348, 24.12.2008, s. 98).</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w:t>
            </w:r>
            <w:r>
              <w:rPr>
                <w:b/>
                <w:i/>
                <w:strike w:val="0"/>
                <w:color w:val="auto"/>
                <w:highlight w:val="none"/>
                <w:u w:val="none" w:color="auto"/>
                <w:vertAlign w:val="baseline"/>
              </w:rPr>
              <w:t>dále, aby bylo možné je účinně nasměrovat</w:t>
            </w:r>
            <w:r>
              <w:t xml:space="preserve"> k příslušnému řízení, což může podle okolností být postup pro mezinárodní ochranu nebo řízení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w:t>
            </w:r>
            <w:r>
              <w:rPr>
                <w:b/>
                <w:i/>
                <w:strike w:val="0"/>
                <w:color w:val="auto"/>
                <w:highlight w:val="none"/>
                <w:u w:val="none" w:color="auto"/>
                <w:vertAlign w:val="baseline"/>
              </w:rPr>
              <w:t>jejich účinného a rychlého nasměrování</w:t>
            </w:r>
            <w:r>
              <w:t xml:space="preserve"> k příslušnému řízení, což může podle okolností být postup pro mezinárodní ochranu nebo řízení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 xml:space="preserve">Směrnice Evropského parlamentu a Rady 2008/115/ES ze dne 16. prosince 2008 o společných normách a postupech v členských státech při navracení neoprávněně pobývajících státních příslušníků třetích zemí </w:t>
            </w:r>
            <w:r>
              <w:rPr>
                <w:b/>
                <w:i/>
                <w:strike w:val="0"/>
                <w:color w:val="auto"/>
                <w:highlight w:val="none"/>
                <w:u w:val="none" w:color="auto"/>
                <w:vertAlign w:val="baseline"/>
              </w:rPr>
              <w:t>(</w:t>
            </w:r>
            <w:r>
              <w:t>Úř. věst. L 348, 24.12.2008, s. 98</w:t>
            </w:r>
            <w:r>
              <w:rPr>
                <w:b/>
                <w:i/>
                <w:strike w:val="0"/>
                <w:color w:val="auto"/>
                <w:highlight w:val="none"/>
                <w:u w:val="none" w:color="auto"/>
                <w:vertAlign w:val="baseline"/>
              </w:rPr>
              <w:t>)</w:t>
            </w:r>
            <w:r>
              <w:t>.</w:t>
            </w:r>
          </w:p>
        </w:tc>
        <w:tc>
          <w:tcPr>
            <w:tcW w:w="4876" w:type="dxa"/>
            <w:vAlign w:val="top"/>
          </w:tcPr>
          <w:p>
            <w:pPr>
              <w:pStyle w:val="Normal6a"/>
            </w:pPr>
            <w:r>
              <w:rPr>
                <w:rStyle w:val="Sup"/>
              </w:rPr>
              <w:t>22</w:t>
            </w:r>
            <w:r>
              <w:t xml:space="preserve"> </w:t>
            </w:r>
            <w:r>
              <w:t>Směrnice Evropského parlamentu a Rady 2008/115/ES ze dne 16. prosince 2008 o společných normách a postupech v členských státech při navracení neoprávněně pobývajících státních příslušníků třetích zemí</w:t>
            </w:r>
            <w:r>
              <w:rPr>
                <w:b/>
                <w:i/>
                <w:strike w:val="0"/>
                <w:color w:val="auto"/>
                <w:highlight w:val="none"/>
                <w:u w:val="none" w:color="auto"/>
                <w:vertAlign w:val="baseline"/>
              </w:rPr>
              <w:t>,</w:t>
            </w:r>
            <w:r>
              <w:t xml:space="preserve"> Úř. věst. L 348, 24.12.2008, s.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dále, aby </w:t>
            </w:r>
            <w:r>
              <w:rPr>
                <w:b/>
                <w:i/>
                <w:strike w:val="0"/>
                <w:color w:val="auto"/>
                <w:highlight w:val="none"/>
                <w:u w:val="none" w:color="auto"/>
                <w:vertAlign w:val="baseline"/>
              </w:rPr>
              <w:t>bylo možné</w:t>
            </w:r>
            <w:r>
              <w:t xml:space="preserve"> je účinně nasměrovat k příslušnému řízení, což může podle okolností být </w:t>
            </w:r>
            <w:r>
              <w:rPr>
                <w:b/>
                <w:i/>
                <w:strike w:val="0"/>
                <w:color w:val="auto"/>
                <w:highlight w:val="none"/>
                <w:u w:val="none" w:color="auto"/>
                <w:vertAlign w:val="baseline"/>
              </w:rPr>
              <w:t>postup</w:t>
            </w:r>
            <w:r>
              <w:t xml:space="preserve"> pro mezinárodní ochranu </w:t>
            </w:r>
            <w:r>
              <w:rPr>
                <w:b/>
                <w:i/>
                <w:strike w:val="0"/>
                <w:color w:val="auto"/>
                <w:highlight w:val="none"/>
                <w:u w:val="none" w:color="auto"/>
                <w:vertAlign w:val="baseline"/>
              </w:rPr>
              <w:t>nebo</w:t>
            </w:r>
            <w:r>
              <w:t xml:space="preserve"> řízení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c>
          <w:tcPr>
            <w:tcW w:w="4876" w:type="dxa"/>
            <w:vAlign w:val="top"/>
          </w:tcPr>
          <w:p>
            <w:pPr>
              <w:pStyle w:val="Normal6a"/>
            </w:pPr>
            <w:r>
              <w:t>(3)</w:t>
            </w:r>
            <w:r>
              <w:tab/>
            </w:r>
            <w:r>
              <w:t xml:space="preserve">Je nezbytné zajistit, aby v těchto třech situacích byli státní příslušníci třetích zemí prověřeni za účelem usnadnění jejich řádné identifikace a dále, aby </w:t>
            </w:r>
            <w:r>
              <w:rPr>
                <w:b/>
                <w:i/>
                <w:strike w:val="0"/>
                <w:color w:val="auto"/>
                <w:highlight w:val="none"/>
                <w:u w:val="none" w:color="auto"/>
                <w:vertAlign w:val="baseline"/>
              </w:rPr>
              <w:t>jim bylo umožněno</w:t>
            </w:r>
            <w:r>
              <w:t xml:space="preserve"> je účinně nasměrovat k příslušnému řízení, což může podle okolností být </w:t>
            </w:r>
            <w:r>
              <w:rPr>
                <w:b/>
                <w:i/>
                <w:strike w:val="0"/>
                <w:color w:val="auto"/>
                <w:highlight w:val="none"/>
                <w:u w:val="none" w:color="auto"/>
                <w:vertAlign w:val="baseline"/>
              </w:rPr>
              <w:t>řízení</w:t>
            </w:r>
            <w:r>
              <w:t xml:space="preserve"> pro mezinárodní ochranu</w:t>
            </w:r>
            <w:r>
              <w:rPr>
                <w:b/>
                <w:i/>
                <w:strike w:val="0"/>
                <w:color w:val="auto"/>
                <w:highlight w:val="none"/>
                <w:u w:val="none" w:color="auto"/>
                <w:vertAlign w:val="baseline"/>
              </w:rPr>
              <w:t>, jak je stanoveno v nařízení (EU) XXXX/202X (nařízení o azylovém řízení),</w:t>
            </w:r>
            <w:r>
              <w:t xml:space="preserve"> řízení v souladu se směrnicí Evropského parlamentu a Rady 2008/115/ES („směrnice o navracení“)</w:t>
            </w:r>
            <w:r>
              <w:rPr>
                <w:rStyle w:val="Sup"/>
              </w:rPr>
              <w:t>22</w:t>
            </w:r>
            <w:r>
              <w:rPr>
                <w:b/>
                <w:i/>
                <w:strike w:val="0"/>
                <w:color w:val="auto"/>
                <w:highlight w:val="none"/>
                <w:u w:val="none" w:color="auto"/>
                <w:vertAlign w:val="baseline"/>
              </w:rPr>
              <w:t>, nebo odmítnutí vstupu v souladu s nařízením (EU) 2016/399, aniž by byla dotčena diskreční pravomoc členských států v souladu s čl. 6 odst. 5 nařízení (EU) 2016/399</w:t>
            </w:r>
            <w:r>
              <w:t>. Prověřování by mělo konzistentně doplňovat kontroly prováděné na vnějších hranicích nebo kompenzovat skutečnost, že se státní příslušníci třetích zemí při překračování vnější hranice těmto kontrolám vyhnuli.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 xml:space="preserve">Směrnice Evropského parlamentu a Rady 2008/115/ES ze dne 16. prosince 2008 o společných normách a postupech v členských státech při navracení neoprávněně pobývajících státních příslušníků třetích zemí </w:t>
            </w:r>
            <w:r>
              <w:rPr>
                <w:b/>
                <w:i/>
                <w:strike w:val="0"/>
                <w:color w:val="auto"/>
                <w:highlight w:val="none"/>
                <w:u w:val="none" w:color="auto"/>
                <w:vertAlign w:val="baseline"/>
              </w:rPr>
              <w:t>(</w:t>
            </w:r>
            <w:r>
              <w:t>Úř. věst. L 348, 24.12.2008, s. 98</w:t>
            </w:r>
            <w:r>
              <w:rPr>
                <w:b/>
                <w:i/>
                <w:strike w:val="0"/>
                <w:color w:val="auto"/>
                <w:highlight w:val="none"/>
                <w:u w:val="none" w:color="auto"/>
                <w:vertAlign w:val="baseline"/>
              </w:rPr>
              <w:t>)</w:t>
            </w:r>
            <w:r>
              <w:t>.</w:t>
            </w:r>
          </w:p>
        </w:tc>
        <w:tc>
          <w:tcPr>
            <w:tcW w:w="4876" w:type="dxa"/>
            <w:vAlign w:val="top"/>
          </w:tcPr>
          <w:p>
            <w:pPr>
              <w:pStyle w:val="Normal6a"/>
            </w:pPr>
            <w:r>
              <w:rPr>
                <w:rStyle w:val="Sup"/>
              </w:rPr>
              <w:t>22</w:t>
            </w:r>
            <w:r>
              <w:t xml:space="preserve"> </w:t>
            </w:r>
            <w:r>
              <w:t>Směrnice Evropského parlamentu a Rady 2008/115/ES ze dne 16. prosince 2008 o společných normách a postupech v členských státech při navracení neoprávněně pobývajících státních příslušníků třetích zemí</w:t>
            </w:r>
            <w:r>
              <w:rPr>
                <w:b/>
                <w:i/>
                <w:strike w:val="0"/>
                <w:color w:val="auto"/>
                <w:highlight w:val="none"/>
                <w:u w:val="none" w:color="auto"/>
                <w:vertAlign w:val="baseline"/>
              </w:rPr>
              <w:t>,</w:t>
            </w:r>
            <w:r>
              <w:t xml:space="preserve"> Úř. věst. L 348, 24.12.2008, s.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Je nezbytné zajistit, aby v těchto </w:t>
            </w:r>
            <w:r>
              <w:rPr>
                <w:b/>
                <w:i/>
                <w:strike w:val="0"/>
                <w:color w:val="auto"/>
                <w:highlight w:val="none"/>
                <w:u w:val="none" w:color="auto"/>
                <w:vertAlign w:val="baseline"/>
              </w:rPr>
              <w:t>třech</w:t>
            </w:r>
            <w:r>
              <w:t xml:space="preserve"> situacích byli státní příslušníci třetích zemí prověřeni za účelem usnadnění jejich řádné identifikace a dále, aby bylo možné je účinně nasměrovat k příslušnému řízení, což může podle okolností být postup pro mezinárodní ochranu nebo řízení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c>
          <w:tcPr>
            <w:tcW w:w="4876" w:type="dxa"/>
            <w:vAlign w:val="top"/>
          </w:tcPr>
          <w:p>
            <w:pPr>
              <w:pStyle w:val="Normal6a"/>
            </w:pPr>
            <w:r>
              <w:t>(3)</w:t>
            </w:r>
            <w:r>
              <w:tab/>
            </w:r>
            <w:r>
              <w:t>Je nezbytné zajistit, aby v těchto situacích byli státní příslušníci třetích zemí prověřeni za účelem usnadnění jejich řádné identifikace a dále, aby bylo možné je účinně nasměrovat k příslušnému řízení, což může podle okolností být postup pro mezinárodní ochranu nebo řízení v souladu se směrnicí Evropského parlamentu a Rady 2008/115/ES („směrnice o navracení“)</w:t>
            </w:r>
            <w:r>
              <w:rPr>
                <w:rStyle w:val="Sup"/>
              </w:rPr>
              <w:t>22</w:t>
            </w:r>
            <w:r>
              <w:t>. Prověřování by mělo konzistentně doplňovat kontroly prováděné na vnějších hranicích nebo kompenzovat skutečnost, že se státní příslušníci třetích zemí při překračování vnější hranice těmto kontrolám vyhnuli.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22</w:t>
            </w:r>
            <w:r>
              <w:t xml:space="preserve"> </w:t>
            </w:r>
            <w:r>
              <w:t xml:space="preserve">Směrnice Evropského parlamentu a Rady 2008/115/ES ze dne 16. prosince 2008 o společných normách a postupech v členských státech při navracení neoprávněně pobývajících státních příslušníků třetích zemí </w:t>
            </w:r>
            <w:r>
              <w:rPr>
                <w:b/>
                <w:i/>
                <w:strike w:val="0"/>
                <w:color w:val="auto"/>
                <w:highlight w:val="none"/>
                <w:u w:val="none" w:color="auto"/>
                <w:vertAlign w:val="baseline"/>
              </w:rPr>
              <w:t>(</w:t>
            </w:r>
            <w:r>
              <w:t>Úř. věst. L 348, 24.12.2008, s. 98</w:t>
            </w:r>
            <w:r>
              <w:rPr>
                <w:b/>
                <w:i/>
                <w:strike w:val="0"/>
                <w:color w:val="auto"/>
                <w:highlight w:val="none"/>
                <w:u w:val="none" w:color="auto"/>
                <w:vertAlign w:val="baseline"/>
              </w:rPr>
              <w:t>)</w:t>
            </w:r>
            <w:r>
              <w:t>.</w:t>
            </w:r>
          </w:p>
        </w:tc>
        <w:tc>
          <w:tcPr>
            <w:tcW w:w="4876" w:type="dxa"/>
            <w:vAlign w:val="top"/>
          </w:tcPr>
          <w:p>
            <w:pPr>
              <w:pStyle w:val="Normal6a"/>
            </w:pPr>
            <w:r>
              <w:rPr>
                <w:rStyle w:val="Sup"/>
              </w:rPr>
              <w:t>22</w:t>
            </w:r>
            <w:r>
              <w:t xml:space="preserve"> </w:t>
            </w:r>
            <w:r>
              <w:t>Směrnice Evropského parlamentu a Rady 2008/115/ES ze dne 16. prosince 2008 o společných normách a postupech v členských státech při navracení neoprávněně pobývajících státních příslušníků třetích zemí</w:t>
            </w:r>
            <w:r>
              <w:rPr>
                <w:b/>
                <w:i/>
                <w:strike w:val="0"/>
                <w:color w:val="auto"/>
                <w:highlight w:val="none"/>
                <w:u w:val="none" w:color="auto"/>
                <w:vertAlign w:val="baseline"/>
              </w:rPr>
              <w:t>,</w:t>
            </w:r>
            <w:r>
              <w:t xml:space="preserve"> Úř. věst. L 348, 24.12.2008, s. 98.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Ochrana hranic je věcí zájmu </w:t>
            </w:r>
            <w:r>
              <w:rPr>
                <w:b/>
                <w:i/>
                <w:strike w:val="0"/>
                <w:color w:val="auto"/>
                <w:highlight w:val="none"/>
                <w:u w:val="none" w:color="auto"/>
                <w:vertAlign w:val="baseline"/>
              </w:rPr>
              <w:t>nejen</w:t>
            </w:r>
            <w:r>
              <w:t xml:space="preserve">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pomáhat v boji proti nedovolené migraci a</w:t>
            </w:r>
            <w:r>
              <w:t xml:space="preserve"> obchodování s lidmi a </w:t>
            </w:r>
            <w:r>
              <w:rPr>
                <w:b/>
                <w:i/>
                <w:strike w:val="0"/>
                <w:color w:val="auto"/>
                <w:highlight w:val="none"/>
                <w:u w:val="none" w:color="auto"/>
                <w:vertAlign w:val="baseline"/>
              </w:rPr>
              <w:t>zabránit jakékoliv hrozbě pro</w:t>
            </w:r>
            <w:r>
              <w:t xml:space="preserve"> vnitřní </w:t>
            </w:r>
            <w:r>
              <w:rPr>
                <w:b/>
                <w:i/>
                <w:strike w:val="0"/>
                <w:color w:val="auto"/>
                <w:highlight w:val="none"/>
                <w:u w:val="none" w:color="auto"/>
                <w:vertAlign w:val="baseline"/>
              </w:rPr>
              <w:t>bezpečnost, veřejný pořádek, veřejné zdraví a mezinárodní vztahy</w:t>
            </w:r>
            <w:r>
              <w:t xml:space="preserve"> členských států. Jako taková </w:t>
            </w:r>
            <w:r>
              <w:rPr>
                <w:b/>
                <w:i/>
                <w:strike w:val="0"/>
                <w:color w:val="auto"/>
                <w:highlight w:val="none"/>
                <w:u w:val="none" w:color="auto"/>
                <w:vertAlign w:val="baseline"/>
              </w:rPr>
              <w:t>jsou</w:t>
            </w:r>
            <w:r>
              <w:t xml:space="preserve"> opatření přijatá na vnějších hranicích </w:t>
            </w:r>
            <w:r>
              <w:rPr>
                <w:b/>
                <w:i/>
                <w:strike w:val="0"/>
                <w:color w:val="auto"/>
                <w:highlight w:val="none"/>
                <w:u w:val="none" w:color="auto"/>
                <w:vertAlign w:val="baseline"/>
              </w:rPr>
              <w:t>důležitými prvky komplexního přístupu k migraci, který umožňuje řešit výzvy smíšených toků migrantů a osob žádajících o mezinárodní ochranu</w:t>
            </w:r>
            <w:r>
              <w:t>.</w:t>
            </w:r>
          </w:p>
        </w:tc>
        <w:tc>
          <w:tcPr>
            <w:tcW w:w="4876" w:type="dxa"/>
            <w:vAlign w:val="top"/>
          </w:tcPr>
          <w:p>
            <w:pPr>
              <w:pStyle w:val="Normal6a"/>
            </w:pPr>
            <w:r>
              <w:t>(4)</w:t>
            </w:r>
            <w:r>
              <w:tab/>
            </w:r>
            <w:r>
              <w:t xml:space="preserve">Ochrana hranic je </w:t>
            </w:r>
            <w:r>
              <w:rPr>
                <w:b/>
                <w:i/>
                <w:strike w:val="0"/>
                <w:color w:val="auto"/>
                <w:highlight w:val="none"/>
                <w:u w:val="none" w:color="auto"/>
                <w:vertAlign w:val="baseline"/>
              </w:rPr>
              <w:t>nejen</w:t>
            </w:r>
            <w:r>
              <w:t xml:space="preserve"> věcí zájmu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pomoci identifikovat osoby žádající o mezinárodní ochranu, chránit oběti</w:t>
            </w:r>
            <w:r>
              <w:t xml:space="preserve"> obchodování s lidmi a </w:t>
            </w:r>
            <w:r>
              <w:rPr>
                <w:b/>
                <w:i/>
                <w:strike w:val="0"/>
                <w:color w:val="auto"/>
                <w:highlight w:val="none"/>
                <w:u w:val="none" w:color="auto"/>
                <w:vertAlign w:val="baseline"/>
              </w:rPr>
              <w:t>předcházet jakémukoli ohrožení</w:t>
            </w:r>
            <w:r>
              <w:t xml:space="preserve"> vnitřní </w:t>
            </w:r>
            <w:r>
              <w:rPr>
                <w:b/>
                <w:i/>
                <w:strike w:val="0"/>
                <w:color w:val="auto"/>
                <w:highlight w:val="none"/>
                <w:u w:val="none" w:color="auto"/>
                <w:vertAlign w:val="baseline"/>
              </w:rPr>
              <w:t>bezpečnosti</w:t>
            </w:r>
            <w:r>
              <w:t xml:space="preserve"> členských států. Jako taková </w:t>
            </w:r>
            <w:r>
              <w:rPr>
                <w:b/>
                <w:i/>
                <w:strike w:val="0"/>
                <w:color w:val="auto"/>
                <w:highlight w:val="none"/>
                <w:u w:val="none" w:color="auto"/>
                <w:vertAlign w:val="baseline"/>
              </w:rPr>
              <w:t>by</w:t>
            </w:r>
            <w:r>
              <w:t xml:space="preserve"> opatření přijatá na vnějších hranicích </w:t>
            </w:r>
            <w:r>
              <w:rPr>
                <w:b/>
                <w:i/>
                <w:strike w:val="0"/>
                <w:color w:val="auto"/>
                <w:highlight w:val="none"/>
                <w:u w:val="none" w:color="auto"/>
                <w:vertAlign w:val="baseline"/>
              </w:rPr>
              <w:t>měla být přiměřená sledovaným cílům a měla by umožnit přijímání rozhodnutí podle tohoto nařízení na individuálním základě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Ochrana hranic je věcí zájmu nejen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pomáhat v boji proti nedovolené migraci a</w:t>
            </w:r>
            <w:r>
              <w:t xml:space="preserve"> obchodování s lidmi a zabránit jakékoliv hrozbě pro vnitřní bezpečnost, </w:t>
            </w:r>
            <w:r>
              <w:rPr>
                <w:b/>
                <w:i/>
                <w:strike w:val="0"/>
                <w:color w:val="auto"/>
                <w:highlight w:val="none"/>
                <w:u w:val="none" w:color="auto"/>
                <w:vertAlign w:val="baseline"/>
              </w:rPr>
              <w:t>veřejný pořádek,</w:t>
            </w:r>
            <w:r>
              <w:t xml:space="preserve"> veřejné zdraví a mezinárodní vztahy členských států. Jako taková </w:t>
            </w:r>
            <w:r>
              <w:rPr>
                <w:b/>
                <w:i/>
                <w:strike w:val="0"/>
                <w:color w:val="auto"/>
                <w:highlight w:val="none"/>
                <w:u w:val="none" w:color="auto"/>
                <w:vertAlign w:val="baseline"/>
              </w:rPr>
              <w:t>jsou</w:t>
            </w:r>
            <w:r>
              <w:t xml:space="preserve"> opatření přijatá na vnějších hranicích </w:t>
            </w:r>
            <w:r>
              <w:rPr>
                <w:b/>
                <w:i/>
                <w:strike w:val="0"/>
                <w:color w:val="auto"/>
                <w:highlight w:val="none"/>
                <w:u w:val="none" w:color="auto"/>
                <w:vertAlign w:val="baseline"/>
              </w:rPr>
              <w:t>důležitými prvky komplexního přístupu k migraci, který umožňuje řešit výzvy smíšených toků migrantů a osob žádajících o mezinárodní ochranu</w:t>
            </w:r>
            <w:r>
              <w:t>.</w:t>
            </w:r>
          </w:p>
        </w:tc>
        <w:tc>
          <w:tcPr>
            <w:tcW w:w="4876" w:type="dxa"/>
            <w:vAlign w:val="top"/>
          </w:tcPr>
          <w:p>
            <w:pPr>
              <w:pStyle w:val="Normal6a"/>
            </w:pPr>
            <w:r>
              <w:t>(4)</w:t>
            </w:r>
            <w:r>
              <w:tab/>
            </w:r>
            <w:r>
              <w:t xml:space="preserve">Ochrana hranic je věcí zájmu nejen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přispívat k ochraně obětí</w:t>
            </w:r>
            <w:r>
              <w:t xml:space="preserve"> obchodování s lidmi a zabránit jakékoliv hrozbě pro vnitřní bezpečnost, veřejné zdraví a mezinárodní vztahy členských států. Jako taková </w:t>
            </w:r>
            <w:r>
              <w:rPr>
                <w:b/>
                <w:i/>
                <w:strike w:val="0"/>
                <w:color w:val="auto"/>
                <w:highlight w:val="none"/>
                <w:u w:val="none" w:color="auto"/>
                <w:vertAlign w:val="baseline"/>
              </w:rPr>
              <w:t>by</w:t>
            </w:r>
            <w:r>
              <w:t xml:space="preserve"> opatření přijatá na vnějších hranicích </w:t>
            </w:r>
            <w:r>
              <w:rPr>
                <w:b/>
                <w:i/>
                <w:strike w:val="0"/>
                <w:color w:val="auto"/>
                <w:highlight w:val="none"/>
                <w:u w:val="none" w:color="auto"/>
                <w:vertAlign w:val="baseline"/>
              </w:rPr>
              <w:t>měla být přiměřená sledovaným cílům a měla by umožnit přijímání rozhodnutí podle tohoto nařízení na individuálním základě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Ochrana hranic je věcí zájmu nejen členských států, na jejichž vnějších hranicích se provádí, nýbrž všech členských států</w:t>
            </w:r>
            <w:r>
              <w:rPr>
                <w:b/>
                <w:i/>
                <w:strike w:val="0"/>
                <w:color w:val="auto"/>
                <w:highlight w:val="none"/>
                <w:u w:val="none" w:color="auto"/>
                <w:vertAlign w:val="baseline"/>
              </w:rPr>
              <w:t>, které zrušily ochranu vnitřních hranic</w:t>
            </w:r>
            <w:r>
              <w:t xml:space="preserve">. Ochrana hranic by měla </w:t>
            </w:r>
            <w:r>
              <w:rPr>
                <w:b/>
                <w:i/>
                <w:strike w:val="0"/>
                <w:color w:val="auto"/>
                <w:highlight w:val="none"/>
                <w:u w:val="none" w:color="auto"/>
                <w:vertAlign w:val="baseline"/>
              </w:rPr>
              <w:t>pomáhat v boji</w:t>
            </w:r>
            <w:r>
              <w:t xml:space="preserve"> proti </w:t>
            </w:r>
            <w:r>
              <w:rPr>
                <w:b/>
                <w:i/>
                <w:strike w:val="0"/>
                <w:color w:val="auto"/>
                <w:highlight w:val="none"/>
                <w:u w:val="none" w:color="auto"/>
                <w:vertAlign w:val="baseline"/>
              </w:rPr>
              <w:t>nedovolené</w:t>
            </w:r>
            <w:r>
              <w:t xml:space="preserve"> migraci </w:t>
            </w:r>
            <w:r>
              <w:rPr>
                <w:b/>
                <w:i/>
                <w:strike w:val="0"/>
                <w:color w:val="auto"/>
                <w:highlight w:val="none"/>
                <w:u w:val="none" w:color="auto"/>
                <w:vertAlign w:val="baseline"/>
              </w:rPr>
              <w:t>a</w:t>
            </w:r>
            <w:r>
              <w:t xml:space="preserve"> obchodování s lidmi a </w:t>
            </w:r>
            <w:r>
              <w:rPr>
                <w:b/>
                <w:i/>
                <w:strike w:val="0"/>
                <w:color w:val="auto"/>
                <w:highlight w:val="none"/>
                <w:u w:val="none" w:color="auto"/>
                <w:vertAlign w:val="baseline"/>
              </w:rPr>
              <w:t>zabránit jakékoliv hrozbě pro</w:t>
            </w:r>
            <w:r>
              <w:t xml:space="preserve"> vnitřní </w:t>
            </w:r>
            <w:r>
              <w:rPr>
                <w:b/>
                <w:i/>
                <w:strike w:val="0"/>
                <w:color w:val="auto"/>
                <w:highlight w:val="none"/>
                <w:u w:val="none" w:color="auto"/>
                <w:vertAlign w:val="baseline"/>
              </w:rPr>
              <w:t>bezpečnost, veřejný pořádek, veřejné</w:t>
            </w:r>
            <w:r>
              <w:t xml:space="preserve"> zdraví a </w:t>
            </w:r>
            <w:r>
              <w:rPr>
                <w:b/>
                <w:i/>
                <w:strike w:val="0"/>
                <w:color w:val="auto"/>
                <w:highlight w:val="none"/>
                <w:u w:val="none" w:color="auto"/>
                <w:vertAlign w:val="baseline"/>
              </w:rPr>
              <w:t>mezinárodní vztahy</w:t>
            </w:r>
            <w:r>
              <w:t xml:space="preserve"> členských států. Jako taková jsou opatření přijatá na vnějších hranicích důležitými prvky </w:t>
            </w:r>
            <w:r>
              <w:rPr>
                <w:b/>
                <w:i/>
                <w:strike w:val="0"/>
                <w:color w:val="auto"/>
                <w:highlight w:val="none"/>
                <w:u w:val="none" w:color="auto"/>
                <w:vertAlign w:val="baseline"/>
              </w:rPr>
              <w:t>komplexního přístupu k migraci, který</w:t>
            </w:r>
            <w:r>
              <w:t xml:space="preserve"> umožňuje řešit </w:t>
            </w:r>
            <w:r>
              <w:rPr>
                <w:b/>
                <w:i/>
                <w:strike w:val="0"/>
                <w:color w:val="auto"/>
                <w:highlight w:val="none"/>
                <w:u w:val="none" w:color="auto"/>
                <w:vertAlign w:val="baseline"/>
              </w:rPr>
              <w:t>výzvy smíšených toků migrantů a osob žádajících o mezinárodní ochranu</w:t>
            </w:r>
            <w:r>
              <w:t>.</w:t>
            </w:r>
          </w:p>
        </w:tc>
        <w:tc>
          <w:tcPr>
            <w:tcW w:w="4876" w:type="dxa"/>
            <w:vAlign w:val="top"/>
          </w:tcPr>
          <w:p>
            <w:pPr>
              <w:pStyle w:val="Normal6a"/>
            </w:pPr>
            <w:r>
              <w:t>(4)</w:t>
            </w:r>
            <w:r>
              <w:tab/>
            </w:r>
            <w:r>
              <w:t xml:space="preserve">Ochrana hranic je věcí zájmu nejen členských států, na jejichž vnějších hranicích se provádí, nýbrž všech členských států. Ochrana hranic by měla </w:t>
            </w:r>
            <w:r>
              <w:rPr>
                <w:b/>
                <w:i/>
                <w:strike w:val="0"/>
                <w:color w:val="auto"/>
                <w:highlight w:val="none"/>
                <w:u w:val="none" w:color="auto"/>
                <w:vertAlign w:val="baseline"/>
              </w:rPr>
              <w:t>pomoci bojovat</w:t>
            </w:r>
            <w:r>
              <w:t xml:space="preserve"> proti </w:t>
            </w:r>
            <w:r>
              <w:rPr>
                <w:b/>
                <w:i/>
                <w:strike w:val="0"/>
                <w:color w:val="auto"/>
                <w:highlight w:val="none"/>
                <w:u w:val="none" w:color="auto"/>
                <w:vertAlign w:val="baseline"/>
              </w:rPr>
              <w:t>nelegální</w:t>
            </w:r>
            <w:r>
              <w:t xml:space="preserve"> migraci</w:t>
            </w:r>
            <w:r>
              <w:rPr>
                <w:b/>
                <w:i/>
                <w:strike w:val="0"/>
                <w:color w:val="auto"/>
                <w:highlight w:val="none"/>
                <w:u w:val="none" w:color="auto"/>
                <w:vertAlign w:val="baseline"/>
              </w:rPr>
              <w:t>, šířit komunikační kampaně odrazující migranty od nelegálního vstupu do EU, bojovat proti</w:t>
            </w:r>
            <w:r>
              <w:t xml:space="preserve"> obchodování s lidmi a </w:t>
            </w:r>
            <w:r>
              <w:rPr>
                <w:b/>
                <w:i/>
                <w:strike w:val="0"/>
                <w:color w:val="auto"/>
                <w:highlight w:val="none"/>
                <w:u w:val="none" w:color="auto"/>
                <w:vertAlign w:val="baseline"/>
              </w:rPr>
              <w:t>předcházet jakémukoli ohrožení</w:t>
            </w:r>
            <w:r>
              <w:t xml:space="preserve"> vnitřní </w:t>
            </w:r>
            <w:r>
              <w:rPr>
                <w:b/>
                <w:i/>
                <w:strike w:val="0"/>
                <w:color w:val="auto"/>
                <w:highlight w:val="none"/>
                <w:u w:val="none" w:color="auto"/>
                <w:vertAlign w:val="baseline"/>
              </w:rPr>
              <w:t>bezpečnosti, veřejného pořádku, veřejného</w:t>
            </w:r>
            <w:r>
              <w:t xml:space="preserve"> zdraví a </w:t>
            </w:r>
            <w:r>
              <w:rPr>
                <w:b/>
                <w:i/>
                <w:strike w:val="0"/>
                <w:color w:val="auto"/>
                <w:highlight w:val="none"/>
                <w:u w:val="none" w:color="auto"/>
                <w:vertAlign w:val="baseline"/>
              </w:rPr>
              <w:t>mezinárodních vztahů</w:t>
            </w:r>
            <w:r>
              <w:t xml:space="preserve"> členských států. Jako taková jsou opatření přijatá na vnějších hranicích důležitými prvky </w:t>
            </w:r>
            <w:r>
              <w:rPr>
                <w:b/>
                <w:i/>
                <w:strike w:val="0"/>
                <w:color w:val="auto"/>
                <w:highlight w:val="none"/>
                <w:u w:val="none" w:color="auto"/>
                <w:vertAlign w:val="baseline"/>
              </w:rPr>
              <w:t>zmírňování migrace, což</w:t>
            </w:r>
            <w:r>
              <w:t xml:space="preserve"> umožňuje řešit </w:t>
            </w:r>
            <w:r>
              <w:rPr>
                <w:b/>
                <w:i/>
                <w:strike w:val="0"/>
                <w:color w:val="auto"/>
                <w:highlight w:val="none"/>
                <w:u w:val="none" w:color="auto"/>
                <w:vertAlign w:val="baseline"/>
              </w:rPr>
              <w:t>výzvu, kterou pro evropskou kulturu, společnost a způsob života představují masové migrační toky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Ochrana hranic je věcí zájmu nejen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pomáhat v boji</w:t>
            </w:r>
            <w:r>
              <w:t xml:space="preserve"> proti nedovolené migraci a obchodování s lidmi a zabránit jakékoliv hrozbě pro vnitřní bezpečnost, veřejný pořádek, veřejné zdraví a mezinárodní vztahy členských států. Jako taková jsou opatření přijatá na vnějších hranicích důležitými prvky </w:t>
            </w:r>
            <w:r>
              <w:rPr>
                <w:b/>
                <w:i/>
                <w:strike w:val="0"/>
                <w:color w:val="auto"/>
                <w:highlight w:val="none"/>
                <w:u w:val="none" w:color="auto"/>
                <w:vertAlign w:val="baseline"/>
              </w:rPr>
              <w:t>komplexního přístupu k migraci, který umožňuje řešit výzvy smíšených toků migrantů a osob žádajících o mezinárodní ochranu</w:t>
            </w:r>
            <w:r>
              <w:t>.</w:t>
            </w:r>
          </w:p>
        </w:tc>
        <w:tc>
          <w:tcPr>
            <w:tcW w:w="4876" w:type="dxa"/>
            <w:vAlign w:val="top"/>
          </w:tcPr>
          <w:p>
            <w:pPr>
              <w:pStyle w:val="Normal6a"/>
            </w:pPr>
            <w:r>
              <w:t>(4)</w:t>
            </w:r>
            <w:r>
              <w:tab/>
            </w:r>
            <w:r>
              <w:t xml:space="preserve">Ochrana hranic je věcí zájmu nejen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předně bojovat</w:t>
            </w:r>
            <w:r>
              <w:t xml:space="preserve"> proti nedovolené migraci a obchodování s lidmi a zabránit jakékoliv hrozbě pro vnitřní bezpečnost, veřejný pořádek, veřejné zdraví a mezinárodní vztahy členských států. Jako taková jsou opatření přijatá na vnějších hranicích důležitými prvky </w:t>
            </w:r>
            <w:r>
              <w:rPr>
                <w:b/>
                <w:i/>
                <w:strike w:val="0"/>
                <w:color w:val="auto"/>
                <w:highlight w:val="none"/>
                <w:u w:val="none" w:color="auto"/>
                <w:vertAlign w:val="baseline"/>
              </w:rPr>
              <w:t>zajišťování bezpečnosti členských států</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Ochrana hranic je věcí zájmu nejen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pomáhat v boji proti</w:t>
            </w:r>
            <w:r>
              <w:t xml:space="preserve"> nedovolené </w:t>
            </w:r>
            <w:r>
              <w:rPr>
                <w:b/>
                <w:i/>
                <w:strike w:val="0"/>
                <w:color w:val="auto"/>
                <w:highlight w:val="none"/>
                <w:u w:val="none" w:color="auto"/>
                <w:vertAlign w:val="baseline"/>
              </w:rPr>
              <w:t>migraci</w:t>
            </w:r>
            <w:r>
              <w:t xml:space="preserve"> a obchodování s lidmi a zabránit jakékoliv hrozbě pro vnitřní bezpečnost, </w:t>
            </w:r>
            <w:r>
              <w:rPr>
                <w:b/>
                <w:i/>
                <w:strike w:val="0"/>
                <w:color w:val="auto"/>
                <w:highlight w:val="none"/>
                <w:u w:val="none" w:color="auto"/>
                <w:vertAlign w:val="baseline"/>
              </w:rPr>
              <w:t>veřejný pořádek,</w:t>
            </w:r>
            <w:r>
              <w:t xml:space="preserve"> veřejné zdraví a mezinárodní vztahy členských států. Jako taková jsou opatření přijatá na vnějších hranicích důležitými prvky komplexního přístupu k migraci</w:t>
            </w:r>
            <w:r>
              <w:rPr>
                <w:b/>
                <w:i/>
                <w:strike w:val="0"/>
                <w:color w:val="auto"/>
                <w:highlight w:val="none"/>
                <w:u w:val="none" w:color="auto"/>
                <w:vertAlign w:val="baseline"/>
              </w:rPr>
              <w:t>, který umožňuje řešit výzvy smíšených toků migrantů a osob žádajících o mezinárodní ochranu</w:t>
            </w:r>
            <w:r>
              <w:t>.</w:t>
            </w:r>
          </w:p>
        </w:tc>
        <w:tc>
          <w:tcPr>
            <w:tcW w:w="4876" w:type="dxa"/>
            <w:vAlign w:val="top"/>
          </w:tcPr>
          <w:p>
            <w:pPr>
              <w:pStyle w:val="Normal6a"/>
            </w:pPr>
            <w:r>
              <w:t>(4)</w:t>
            </w:r>
            <w:r>
              <w:tab/>
            </w:r>
            <w:r>
              <w:t xml:space="preserve">Ochrana hranic je věcí zájmu nejen členských států, na jejichž vnějších hranicích se provádí, nýbrž všech členských států, které zrušily ochranu vnitřních hranic. Ochrana hranic by měla </w:t>
            </w:r>
            <w:r>
              <w:rPr>
                <w:b/>
                <w:i/>
                <w:strike w:val="0"/>
                <w:color w:val="auto"/>
                <w:highlight w:val="none"/>
                <w:u w:val="none" w:color="auto"/>
                <w:vertAlign w:val="baseline"/>
              </w:rPr>
              <w:t>přispívat k omezování</w:t>
            </w:r>
            <w:r>
              <w:t xml:space="preserve"> nedovolené </w:t>
            </w:r>
            <w:r>
              <w:rPr>
                <w:b/>
                <w:i/>
                <w:strike w:val="0"/>
                <w:color w:val="auto"/>
                <w:highlight w:val="none"/>
                <w:u w:val="none" w:color="auto"/>
                <w:vertAlign w:val="baseline"/>
              </w:rPr>
              <w:t>migrace</w:t>
            </w:r>
            <w:r>
              <w:t xml:space="preserve"> a obchodování s lidmi a zabránit jakékoliv hrozbě pro vnitřní bezpečnost, veřejné zdraví a mezinárodní vztahy členských států. Jako taková jsou opatření přijatá na vnějších hranicích důležitými prvky komplexního přístupu k migraci.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Ochrana hranic je věcí zájmu </w:t>
            </w:r>
            <w:r>
              <w:rPr>
                <w:b/>
                <w:i/>
                <w:strike w:val="0"/>
                <w:color w:val="auto"/>
                <w:highlight w:val="none"/>
                <w:u w:val="none" w:color="auto"/>
                <w:vertAlign w:val="baseline"/>
              </w:rPr>
              <w:t>nejen</w:t>
            </w:r>
            <w:r>
              <w:t xml:space="preserve"> členských států, na jejichž vnějších hranicích se provádí, nýbrž všech členských států, které zrušily ochranu vnitřních hranic. Ochrana hranic by měla pomáhat </w:t>
            </w:r>
            <w:r>
              <w:rPr>
                <w:b/>
                <w:i/>
                <w:strike w:val="0"/>
                <w:color w:val="auto"/>
                <w:highlight w:val="none"/>
                <w:u w:val="none" w:color="auto"/>
                <w:vertAlign w:val="baseline"/>
              </w:rPr>
              <w:t>v boji proti</w:t>
            </w:r>
            <w:r>
              <w:t xml:space="preserve"> nedovolené migraci a obchodování s lidmi a zabránit jakékoliv hrozbě pro vnitřní bezpečnost, veřejný pořádek, veřejné zdraví a mezinárodní vztahy členských států. Jako taková jsou opatření přijatá na vnějších hranicích důležitými prvky komplexního přístupu k migraci</w:t>
            </w:r>
            <w:r>
              <w:rPr>
                <w:b/>
                <w:i/>
                <w:strike w:val="0"/>
                <w:color w:val="auto"/>
                <w:highlight w:val="none"/>
                <w:u w:val="none" w:color="auto"/>
                <w:vertAlign w:val="baseline"/>
              </w:rPr>
              <w:t>, který umožňuje řešit</w:t>
            </w:r>
            <w:r>
              <w:t xml:space="preserve"> výzvy smíšených toků migrantů a osob žádajících o mezinárodní ochranu.</w:t>
            </w:r>
          </w:p>
        </w:tc>
        <w:tc>
          <w:tcPr>
            <w:tcW w:w="4876" w:type="dxa"/>
            <w:vAlign w:val="top"/>
          </w:tcPr>
          <w:p>
            <w:pPr>
              <w:pStyle w:val="Normal6a"/>
            </w:pPr>
            <w:r>
              <w:t>(4)</w:t>
            </w:r>
            <w:r>
              <w:tab/>
            </w:r>
            <w:r>
              <w:t xml:space="preserve">Ochrana hranic je </w:t>
            </w:r>
            <w:r>
              <w:rPr>
                <w:b/>
                <w:i/>
                <w:strike w:val="0"/>
                <w:color w:val="auto"/>
                <w:highlight w:val="none"/>
                <w:u w:val="none" w:color="auto"/>
                <w:vertAlign w:val="baseline"/>
              </w:rPr>
              <w:t>nejen</w:t>
            </w:r>
            <w:r>
              <w:t xml:space="preserve"> věcí zájmu členských států, na jejichž vnějších hranicích se provádí, nýbrž všech členských států, které zrušily ochranu vnitřních hranic. Ochrana hranic by měla pomáhat </w:t>
            </w:r>
            <w:r>
              <w:rPr>
                <w:b/>
                <w:i/>
                <w:strike w:val="0"/>
                <w:color w:val="auto"/>
                <w:highlight w:val="none"/>
                <w:u w:val="none" w:color="auto"/>
                <w:vertAlign w:val="baseline"/>
              </w:rPr>
              <w:t>při předcházení</w:t>
            </w:r>
            <w:r>
              <w:t xml:space="preserve"> nedovolené migraci a </w:t>
            </w:r>
            <w:r>
              <w:rPr>
                <w:b/>
                <w:i/>
                <w:strike w:val="0"/>
                <w:color w:val="auto"/>
                <w:highlight w:val="none"/>
                <w:u w:val="none" w:color="auto"/>
                <w:vertAlign w:val="baseline"/>
              </w:rPr>
              <w:t>boji proti</w:t>
            </w:r>
            <w:r>
              <w:t xml:space="preserve"> obchodování s lidmi a zabránit jakékoliv hrozbě pro vnitřní bezpečnost </w:t>
            </w:r>
            <w:r>
              <w:rPr>
                <w:b/>
                <w:i/>
                <w:strike w:val="0"/>
                <w:color w:val="auto"/>
                <w:highlight w:val="none"/>
                <w:u w:val="none" w:color="auto"/>
                <w:vertAlign w:val="baseline"/>
              </w:rPr>
              <w:t>Unie a vnitrostátní bezpečnost</w:t>
            </w:r>
            <w:r>
              <w:t xml:space="preserve">, veřejný pořádek, veřejné zdraví a mezinárodní vztahy členských států. Jako taková jsou opatření přijatá na vnějších hranicích důležitými prvky komplexního přístupu k </w:t>
            </w:r>
            <w:r>
              <w:rPr>
                <w:b/>
                <w:i/>
                <w:strike w:val="0"/>
                <w:color w:val="auto"/>
                <w:highlight w:val="none"/>
                <w:u w:val="none" w:color="auto"/>
                <w:vertAlign w:val="baseline"/>
              </w:rPr>
              <w:t>azylu a</w:t>
            </w:r>
            <w:r>
              <w:t xml:space="preserve"> migraci </w:t>
            </w:r>
            <w:r>
              <w:rPr>
                <w:b/>
                <w:i/>
                <w:strike w:val="0"/>
                <w:color w:val="auto"/>
                <w:highlight w:val="none"/>
                <w:u w:val="none" w:color="auto"/>
                <w:vertAlign w:val="baseline"/>
              </w:rPr>
              <w:t>a mají zásadní význam pro řešení</w:t>
            </w:r>
            <w:r>
              <w:t xml:space="preserve"> výzvy smíšených toků migrantů a </w:t>
            </w:r>
            <w:r>
              <w:rPr>
                <w:b/>
                <w:i/>
                <w:strike w:val="0"/>
                <w:color w:val="auto"/>
                <w:highlight w:val="none"/>
                <w:u w:val="none" w:color="auto"/>
                <w:vertAlign w:val="baseline"/>
              </w:rPr>
              <w:t>zajištění přístupu</w:t>
            </w:r>
            <w:r>
              <w:t xml:space="preserve"> osob žádajících o mezinárodní ochranu </w:t>
            </w:r>
            <w:r>
              <w:rPr>
                <w:b/>
                <w:i/>
                <w:strike w:val="0"/>
                <w:color w:val="auto"/>
                <w:highlight w:val="none"/>
                <w:u w:val="none" w:color="auto"/>
                <w:vertAlign w:val="baseline"/>
              </w:rPr>
              <w:t>k příslušným řízením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Při uplatňování tohoto nařízení by členské státy měly postupovat v souladu s příslušným právem Unie a mezinárodním právem, včetně Ženevské úmluvy o právním postavení uprchlíků ze dne 28. července 1951 ve znění Newyorského protokolu ze dne 31. ledna 1967 (dále jen „Ženevská úmluva“), závazků souvisejících s mezinárodní ochranou, zejména se zásadou nenavracení, a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Účinná správa hranic je nedílnou součástí evropského přístupu k azylu a migraci, který vychází ze zásady solidarity a spravedlivého sdílení odpovědnosti.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aby se zabránilo státním příslušníkům třetích zemí vyhýbat se hraničním kontrolám. </w:t>
            </w:r>
            <w:r>
              <w:rPr>
                <w:b/>
                <w:i/>
                <w:strike w:val="0"/>
                <w:color w:val="auto"/>
                <w:highlight w:val="none"/>
                <w:u w:val="none" w:color="auto"/>
                <w:vertAlign w:val="baseline"/>
              </w:rPr>
              <w:t>V souladu s článkem 13 nařízení (EU) 2016/399 se</w:t>
            </w:r>
            <w:r>
              <w:t xml:space="preserve"> osoba, která překročila </w:t>
            </w:r>
            <w:r>
              <w:rPr>
                <w:b/>
                <w:i/>
                <w:strike w:val="0"/>
                <w:color w:val="auto"/>
                <w:highlight w:val="none"/>
                <w:u w:val="none" w:color="auto"/>
                <w:vertAlign w:val="baseline"/>
              </w:rPr>
              <w:t>hranice</w:t>
            </w:r>
            <w:r>
              <w:t xml:space="preserve"> nedovoleným způsobem </w:t>
            </w:r>
            <w:r>
              <w:rPr>
                <w:b/>
                <w:i/>
                <w:strike w:val="0"/>
                <w:color w:val="auto"/>
                <w:highlight w:val="none"/>
                <w:u w:val="none" w:color="auto"/>
                <w:vertAlign w:val="baseline"/>
              </w:rPr>
              <w:t>a která nemá právo pobytu na území dotčeného členského státu, zadrží a je proti ní vedeno řízení v souladu se směrnicí 2008/115/ES. V souladu s článkem 3 nařízení (EU) 2016/399 by ochrana hranic měla být prováděna, aniž jsou dotčena práva uprchlíků a osob žádajících o mezinárodní ochranu, zejména pokud jde o zásadu nenavracení</w:t>
            </w:r>
            <w:r>
              <w:t>.</w:t>
            </w:r>
          </w:p>
        </w:tc>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aby se zabránilo státním příslušníkům třetích zemí vyhýbat se hraničním kontrolám. Osoba, která překročila </w:t>
            </w:r>
            <w:r>
              <w:rPr>
                <w:b/>
                <w:i/>
                <w:strike w:val="0"/>
                <w:color w:val="auto"/>
                <w:highlight w:val="none"/>
                <w:u w:val="none" w:color="auto"/>
                <w:vertAlign w:val="baseline"/>
              </w:rPr>
              <w:t>hranici</w:t>
            </w:r>
            <w:r>
              <w:t xml:space="preserve"> nedovoleným způsobem</w:t>
            </w:r>
            <w:r>
              <w:rPr>
                <w:b/>
                <w:i/>
                <w:strike w:val="0"/>
                <w:color w:val="auto"/>
                <w:highlight w:val="none"/>
                <w:u w:val="none" w:color="auto"/>
                <w:vertAlign w:val="baseline"/>
              </w:rPr>
              <w:t>, nesmí žádat o mezinárodní ochranu a místo toho musí být vrácena do přístavu původu, poslední bezpečné tranzitní země nebo země původu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aby se zabránilo státním příslušníkům třetích zemí </w:t>
            </w:r>
            <w:r>
              <w:rPr>
                <w:b/>
                <w:i/>
                <w:strike w:val="0"/>
                <w:color w:val="auto"/>
                <w:highlight w:val="none"/>
                <w:u w:val="none" w:color="auto"/>
                <w:vertAlign w:val="baseline"/>
              </w:rPr>
              <w:t>vyhýbat se hraničním kontrolám</w:t>
            </w:r>
            <w:r>
              <w:t xml:space="preserve">. V souladu s článkem 13 nařízení (EU) 2016/399 se osoba, která překročila hranice nedovoleným způsobem a která nemá právo pobytu na území dotčeného členského státu, zadrží a je proti ní vedeno řízení v souladu se směrnicí 2008/115/ES. </w:t>
            </w:r>
            <w:r>
              <w:rPr>
                <w:b/>
                <w:i/>
                <w:strike w:val="0"/>
                <w:color w:val="auto"/>
                <w:highlight w:val="none"/>
                <w:u w:val="none" w:color="auto"/>
                <w:vertAlign w:val="baseline"/>
              </w:rPr>
              <w:t>V souladu s článkem 3 nařízení (EU) 2016/399 by ochrana hranic měla být prováděna, aniž jsou dotčena práva uprchlíků a osob žádajících o mezinárodní ochranu, zejména pokud jde o zásadu nenavracení.</w:t>
            </w:r>
          </w:p>
        </w:tc>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aby se zabránilo státním příslušníkům třetích zemí </w:t>
            </w:r>
            <w:r>
              <w:rPr>
                <w:b/>
                <w:i/>
                <w:strike w:val="0"/>
                <w:color w:val="auto"/>
                <w:highlight w:val="none"/>
                <w:u w:val="none" w:color="auto"/>
                <w:vertAlign w:val="baseline"/>
              </w:rPr>
              <w:t>v nezákonném obcházení hraničních kontrol</w:t>
            </w:r>
            <w:r>
              <w:t>. V souladu s článkem 13 nařízení (EU) 2016/399 se osoba, která překročila hranice nedovoleným způsobem a která nemá právo pobytu na území dotčeného členského státu, zadrží a je proti ní vedeno řízení v souladu se směrnicí 2008/115/ES.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V souladu s článkem 2 nařízení (EU) 2016/399 sestává ochrana hranic z hraničních kontrol, prováděných na hraničních přechodech, a z ostrahy hranic, prováděné mezi hraničními přechody</w:t>
            </w:r>
            <w:r>
              <w:rPr>
                <w:b/>
                <w:i/>
                <w:strike w:val="0"/>
                <w:color w:val="auto"/>
                <w:highlight w:val="none"/>
                <w:u w:val="none" w:color="auto"/>
                <w:vertAlign w:val="baseline"/>
              </w:rPr>
              <w:t>, aby se zabránilo státním příslušníkům třetích zemí vyhýbat se hraničním kontrolám</w:t>
            </w:r>
            <w:r>
              <w:t xml:space="preserve">. V souladu s článkem 13 nařízení (EU) 2016/399 se osoba, která překročila hranice nedovoleným způsobem a která nemá právo pobytu na území dotčeného členského státu, zadrží a je proti ní vedeno řízení v souladu se směrnicí 2008/115/ES. V souladu s článkem 3 nařízení </w:t>
            </w:r>
            <w:r>
              <w:rPr>
                <w:b/>
                <w:i/>
                <w:strike w:val="0"/>
                <w:color w:val="auto"/>
                <w:highlight w:val="none"/>
                <w:u w:val="none" w:color="auto"/>
                <w:vertAlign w:val="baseline"/>
              </w:rPr>
              <w:t>(EU) 2016/399</w:t>
            </w:r>
            <w:r>
              <w:t xml:space="preserve"> by ochrana hranic měla být prováděna, aniž jsou dotčena práva uprchlíků a osob žádajících o mezinárodní ochranu, zejména pokud jde o zásadu nenavracení.</w:t>
            </w:r>
          </w:p>
        </w:tc>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V souladu s článkem 13 nařízení (EU) 2016/399 se osoba, která překročila hranice nedovoleným způsobem a která nemá právo pobytu na území dotčeného členského státu, zadrží a je proti ní vedeno řízení v souladu se směrnicí 2008/115/ES. </w:t>
            </w:r>
            <w:r>
              <w:rPr>
                <w:b/>
                <w:i/>
                <w:strike w:val="0"/>
                <w:color w:val="auto"/>
                <w:highlight w:val="none"/>
                <w:u w:val="none" w:color="auto"/>
                <w:vertAlign w:val="baseline"/>
              </w:rPr>
              <w:t>Rovněž</w:t>
            </w:r>
            <w:r>
              <w:t xml:space="preserve"> v souladu s článkem 3 </w:t>
            </w:r>
            <w:r>
              <w:rPr>
                <w:b/>
                <w:i/>
                <w:strike w:val="0"/>
                <w:color w:val="auto"/>
                <w:highlight w:val="none"/>
                <w:u w:val="none" w:color="auto"/>
                <w:vertAlign w:val="baseline"/>
              </w:rPr>
              <w:t>téhož</w:t>
            </w:r>
            <w:r>
              <w:t xml:space="preserve"> nařízení by </w:t>
            </w:r>
            <w:r>
              <w:rPr>
                <w:b/>
                <w:i/>
                <w:strike w:val="0"/>
                <w:color w:val="auto"/>
                <w:highlight w:val="none"/>
                <w:u w:val="none" w:color="auto"/>
                <w:vertAlign w:val="baseline"/>
              </w:rPr>
              <w:t>však</w:t>
            </w:r>
            <w:r>
              <w:t xml:space="preserve"> ochrana hranic měla být prováděna, aniž jsou dotčena práva uprchlíků a osob žádajících o mezinárodní ochranu, zejména pokud jde o zásadu nenavracení</w:t>
            </w:r>
            <w:r>
              <w:rPr>
                <w:b/>
                <w:i/>
                <w:strike w:val="0"/>
                <w:color w:val="auto"/>
                <w:highlight w:val="none"/>
                <w:u w:val="none" w:color="auto"/>
                <w:vertAlign w:val="baseline"/>
              </w:rPr>
              <w:t>, a v souladu s článkem 4 jednají členské státy mimo jiné v plném souladu s příslušnými právními předpisy Unie, včetně Listiny základních práv Evropské unie (dále jen „Listina“), příslušného mezinárodního práva, včetně Úmluvy o právním postavení uprchlíků podepsané v Ženevě dne 28. července 1951 („Ženevská úmluva“)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aby </w:t>
            </w:r>
            <w:r>
              <w:rPr>
                <w:b/>
                <w:i/>
                <w:strike w:val="0"/>
                <w:color w:val="auto"/>
                <w:highlight w:val="none"/>
                <w:u w:val="none" w:color="auto"/>
                <w:vertAlign w:val="baseline"/>
              </w:rPr>
              <w:t>se zabránilo státním příslušníkům</w:t>
            </w:r>
            <w:r>
              <w:t xml:space="preserve"> třetích zemí </w:t>
            </w:r>
            <w:r>
              <w:rPr>
                <w:b/>
                <w:i/>
                <w:strike w:val="0"/>
                <w:color w:val="auto"/>
                <w:highlight w:val="none"/>
                <w:u w:val="none" w:color="auto"/>
                <w:vertAlign w:val="baseline"/>
              </w:rPr>
              <w:t>vyhýbat se hraničním kontrolám</w:t>
            </w:r>
            <w:r>
              <w:t xml:space="preserve">. V souladu s článkem 13 nařízení (EU) 2016/399 se osoba, která překročila hranice nedovoleným způsobem a která nemá právo pobytu na území dotčeného členského státu, zadrží a je proti ní vedeno řízení v souladu se směrnicí 2008/115/ES. </w:t>
            </w:r>
            <w:r>
              <w:rPr>
                <w:b/>
                <w:i/>
                <w:strike w:val="0"/>
                <w:color w:val="auto"/>
                <w:highlight w:val="none"/>
                <w:u w:val="none" w:color="auto"/>
                <w:vertAlign w:val="baseline"/>
              </w:rPr>
              <w:t>V souladu s článkem</w:t>
            </w:r>
            <w:r>
              <w:t xml:space="preserve"> 3 nařízení (EU) 2016/399 by ochrana hranic měla být prováděna, aniž jsou dotčena práva uprchlíků a osob žádajících o mezinárodní ochranu, zejména pokud jde o zásadu nenavracení.</w:t>
            </w:r>
          </w:p>
        </w:tc>
        <w:tc>
          <w:tcPr>
            <w:tcW w:w="4876" w:type="dxa"/>
            <w:vAlign w:val="top"/>
          </w:tcPr>
          <w:p>
            <w:pPr>
              <w:pStyle w:val="Normal6a"/>
            </w:pPr>
            <w:r>
              <w:t>(5)</w:t>
            </w:r>
            <w:r>
              <w:tab/>
            </w:r>
            <w:r>
              <w:t xml:space="preserve">V souladu s článkem 2 nařízení (EU) 2016/399 sestává ochrana hranic z hraničních kontrol, prováděných na hraničních přechodech, a z ostrahy hranic, prováděné mezi hraničními přechody, aby </w:t>
            </w:r>
            <w:r>
              <w:rPr>
                <w:b/>
                <w:i/>
                <w:strike w:val="0"/>
                <w:color w:val="auto"/>
                <w:highlight w:val="none"/>
                <w:u w:val="none" w:color="auto"/>
                <w:vertAlign w:val="baseline"/>
              </w:rPr>
              <w:t>bylo možné reagovat na státní příslušníky</w:t>
            </w:r>
            <w:r>
              <w:t xml:space="preserve"> třetích zemí </w:t>
            </w:r>
            <w:r>
              <w:rPr>
                <w:b/>
                <w:i/>
                <w:strike w:val="0"/>
                <w:color w:val="auto"/>
                <w:highlight w:val="none"/>
                <w:u w:val="none" w:color="auto"/>
                <w:vertAlign w:val="baseline"/>
              </w:rPr>
              <w:t>překračující hranice</w:t>
            </w:r>
            <w:r>
              <w:t xml:space="preserve">. V souladu s článkem 13 nařízení (EU) 2016/399 se osoba, která překročila hranice nedovoleným způsobem a která nemá právo pobytu na území dotčeného členského státu, zadrží a je proti ní vedeno řízení v souladu se směrnicí 2008/115/ES. </w:t>
            </w:r>
            <w:r>
              <w:rPr>
                <w:b/>
                <w:i/>
                <w:strike w:val="0"/>
                <w:color w:val="auto"/>
                <w:highlight w:val="none"/>
                <w:u w:val="none" w:color="auto"/>
                <w:vertAlign w:val="baseline"/>
              </w:rPr>
              <w:t>A to, aniž by však byl dotčen článek</w:t>
            </w:r>
            <w:r>
              <w:t xml:space="preserve"> 3 nařízení (EU) 2016/399</w:t>
            </w:r>
            <w:r>
              <w:rPr>
                <w:b/>
                <w:i/>
                <w:strike w:val="0"/>
                <w:color w:val="auto"/>
                <w:highlight w:val="none"/>
                <w:u w:val="none" w:color="auto"/>
                <w:vertAlign w:val="baseline"/>
              </w:rPr>
              <w:t>, podle něhož</w:t>
            </w:r>
            <w:r>
              <w:t xml:space="preserve"> by ochrana hranic měla být prováděna, aniž jsou dotčena práva uprchlíků a osob žádajících o mezinárodní ochranu, zejména pokud jde o zásadu nenavracení.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Za účelem prevence a odhalování nedovolené migrace a obcházení hraničních kontrol na vnějších hranicích státními příslušníky třetích zemí by Unie a členské státy měly přijmout opatření pro účinnou správu vnějších hranic Unie na základě evropské integrované správy hranic.</w:t>
            </w:r>
            <w:r>
              <w:t xml:space="preserve"> </w:t>
            </w:r>
            <w:r>
              <w:rPr>
                <w:b/>
                <w:i/>
                <w:strike w:val="0"/>
                <w:color w:val="auto"/>
                <w:highlight w:val="none"/>
                <w:u w:val="none" w:color="auto"/>
                <w:vertAlign w:val="baseline"/>
              </w:rPr>
              <w:t>V souladu s čl. 3 odst. 2 písm. a) nařízení 2021/1148 by to mělo zahrnovat financování infrastruktury, budov, systémů a služeb potřebných na hraničních přechodech a pro účely ostrahy hranic mezi hraničními přechody.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Příslušníci pohraniční stráže </w:t>
            </w:r>
            <w:r>
              <w:rPr>
                <w:b/>
                <w:i/>
                <w:strike w:val="0"/>
                <w:color w:val="auto"/>
                <w:highlight w:val="none"/>
                <w:u w:val="none" w:color="auto"/>
                <w:vertAlign w:val="baseline"/>
              </w:rPr>
              <w:t>jsou</w:t>
            </w:r>
            <w:r>
              <w:t xml:space="preserve"> často </w:t>
            </w:r>
            <w:r>
              <w:rPr>
                <w:b/>
                <w:i/>
                <w:strike w:val="0"/>
                <w:color w:val="auto"/>
                <w:highlight w:val="none"/>
                <w:u w:val="none" w:color="auto"/>
                <w:vertAlign w:val="baseline"/>
              </w:rPr>
              <w:t>konfrontováni se státními příslušníky</w:t>
            </w:r>
            <w:r>
              <w:t xml:space="preserve"> třetích zemí</w:t>
            </w:r>
            <w:r>
              <w:rPr>
                <w:b/>
                <w:i/>
                <w:strike w:val="0"/>
                <w:color w:val="auto"/>
                <w:highlight w:val="none"/>
                <w:u w:val="none" w:color="auto"/>
                <w:vertAlign w:val="baseline"/>
              </w:rPr>
              <w:t>, kteří</w:t>
            </w:r>
            <w:r>
              <w:t xml:space="preserve"> žádají o mezinárodní ochranu </w:t>
            </w:r>
            <w:r>
              <w:rPr>
                <w:b/>
                <w:i/>
                <w:strike w:val="0"/>
                <w:color w:val="auto"/>
                <w:highlight w:val="none"/>
                <w:u w:val="none" w:color="auto"/>
                <w:vertAlign w:val="baseline"/>
              </w:rPr>
              <w:t>bez cestovních dokladů</w:t>
            </w:r>
            <w:r>
              <w:t xml:space="preserve">, a to jak po zadržení při provádění ostrahy hranic, tak i při kontrolách na hraničních přechodech. Na některých úsecích hranic </w:t>
            </w:r>
            <w:r>
              <w:rPr>
                <w:b/>
                <w:i/>
                <w:strike w:val="0"/>
                <w:color w:val="auto"/>
                <w:highlight w:val="none"/>
                <w:u w:val="none" w:color="auto"/>
                <w:vertAlign w:val="baseline"/>
              </w:rPr>
              <w:t>je</w:t>
            </w:r>
            <w:r>
              <w:t xml:space="preserve"> navíc </w:t>
            </w:r>
            <w:r>
              <w:rPr>
                <w:b/>
                <w:i/>
                <w:strike w:val="0"/>
                <w:color w:val="auto"/>
                <w:highlight w:val="none"/>
                <w:u w:val="none" w:color="auto"/>
                <w:vertAlign w:val="baseline"/>
              </w:rPr>
              <w:t>pohraniční stráž konfrontována s velkým počtem osob přicházejících</w:t>
            </w:r>
            <w:r>
              <w:t xml:space="preserve"> současně. Za </w:t>
            </w:r>
            <w:r>
              <w:rPr>
                <w:b/>
                <w:i/>
                <w:strike w:val="0"/>
                <w:color w:val="auto"/>
                <w:highlight w:val="none"/>
                <w:u w:val="none" w:color="auto"/>
                <w:vertAlign w:val="baseline"/>
              </w:rPr>
              <w:t>takových</w:t>
            </w:r>
            <w:r>
              <w:t xml:space="preserve"> okolností </w:t>
            </w:r>
            <w:r>
              <w:rPr>
                <w:b/>
                <w:i/>
                <w:strike w:val="0"/>
                <w:color w:val="auto"/>
                <w:highlight w:val="none"/>
                <w:u w:val="none" w:color="auto"/>
                <w:vertAlign w:val="baseline"/>
              </w:rPr>
              <w:t>je obzvláště obtížné zajistit nahlížení do všech příslušných databází a okamžitě určit vhodné azylové řízení nebo řízení o navrácení</w:t>
            </w:r>
            <w:r>
              <w:t>.</w:t>
            </w:r>
          </w:p>
        </w:tc>
        <w:tc>
          <w:tcPr>
            <w:tcW w:w="4876" w:type="dxa"/>
            <w:vAlign w:val="top"/>
          </w:tcPr>
          <w:p>
            <w:pPr>
              <w:pStyle w:val="Normal6a"/>
            </w:pPr>
            <w:r>
              <w:t>(6)</w:t>
            </w:r>
            <w:r>
              <w:tab/>
            </w:r>
            <w:r>
              <w:t xml:space="preserve">Příslušníci pohraniční stráže často </w:t>
            </w:r>
            <w:r>
              <w:rPr>
                <w:b/>
                <w:i/>
                <w:strike w:val="0"/>
                <w:color w:val="auto"/>
                <w:highlight w:val="none"/>
                <w:u w:val="none" w:color="auto"/>
                <w:vertAlign w:val="baseline"/>
              </w:rPr>
              <w:t>čelí situacím, kdy státní příslušníci</w:t>
            </w:r>
            <w:r>
              <w:t xml:space="preserve"> třetích zemí </w:t>
            </w:r>
            <w:r>
              <w:rPr>
                <w:b/>
                <w:i/>
                <w:strike w:val="0"/>
                <w:color w:val="auto"/>
                <w:highlight w:val="none"/>
                <w:u w:val="none" w:color="auto"/>
                <w:vertAlign w:val="baseline"/>
              </w:rPr>
              <w:t>bez cestovních dokladů</w:t>
            </w:r>
            <w:r>
              <w:t xml:space="preserve"> žádají o mezinárodní ochranu, a to jak po zadržení při provádění ostrahy hranic, tak i při kontrolách na hraničních přechodech. Na některých úsecích hranic </w:t>
            </w:r>
            <w:r>
              <w:rPr>
                <w:b/>
                <w:i/>
                <w:strike w:val="0"/>
                <w:color w:val="auto"/>
                <w:highlight w:val="none"/>
                <w:u w:val="none" w:color="auto"/>
                <w:vertAlign w:val="baseline"/>
              </w:rPr>
              <w:t>může</w:t>
            </w:r>
            <w:r>
              <w:t xml:space="preserve"> navíc </w:t>
            </w:r>
            <w:r>
              <w:rPr>
                <w:b/>
                <w:i/>
                <w:strike w:val="0"/>
                <w:color w:val="auto"/>
                <w:highlight w:val="none"/>
                <w:u w:val="none" w:color="auto"/>
                <w:vertAlign w:val="baseline"/>
              </w:rPr>
              <w:t>být velký počet přicházejících osob</w:t>
            </w:r>
            <w:r>
              <w:t xml:space="preserve"> současně. Za </w:t>
            </w:r>
            <w:r>
              <w:rPr>
                <w:b/>
                <w:i/>
                <w:strike w:val="0"/>
                <w:color w:val="auto"/>
                <w:highlight w:val="none"/>
                <w:u w:val="none" w:color="auto"/>
                <w:vertAlign w:val="baseline"/>
              </w:rPr>
              <w:t>všech</w:t>
            </w:r>
            <w:r>
              <w:t xml:space="preserve"> okolností </w:t>
            </w:r>
            <w:r>
              <w:rPr>
                <w:b/>
                <w:i/>
                <w:strike w:val="0"/>
                <w:color w:val="auto"/>
                <w:highlight w:val="none"/>
                <w:u w:val="none" w:color="auto"/>
                <w:vertAlign w:val="baseline"/>
              </w:rPr>
              <w:t>by příslušné postupy měly probíhat v souladu se všemi zavedenými zárukami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w:t>
            </w:r>
            <w:r>
              <w:rPr>
                <w:b/>
                <w:i/>
                <w:strike w:val="0"/>
                <w:color w:val="auto"/>
                <w:highlight w:val="none"/>
                <w:u w:val="none" w:color="auto"/>
                <w:vertAlign w:val="baseline"/>
              </w:rPr>
              <w:t>bez cestovních dokladů</w:t>
            </w:r>
            <w:r>
              <w:t xml:space="preserve">, a to jak po zadržení při provádění ostrahy hranic, tak i při kontrolách na hraničních přechodech. Na některých úsecích hranic </w:t>
            </w:r>
            <w:r>
              <w:rPr>
                <w:b/>
                <w:i/>
                <w:strike w:val="0"/>
                <w:color w:val="auto"/>
                <w:highlight w:val="none"/>
                <w:u w:val="none" w:color="auto"/>
                <w:vertAlign w:val="baseline"/>
              </w:rPr>
              <w:t>je</w:t>
            </w:r>
            <w:r>
              <w:t xml:space="preserve"> navíc pohraniční stráž </w:t>
            </w:r>
            <w:r>
              <w:rPr>
                <w:b/>
                <w:i/>
                <w:strike w:val="0"/>
                <w:color w:val="auto"/>
                <w:highlight w:val="none"/>
                <w:u w:val="none" w:color="auto"/>
                <w:vertAlign w:val="baseline"/>
              </w:rPr>
              <w:t>konfrontována s velkým počtem</w:t>
            </w:r>
            <w:r>
              <w:t xml:space="preserve"> osob přicházejících současně. Za takových okolností je obzvláště </w:t>
            </w:r>
            <w:r>
              <w:rPr>
                <w:b/>
                <w:i/>
                <w:strike w:val="0"/>
                <w:color w:val="auto"/>
                <w:highlight w:val="none"/>
                <w:u w:val="none" w:color="auto"/>
                <w:vertAlign w:val="baseline"/>
              </w:rPr>
              <w:t>obtížné zajistit nahlížení do všech příslušných databází a okamžitě</w:t>
            </w:r>
            <w:r>
              <w:t xml:space="preserve"> určit </w:t>
            </w:r>
            <w:r>
              <w:rPr>
                <w:b/>
                <w:i/>
                <w:strike w:val="0"/>
                <w:color w:val="auto"/>
                <w:highlight w:val="none"/>
                <w:u w:val="none" w:color="auto"/>
                <w:vertAlign w:val="baseline"/>
              </w:rPr>
              <w:t>vhodné azylové řízení nebo řízení o navrácení</w:t>
            </w:r>
            <w:r>
              <w:t>.</w:t>
            </w:r>
          </w:p>
        </w:tc>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w:t>
            </w:r>
            <w:r>
              <w:rPr>
                <w:b/>
                <w:i/>
                <w:strike w:val="0"/>
                <w:color w:val="auto"/>
                <w:highlight w:val="none"/>
                <w:u w:val="none" w:color="auto"/>
                <w:vertAlign w:val="baseline"/>
              </w:rPr>
              <w:t>a nemají žádné cestovní doklady</w:t>
            </w:r>
            <w:r>
              <w:t xml:space="preserve">, a to jak po zadržení při provádění ostrahy hranic, tak i při kontrolách na hraničních přechodech. Na některých úsecích hranic </w:t>
            </w:r>
            <w:r>
              <w:rPr>
                <w:b/>
                <w:i/>
                <w:strike w:val="0"/>
                <w:color w:val="auto"/>
                <w:highlight w:val="none"/>
                <w:u w:val="none" w:color="auto"/>
                <w:vertAlign w:val="baseline"/>
              </w:rPr>
              <w:t>může</w:t>
            </w:r>
            <w:r>
              <w:t xml:space="preserve"> navíc pohraniční stráž </w:t>
            </w:r>
            <w:r>
              <w:rPr>
                <w:b/>
                <w:i/>
                <w:strike w:val="0"/>
                <w:color w:val="auto"/>
                <w:highlight w:val="none"/>
                <w:u w:val="none" w:color="auto"/>
                <w:vertAlign w:val="baseline"/>
              </w:rPr>
              <w:t>čelit velkému počtu</w:t>
            </w:r>
            <w:r>
              <w:t xml:space="preserve"> osob přicházejících současně. Za takových okolností je obzvláště </w:t>
            </w:r>
            <w:r>
              <w:rPr>
                <w:b/>
                <w:i/>
                <w:strike w:val="0"/>
                <w:color w:val="auto"/>
                <w:highlight w:val="none"/>
                <w:u w:val="none" w:color="auto"/>
                <w:vertAlign w:val="baseline"/>
              </w:rPr>
              <w:t>důležité</w:t>
            </w:r>
            <w:r>
              <w:t xml:space="preserve"> určit </w:t>
            </w:r>
            <w:r>
              <w:rPr>
                <w:b/>
                <w:i/>
                <w:strike w:val="0"/>
                <w:color w:val="auto"/>
                <w:highlight w:val="none"/>
                <w:u w:val="none" w:color="auto"/>
                <w:vertAlign w:val="baseline"/>
              </w:rPr>
              <w:t>co nejdříve správný postup</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bez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w:t>
            </w:r>
            <w:r>
              <w:rPr>
                <w:b/>
                <w:i/>
                <w:strike w:val="0"/>
                <w:color w:val="auto"/>
                <w:highlight w:val="none"/>
                <w:u w:val="none" w:color="auto"/>
                <w:vertAlign w:val="baseline"/>
              </w:rPr>
              <w:t>a okamžitě určit vhodné azylové řízení nebo řízení o navrácení</w:t>
            </w:r>
            <w:r>
              <w:t>.</w:t>
            </w:r>
          </w:p>
        </w:tc>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bez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w:t>
            </w:r>
            <w:r>
              <w:rPr>
                <w:b/>
                <w:i/>
                <w:strike w:val="0"/>
                <w:color w:val="auto"/>
                <w:highlight w:val="none"/>
                <w:u w:val="none" w:color="auto"/>
                <w:vertAlign w:val="baseline"/>
              </w:rPr>
              <w:t>za účelem určení řízení o navrácení nebo postupu pro zpracování jejich žádosti o mezinárodní ochranu v přijímacím středisku partnerského státu třetí země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bez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a okamžitě určit vhodné </w:t>
            </w:r>
            <w:r>
              <w:rPr>
                <w:b/>
                <w:i/>
                <w:strike w:val="0"/>
                <w:color w:val="auto"/>
                <w:highlight w:val="none"/>
                <w:u w:val="none" w:color="auto"/>
                <w:vertAlign w:val="baseline"/>
              </w:rPr>
              <w:t>azylové</w:t>
            </w:r>
            <w:r>
              <w:t xml:space="preserve"> řízení </w:t>
            </w:r>
            <w:r>
              <w:rPr>
                <w:b/>
                <w:i/>
                <w:strike w:val="0"/>
                <w:color w:val="auto"/>
                <w:highlight w:val="none"/>
                <w:u w:val="none" w:color="auto"/>
                <w:vertAlign w:val="baseline"/>
              </w:rPr>
              <w:t>nebo řízení o navrácení</w:t>
            </w:r>
            <w:r>
              <w:t>.</w:t>
            </w:r>
          </w:p>
        </w:tc>
        <w:tc>
          <w:tcPr>
            <w:tcW w:w="4876" w:type="dxa"/>
            <w:vAlign w:val="top"/>
          </w:tcPr>
          <w:p>
            <w:pPr>
              <w:pStyle w:val="Normal6a"/>
            </w:pPr>
            <w:r>
              <w:t>(6)</w:t>
            </w:r>
            <w:r>
              <w:tab/>
            </w:r>
            <w:r>
              <w:t>Příslušníci pohraniční stráže jsou často konfrontováni se státními příslušníky třetích zemí, kteří žádají o mezinárodní ochranu bez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a okamžitě určit vhodné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Příslušníci pohraniční stráže jsou často konfrontováni se státními příslušníky třetích zemí, kteří žádají o mezinárodní ochranu bez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a okamžitě určit vhodné azylové řízení nebo řízení o navrácení.</w:t>
            </w:r>
          </w:p>
        </w:tc>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bez cestovních dokladů </w:t>
            </w:r>
            <w:r>
              <w:rPr>
                <w:b/>
                <w:i/>
                <w:strike w:val="0"/>
                <w:color w:val="auto"/>
                <w:highlight w:val="none"/>
                <w:u w:val="none" w:color="auto"/>
                <w:vertAlign w:val="baseline"/>
              </w:rPr>
              <w:t>nebo jakýchkoli jiných dokumentů, kterými by doložili svou žádost</w:t>
            </w:r>
            <w:r>
              <w:t>,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a okamžitě určit vhodné azylové řízení nebo řízení o navrácení.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Příslušníci pohraniční stráže jsou často konfrontováni se státními příslušníky třetích zemí, kteří žádají o mezinárodní ochranu bez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a okamžitě určit vhodné azylové řízení nebo řízení o navrácení.</w:t>
            </w:r>
          </w:p>
        </w:tc>
        <w:tc>
          <w:tcPr>
            <w:tcW w:w="4876" w:type="dxa"/>
            <w:vAlign w:val="top"/>
          </w:tcPr>
          <w:p>
            <w:pPr>
              <w:pStyle w:val="Normal6a"/>
            </w:pPr>
            <w:r>
              <w:t>(6)</w:t>
            </w:r>
            <w:r>
              <w:tab/>
            </w:r>
            <w:r>
              <w:t xml:space="preserve">Příslušníci pohraniční stráže jsou často konfrontováni se státními příslušníky třetích zemí, kteří žádají o mezinárodní ochranu bez </w:t>
            </w:r>
            <w:r>
              <w:rPr>
                <w:b/>
                <w:i/>
                <w:strike w:val="0"/>
                <w:color w:val="auto"/>
                <w:highlight w:val="none"/>
                <w:u w:val="none" w:color="auto"/>
                <w:vertAlign w:val="baseline"/>
              </w:rPr>
              <w:t>potřebných dokladů o totožnosti anebo</w:t>
            </w:r>
            <w:r>
              <w:t xml:space="preserve"> cestovních dokladů, a to jak po zadržení při provádění ostrahy hranic, tak i při kontrolách na hraničních přechodech. Na některých úsecích hranic je navíc pohraniční stráž konfrontována s velkým počtem osob přicházejících současně. Za takových okolností je obzvláště obtížné zajistit nahlížení do všech příslušných databází a okamžitě určit vhodné azylové řízení nebo řízení o navrácení.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 cílem </w:t>
            </w:r>
            <w:r>
              <w:rPr>
                <w:b/>
                <w:i/>
                <w:strike w:val="0"/>
                <w:color w:val="auto"/>
                <w:highlight w:val="none"/>
                <w:u w:val="none" w:color="auto"/>
                <w:vertAlign w:val="baseline"/>
              </w:rPr>
              <w:t>rychle vyřešit případy</w:t>
            </w:r>
            <w:r>
              <w:t xml:space="preserve"> státních příslušníků třetích zemí, kteří se snaží vyhnout hraničním kontrolám nebo žádají o mezinárodní ochranu na hraničním přechodu, aniž by splňovali podmínky vstupu, nebo kteří </w:t>
            </w:r>
            <w:r>
              <w:rPr>
                <w:b/>
                <w:i/>
                <w:strike w:val="0"/>
                <w:color w:val="auto"/>
                <w:highlight w:val="none"/>
                <w:u w:val="none" w:color="auto"/>
                <w:vertAlign w:val="baseline"/>
              </w:rPr>
              <w:t>jsou vyloděni</w:t>
            </w:r>
            <w:r>
              <w:t xml:space="preserve"> po pátrací a záchranné operaci, je </w:t>
            </w:r>
            <w:r>
              <w:rPr>
                <w:b/>
                <w:i/>
                <w:strike w:val="0"/>
                <w:color w:val="auto"/>
                <w:highlight w:val="none"/>
                <w:u w:val="none" w:color="auto"/>
                <w:vertAlign w:val="baseline"/>
              </w:rPr>
              <w:t>nutné posílit</w:t>
            </w:r>
            <w:r>
              <w:t xml:space="preserve"> rámec pro spolupráci mezi různými vnitrostátními orgány odpovědnými za ochranu hranic, ochranu veřejného zdraví</w:t>
            </w:r>
            <w:r>
              <w:rPr>
                <w:b/>
                <w:i/>
                <w:strike w:val="0"/>
                <w:color w:val="auto"/>
                <w:highlight w:val="none"/>
                <w:u w:val="none" w:color="auto"/>
                <w:vertAlign w:val="baseline"/>
              </w:rPr>
              <w:t>, posuzování</w:t>
            </w:r>
            <w:r>
              <w:t xml:space="preserve"> potřeby mezinárodní ochrany </w:t>
            </w:r>
            <w:r>
              <w:rPr>
                <w:b/>
                <w:i/>
                <w:strike w:val="0"/>
                <w:color w:val="auto"/>
                <w:highlight w:val="none"/>
                <w:u w:val="none" w:color="auto"/>
                <w:vertAlign w:val="baseline"/>
              </w:rPr>
              <w:t>a provádění navracení</w:t>
            </w:r>
            <w:r>
              <w:t>.</w:t>
            </w:r>
          </w:p>
        </w:tc>
        <w:tc>
          <w:tcPr>
            <w:tcW w:w="4876" w:type="dxa"/>
            <w:vAlign w:val="top"/>
          </w:tcPr>
          <w:p>
            <w:pPr>
              <w:pStyle w:val="Normal6a"/>
            </w:pPr>
            <w:r>
              <w:t>(7)</w:t>
            </w:r>
            <w:r>
              <w:tab/>
            </w:r>
            <w:r>
              <w:t xml:space="preserve">S cílem </w:t>
            </w:r>
            <w:r>
              <w:rPr>
                <w:b/>
                <w:i/>
                <w:strike w:val="0"/>
                <w:color w:val="auto"/>
                <w:highlight w:val="none"/>
                <w:u w:val="none" w:color="auto"/>
                <w:vertAlign w:val="baseline"/>
              </w:rPr>
              <w:t>zajistit rychlý návrat</w:t>
            </w:r>
            <w:r>
              <w:t xml:space="preserve"> státních příslušníků třetích zemí, kteří </w:t>
            </w:r>
            <w:r>
              <w:rPr>
                <w:b/>
                <w:i/>
                <w:strike w:val="0"/>
                <w:color w:val="auto"/>
                <w:highlight w:val="none"/>
                <w:u w:val="none" w:color="auto"/>
                <w:vertAlign w:val="baseline"/>
              </w:rPr>
              <w:t>vstoupili nelegálně nebo</w:t>
            </w:r>
            <w:r>
              <w:t xml:space="preserve"> se snaží vyhnout </w:t>
            </w:r>
            <w:r>
              <w:rPr>
                <w:b/>
                <w:i/>
                <w:strike w:val="0"/>
                <w:color w:val="auto"/>
                <w:highlight w:val="none"/>
                <w:u w:val="none" w:color="auto"/>
                <w:vertAlign w:val="baseline"/>
              </w:rPr>
              <w:t>se</w:t>
            </w:r>
            <w:r>
              <w:t xml:space="preserve"> hraničním kontrolám nebo žádají o mezinárodní ochranu na hraničním přechodu, aniž by splňovali podmínky vstupu, nebo kteří </w:t>
            </w:r>
            <w:r>
              <w:rPr>
                <w:b/>
                <w:i/>
                <w:strike w:val="0"/>
                <w:color w:val="auto"/>
                <w:highlight w:val="none"/>
                <w:u w:val="none" w:color="auto"/>
                <w:vertAlign w:val="baseline"/>
              </w:rPr>
              <w:t>nebyli plavidlem vráceni do přístavu původu</w:t>
            </w:r>
            <w:r>
              <w:t xml:space="preserve"> po pátrací a záchranné operaci, je </w:t>
            </w:r>
            <w:r>
              <w:rPr>
                <w:b/>
                <w:i/>
                <w:strike w:val="0"/>
                <w:color w:val="auto"/>
                <w:highlight w:val="none"/>
                <w:u w:val="none" w:color="auto"/>
                <w:vertAlign w:val="baseline"/>
              </w:rPr>
              <w:t>nezbytné poskytnout</w:t>
            </w:r>
            <w:r>
              <w:t xml:space="preserve"> rámec pro spolupráci mezi různými vnitrostátními orgány odpovědnými za ochranu hranic, ochranu veřejného zdraví </w:t>
            </w:r>
            <w:r>
              <w:rPr>
                <w:b/>
                <w:i/>
                <w:strike w:val="0"/>
                <w:color w:val="auto"/>
                <w:highlight w:val="none"/>
                <w:u w:val="none" w:color="auto"/>
                <w:vertAlign w:val="baseline"/>
              </w:rPr>
              <w:t>a veřejnou bezpečnost, který umožní rychlé a účinné posouzení</w:t>
            </w:r>
            <w:r>
              <w:t xml:space="preserve"> potřeby mezinárodní ochrany </w:t>
            </w:r>
            <w:r>
              <w:rPr>
                <w:b/>
                <w:i/>
                <w:strike w:val="0"/>
                <w:color w:val="auto"/>
                <w:highlight w:val="none"/>
                <w:u w:val="none" w:color="auto"/>
                <w:vertAlign w:val="baseline"/>
              </w:rPr>
              <w:t>v přijímacím středisku partnerské třetí země, kde by byla v případě schválení žádosti poskytnuta mezinárodní ochrana a v případě zamítnutí by bylo zajištěno rychlé navrácení do přístavů původu, poslední bezpečné tranzitní země nebo zemí původu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 cílem </w:t>
            </w:r>
            <w:r>
              <w:rPr>
                <w:b/>
                <w:i/>
                <w:strike w:val="0"/>
                <w:color w:val="auto"/>
                <w:highlight w:val="none"/>
                <w:u w:val="none" w:color="auto"/>
                <w:vertAlign w:val="baseline"/>
              </w:rPr>
              <w:t>rychle vyřešit případy</w:t>
            </w:r>
            <w:r>
              <w:t xml:space="preserve"> státních příslušníků třetích zemí, kteří </w:t>
            </w:r>
            <w:r>
              <w:rPr>
                <w:b/>
                <w:i/>
                <w:strike w:val="0"/>
                <w:color w:val="auto"/>
                <w:highlight w:val="none"/>
                <w:u w:val="none" w:color="auto"/>
                <w:vertAlign w:val="baseline"/>
              </w:rPr>
              <w:t>se snaží vyhnout</w:t>
            </w:r>
            <w:r>
              <w:t xml:space="preserve"> hraničním kontrolám nebo žádají o mezinárodní ochranu na hraničním přechodu</w:t>
            </w:r>
            <w:r>
              <w:rPr>
                <w:b/>
                <w:i/>
                <w:strike w:val="0"/>
                <w:color w:val="auto"/>
                <w:highlight w:val="none"/>
                <w:u w:val="none" w:color="auto"/>
                <w:vertAlign w:val="baseline"/>
              </w:rPr>
              <w:t>, aniž by splňovali podmínky vstupu, nebo kteří jsou vyloděni po pátrací a záchranné operaci, je nutné posílit rámec pro spolupráci</w:t>
            </w:r>
            <w:r>
              <w:t xml:space="preserve"> mezi různými vnitrostátními orgány </w:t>
            </w:r>
            <w:r>
              <w:rPr>
                <w:b/>
                <w:i/>
                <w:strike w:val="0"/>
                <w:color w:val="auto"/>
                <w:highlight w:val="none"/>
                <w:u w:val="none" w:color="auto"/>
                <w:vertAlign w:val="baseline"/>
              </w:rPr>
              <w:t>odpovědnými</w:t>
            </w:r>
            <w:r>
              <w:t xml:space="preserve"> za ochranu hranic, ochranu veřejného zdraví, </w:t>
            </w:r>
            <w:r>
              <w:rPr>
                <w:b/>
                <w:i/>
                <w:strike w:val="0"/>
                <w:color w:val="auto"/>
                <w:highlight w:val="none"/>
                <w:u w:val="none" w:color="auto"/>
                <w:vertAlign w:val="baseline"/>
              </w:rPr>
              <w:t>posuzování potřeby mezinárodní ochrany a provádění navracení</w:t>
            </w:r>
            <w:r>
              <w:t>.</w:t>
            </w:r>
          </w:p>
        </w:tc>
        <w:tc>
          <w:tcPr>
            <w:tcW w:w="4876" w:type="dxa"/>
            <w:vAlign w:val="top"/>
          </w:tcPr>
          <w:p>
            <w:pPr>
              <w:pStyle w:val="Normal6a"/>
            </w:pPr>
            <w:r>
              <w:t>(7)</w:t>
            </w:r>
            <w:r>
              <w:tab/>
            </w:r>
            <w:r>
              <w:t xml:space="preserve">S cílem </w:t>
            </w:r>
            <w:r>
              <w:rPr>
                <w:b/>
                <w:i/>
                <w:strike w:val="0"/>
                <w:color w:val="auto"/>
                <w:highlight w:val="none"/>
                <w:u w:val="none" w:color="auto"/>
                <w:vertAlign w:val="baseline"/>
              </w:rPr>
              <w:t>zlepšit postupy týkající se</w:t>
            </w:r>
            <w:r>
              <w:t xml:space="preserve"> státních příslušníků třetích zemí, kteří </w:t>
            </w:r>
            <w:r>
              <w:rPr>
                <w:b/>
                <w:i/>
                <w:strike w:val="0"/>
                <w:color w:val="auto"/>
                <w:highlight w:val="none"/>
                <w:u w:val="none" w:color="auto"/>
                <w:vertAlign w:val="baseline"/>
              </w:rPr>
              <w:t>nebyli podrobeni</w:t>
            </w:r>
            <w:r>
              <w:t xml:space="preserve"> hraničním kontrolám nebo žádají o mezinárodní ochranu na hraničním přechodu </w:t>
            </w:r>
            <w:r>
              <w:rPr>
                <w:b/>
                <w:i/>
                <w:strike w:val="0"/>
                <w:color w:val="auto"/>
                <w:highlight w:val="none"/>
                <w:u w:val="none" w:color="auto"/>
                <w:vertAlign w:val="baseline"/>
              </w:rPr>
              <w:t>nebo na jakékoli jiné části vnějších hranic, je nezbytná spolupráce</w:t>
            </w:r>
            <w:r>
              <w:t xml:space="preserve"> mezi různými vnitrostátními orgány</w:t>
            </w:r>
            <w:r>
              <w:rPr>
                <w:b/>
                <w:i/>
                <w:strike w:val="0"/>
                <w:color w:val="auto"/>
                <w:highlight w:val="none"/>
                <w:u w:val="none" w:color="auto"/>
                <w:vertAlign w:val="baseline"/>
              </w:rPr>
              <w:t>, jako jsou orgány odpovědné</w:t>
            </w:r>
            <w:r>
              <w:t xml:space="preserve"> za ochranu hranic, </w:t>
            </w:r>
            <w:r>
              <w:rPr>
                <w:b/>
                <w:i/>
                <w:strike w:val="0"/>
                <w:color w:val="auto"/>
                <w:highlight w:val="none"/>
                <w:u w:val="none" w:color="auto"/>
                <w:vertAlign w:val="baseline"/>
              </w:rPr>
              <w:t>za</w:t>
            </w:r>
            <w:r>
              <w:t xml:space="preserve"> ochranu </w:t>
            </w:r>
            <w:r>
              <w:rPr>
                <w:b/>
                <w:i/>
                <w:strike w:val="0"/>
                <w:color w:val="auto"/>
                <w:highlight w:val="none"/>
                <w:u w:val="none" w:color="auto"/>
                <w:vertAlign w:val="baseline"/>
              </w:rPr>
              <w:t>zdraví jednotlivců a</w:t>
            </w:r>
            <w:r>
              <w:t xml:space="preserve"> veřejného zdraví, </w:t>
            </w:r>
            <w:r>
              <w:rPr>
                <w:b/>
                <w:i/>
                <w:strike w:val="0"/>
                <w:color w:val="auto"/>
                <w:highlight w:val="none"/>
                <w:u w:val="none" w:color="auto"/>
                <w:vertAlign w:val="baseline"/>
              </w:rPr>
              <w:t>za ochranu dětí a za posuzování žádostí o mezinárodní ochranu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 cílem </w:t>
            </w:r>
            <w:r>
              <w:rPr>
                <w:b/>
                <w:i/>
                <w:strike w:val="0"/>
                <w:color w:val="auto"/>
                <w:highlight w:val="none"/>
                <w:u w:val="none" w:color="auto"/>
                <w:vertAlign w:val="baseline"/>
              </w:rPr>
              <w:t>rychle</w:t>
            </w:r>
            <w:r>
              <w:t xml:space="preserve"> vyřešit případy státních příslušníků třetích zemí, kteří </w:t>
            </w:r>
            <w:r>
              <w:rPr>
                <w:b/>
                <w:i/>
                <w:strike w:val="0"/>
                <w:color w:val="auto"/>
                <w:highlight w:val="none"/>
                <w:u w:val="none" w:color="auto"/>
                <w:vertAlign w:val="baseline"/>
              </w:rPr>
              <w:t>se snaží vyhnout</w:t>
            </w:r>
            <w:r>
              <w:t xml:space="preserve">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veřejného zdraví, posuzování potřeby mezinárodní ochrany a provádění navracení.</w:t>
            </w:r>
          </w:p>
        </w:tc>
        <w:tc>
          <w:tcPr>
            <w:tcW w:w="4876" w:type="dxa"/>
            <w:vAlign w:val="top"/>
          </w:tcPr>
          <w:p>
            <w:pPr>
              <w:pStyle w:val="Normal6a"/>
            </w:pPr>
            <w:r>
              <w:t>(7)</w:t>
            </w:r>
            <w:r>
              <w:tab/>
            </w:r>
            <w:r>
              <w:t xml:space="preserve">S cílem </w:t>
            </w:r>
            <w:r>
              <w:rPr>
                <w:b/>
                <w:i/>
                <w:strike w:val="0"/>
                <w:color w:val="auto"/>
                <w:highlight w:val="none"/>
                <w:u w:val="none" w:color="auto"/>
                <w:vertAlign w:val="baseline"/>
              </w:rPr>
              <w:t>lépe</w:t>
            </w:r>
            <w:r>
              <w:t xml:space="preserve"> vyřešit případy státních příslušníků třetích zemí, kteří </w:t>
            </w:r>
            <w:r>
              <w:rPr>
                <w:b/>
                <w:i/>
                <w:strike w:val="0"/>
                <w:color w:val="auto"/>
                <w:highlight w:val="none"/>
                <w:u w:val="none" w:color="auto"/>
                <w:vertAlign w:val="baseline"/>
              </w:rPr>
              <w:t>nebyli podrobeni</w:t>
            </w:r>
            <w:r>
              <w:t xml:space="preserve">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w:t>
            </w:r>
            <w:r>
              <w:rPr>
                <w:b/>
                <w:i/>
                <w:strike w:val="0"/>
                <w:color w:val="auto"/>
                <w:highlight w:val="none"/>
                <w:u w:val="none" w:color="auto"/>
                <w:vertAlign w:val="baseline"/>
              </w:rPr>
              <w:t>zdraví jednotlivců a</w:t>
            </w:r>
            <w:r>
              <w:t xml:space="preserve"> veřejného zdraví</w:t>
            </w:r>
            <w:r>
              <w:rPr>
                <w:b/>
                <w:i/>
                <w:strike w:val="0"/>
                <w:color w:val="auto"/>
                <w:highlight w:val="none"/>
                <w:u w:val="none" w:color="auto"/>
                <w:vertAlign w:val="baseline"/>
              </w:rPr>
              <w:t>, ochranu dětí</w:t>
            </w:r>
            <w:r>
              <w:t>, posuzování potřeby mezinárodní ochrany a provádění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 cílem rychle vyřešit případy státních příslušníků třetích zemí, kteří </w:t>
            </w:r>
            <w:r>
              <w:rPr>
                <w:b/>
                <w:i/>
                <w:strike w:val="0"/>
                <w:color w:val="auto"/>
                <w:highlight w:val="none"/>
                <w:u w:val="none" w:color="auto"/>
                <w:vertAlign w:val="baseline"/>
              </w:rPr>
              <w:t>se snaží vyhnout</w:t>
            </w:r>
            <w:r>
              <w:t xml:space="preserve">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veřejného zdraví, posuzování potřeby mezinárodní ochrany a provádění navracení.</w:t>
            </w:r>
          </w:p>
        </w:tc>
        <w:tc>
          <w:tcPr>
            <w:tcW w:w="4876" w:type="dxa"/>
            <w:vAlign w:val="top"/>
          </w:tcPr>
          <w:p>
            <w:pPr>
              <w:pStyle w:val="Normal6a"/>
            </w:pPr>
            <w:r>
              <w:t>(7)</w:t>
            </w:r>
            <w:r>
              <w:tab/>
            </w:r>
            <w:r>
              <w:t xml:space="preserve">S cílem rychle </w:t>
            </w:r>
            <w:r>
              <w:rPr>
                <w:b/>
                <w:i/>
                <w:strike w:val="0"/>
                <w:color w:val="auto"/>
                <w:highlight w:val="none"/>
                <w:u w:val="none" w:color="auto"/>
                <w:vertAlign w:val="baseline"/>
              </w:rPr>
              <w:t>a lépe</w:t>
            </w:r>
            <w:r>
              <w:t xml:space="preserve"> vyřešit případy státních příslušníků třetích zemí, kteří </w:t>
            </w:r>
            <w:r>
              <w:rPr>
                <w:b/>
                <w:i/>
                <w:strike w:val="0"/>
                <w:color w:val="auto"/>
                <w:highlight w:val="none"/>
                <w:u w:val="none" w:color="auto"/>
                <w:vertAlign w:val="baseline"/>
              </w:rPr>
              <w:t>nebyli podrobeni</w:t>
            </w:r>
            <w:r>
              <w:t xml:space="preserve">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w:t>
            </w:r>
            <w:r>
              <w:rPr>
                <w:b/>
                <w:i/>
                <w:strike w:val="0"/>
                <w:color w:val="auto"/>
                <w:highlight w:val="none"/>
                <w:u w:val="none" w:color="auto"/>
                <w:vertAlign w:val="baseline"/>
              </w:rPr>
              <w:t>dodržování základních práv,</w:t>
            </w:r>
            <w:r>
              <w:t xml:space="preserve"> ochranu veřejného zdraví</w:t>
            </w:r>
            <w:r>
              <w:rPr>
                <w:b/>
                <w:i/>
                <w:strike w:val="0"/>
                <w:color w:val="auto"/>
                <w:highlight w:val="none"/>
                <w:u w:val="none" w:color="auto"/>
                <w:vertAlign w:val="baseline"/>
              </w:rPr>
              <w:t>, zpracování citlivých případů</w:t>
            </w:r>
            <w:r>
              <w:t>, posuzování potřeby mezinárodní ochrany a provádění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S cílem rychle vyřešit případy státních příslušníků třetích zemí, kteří se snaží vyhnout hraničním kontrolám nebo žádají o mezinárodní ochranu na hraničním přechodu, aniž by splňovali podmínky vstupu, </w:t>
            </w:r>
            <w:r>
              <w:rPr>
                <w:b/>
                <w:i/>
                <w:strike w:val="0"/>
                <w:color w:val="auto"/>
                <w:highlight w:val="none"/>
                <w:u w:val="none" w:color="auto"/>
                <w:vertAlign w:val="baseline"/>
              </w:rPr>
              <w:t>nebo kteří jsou vyloděni po pátrací a záchranné operaci,</w:t>
            </w:r>
            <w:r>
              <w:t xml:space="preserve"> je nutné posílit rámec pro spolupráci mezi různými vnitrostátními orgány odpovědnými za ochranu hranic, ochranu veřejného zdraví, posuzování potřeby mezinárodní ochrany a provádění navracení.</w:t>
            </w:r>
          </w:p>
        </w:tc>
        <w:tc>
          <w:tcPr>
            <w:tcW w:w="4876" w:type="dxa"/>
            <w:vAlign w:val="top"/>
          </w:tcPr>
          <w:p>
            <w:pPr>
              <w:pStyle w:val="Normal6a"/>
            </w:pPr>
            <w:r>
              <w:t>(7)</w:t>
            </w:r>
            <w:r>
              <w:tab/>
            </w:r>
            <w:r>
              <w:t>S cílem rychle vyřešit případy státních příslušníků třetích zemí, kteří se snaží vyhnout hraničním kontrolám nebo žádají o mezinárodní ochranu na hraničním přechodu, aniž by splňovali podmínky vstupu, je nutné posílit rámec pro spolupráci mezi různými vnitrostátními orgány odpovědnými za ochranu hranic, ochranu veřejného zdraví, posuzování potřeby mezinárodní ochrany a provádění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S cílem rychle vyřešit případy státních příslušníků třetích zemí, kteří se snaží vyhnout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veřejného zdraví, posuzování potřeby mezinárodní ochrany a provádění navracení.</w:t>
            </w:r>
          </w:p>
        </w:tc>
        <w:tc>
          <w:tcPr>
            <w:tcW w:w="4876" w:type="dxa"/>
            <w:vAlign w:val="top"/>
          </w:tcPr>
          <w:p>
            <w:pPr>
              <w:pStyle w:val="Normal6a"/>
            </w:pPr>
            <w:r>
              <w:t>(7)</w:t>
            </w:r>
            <w:r>
              <w:tab/>
            </w:r>
            <w:r>
              <w:t xml:space="preserve">S cílem rychle </w:t>
            </w:r>
            <w:r>
              <w:rPr>
                <w:b/>
                <w:i/>
                <w:strike w:val="0"/>
                <w:color w:val="auto"/>
                <w:highlight w:val="none"/>
                <w:u w:val="none" w:color="auto"/>
                <w:vertAlign w:val="baseline"/>
              </w:rPr>
              <w:t>a účinně</w:t>
            </w:r>
            <w:r>
              <w:t xml:space="preserve"> vyřešit případy státních příslušníků třetích zemí, kteří se snaží vyhnout hraničním kontrolám nebo žádají o mezinárodní ochranu na hraničním přechodu, aniž by splňovali podmínky vstupu, nebo kteří jsou vyloděni po pátrací a záchranné operaci, je nutné posílit rámec pro spolupráci mezi různými vnitrostátními orgány odpovědnými za ochranu hranic, ochranu veřejného zdraví, posuzování potřeby mezinárodní ochrany a provádění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(8)</w:t>
            </w:r>
            <w:r>
              <w:tab/>
            </w:r>
            <w:r>
              <w:rPr>
                <w:b/>
                <w:i/>
                <w:strike w:val="0"/>
                <w:color w:val="auto"/>
                <w:highlight w:val="none"/>
                <w:u w:val="none" w:color="auto"/>
                <w:vertAlign w:val="baseline"/>
              </w:rPr>
              <w:t>Prověřování by mělo zejména pomoci zajistit, aby byli dotčení státní příslušníci třetích zemí co nejdříve nasměrováni k příslušným řízením a aby tato řízení pokračovala bez přerušení a zpoždění. Prověřování by mělo zároveň pomoci čelit situaci, kdy se někteří žadatelé o mezinárodní ochranu skrývají poté, co jim bylo na základě jejich žádosti o mezinárodní ochranu povoleno vstoupit na území členského státu, s cílem pokračovat v projednávání takových žádostí v jiném členském státě, nebo v něm nepokračovat vůbec.</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Prověřování by mělo zejména pomoci zajistit, aby byli dotčení státní příslušníci třetích zemí co nejdříve nasměrováni k příslušným řízením a aby tato řízení pokračovala bez přerušení a zpoždění. </w:t>
            </w:r>
            <w:r>
              <w:rPr>
                <w:b/>
                <w:i/>
                <w:strike w:val="0"/>
                <w:color w:val="auto"/>
                <w:highlight w:val="none"/>
                <w:u w:val="none" w:color="auto"/>
                <w:vertAlign w:val="baseline"/>
              </w:rPr>
              <w:t>Prověřování by mělo zároveň pomoci čelit situaci, kdy se někteří žadatelé o mezinárodní ochranu skrývají poté, co jim bylo na základě jejich žádosti o mezinárodní ochranu povoleno vstoupit na území členského státu, s cílem pokračovat v projednávání takových žádostí v jiném členském státě, nebo v něm nepokračovat vůbec.</w:t>
            </w:r>
          </w:p>
        </w:tc>
        <w:tc>
          <w:tcPr>
            <w:tcW w:w="4876" w:type="dxa"/>
            <w:vAlign w:val="top"/>
          </w:tcPr>
          <w:p>
            <w:pPr>
              <w:pStyle w:val="Normal6a"/>
            </w:pPr>
            <w:r>
              <w:t>(8)</w:t>
            </w:r>
            <w:r>
              <w:tab/>
            </w:r>
            <w:r>
              <w:t>Prověřování by mělo zejména pomoci zajistit, aby byli dotčení státní příslušníci třetích zemí co nejdříve nasměrováni k příslušným řízením a aby tato řízení pokračovala bez přerušení a zpoždění.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Annalisa Tardino</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Prověřování by mělo </w:t>
            </w:r>
            <w:r>
              <w:rPr>
                <w:b/>
                <w:i/>
                <w:strike w:val="0"/>
                <w:color w:val="auto"/>
                <w:highlight w:val="none"/>
                <w:u w:val="none" w:color="auto"/>
                <w:vertAlign w:val="baseline"/>
              </w:rPr>
              <w:t>zejména</w:t>
            </w:r>
            <w:r>
              <w:t xml:space="preserve"> pomoci zajistit, aby byli dotčení státní příslušníci třetích zemí co nejdříve nasměrováni k příslušným řízením a aby tato řízení pokračovala bez přerušení a zpoždění. </w:t>
            </w:r>
            <w:r>
              <w:rPr>
                <w:b/>
                <w:i/>
                <w:strike w:val="0"/>
                <w:color w:val="auto"/>
                <w:highlight w:val="none"/>
                <w:u w:val="none" w:color="auto"/>
                <w:vertAlign w:val="baseline"/>
              </w:rPr>
              <w:t>Prověřování</w:t>
            </w:r>
            <w:r>
              <w:t xml:space="preserve"> by mělo </w:t>
            </w:r>
            <w:r>
              <w:rPr>
                <w:b/>
                <w:i/>
                <w:strike w:val="0"/>
                <w:color w:val="auto"/>
                <w:highlight w:val="none"/>
                <w:u w:val="none" w:color="auto"/>
                <w:vertAlign w:val="baseline"/>
              </w:rPr>
              <w:t>zároveň</w:t>
            </w:r>
            <w:r>
              <w:t xml:space="preserve"> pomoci čelit situaci, kdy se někteří žadatelé o mezinárodní ochranu skrývají poté, co jim bylo na základě jejich žádosti o mezinárodní ochranu povoleno vstoupit na území členského státu, s cílem pokračovat v projednávání takových žádostí v jiném členském státě, nebo v něm nepokračovat vůbec.</w:t>
            </w:r>
          </w:p>
        </w:tc>
        <w:tc>
          <w:tcPr>
            <w:tcW w:w="4876" w:type="dxa"/>
            <w:vAlign w:val="top"/>
          </w:tcPr>
          <w:p>
            <w:pPr>
              <w:pStyle w:val="Normal6a"/>
            </w:pPr>
            <w:r>
              <w:t>(8)</w:t>
            </w:r>
            <w:r>
              <w:tab/>
            </w:r>
            <w:r>
              <w:t xml:space="preserve">Prověřování by mělo pomoci zajistit, aby byli dotčení státní příslušníci třetích zemí co nejdříve nasměrováni k příslušným řízením a aby tato řízení pokračovala bez přerušení a zpoždění. </w:t>
            </w:r>
            <w:r>
              <w:rPr>
                <w:b/>
                <w:i/>
                <w:strike w:val="0"/>
                <w:color w:val="auto"/>
                <w:highlight w:val="none"/>
                <w:u w:val="none" w:color="auto"/>
                <w:vertAlign w:val="baseline"/>
              </w:rPr>
              <w:t>Zejména</w:t>
            </w:r>
            <w:r>
              <w:t xml:space="preserve"> by mělo </w:t>
            </w:r>
            <w:r>
              <w:rPr>
                <w:b/>
                <w:i/>
                <w:strike w:val="0"/>
                <w:color w:val="auto"/>
                <w:highlight w:val="none"/>
                <w:u w:val="none" w:color="auto"/>
                <w:vertAlign w:val="baseline"/>
              </w:rPr>
              <w:t>prověřování</w:t>
            </w:r>
            <w:r>
              <w:t xml:space="preserve"> pomoci čelit situaci, kdy se někteří žadatelé o mezinárodní ochranu skrývají poté, co jim bylo na základě jejich žádosti o mezinárodní ochranu povoleno vstoupit na území členského státu, s cílem pokračovat v projednávání takových žádostí v jiném členském státě, nebo v něm nepokračovat vůbec.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Pokud jde o osoby, které žádají o mezinárodní ochranu, mělo by </w:t>
            </w:r>
            <w:r>
              <w:rPr>
                <w:b/>
                <w:i/>
                <w:strike w:val="0"/>
                <w:color w:val="auto"/>
                <w:highlight w:val="none"/>
                <w:u w:val="none" w:color="auto"/>
                <w:vertAlign w:val="baseline"/>
              </w:rPr>
              <w:t>po</w:t>
            </w:r>
            <w:r>
              <w:t xml:space="preserve"> prověřování </w:t>
            </w:r>
            <w:r>
              <w:rPr>
                <w:b/>
                <w:i/>
                <w:strike w:val="0"/>
                <w:color w:val="auto"/>
                <w:highlight w:val="none"/>
                <w:u w:val="none" w:color="auto"/>
                <w:vertAlign w:val="baseline"/>
              </w:rPr>
              <w:t>následovat posouzení potřeby</w:t>
            </w:r>
            <w:r>
              <w:t xml:space="preserve"> mezinárodní </w:t>
            </w:r>
            <w:r>
              <w:rPr>
                <w:b/>
                <w:i/>
                <w:strike w:val="0"/>
                <w:color w:val="auto"/>
                <w:highlight w:val="none"/>
                <w:u w:val="none" w:color="auto"/>
                <w:vertAlign w:val="baseline"/>
              </w:rPr>
              <w:t>ochrany. To by mělo umožnit shromažďovat a sdílet veškeré informace s orgány příslušnými pro toto posouzení, jež jsou pro ně relevantní, aby mohly určit vhodný postup pro posouzení žádosti, čímž se toto posouzení urychlí</w:t>
            </w:r>
            <w:r>
              <w:t xml:space="preserve">. Prověřování by </w:t>
            </w:r>
            <w:r>
              <w:rPr>
                <w:b/>
                <w:i/>
                <w:strike w:val="0"/>
                <w:color w:val="auto"/>
                <w:highlight w:val="none"/>
                <w:u w:val="none" w:color="auto"/>
                <w:vertAlign w:val="baseline"/>
              </w:rPr>
              <w:t>také mělo zajistit brzkou</w:t>
            </w:r>
            <w:r>
              <w:t xml:space="preserve"> identifikaci </w:t>
            </w:r>
            <w:r>
              <w:rPr>
                <w:b/>
                <w:i/>
                <w:strike w:val="0"/>
                <w:color w:val="auto"/>
                <w:highlight w:val="none"/>
                <w:u w:val="none" w:color="auto"/>
                <w:vertAlign w:val="baseline"/>
              </w:rPr>
              <w:t>osob</w:t>
            </w:r>
            <w:r>
              <w:t xml:space="preserve"> se zvláštními potřebami </w:t>
            </w:r>
            <w:r>
              <w:rPr>
                <w:b/>
                <w:i/>
                <w:strike w:val="0"/>
                <w:color w:val="auto"/>
                <w:highlight w:val="none"/>
                <w:u w:val="none" w:color="auto"/>
                <w:vertAlign w:val="baseline"/>
              </w:rPr>
              <w:t>tak, aby byly při určování a provádění použitelného řízení</w:t>
            </w:r>
            <w:r>
              <w:t xml:space="preserve"> plně zohledněny veškeré zvláštní potřeby </w:t>
            </w:r>
            <w:r>
              <w:rPr>
                <w:b/>
                <w:i/>
                <w:strike w:val="0"/>
                <w:color w:val="auto"/>
                <w:highlight w:val="none"/>
                <w:u w:val="none" w:color="auto"/>
                <w:vertAlign w:val="baseline"/>
              </w:rPr>
              <w:t>v oblasti přijímání a procesními</w:t>
            </w:r>
            <w:r>
              <w:t xml:space="preserve"> potřebami.</w:t>
            </w:r>
          </w:p>
        </w:tc>
        <w:tc>
          <w:tcPr>
            <w:tcW w:w="4876" w:type="dxa"/>
            <w:vAlign w:val="top"/>
          </w:tcPr>
          <w:p>
            <w:pPr>
              <w:pStyle w:val="Normal6a"/>
            </w:pPr>
            <w:r>
              <w:t>(9)</w:t>
            </w:r>
            <w:r>
              <w:tab/>
            </w:r>
            <w:r>
              <w:t xml:space="preserve">Pokud jde o osoby, které žádají o mezinárodní ochranu, mělo by prověřování </w:t>
            </w:r>
            <w:r>
              <w:rPr>
                <w:b/>
                <w:i/>
                <w:strike w:val="0"/>
                <w:color w:val="auto"/>
                <w:highlight w:val="none"/>
                <w:u w:val="none" w:color="auto"/>
                <w:vertAlign w:val="baseline"/>
              </w:rPr>
              <w:t>probíhat během počáteční fáze posuzování žádosti o</w:t>
            </w:r>
            <w:r>
              <w:t xml:space="preserve"> mezinárodní </w:t>
            </w:r>
            <w:r>
              <w:rPr>
                <w:b/>
                <w:i/>
                <w:strike w:val="0"/>
                <w:color w:val="auto"/>
                <w:highlight w:val="none"/>
                <w:u w:val="none" w:color="auto"/>
                <w:vertAlign w:val="baseline"/>
              </w:rPr>
              <w:t>ochranu.</w:t>
            </w:r>
            <w:r>
              <w:t xml:space="preserve"> </w:t>
            </w:r>
            <w:r>
              <w:rPr>
                <w:b/>
                <w:i/>
                <w:strike w:val="0"/>
                <w:color w:val="auto"/>
                <w:highlight w:val="none"/>
                <w:u w:val="none" w:color="auto"/>
                <w:vertAlign w:val="baseline"/>
              </w:rPr>
              <w:t>Prověřovací orgány by měly orgánům, které posuzují žádost státního příslušníka třetí země o mezinárodní ochranu, poskytovat veškeré informace o této osobě způsobem, o němž je státní příslušník třetí země rovněž plně informován</w:t>
            </w:r>
            <w:r>
              <w:t xml:space="preserve">. Prověřování by </w:t>
            </w:r>
            <w:r>
              <w:rPr>
                <w:b/>
                <w:i/>
                <w:strike w:val="0"/>
                <w:color w:val="auto"/>
                <w:highlight w:val="none"/>
                <w:u w:val="none" w:color="auto"/>
                <w:vertAlign w:val="baseline"/>
              </w:rPr>
              <w:t>mělo rovněž přispět k</w:t>
            </w:r>
            <w:r>
              <w:t xml:space="preserve"> identifikaci </w:t>
            </w:r>
            <w:r>
              <w:rPr>
                <w:b/>
                <w:i/>
                <w:strike w:val="0"/>
                <w:color w:val="auto"/>
                <w:highlight w:val="none"/>
                <w:u w:val="none" w:color="auto"/>
                <w:vertAlign w:val="baseline"/>
              </w:rPr>
              <w:t>zranitelných míst, aby osoby</w:t>
            </w:r>
            <w:r>
              <w:t xml:space="preserve"> se zvláštními potřebami </w:t>
            </w:r>
            <w:r>
              <w:rPr>
                <w:b/>
                <w:i/>
                <w:strike w:val="0"/>
                <w:color w:val="auto"/>
                <w:highlight w:val="none"/>
                <w:u w:val="none" w:color="auto"/>
                <w:vertAlign w:val="baseline"/>
              </w:rPr>
              <w:t>byly identifikovány již v rané fázi a mohly být</w:t>
            </w:r>
            <w:r>
              <w:t xml:space="preserve"> plně zohledněny veškeré zvláštní potřeby </w:t>
            </w:r>
            <w:r>
              <w:rPr>
                <w:b/>
                <w:i/>
                <w:strike w:val="0"/>
                <w:color w:val="auto"/>
                <w:highlight w:val="none"/>
                <w:u w:val="none" w:color="auto"/>
                <w:vertAlign w:val="baseline"/>
              </w:rPr>
              <w:t>týkající se přijetí a procesní potřeby.</w:t>
            </w:r>
            <w:r>
              <w:t xml:space="preserve"> </w:t>
            </w:r>
            <w:r>
              <w:rPr>
                <w:b/>
                <w:i/>
                <w:strike w:val="0"/>
                <w:color w:val="auto"/>
                <w:highlight w:val="none"/>
                <w:u w:val="none" w:color="auto"/>
                <w:vertAlign w:val="baseline"/>
              </w:rPr>
              <w:t>Státní příslušník třetí země však může být identifikován jako osoba se zvláštními</w:t>
            </w:r>
            <w:r>
              <w:t xml:space="preserve"> potřebami </w:t>
            </w:r>
            <w:r>
              <w:rPr>
                <w:b/>
                <w:i/>
                <w:strike w:val="0"/>
                <w:color w:val="auto"/>
                <w:highlight w:val="none"/>
                <w:u w:val="none" w:color="auto"/>
                <w:vertAlign w:val="baseline"/>
              </w:rPr>
              <w:t>i po skončení prověřování, což by mělo být následně zohledněno</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Pokud jde o osoby, které žádají o mezinárodní ochranu, mělo by po prověřování následovat posouzení potřeby mezinárodní ochrany. To by mělo umožnit shromažďovat a sdílet veškeré informace s orgány příslušnými pro toto posouzení, jež jsou pro ně relevantní, aby mohly určit vhodný postup pro posouzení žádosti, čímž se toto posouzení urychlí</w:t>
            </w:r>
            <w:r>
              <w:rPr>
                <w:b/>
                <w:i/>
                <w:strike w:val="0"/>
                <w:color w:val="auto"/>
                <w:highlight w:val="none"/>
                <w:u w:val="none" w:color="auto"/>
                <w:vertAlign w:val="baseline"/>
              </w:rPr>
              <w:t>. Prověřování by také mělo zajistit brzkou identifikaci osob se zvláštními potřebami tak, aby byly při určování a provádění použitelného řízení plně zohledněny veškeré zvláštní potřeby v oblasti přijímání a procesními potřebami</w:t>
            </w:r>
            <w:r>
              <w:t>.</w:t>
            </w:r>
          </w:p>
        </w:tc>
        <w:tc>
          <w:tcPr>
            <w:tcW w:w="4876" w:type="dxa"/>
            <w:vAlign w:val="top"/>
          </w:tcPr>
          <w:p>
            <w:pPr>
              <w:pStyle w:val="Normal6a"/>
            </w:pPr>
            <w:r>
              <w:t>(9)</w:t>
            </w:r>
            <w:r>
              <w:tab/>
            </w:r>
            <w:r>
              <w:t xml:space="preserve">Pokud jde o osoby, které žádají o mezinárodní ochranu, mělo by po prověřování následovat posouzení potřeby mezinárodní ochrany </w:t>
            </w:r>
            <w:r>
              <w:rPr>
                <w:b/>
                <w:i/>
                <w:strike w:val="0"/>
                <w:color w:val="auto"/>
                <w:highlight w:val="none"/>
                <w:u w:val="none" w:color="auto"/>
                <w:vertAlign w:val="baseline"/>
              </w:rPr>
              <w:t>v přijímacím středisku partnerského státu třetí země</w:t>
            </w:r>
            <w:r>
              <w:t xml:space="preserve">. To by mělo umožnit shromažďovat a sdílet veškeré informace s orgány příslušnými pro toto posouzení </w:t>
            </w:r>
            <w:r>
              <w:rPr>
                <w:b/>
                <w:i/>
                <w:strike w:val="0"/>
                <w:color w:val="auto"/>
                <w:highlight w:val="none"/>
                <w:u w:val="none" w:color="auto"/>
                <w:vertAlign w:val="baseline"/>
              </w:rPr>
              <w:t>orgány</w:t>
            </w:r>
            <w:r>
              <w:t xml:space="preserve">, jež jsou pro ně relevantní, aby mohly určit vhodný postup pro posouzení žádosti, </w:t>
            </w:r>
            <w:r>
              <w:rPr>
                <w:b/>
                <w:i/>
                <w:strike w:val="0"/>
                <w:color w:val="auto"/>
                <w:highlight w:val="none"/>
                <w:u w:val="none" w:color="auto"/>
                <w:vertAlign w:val="baseline"/>
              </w:rPr>
              <w:t>ať už v členském státě nebo v přijímacím středisku partnerského státu třetí země,</w:t>
            </w:r>
            <w:r>
              <w:t xml:space="preserve"> čímž se toto posouzení urychlí</w:t>
            </w:r>
            <w:r>
              <w:rPr>
                <w:b/>
                <w:i/>
                <w:strike w:val="0"/>
                <w:color w:val="auto"/>
                <w:highlight w:val="none"/>
                <w:u w:val="none" w:color="auto"/>
                <w:vertAlign w:val="baseline"/>
              </w:rPr>
              <w:t>, jakož i pro rychlou relokaci osob čekajících na návrat do jejich poslední bezpečné tranzitní země, přístavu původu, země původu nebo přemístění do přijímacího střediska partnerského státu třetí země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Pokud jde o osoby, které žádají o mezinárodní ochranu, mělo by po prověřování následovat posouzení potřeby mezinárodní ochrany. </w:t>
            </w:r>
            <w:r>
              <w:rPr>
                <w:b/>
                <w:i/>
                <w:strike w:val="0"/>
                <w:color w:val="auto"/>
                <w:highlight w:val="none"/>
                <w:u w:val="none" w:color="auto"/>
                <w:vertAlign w:val="baseline"/>
              </w:rPr>
              <w:t>To by mělo</w:t>
            </w:r>
            <w:r>
              <w:t xml:space="preserve"> umožnit </w:t>
            </w:r>
            <w:r>
              <w:rPr>
                <w:b/>
                <w:i/>
                <w:strike w:val="0"/>
                <w:color w:val="auto"/>
                <w:highlight w:val="none"/>
                <w:u w:val="none" w:color="auto"/>
                <w:vertAlign w:val="baseline"/>
              </w:rPr>
              <w:t>shromažďovat a</w:t>
            </w:r>
            <w:r>
              <w:t xml:space="preserve"> sdílet </w:t>
            </w:r>
            <w:r>
              <w:rPr>
                <w:b/>
                <w:i/>
                <w:strike w:val="0"/>
                <w:color w:val="auto"/>
                <w:highlight w:val="none"/>
                <w:u w:val="none" w:color="auto"/>
                <w:vertAlign w:val="baseline"/>
              </w:rPr>
              <w:t>veškeré informace</w:t>
            </w:r>
            <w:r>
              <w:t xml:space="preserve"> s orgány příslušnými pro toto posouzení</w:t>
            </w:r>
            <w:r>
              <w:rPr>
                <w:b/>
                <w:i/>
                <w:strike w:val="0"/>
                <w:color w:val="auto"/>
                <w:highlight w:val="none"/>
                <w:u w:val="none" w:color="auto"/>
                <w:vertAlign w:val="baseline"/>
              </w:rPr>
              <w:t>, jež jsou pro ně relevantní, aby mohly určit vhodný postup pro posouzení žádosti, čímž se toto posouzení urychlí. Prověřování by také mělo zajistit brzkou identifikaci</w:t>
            </w:r>
            <w:r>
              <w:t xml:space="preserve"> osob se zvláštními potřebami tak, aby byly při určování a provádění použitelného řízení plně zohledněny veškeré zvláštní potřeby v oblasti přijímání a procesními potřebami.</w:t>
            </w:r>
          </w:p>
        </w:tc>
        <w:tc>
          <w:tcPr>
            <w:tcW w:w="4876" w:type="dxa"/>
            <w:vAlign w:val="top"/>
          </w:tcPr>
          <w:p>
            <w:pPr>
              <w:pStyle w:val="Normal6a"/>
            </w:pPr>
            <w:r>
              <w:t>(9)</w:t>
            </w:r>
            <w:r>
              <w:tab/>
            </w:r>
            <w:r>
              <w:t xml:space="preserve">Pokud jde o osoby, které žádají o mezinárodní ochranu, mělo by po prověřování následovat posouzení potřeby mezinárodní ochrany. </w:t>
            </w:r>
            <w:r>
              <w:rPr>
                <w:b/>
                <w:i/>
                <w:strike w:val="0"/>
                <w:color w:val="auto"/>
                <w:highlight w:val="none"/>
                <w:u w:val="none" w:color="auto"/>
                <w:vertAlign w:val="baseline"/>
              </w:rPr>
              <w:t>Měl by</w:t>
            </w:r>
            <w:r>
              <w:t xml:space="preserve"> umožnit </w:t>
            </w:r>
            <w:r>
              <w:rPr>
                <w:b/>
                <w:i/>
                <w:strike w:val="0"/>
                <w:color w:val="auto"/>
                <w:highlight w:val="none"/>
                <w:u w:val="none" w:color="auto"/>
                <w:vertAlign w:val="baseline"/>
              </w:rPr>
              <w:t>prověřovacím orgánům</w:t>
            </w:r>
            <w:r>
              <w:t xml:space="preserve"> sdílet s orgány příslušnými pro toto posouzení </w:t>
            </w:r>
            <w:r>
              <w:rPr>
                <w:b/>
                <w:i/>
                <w:strike w:val="0"/>
                <w:color w:val="auto"/>
                <w:highlight w:val="none"/>
                <w:u w:val="none" w:color="auto"/>
                <w:vertAlign w:val="baseline"/>
              </w:rPr>
              <w:t>příslušné informace.</w:t>
            </w:r>
            <w:r>
              <w:t xml:space="preserve"> </w:t>
            </w:r>
            <w:r>
              <w:rPr>
                <w:b/>
                <w:i/>
                <w:strike w:val="0"/>
                <w:color w:val="auto"/>
                <w:highlight w:val="none"/>
                <w:u w:val="none" w:color="auto"/>
                <w:vertAlign w:val="baseline"/>
              </w:rPr>
              <w:t>Prověřování by také mělo přispívat k brzké identifikaci osob v citlivé situaci a</w:t>
            </w:r>
            <w:r>
              <w:t xml:space="preserve"> osob se zvláštními potřebami tak, aby byly při určování a provádění použitelného řízení plně zohledněny veškeré zvláštní potřeby v oblasti přijímání a procesními potřebami.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Pokud jde o osoby, které žádají o mezinárodní ochranu, </w:t>
            </w:r>
            <w:r>
              <w:rPr>
                <w:b/>
                <w:i/>
                <w:strike w:val="0"/>
                <w:color w:val="auto"/>
                <w:highlight w:val="none"/>
                <w:u w:val="none" w:color="auto"/>
                <w:vertAlign w:val="baseline"/>
              </w:rPr>
              <w:t>mělo by</w:t>
            </w:r>
            <w:r>
              <w:t xml:space="preserve"> po prověřování následovat posouzení potřeby mezinárodní ochrany. To </w:t>
            </w:r>
            <w:r>
              <w:rPr>
                <w:b/>
                <w:i/>
                <w:strike w:val="0"/>
                <w:color w:val="auto"/>
                <w:highlight w:val="none"/>
                <w:u w:val="none" w:color="auto"/>
                <w:vertAlign w:val="baseline"/>
              </w:rPr>
              <w:t>by mělo</w:t>
            </w:r>
            <w:r>
              <w:t xml:space="preserve"> umožnit </w:t>
            </w:r>
            <w:r>
              <w:rPr>
                <w:b/>
                <w:i/>
                <w:strike w:val="0"/>
                <w:color w:val="auto"/>
                <w:highlight w:val="none"/>
                <w:u w:val="none" w:color="auto"/>
                <w:vertAlign w:val="baseline"/>
              </w:rPr>
              <w:t>shromažďovat a sdílet veškeré</w:t>
            </w:r>
            <w:r>
              <w:t xml:space="preserve"> informace s orgány příslušnými pro toto posouzení, jež jsou pro ně relevantní, aby mohly určit vhodný postup pro posouzení žádosti, </w:t>
            </w:r>
            <w:r>
              <w:rPr>
                <w:b/>
                <w:i/>
                <w:strike w:val="0"/>
                <w:color w:val="auto"/>
                <w:highlight w:val="none"/>
                <w:u w:val="none" w:color="auto"/>
                <w:vertAlign w:val="baseline"/>
              </w:rPr>
              <w:t>čímž se toto</w:t>
            </w:r>
            <w:r>
              <w:t xml:space="preserve"> posouzení </w:t>
            </w:r>
            <w:r>
              <w:rPr>
                <w:b/>
                <w:i/>
                <w:strike w:val="0"/>
                <w:color w:val="auto"/>
                <w:highlight w:val="none"/>
                <w:u w:val="none" w:color="auto"/>
                <w:vertAlign w:val="baseline"/>
              </w:rPr>
              <w:t>urychlí</w:t>
            </w:r>
            <w:r>
              <w:t>. Prověřování by také mělo zajistit brzkou identifikaci osob se zvláštními potřebami tak, aby byly při určování a provádění použitelného řízení plně zohledněny veškeré zvláštní potřeby v oblasti přijímání a procesními potřebami.</w:t>
            </w:r>
          </w:p>
        </w:tc>
        <w:tc>
          <w:tcPr>
            <w:tcW w:w="4876" w:type="dxa"/>
            <w:vAlign w:val="top"/>
          </w:tcPr>
          <w:p>
            <w:pPr>
              <w:pStyle w:val="Normal6a"/>
            </w:pPr>
            <w:r>
              <w:t>(9)</w:t>
            </w:r>
            <w:r>
              <w:tab/>
            </w:r>
            <w:r>
              <w:t xml:space="preserve">Pokud jde o osoby, které žádají o mezinárodní ochranu, </w:t>
            </w:r>
            <w:r>
              <w:rPr>
                <w:b/>
                <w:i/>
                <w:strike w:val="0"/>
                <w:color w:val="auto"/>
                <w:highlight w:val="none"/>
                <w:u w:val="none" w:color="auto"/>
                <w:vertAlign w:val="baseline"/>
              </w:rPr>
              <w:t>může</w:t>
            </w:r>
            <w:r>
              <w:t xml:space="preserve"> po prověřování následovat posouzení potřeby mezinárodní ochrany. To </w:t>
            </w:r>
            <w:r>
              <w:rPr>
                <w:b/>
                <w:i/>
                <w:strike w:val="0"/>
                <w:color w:val="auto"/>
                <w:highlight w:val="none"/>
                <w:u w:val="none" w:color="auto"/>
                <w:vertAlign w:val="baseline"/>
              </w:rPr>
              <w:t>může</w:t>
            </w:r>
            <w:r>
              <w:t xml:space="preserve"> umožnit </w:t>
            </w:r>
            <w:r>
              <w:rPr>
                <w:b/>
                <w:i/>
                <w:strike w:val="0"/>
                <w:color w:val="auto"/>
                <w:highlight w:val="none"/>
                <w:u w:val="none" w:color="auto"/>
                <w:vertAlign w:val="baseline"/>
              </w:rPr>
              <w:t>shromažďování a sdílení veškerých</w:t>
            </w:r>
            <w:r>
              <w:t xml:space="preserve"> informace s orgány příslušnými pro toto posouzení, jež jsou pro ně relevantní, aby mohly určit vhodný postup pro posouzení žádosti, </w:t>
            </w:r>
            <w:r>
              <w:rPr>
                <w:b/>
                <w:i/>
                <w:strike w:val="0"/>
                <w:color w:val="auto"/>
                <w:highlight w:val="none"/>
                <w:u w:val="none" w:color="auto"/>
                <w:vertAlign w:val="baseline"/>
              </w:rPr>
              <w:t>pokud by to umožnilo urychlení</w:t>
            </w:r>
            <w:r>
              <w:t xml:space="preserve"> posouzení. Prověřování by také mělo zajistit brzkou identifikaci osob se zvláštními potřebami tak, aby byly při určování a provádění použitelného řízení plně zohledněny veškeré zvláštní potřeby v oblasti přijímání a procesními potřebami.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199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Pokud jde o osoby, které žádají o mezinárodní ochranu, mělo by po prověřování následovat posouzení potřeby mezinárodní ochrany. To by mělo umožnit shromažďovat a sdílet veškeré informace s orgány příslušnými pro toto posouzení, jež jsou pro ně relevantní, aby mohly určit vhodný postup pro posouzení žádosti, čímž se toto posouzení urychlí. Prověřování by také mělo zajistit brzkou identifikaci osob se zvláštními potřebami tak, aby byly při určování a provádění použitelného řízení plně zohledněny veškeré zvláštní potřeby v oblasti přijímání a procesními potřebami.</w:t>
            </w:r>
          </w:p>
        </w:tc>
        <w:tc>
          <w:tcPr>
            <w:tcW w:w="4876" w:type="dxa"/>
            <w:vAlign w:val="top"/>
          </w:tcPr>
          <w:p>
            <w:pPr>
              <w:pStyle w:val="Normal6a"/>
            </w:pPr>
            <w:r>
              <w:t>(9)</w:t>
            </w:r>
            <w:r>
              <w:tab/>
            </w:r>
            <w:r>
              <w:t xml:space="preserve">Pokud jde o osoby, které žádají o mezinárodní ochranu, mělo by po prověřování </w:t>
            </w:r>
            <w:r>
              <w:rPr>
                <w:b/>
                <w:i/>
                <w:strike w:val="0"/>
                <w:color w:val="auto"/>
                <w:highlight w:val="none"/>
                <w:u w:val="none" w:color="auto"/>
                <w:vertAlign w:val="baseline"/>
              </w:rPr>
              <w:t>okamžitě</w:t>
            </w:r>
            <w:r>
              <w:t xml:space="preserve"> následovat posouzení potřeby mezinárodní ochrany. To by mělo umožnit shromažďovat a sdílet veškeré informace s orgány příslušnými pro toto posouzení, jež jsou pro ně relevantní, aby mohly určit vhodný postup pro posouzení žádosti, čímž se toto posouzení urychlí. Prověřování by také mělo zajistit brzkou identifikaci </w:t>
            </w:r>
            <w:r>
              <w:rPr>
                <w:b/>
                <w:i/>
                <w:strike w:val="0"/>
                <w:color w:val="auto"/>
                <w:highlight w:val="none"/>
                <w:u w:val="none" w:color="auto"/>
                <w:vertAlign w:val="baseline"/>
              </w:rPr>
              <w:t>zranitelných osob a</w:t>
            </w:r>
            <w:r>
              <w:t xml:space="preserve"> osob se zvláštními potřebami tak, aby byly při určování a provádění použitelného řízení plně zohledněny veškeré zvláštní potřeby v oblasti přijímání a procesními potřebami.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Pokud jde o osoby, které žádají o mezinárodní ochranu, mělo by po prověřování </w:t>
            </w:r>
            <w:r>
              <w:rPr>
                <w:b/>
                <w:i/>
                <w:strike w:val="0"/>
                <w:color w:val="auto"/>
                <w:highlight w:val="none"/>
                <w:u w:val="none" w:color="auto"/>
                <w:vertAlign w:val="baseline"/>
              </w:rPr>
              <w:t>následovat</w:t>
            </w:r>
            <w:r>
              <w:t xml:space="preserve"> posouzení potřeby mezinárodní ochrany. To by mělo umožnit shromažďovat a sdílet veškeré informace s orgány příslušnými pro toto posouzení, jež jsou pro ně relevantní, aby mohly určit vhodný postup pro posouzení žádosti, čímž se toto posouzení urychlí. Prověřování by také mělo zajistit brzkou identifikaci osob se zvláštními potřebami tak, aby byly při určování a provádění použitelného řízení plně zohledněny veškeré zvláštní potřeby v oblasti přijímání a procesními potřebami.</w:t>
            </w:r>
          </w:p>
        </w:tc>
        <w:tc>
          <w:tcPr>
            <w:tcW w:w="4876" w:type="dxa"/>
            <w:vAlign w:val="top"/>
          </w:tcPr>
          <w:p>
            <w:pPr>
              <w:pStyle w:val="Normal6a"/>
            </w:pPr>
            <w:r>
              <w:t>(9)</w:t>
            </w:r>
            <w:r>
              <w:tab/>
            </w:r>
            <w:r>
              <w:t xml:space="preserve">Pokud jde o osoby, které žádají o mezinárodní ochranu, mělo by po prověřování </w:t>
            </w:r>
            <w:r>
              <w:rPr>
                <w:b/>
                <w:i/>
                <w:strike w:val="0"/>
                <w:color w:val="auto"/>
                <w:highlight w:val="none"/>
                <w:u w:val="none" w:color="auto"/>
                <w:vertAlign w:val="baseline"/>
              </w:rPr>
              <w:t>umožnit</w:t>
            </w:r>
            <w:r>
              <w:t xml:space="preserve"> posouzení potřeby mezinárodní ochrany. To by mělo umožnit shromažďovat a sdílet veškeré informace s orgány příslušnými pro toto posouzení, jež jsou pro ně relevantní, aby mohly určit vhodný postup pro posouzení žádosti, čímž se toto posouzení urychlí. Prověřování by také mělo zajistit brzkou identifikaci osob se zvláštními potřebami tak, aby byly při určování a provádění použitelného řízení plně zohledněny veškeré zvláštní potřeby v oblasti přijímání a procesními potřebami.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(10)</w:t>
            </w:r>
            <w:r>
              <w:tab/>
            </w:r>
            <w:r>
              <w:rPr>
                <w:b/>
                <w:i/>
                <w:strike w:val="0"/>
                <w:color w:val="auto"/>
                <w:highlight w:val="none"/>
                <w:u w:val="none" w:color="auto"/>
                <w:vertAlign w:val="baseline"/>
              </w:rPr>
              <w:t>Povinnostmi vyplývajícími z tohoto nařízení by neměla být dotčena ustanovení týkající se odpovědnosti za posouzení žádosti o mezinárodní ochranu upravená v nařízení (EU) č. XX/XXX [nařízení o řízení azylu a migrace].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Laura Huhtasaari</w:t>
      </w:r>
      <w:r>
        <w:t xml:space="preserve">, </w:t>
      </w:r>
      <w:r>
        <w:t>Jaak Madison</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Povinnostmi vyplývajícími z tohoto nařízení by neměla být dotčena ustanovení týkající se odpovědnosti za posouzení žádosti o mezinárodní ochranu upravená v nařízení (EU) č. XX/XXX [nařízení o řízení azylu a migrace].</w:t>
            </w:r>
          </w:p>
        </w:tc>
        <w:tc>
          <w:tcPr>
            <w:tcW w:w="4876" w:type="dxa"/>
            <w:vAlign w:val="top"/>
          </w:tcPr>
          <w:p>
            <w:pPr>
              <w:pStyle w:val="Normal6a"/>
            </w:pPr>
            <w:r>
              <w:t>(10)</w:t>
            </w:r>
            <w:r>
              <w:tab/>
            </w:r>
            <w:r>
              <w:t>Povinnostmi vyplývajícími z tohoto nařízení by neměla být dotčena ustanovení týkající se odpovědnosti za posouzení žádosti o mezinárodní ochranu upravená v nařízení (EU) č. XX/XXX [nařízení o řízení azylu a migrace]</w:t>
            </w:r>
            <w:r>
              <w:rPr>
                <w:b/>
                <w:i/>
                <w:strike w:val="0"/>
                <w:color w:val="auto"/>
                <w:highlight w:val="none"/>
                <w:u w:val="none" w:color="auto"/>
                <w:vertAlign w:val="baseline"/>
              </w:rPr>
              <w:t>, pokud to nesnižuje bezpečnost na vnějších hranicích</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Toto nařízení by se mělo vztahovat na státní příslušníky třetích zemí a osoby bez státní příslušnosti, kteří jsou zadrženi v souvislosti s nedovoleným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w:t>
            </w:r>
            <w:r>
              <w:rPr>
                <w:b/>
                <w:i/>
                <w:strike w:val="0"/>
                <w:color w:val="auto"/>
                <w:highlight w:val="none"/>
                <w:u w:val="none" w:color="auto"/>
                <w:vertAlign w:val="baseline"/>
              </w:rPr>
              <w:t>jakož i na osoby po vylodění po pátracích a záchranných operacích,</w:t>
            </w:r>
            <w:r>
              <w:t xml:space="preserve"> a to bez ohledu na to, zda žádají o mezinárodní ochranu či nikoli. Toto nařízení by se mělo vztahovat také na osoby, které žádají o mezinárodní ochranu na hraničních přechodech nebo v tranzitních prostorech a které nesplňují podmínky vstupu na území.</w:t>
            </w:r>
          </w:p>
        </w:tc>
        <w:tc>
          <w:tcPr>
            <w:tcW w:w="4876" w:type="dxa"/>
            <w:vAlign w:val="top"/>
          </w:tcPr>
          <w:p>
            <w:pPr>
              <w:pStyle w:val="Normal6a"/>
            </w:pPr>
            <w:r>
              <w:t>(11)</w:t>
            </w:r>
            <w:r>
              <w:tab/>
            </w:r>
            <w:r>
              <w:t>Toto nařízení by se mělo vztahovat na státní příslušníky třetích zemí a osoby bez státní příslušnosti, kteří jsou zadrženi v souvislosti s nedovoleným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a to bez ohledu na to, zda žádají o mezinárodní ochranu či nikoli. Toto nařízení by se mělo vztahovat také na osoby, které žádají o mezinárodní ochranu na hraničních přechodech nebo v tranzitních prostorech a které nesplňují podmínky vstupu na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Toto nařízení by se mělo vztahovat na státní příslušníky třetích zemí a osoby bez státní příslušnosti, kteří jsou zadrženi v souvislosti s nedovoleným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či nikoli. Toto nařízení by se mělo vztahovat také na osoby, které žádají o mezinárodní ochranu na hraničních přechodech nebo v tranzitních prostorech a které nesplňují podmínky vstupu na území.</w:t>
            </w:r>
          </w:p>
        </w:tc>
        <w:tc>
          <w:tcPr>
            <w:tcW w:w="4876" w:type="dxa"/>
            <w:vAlign w:val="top"/>
          </w:tcPr>
          <w:p>
            <w:pPr>
              <w:pStyle w:val="Normal6a"/>
            </w:pPr>
            <w:r>
              <w:t>(11)</w:t>
            </w:r>
            <w:r>
              <w:tab/>
            </w:r>
            <w:r>
              <w:t xml:space="preserve">Toto nařízení by se mělo vztahovat na státní příslušníky třetích zemí a osoby bez státní příslušnosti, kteří jsou zadrženi v souvislosti s nedovoleným </w:t>
            </w:r>
            <w:r>
              <w:rPr>
                <w:b/>
                <w:i/>
                <w:strike w:val="0"/>
                <w:color w:val="auto"/>
                <w:highlight w:val="none"/>
                <w:u w:val="none" w:color="auto"/>
                <w:vertAlign w:val="baseline"/>
              </w:rPr>
              <w:t>nebo nezákonným</w:t>
            </w:r>
            <w:r>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či nikoli. Toto nařízení by se mělo vztahovat také na osoby, které žádají o mezinárodní ochranu na hraničních přechodech nebo v tranzitních prostorech a které nesplňují podmínky vstupu na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Toto nařízení by se mělo vztahovat na státní příslušníky třetích zemí a osoby bez státní příslušnosti, kteří jsou zadrženi v souvislosti s </w:t>
            </w:r>
            <w:r>
              <w:rPr>
                <w:b/>
                <w:i/>
                <w:strike w:val="0"/>
                <w:color w:val="auto"/>
                <w:highlight w:val="none"/>
                <w:u w:val="none" w:color="auto"/>
                <w:vertAlign w:val="baseline"/>
              </w:rPr>
              <w:t>nedovoleným</w:t>
            </w:r>
            <w:r>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w:t>
            </w:r>
            <w:r>
              <w:rPr>
                <w:b/>
                <w:i/>
                <w:strike w:val="0"/>
                <w:color w:val="auto"/>
                <w:highlight w:val="none"/>
                <w:u w:val="none" w:color="auto"/>
                <w:vertAlign w:val="baseline"/>
              </w:rPr>
              <w:t>či nikoli</w:t>
            </w:r>
            <w:r>
              <w:t>. Toto nařízení by se mělo vztahovat také na osoby, které žádají o mezinárodní ochranu na hraničních přechodech nebo v tranzitních prostorech a které nesplňují podmínky vstupu na území.</w:t>
            </w:r>
          </w:p>
        </w:tc>
        <w:tc>
          <w:tcPr>
            <w:tcW w:w="4876" w:type="dxa"/>
            <w:vAlign w:val="top"/>
          </w:tcPr>
          <w:p>
            <w:pPr>
              <w:pStyle w:val="Normal6a"/>
            </w:pPr>
            <w:r>
              <w:t>(11)</w:t>
            </w:r>
            <w:r>
              <w:tab/>
            </w:r>
            <w:r>
              <w:t xml:space="preserve">Toto nařízení by se mělo vztahovat na státní příslušníky třetích zemí a osoby bez státní příslušnosti, kteří jsou zadrženi v souvislosti s </w:t>
            </w:r>
            <w:r>
              <w:rPr>
                <w:b/>
                <w:i/>
                <w:strike w:val="0"/>
                <w:color w:val="auto"/>
                <w:highlight w:val="none"/>
                <w:u w:val="none" w:color="auto"/>
                <w:vertAlign w:val="baseline"/>
              </w:rPr>
              <w:t>nelegálním</w:t>
            </w:r>
            <w:r>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Toto nařízení by se mělo vztahovat také na osoby, které žádají o mezinárodní ochranu na hraničních přechodech nebo v tranzitních prostorech a které nesplňují podmínky vstupu na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Toto nařízení by se mělo vztahovat na státní příslušníky třetích zemí a osoby bez státní příslušnosti, kteří jsou zadrženi v souvislosti s </w:t>
            </w:r>
            <w:r>
              <w:rPr>
                <w:b/>
                <w:i/>
                <w:strike w:val="0"/>
                <w:color w:val="auto"/>
                <w:highlight w:val="none"/>
                <w:u w:val="none" w:color="auto"/>
                <w:vertAlign w:val="baseline"/>
              </w:rPr>
              <w:t>nedovoleným</w:t>
            </w:r>
            <w:r>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w:t>
            </w:r>
            <w:r>
              <w:rPr>
                <w:b/>
                <w:i/>
                <w:strike w:val="0"/>
                <w:color w:val="auto"/>
                <w:highlight w:val="none"/>
                <w:u w:val="none" w:color="auto"/>
                <w:vertAlign w:val="baseline"/>
              </w:rPr>
              <w:t>či nikoli</w:t>
            </w:r>
            <w:r>
              <w:t>. Toto nařízení by se mělo vztahovat také na osoby, které žádají o mezinárodní ochranu na hraničních přechodech nebo v tranzitních prostorech a které nesplňují podmínky vstupu na území.</w:t>
            </w:r>
          </w:p>
        </w:tc>
        <w:tc>
          <w:tcPr>
            <w:tcW w:w="4876" w:type="dxa"/>
            <w:vAlign w:val="top"/>
          </w:tcPr>
          <w:p>
            <w:pPr>
              <w:pStyle w:val="Normal6a"/>
            </w:pPr>
            <w:r>
              <w:t>(11)</w:t>
            </w:r>
            <w:r>
              <w:tab/>
            </w:r>
            <w:r>
              <w:t xml:space="preserve">Toto nařízení by se mělo vztahovat na státní příslušníky třetích zemí a osoby bez státní příslušnosti, kteří jsou zadrženi v souvislosti s </w:t>
            </w:r>
            <w:r>
              <w:rPr>
                <w:b/>
                <w:i/>
                <w:strike w:val="0"/>
                <w:color w:val="auto"/>
                <w:highlight w:val="none"/>
                <w:u w:val="none" w:color="auto"/>
                <w:vertAlign w:val="baseline"/>
              </w:rPr>
              <w:t>nelegálním</w:t>
            </w:r>
            <w:r>
              <w:t xml:space="preserve"> překročením vnější hranice členského státu po zemi, po moři nebo vzduchem, s výjimkou státních příslušníků třetích zemí, u nichž se od členského státu nevyžaduje, aby odebíral biometrické údaje podle čl. 14 odst. 1 a 3 nařízení o Eurodacu z jiných důvodů, než je jejich věk, jakož i na osoby po vylodění po pátracích a záchranných operacích, a to bez ohledu na to, zda žádají o mezinárodní ochranu. Toto nařízení by se mělo vztahovat také na osoby, které žádají o mezinárodní ochranu na hraničních přechodech nebo v tranzitních prostorech a které nesplňují podmínky vstupu na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Prověřování by mělo být prováděno na </w:t>
            </w:r>
            <w:r>
              <w:rPr>
                <w:b/>
                <w:i/>
                <w:strike w:val="0"/>
                <w:color w:val="auto"/>
                <w:highlight w:val="none"/>
                <w:u w:val="none" w:color="auto"/>
                <w:vertAlign w:val="baseline"/>
              </w:rPr>
              <w:t>vnější hranici nebo v její blízkosti před tím, než je dotčeným osobám povoleno vstoupit na území</w:t>
            </w:r>
            <w:r>
              <w:t xml:space="preserve">. Členské státy by </w:t>
            </w:r>
            <w:r>
              <w:rPr>
                <w:b/>
                <w:i/>
                <w:strike w:val="0"/>
                <w:color w:val="auto"/>
                <w:highlight w:val="none"/>
                <w:u w:val="none" w:color="auto"/>
                <w:vertAlign w:val="baseline"/>
              </w:rPr>
              <w:t>měly přijmout opatření v souladu s vnitrostátními právními předpisy, která dotčeným osobám zabrání ve vstupu na území v průběhu prověřování.</w:t>
            </w:r>
            <w:r>
              <w:t xml:space="preserve"> Pokud to </w:t>
            </w:r>
            <w:r>
              <w:rPr>
                <w:b/>
                <w:i/>
                <w:strike w:val="0"/>
                <w:color w:val="auto"/>
                <w:highlight w:val="none"/>
                <w:u w:val="none" w:color="auto"/>
                <w:vertAlign w:val="baseline"/>
              </w:rPr>
              <w:t>bude zapotřebí, mohou v individuálních případech zahrnovat zajištění podle</w:t>
            </w:r>
            <w:r>
              <w:t xml:space="preserve"> vnitrostátních právních předpisů, </w:t>
            </w:r>
            <w:r>
              <w:rPr>
                <w:b/>
                <w:i/>
                <w:strike w:val="0"/>
                <w:color w:val="auto"/>
                <w:highlight w:val="none"/>
                <w:u w:val="none" w:color="auto"/>
                <w:vertAlign w:val="baseline"/>
              </w:rPr>
              <w:t>které tuto záležitost upravují</w:t>
            </w:r>
            <w:r>
              <w:t>.</w:t>
            </w:r>
          </w:p>
        </w:tc>
        <w:tc>
          <w:tcPr>
            <w:tcW w:w="4876" w:type="dxa"/>
            <w:vAlign w:val="top"/>
          </w:tcPr>
          <w:p>
            <w:pPr>
              <w:pStyle w:val="Normal6a"/>
            </w:pPr>
            <w:r>
              <w:t>(12)</w:t>
            </w:r>
            <w:r>
              <w:tab/>
            </w:r>
            <w:r>
              <w:t xml:space="preserve">Prověřování by mělo být prováděno na </w:t>
            </w:r>
            <w:r>
              <w:rPr>
                <w:b/>
                <w:i/>
                <w:strike w:val="0"/>
                <w:color w:val="auto"/>
                <w:highlight w:val="none"/>
                <w:u w:val="none" w:color="auto"/>
                <w:vertAlign w:val="baseline"/>
              </w:rPr>
              <w:t>území členského státu na jakémkoli vhodném místě, které zaručí řádné provádění nařízení Evropského parlamentu a Rady (EU) XXXX/202X [nařízení o azylovém řízení] a směrnice Evropského parlamentu a Rady 2013/33/EU [směrnice o podmínkách přijímání] a zajistí, aby státní příslušníci třetích zemí mohli vykonávat svá práva, včetně účinného přístupu k právní pomoci</w:t>
            </w:r>
            <w:r>
              <w:t xml:space="preserve">. Členské státy by </w:t>
            </w:r>
            <w:r>
              <w:rPr>
                <w:b/>
                <w:i/>
                <w:strike w:val="0"/>
                <w:color w:val="auto"/>
                <w:highlight w:val="none"/>
                <w:u w:val="none" w:color="auto"/>
                <w:vertAlign w:val="baseline"/>
              </w:rPr>
              <w:t>mohly rozhodnout, že státní příslušníci třetích zemí by měli pobývat na určitém místě, to by však nemělo vést k jejich zajištění, zejména pokud se jedná o děti bez doprovodu nebo děti v rodinách, které by nikdy neměly být zajištěny, neboť zajištění není nikdy v nejlepším zájmu dítěte a nikdy by se na ně nemělo vztahovat.</w:t>
            </w:r>
            <w:r>
              <w:t xml:space="preserve"> </w:t>
            </w:r>
            <w:r>
              <w:rPr>
                <w:b/>
                <w:i/>
                <w:strike w:val="0"/>
                <w:color w:val="auto"/>
                <w:highlight w:val="none"/>
                <w:u w:val="none" w:color="auto"/>
                <w:vertAlign w:val="baseline"/>
              </w:rPr>
              <w:t>Zajištění by proto mělo být využíváno pouze jako poslední možnost,</w:t>
            </w:r>
            <w:r>
              <w:t xml:space="preserve"> pokud to </w:t>
            </w:r>
            <w:r>
              <w:rPr>
                <w:b/>
                <w:i/>
                <w:strike w:val="0"/>
                <w:color w:val="auto"/>
                <w:highlight w:val="none"/>
                <w:u w:val="none" w:color="auto"/>
                <w:vertAlign w:val="baseline"/>
              </w:rPr>
              <w:t>písemně nařídí soudní nebo správní orgány a na základě individuálního posouzení a prověření zranitelnosti a na základě příslušných unijních a</w:t>
            </w:r>
            <w:r>
              <w:t xml:space="preserve"> vnitrostátních právních předpisů, </w:t>
            </w:r>
            <w:r>
              <w:rPr>
                <w:b/>
                <w:i/>
                <w:strike w:val="0"/>
                <w:color w:val="auto"/>
                <w:highlight w:val="none"/>
                <w:u w:val="none" w:color="auto"/>
                <w:vertAlign w:val="baseline"/>
              </w:rPr>
              <w:t>a pokud v konkrétním případě nelze účinně uplatnit jiná, mírnější donucovací opatření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Prověřování by mělo být prováděno na vnější hranici nebo v její blízkosti </w:t>
            </w:r>
            <w:r>
              <w:rPr>
                <w:b/>
                <w:i/>
                <w:strike w:val="0"/>
                <w:color w:val="auto"/>
                <w:highlight w:val="none"/>
                <w:u w:val="none" w:color="auto"/>
                <w:vertAlign w:val="baseline"/>
              </w:rPr>
              <w:t>před tím, než je dotčeným osobám povoleno vstoupit na území</w:t>
            </w:r>
            <w:r>
              <w:t xml:space="preserve">. Členské státy by měly přijmout opatření v souladu s </w:t>
            </w:r>
            <w:r>
              <w:rPr>
                <w:b/>
                <w:i/>
                <w:strike w:val="0"/>
                <w:color w:val="auto"/>
                <w:highlight w:val="none"/>
                <w:u w:val="none" w:color="auto"/>
                <w:vertAlign w:val="baseline"/>
              </w:rPr>
              <w:t>vnitrostátními</w:t>
            </w:r>
            <w:r>
              <w:t xml:space="preserve"> právními předpisy, která dotčeným osobám zabrání ve vstupu na území v průběhu prověřování. </w:t>
            </w:r>
            <w:r>
              <w:rPr>
                <w:b/>
                <w:i/>
                <w:strike w:val="0"/>
                <w:color w:val="auto"/>
                <w:highlight w:val="none"/>
                <w:u w:val="none" w:color="auto"/>
                <w:vertAlign w:val="baseline"/>
              </w:rPr>
              <w:t>Pokud to bude zapotřebí, mohou v individuálních případech zahrnovat</w:t>
            </w:r>
            <w:r>
              <w:t xml:space="preserve"> zajištění </w:t>
            </w:r>
            <w:r>
              <w:rPr>
                <w:b/>
                <w:i/>
                <w:strike w:val="0"/>
                <w:color w:val="auto"/>
                <w:highlight w:val="none"/>
                <w:u w:val="none" w:color="auto"/>
                <w:vertAlign w:val="baseline"/>
              </w:rPr>
              <w:t>podle vnitrostátních právních předpisů, které tuto záležitost upravují</w:t>
            </w:r>
            <w:r>
              <w:t>.</w:t>
            </w:r>
          </w:p>
        </w:tc>
        <w:tc>
          <w:tcPr>
            <w:tcW w:w="4876" w:type="dxa"/>
            <w:vAlign w:val="top"/>
          </w:tcPr>
          <w:p>
            <w:pPr>
              <w:pStyle w:val="Normal6a"/>
            </w:pPr>
            <w:r>
              <w:t>(12)</w:t>
            </w:r>
            <w:r>
              <w:tab/>
            </w:r>
            <w:r>
              <w:t xml:space="preserve">Prověřování by mělo být prováděno na </w:t>
            </w:r>
            <w:r>
              <w:rPr>
                <w:b/>
                <w:i/>
                <w:strike w:val="0"/>
                <w:color w:val="auto"/>
                <w:highlight w:val="none"/>
                <w:u w:val="none" w:color="auto"/>
                <w:vertAlign w:val="baseline"/>
              </w:rPr>
              <w:t>jakémkoli místě na území členského státu, včetně míst nacházejících se na</w:t>
            </w:r>
            <w:r>
              <w:t xml:space="preserve"> vnější hranici nebo v její blízkosti</w:t>
            </w:r>
            <w:r>
              <w:rPr>
                <w:b/>
                <w:i/>
                <w:strike w:val="0"/>
                <w:color w:val="auto"/>
                <w:highlight w:val="none"/>
                <w:u w:val="none" w:color="auto"/>
                <w:vertAlign w:val="baseline"/>
              </w:rPr>
              <w:t>, za předpokladu, že lze použít příslušná ustanovení směrnice (EU) XXX/XXX [přepracované znění směrnice o podmínkách přijímání]</w:t>
            </w:r>
            <w:r>
              <w:t xml:space="preserve">. Členské státy by měly přijmout opatření v souladu s právními předpisy </w:t>
            </w:r>
            <w:r>
              <w:rPr>
                <w:b/>
                <w:i/>
                <w:strike w:val="0"/>
                <w:color w:val="auto"/>
                <w:highlight w:val="none"/>
                <w:u w:val="none" w:color="auto"/>
                <w:vertAlign w:val="baseline"/>
              </w:rPr>
              <w:t>Unie</w:t>
            </w:r>
            <w:r>
              <w:t xml:space="preserve">, která dotčeným osobám zabrání ve vstupu na území v průběhu prověřování. </w:t>
            </w:r>
            <w:r>
              <w:rPr>
                <w:b/>
                <w:i/>
                <w:strike w:val="0"/>
                <w:color w:val="auto"/>
                <w:highlight w:val="none"/>
                <w:u w:val="none" w:color="auto"/>
                <w:vertAlign w:val="baseline"/>
              </w:rPr>
              <w:t>V souladu se směrnicí (EU) XXX/XXX [přepracované znění směrnice o podmínkách přijímání] členský stát nerozhodne, že žadatel bude zanechán v zajišťovacím zařízení, dokud nebude jednotlivě posouzen případ daného žadatele a efektivně považovány za alternativy k</w:t>
            </w:r>
            <w:r>
              <w:t xml:space="preserve"> zajištění </w:t>
            </w:r>
            <w:r>
              <w:rPr>
                <w:b/>
                <w:i/>
                <w:strike w:val="0"/>
                <w:color w:val="auto"/>
                <w:highlight w:val="none"/>
                <w:u w:val="none" w:color="auto"/>
                <w:vertAlign w:val="baseline"/>
              </w:rPr>
              <w:t>nebo mírnější donucovací opatření.</w:t>
            </w:r>
            <w:r>
              <w:t xml:space="preserve"> </w:t>
            </w:r>
            <w:r>
              <w:rPr>
                <w:b/>
                <w:i/>
                <w:strike w:val="0"/>
                <w:color w:val="auto"/>
                <w:highlight w:val="none"/>
                <w:u w:val="none" w:color="auto"/>
                <w:vertAlign w:val="baseline"/>
              </w:rPr>
              <w:t>Zbavení svobody by mělo být vždy krajním opatřením v souladu s článkem 5 Evropské úmluvy o lidských právech (EÚLP)</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Prověřování by mělo být prováděno </w:t>
            </w:r>
            <w:r>
              <w:rPr>
                <w:b/>
                <w:i/>
                <w:strike w:val="0"/>
                <w:color w:val="auto"/>
                <w:highlight w:val="none"/>
                <w:u w:val="none" w:color="auto"/>
                <w:vertAlign w:val="baseline"/>
              </w:rPr>
              <w:t>na vnější hranici nebo v její blízkosti před tím, než je dotčeným osobám povoleno vstoupit</w:t>
            </w:r>
            <w:r>
              <w:t xml:space="preserve"> na území. Členské státy by měly </w:t>
            </w:r>
            <w:r>
              <w:rPr>
                <w:b/>
                <w:i/>
                <w:strike w:val="0"/>
                <w:color w:val="auto"/>
                <w:highlight w:val="none"/>
                <w:u w:val="none" w:color="auto"/>
                <w:vertAlign w:val="baseline"/>
              </w:rPr>
              <w:t>přijmout</w:t>
            </w:r>
            <w:r>
              <w:t xml:space="preserve"> opatření </w:t>
            </w:r>
            <w:r>
              <w:rPr>
                <w:b/>
                <w:i/>
                <w:strike w:val="0"/>
                <w:color w:val="auto"/>
                <w:highlight w:val="none"/>
                <w:u w:val="none" w:color="auto"/>
                <w:vertAlign w:val="baseline"/>
              </w:rPr>
              <w:t>v souladu s vnitrostátními právními předpisy, která</w:t>
            </w:r>
            <w:r>
              <w:t xml:space="preserve"> dotčeným osobám </w:t>
            </w:r>
            <w:r>
              <w:rPr>
                <w:b/>
                <w:i/>
                <w:strike w:val="0"/>
                <w:color w:val="auto"/>
                <w:highlight w:val="none"/>
                <w:u w:val="none" w:color="auto"/>
                <w:vertAlign w:val="baseline"/>
              </w:rPr>
              <w:t>zabrání ve vstupu</w:t>
            </w:r>
            <w:r>
              <w:t xml:space="preserve"> na území </w:t>
            </w:r>
            <w:r>
              <w:rPr>
                <w:b/>
                <w:i/>
                <w:strike w:val="0"/>
                <w:color w:val="auto"/>
                <w:highlight w:val="none"/>
                <w:u w:val="none" w:color="auto"/>
                <w:vertAlign w:val="baseline"/>
              </w:rPr>
              <w:t>v průběhu prověřování.</w:t>
            </w:r>
            <w:r>
              <w:t xml:space="preserve"> Pokud </w:t>
            </w:r>
            <w:r>
              <w:rPr>
                <w:b/>
                <w:i/>
                <w:strike w:val="0"/>
                <w:color w:val="auto"/>
                <w:highlight w:val="none"/>
                <w:u w:val="none" w:color="auto"/>
                <w:vertAlign w:val="baseline"/>
              </w:rPr>
              <w:t>to bude zapotřebí, mohou v individuálních případech zahrnovat zajištění podle vnitrostátních právních předpisů, které tuto záležitost upravují</w:t>
            </w:r>
            <w:r>
              <w:t>.</w:t>
            </w:r>
          </w:p>
        </w:tc>
        <w:tc>
          <w:tcPr>
            <w:tcW w:w="4876" w:type="dxa"/>
            <w:vAlign w:val="top"/>
          </w:tcPr>
          <w:p>
            <w:pPr>
              <w:pStyle w:val="Normal6a"/>
            </w:pPr>
            <w:r>
              <w:t>(12)</w:t>
            </w:r>
            <w:r>
              <w:tab/>
            </w:r>
            <w:r>
              <w:t xml:space="preserve">Prověřování by mělo být prováděno </w:t>
            </w:r>
            <w:r>
              <w:rPr>
                <w:b/>
                <w:i/>
                <w:strike w:val="0"/>
                <w:color w:val="auto"/>
                <w:highlight w:val="none"/>
                <w:u w:val="none" w:color="auto"/>
                <w:vertAlign w:val="baseline"/>
              </w:rPr>
              <w:t>v úředních a odpovídajících zařízeních, která splňují normy směrnice (EU) xxxx/xxxx [směrnice o podmínkách přijímání] a nacházejí se</w:t>
            </w:r>
            <w:r>
              <w:t xml:space="preserve"> na území </w:t>
            </w:r>
            <w:r>
              <w:rPr>
                <w:b/>
                <w:i/>
                <w:strike w:val="0"/>
                <w:color w:val="auto"/>
                <w:highlight w:val="none"/>
                <w:u w:val="none" w:color="auto"/>
                <w:vertAlign w:val="baseline"/>
              </w:rPr>
              <w:t>členského státu</w:t>
            </w:r>
            <w:r>
              <w:t xml:space="preserve">. Členské státy by měly </w:t>
            </w:r>
            <w:r>
              <w:rPr>
                <w:b/>
                <w:i/>
                <w:strike w:val="0"/>
                <w:color w:val="auto"/>
                <w:highlight w:val="none"/>
                <w:u w:val="none" w:color="auto"/>
                <w:vertAlign w:val="baseline"/>
              </w:rPr>
              <w:t>uplatňovat</w:t>
            </w:r>
            <w:r>
              <w:t xml:space="preserve"> opatření </w:t>
            </w:r>
            <w:r>
              <w:rPr>
                <w:b/>
                <w:i/>
                <w:strike w:val="0"/>
                <w:color w:val="auto"/>
                <w:highlight w:val="none"/>
                <w:u w:val="none" w:color="auto"/>
                <w:vertAlign w:val="baseline"/>
              </w:rPr>
              <w:t>podle mezinárodního práva a práva EU, aby umožnily</w:t>
            </w:r>
            <w:r>
              <w:t xml:space="preserve"> dotčeným osobám </w:t>
            </w:r>
            <w:r>
              <w:rPr>
                <w:b/>
                <w:i/>
                <w:strike w:val="0"/>
                <w:color w:val="auto"/>
                <w:highlight w:val="none"/>
                <w:u w:val="none" w:color="auto"/>
                <w:vertAlign w:val="baseline"/>
              </w:rPr>
              <w:t>vstoupit</w:t>
            </w:r>
            <w:r>
              <w:t xml:space="preserve"> na území</w:t>
            </w:r>
            <w:r>
              <w:rPr>
                <w:b/>
                <w:i/>
                <w:strike w:val="0"/>
                <w:color w:val="auto"/>
                <w:highlight w:val="none"/>
                <w:u w:val="none" w:color="auto"/>
                <w:vertAlign w:val="baseline"/>
              </w:rPr>
              <w:t>,</w:t>
            </w:r>
            <w:r>
              <w:t xml:space="preserve"> pokud </w:t>
            </w:r>
            <w:r>
              <w:rPr>
                <w:b/>
                <w:i/>
                <w:strike w:val="0"/>
                <w:color w:val="auto"/>
                <w:highlight w:val="none"/>
                <w:u w:val="none" w:color="auto"/>
                <w:vertAlign w:val="baseline"/>
              </w:rPr>
              <w:t>vyjádří přání požádat o mezinárodní ochranu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Prověřování by mělo být prováděno na vnější hranici nebo v její blízkosti před tím, než je dotčeným osobám povoleno vstoupit na území. Členské státy by měly přijmout opatření v souladu s vnitrostátními právními předpisy, která dotčeným osobám zabrání ve vstupu na území v průběhu prověřování. </w:t>
            </w:r>
            <w:r>
              <w:rPr>
                <w:b/>
                <w:i/>
                <w:strike w:val="0"/>
                <w:color w:val="auto"/>
                <w:highlight w:val="none"/>
                <w:u w:val="none" w:color="auto"/>
                <w:vertAlign w:val="baseline"/>
              </w:rPr>
              <w:t>Pokud to bude zapotřebí, mohou v individuálních případech zahrnovat zajištění podle vnitrostátních právních předpisů</w:t>
            </w:r>
            <w:r>
              <w:t>, které tuto záležitost upravují.</w:t>
            </w:r>
          </w:p>
        </w:tc>
        <w:tc>
          <w:tcPr>
            <w:tcW w:w="4876" w:type="dxa"/>
            <w:vAlign w:val="top"/>
          </w:tcPr>
          <w:p>
            <w:pPr>
              <w:pStyle w:val="Normal6a"/>
            </w:pPr>
            <w:r>
              <w:t>(12)</w:t>
            </w:r>
            <w:r>
              <w:tab/>
            </w:r>
            <w:r>
              <w:t xml:space="preserve">Prověřování by mělo být prováděno na vnější hranici nebo v její blízkosti před tím, než je dotčeným osobám povoleno vstoupit na území. Členské státy by měly přijmout opatření v souladu s vnitrostátními právními předpisy, která dotčeným osobám zabrání ve vstupu na území v průběhu prověřování. </w:t>
            </w:r>
            <w:r>
              <w:rPr>
                <w:b/>
                <w:i/>
                <w:strike w:val="0"/>
                <w:color w:val="auto"/>
                <w:highlight w:val="none"/>
                <w:u w:val="none" w:color="auto"/>
                <w:vertAlign w:val="baseline"/>
              </w:rPr>
              <w:t>Tato opatření zahrnují zajištění v souladu s vnitrostátními právními předpisy</w:t>
            </w:r>
            <w:r>
              <w:t>, které tuto záležitost upravují.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Prověřování by mělo být prováděno na vnější hranici nebo v její blízkosti před tím, než je dotčeným osobám povoleno vstoupit na území. Členské státy by měly přijmout opatření v souladu s vnitrostátními právními předpisy, která dotčeným osobám zabrání ve vstupu na území v průběhu prověřování. Pokud to bude zapotřebí, mohou </w:t>
            </w:r>
            <w:r>
              <w:rPr>
                <w:b/>
                <w:i/>
                <w:strike w:val="0"/>
                <w:color w:val="auto"/>
                <w:highlight w:val="none"/>
                <w:u w:val="none" w:color="auto"/>
                <w:vertAlign w:val="baseline"/>
              </w:rPr>
              <w:t>v individuálních případech</w:t>
            </w:r>
            <w:r>
              <w:t xml:space="preserve"> zahrnovat zajištění podle vnitrostátních právních předpisů, které tuto záležitost upravují.</w:t>
            </w:r>
          </w:p>
        </w:tc>
        <w:tc>
          <w:tcPr>
            <w:tcW w:w="4876" w:type="dxa"/>
            <w:vAlign w:val="top"/>
          </w:tcPr>
          <w:p>
            <w:pPr>
              <w:pStyle w:val="Normal6a"/>
            </w:pPr>
            <w:r>
              <w:t>(12)</w:t>
            </w:r>
            <w:r>
              <w:tab/>
            </w:r>
            <w:r>
              <w:t xml:space="preserve">Prověřování by mělo být </w:t>
            </w:r>
            <w:r>
              <w:rPr>
                <w:b/>
                <w:i/>
                <w:strike w:val="0"/>
                <w:color w:val="auto"/>
                <w:highlight w:val="none"/>
                <w:u w:val="none" w:color="auto"/>
                <w:vertAlign w:val="baseline"/>
              </w:rPr>
              <w:t>vždy</w:t>
            </w:r>
            <w:r>
              <w:t xml:space="preserve"> prováděno na vnější hranici nebo v její blízkosti před tím, než je dotčeným osobám povoleno vstoupit na území. Členské státy by měly přijmout opatření v souladu s vnitrostátními právními předpisy, která dotčeným osobám zabrání ve vstupu na území v průběhu prověřování. Pokud to bude zapotřebí, mohou zahrnovat zajištění podle vnitrostátních právních předpisů, které tuto záležitost upravují.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Prověřování by mělo být prováděno na vnější hranici nebo v její blízkosti před tím, než je dotčeným osobám povoleno vstoupit na území. Členské státy by měly přijmout opatření v souladu s vnitrostátními právními předpisy, která dotčeným osobám zabrání ve vstupu na území v průběhu prověřování. Pokud to bude zapotřebí, mohou v individuálních případech zahrnovat zajištění podle vnitrostátních právních předpisů, které tuto záležitost upravují.</w:t>
            </w:r>
          </w:p>
        </w:tc>
        <w:tc>
          <w:tcPr>
            <w:tcW w:w="4876" w:type="dxa"/>
            <w:vAlign w:val="top"/>
          </w:tcPr>
          <w:p>
            <w:pPr>
              <w:pStyle w:val="Normal6a"/>
            </w:pPr>
            <w:r>
              <w:t>(12)</w:t>
            </w:r>
            <w:r>
              <w:tab/>
            </w:r>
            <w:r>
              <w:t xml:space="preserve">Prověřování by mělo být prováděno na vnější hranici nebo v její blízkosti před tím, než je dotčeným osobám povoleno vstoupit na území. Členské státy by měly přijmout opatření v souladu s vnitrostátními právními předpisy, která dotčeným osobám zabrání ve vstupu na území v průběhu prověřování </w:t>
            </w:r>
            <w:r>
              <w:rPr>
                <w:b/>
                <w:i/>
                <w:strike w:val="0"/>
                <w:color w:val="auto"/>
                <w:highlight w:val="none"/>
                <w:u w:val="none" w:color="auto"/>
                <w:vertAlign w:val="baseline"/>
              </w:rPr>
              <w:t>a zabrání druhotnému pohybu</w:t>
            </w:r>
            <w:r>
              <w:t>. Pokud to bude zapotřebí, mohou v individuálních případech zahrnovat zajištění</w:t>
            </w:r>
            <w:r>
              <w:rPr>
                <w:b/>
                <w:i/>
                <w:strike w:val="0"/>
                <w:color w:val="auto"/>
                <w:highlight w:val="none"/>
                <w:u w:val="none" w:color="auto"/>
                <w:vertAlign w:val="baseline"/>
              </w:rPr>
              <w:t>, případně alternativy k zajištění,</w:t>
            </w:r>
            <w:r>
              <w:t xml:space="preserve"> podle vnitrostátních právních předpisů, které tuto záležitost upravují.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Členské státy by měly všem osobám, na něž se vztahuje prověřování, zaručit přístup k právnímu poradenství, včetně bezplatné právní pomoci, jakož i k jazykovým službám a asistenci.</w:t>
            </w:r>
            <w:r>
              <w:t xml:space="preserve"> </w:t>
            </w:r>
            <w:r>
              <w:rPr>
                <w:b/>
                <w:i/>
                <w:strike w:val="0"/>
                <w:color w:val="auto"/>
                <w:highlight w:val="none"/>
                <w:u w:val="none" w:color="auto"/>
                <w:vertAlign w:val="baseline"/>
              </w:rPr>
              <w:t>Organizace a osoby poskytující právní poradenství by měly mít účinný a neomezený přístup k zařízením a místům, kde se prověřování provádí.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Členské státy by měly všem osobám, na něž se vztahuje prověřování, zaručit přístup k právnímu poradenství, včetně bezplatné právní pomoci, jakož i k jazykovým službám a asistenci.</w:t>
            </w:r>
            <w:r>
              <w:t xml:space="preserve"> </w:t>
            </w:r>
            <w:r>
              <w:rPr>
                <w:b/>
                <w:i/>
                <w:strike w:val="0"/>
                <w:color w:val="auto"/>
                <w:highlight w:val="none"/>
                <w:u w:val="none" w:color="auto"/>
                <w:vertAlign w:val="baseline"/>
              </w:rPr>
              <w:t>Organizace a osoby poskytující právní poradenství by měly mít účinný a neomezený přístup k zařízením a místům, kde se prověřování provádí.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Prověřování státních příslušníků třetích zemí, kteří mají v úmyslu přicestovat do Evropské unie, by mohlo být rovněž prováděno na zastoupeních členských států v zahraničí.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(12b)</w:t>
            </w:r>
            <w:r>
              <w:tab/>
            </w:r>
            <w:r>
              <w:rPr>
                <w:b/>
                <w:i/>
                <w:strike w:val="0"/>
                <w:color w:val="auto"/>
                <w:highlight w:val="none"/>
                <w:u w:val="none" w:color="auto"/>
                <w:vertAlign w:val="baseline"/>
              </w:rPr>
              <w:t>Společné stanovisko EDPB a EIOÚ č. 5/2021 uvádí určité technologie, které představují vysoké riziko porušování základních práv, jako je rozpoznávání obličeje ve veřejném prostoru, jakož i další software pro biometrické sledování, software pro emoční rozpoznávání a software pro rozpoznávání chování.</w:t>
            </w:r>
            <w:r>
              <w:t xml:space="preserve"> </w:t>
            </w:r>
            <w:r>
              <w:rPr>
                <w:b/>
                <w:i/>
                <w:strike w:val="0"/>
                <w:color w:val="auto"/>
                <w:highlight w:val="none"/>
                <w:u w:val="none" w:color="auto"/>
                <w:vertAlign w:val="baseline"/>
              </w:rPr>
              <w:t>Tyto technologie jsou často testovány nebo zaváděny na hranicích nebo v jejich okolí v souvislosti s činnostmi v oblasti správy hranic, v přijímacích a v prověřovacích zařízeních a v jejich okolí.</w:t>
            </w:r>
            <w:r>
              <w:t xml:space="preserve"> </w:t>
            </w:r>
            <w:r>
              <w:rPr>
                <w:b/>
                <w:i/>
                <w:strike w:val="0"/>
                <w:color w:val="auto"/>
                <w:highlight w:val="none"/>
                <w:u w:val="none" w:color="auto"/>
                <w:vertAlign w:val="baseline"/>
              </w:rPr>
              <w:t>Státní příslušníci třetích zemí by měli být chráněni před těmito obtěžujícími formami sledování a porušování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(12b)</w:t>
            </w:r>
            <w:r>
              <w:tab/>
            </w:r>
            <w:r>
              <w:rPr>
                <w:b/>
                <w:i/>
                <w:strike w:val="0"/>
                <w:color w:val="auto"/>
                <w:highlight w:val="none"/>
                <w:u w:val="none" w:color="auto"/>
                <w:vertAlign w:val="baseline"/>
              </w:rPr>
              <w:t>Společné stanovisko EDPB a EIOÚ č. 5/2021 uvádí určité technologie, které představují vysoké riziko porušování základních práv, jako je rozpoznávání obličeje ve veřejném prostoru, jakož i další software pro biometrické sledování, software pro emoční rozpoznávání a software pro rozpoznávání chování.</w:t>
            </w:r>
            <w:r>
              <w:t xml:space="preserve"> </w:t>
            </w:r>
            <w:r>
              <w:rPr>
                <w:b/>
                <w:i/>
                <w:strike w:val="0"/>
                <w:color w:val="auto"/>
                <w:highlight w:val="none"/>
                <w:u w:val="none" w:color="auto"/>
                <w:vertAlign w:val="baseline"/>
              </w:rPr>
              <w:t>Tyto technologie jsou často testovány nebo zaváděny na hranicích nebo v jejich okolí v souvislosti s činnostmi v oblasti správy hranic, v přijímacích a v prověřovacích zařízeních a v jejich okolí.</w:t>
            </w:r>
            <w:r>
              <w:t xml:space="preserve"> </w:t>
            </w:r>
            <w:r>
              <w:rPr>
                <w:b/>
                <w:i/>
                <w:strike w:val="0"/>
                <w:color w:val="auto"/>
                <w:highlight w:val="none"/>
                <w:u w:val="none" w:color="auto"/>
                <w:vertAlign w:val="baseline"/>
              </w:rPr>
              <w:t>Státní příslušníci třetích zemí by měli být chráněni před těmito obtěžujícími formami sledování a porušování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(13)</w:t>
            </w:r>
            <w:r>
              <w:tab/>
            </w:r>
            <w:r>
              <w:rPr>
                <w:b/>
                <w:i/>
                <w:strike w:val="0"/>
                <w:color w:val="auto"/>
                <w:highlight w:val="none"/>
                <w:u w:val="none" w:color="auto"/>
                <w:vertAlign w:val="baseline"/>
              </w:rPr>
              <w:t>Kdykoli během prověřování vyjde najevo, že státní příslušník třetí země, který je mu podroben, splňuje podmínky článku 6 nařízení (EU) 2016/399, mělo by být prověřování ukončeno a dotčenému státnímu příslušníkovi třetí země by mělo být povoleno vstoupit na území, aniž je dotčeno uplatnění sankcí podle čl. 5 odst. 3 uvedeného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(13)</w:t>
            </w:r>
            <w:r>
              <w:tab/>
            </w:r>
            <w:r>
              <w:rPr>
                <w:b/>
                <w:i/>
                <w:strike w:val="0"/>
                <w:color w:val="auto"/>
                <w:highlight w:val="none"/>
                <w:u w:val="none" w:color="auto"/>
                <w:vertAlign w:val="baseline"/>
              </w:rPr>
              <w:t>Kdykoli během prověřování vyjde najevo, že státní příslušník třetí země, který je mu podroben, splňuje podmínky článku 6 nařízení (EU) 2016/399, mělo by být prověřování ukončeno a dotčenému státnímu příslušníkovi třetí země by mělo být povoleno vstoupit na území, aniž je dotčeno uplatnění sankcí podle čl. 5 odst. 3 uvedeného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 xml:space="preserve">Kdykoli během prověřování vyjde najevo, že státní příslušník třetí země, který je mu podroben, splňuje podmínky článku 6 nařízení (EU) 2016/399, mělo by být prověřování ukončeno a </w:t>
            </w:r>
            <w:r>
              <w:rPr>
                <w:b/>
                <w:i/>
                <w:strike w:val="0"/>
                <w:color w:val="auto"/>
                <w:highlight w:val="none"/>
                <w:u w:val="none" w:color="auto"/>
                <w:vertAlign w:val="baseline"/>
              </w:rPr>
              <w:t>dotčenému státnímu příslušníkovi třetí země by mělo být povoleno vstoupit</w:t>
            </w:r>
            <w:r>
              <w:t xml:space="preserve"> na území</w:t>
            </w:r>
            <w:r>
              <w:rPr>
                <w:b/>
                <w:i/>
                <w:strike w:val="0"/>
                <w:color w:val="auto"/>
                <w:highlight w:val="none"/>
                <w:u w:val="none" w:color="auto"/>
                <w:vertAlign w:val="baseline"/>
              </w:rPr>
              <w:t>, aniž je dotčeno uplatnění sankcí podle čl. 5 odst. 3 uvedeného nařízení</w:t>
            </w:r>
            <w:r>
              <w:t>.</w:t>
            </w:r>
          </w:p>
        </w:tc>
        <w:tc>
          <w:tcPr>
            <w:tcW w:w="4876" w:type="dxa"/>
            <w:vAlign w:val="top"/>
          </w:tcPr>
          <w:p>
            <w:pPr>
              <w:pStyle w:val="Normal6a"/>
            </w:pPr>
            <w:r>
              <w:t>(13)</w:t>
            </w:r>
            <w:r>
              <w:tab/>
            </w:r>
            <w:r>
              <w:t xml:space="preserve">Kdykoli během prověřování vyjde najevo, že státní příslušník třetí země, který je mu podroben, splňuje podmínky článku 6 nařízení (EU) 2016/399, mělo by být prověřování ukončeno a </w:t>
            </w:r>
            <w:r>
              <w:rPr>
                <w:b/>
                <w:i/>
                <w:strike w:val="0"/>
                <w:color w:val="auto"/>
                <w:highlight w:val="none"/>
                <w:u w:val="none" w:color="auto"/>
                <w:vertAlign w:val="baseline"/>
              </w:rPr>
              <w:t>v případě, že státní příslušník třetí země ještě nevstoupil</w:t>
            </w:r>
            <w:r>
              <w:t xml:space="preserve"> na území </w:t>
            </w:r>
            <w:r>
              <w:rPr>
                <w:b/>
                <w:i/>
                <w:strike w:val="0"/>
                <w:color w:val="auto"/>
                <w:highlight w:val="none"/>
                <w:u w:val="none" w:color="auto"/>
                <w:vertAlign w:val="baseline"/>
              </w:rPr>
              <w:t>členského státu, dotčenému státnímu příslušníkovi třetí země by mělo být povoleno vstoupit na území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Kdykoli během prověřování vyjde najevo, že státní příslušník třetí země, který je mu podroben, splňuje podmínky článku 6 nařízení (EU) 2016/399, mělo by být prověřování ukončeno a dotčenému státnímu příslušníkovi třetí země by mělo být povoleno vstoupit na území, aniž je dotčeno uplatnění sankcí podle čl. 5 odst. 3 uvedeného nařízení.</w:t>
            </w:r>
          </w:p>
        </w:tc>
        <w:tc>
          <w:tcPr>
            <w:tcW w:w="4876" w:type="dxa"/>
            <w:vAlign w:val="top"/>
          </w:tcPr>
          <w:p>
            <w:pPr>
              <w:pStyle w:val="Normal6a"/>
            </w:pPr>
            <w:r>
              <w:t>(13)</w:t>
            </w:r>
            <w:r>
              <w:tab/>
            </w:r>
            <w:r>
              <w:t xml:space="preserve">Kdykoli během prověřování vyjde </w:t>
            </w:r>
            <w:r>
              <w:rPr>
                <w:b/>
                <w:i/>
                <w:strike w:val="0"/>
                <w:color w:val="auto"/>
                <w:highlight w:val="none"/>
                <w:u w:val="none" w:color="auto"/>
                <w:vertAlign w:val="baseline"/>
              </w:rPr>
              <w:t>bez jakýchkoli pochybností</w:t>
            </w:r>
            <w:r>
              <w:t xml:space="preserve"> najevo, že státní příslušník třetí země, který je mu podroben, splňuje podmínky článku 6 nařízení (EU) 2016/399, mělo by být prověřování ukončeno a dotčenému státnímu příslušníkovi třetí země by mělo být povoleno vstoupit na území, aniž je dotčeno uplatnění sankcí podle čl. 5 odst. 3 uvedeného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S ohledem na účel výjimky uvedené v čl. 6 odst. 5 nařízení (EU) 2016/399 by</w:t>
            </w:r>
            <w:r>
              <w:t xml:space="preserve"> osoby, jejichž vstup </w:t>
            </w:r>
            <w:r>
              <w:rPr>
                <w:b/>
                <w:i/>
                <w:strike w:val="0"/>
                <w:color w:val="auto"/>
                <w:highlight w:val="none"/>
                <w:u w:val="none" w:color="auto"/>
                <w:vertAlign w:val="baseline"/>
              </w:rPr>
              <w:t>byl členským státem povolen podle uvedeného ustanovení v individuálním rozhodnutí, neměly být prověřovány, a to navzdory skutečnosti, že</w:t>
            </w:r>
            <w:r>
              <w:t xml:space="preserve"> nesplňují všechny podmínky vstupu na území.</w:t>
            </w:r>
          </w:p>
        </w:tc>
        <w:tc>
          <w:tcPr>
            <w:tcW w:w="4876" w:type="dxa"/>
            <w:vAlign w:val="top"/>
          </w:tcPr>
          <w:p>
            <w:pPr>
              <w:pStyle w:val="Normal6a"/>
            </w:pPr>
            <w:r>
              <w:t>(14)</w:t>
            </w:r>
            <w:r>
              <w:tab/>
            </w:r>
            <w:r>
              <w:rPr>
                <w:b/>
                <w:i/>
                <w:strike w:val="0"/>
                <w:color w:val="auto"/>
                <w:highlight w:val="none"/>
                <w:u w:val="none" w:color="auto"/>
                <w:vertAlign w:val="baseline"/>
              </w:rPr>
              <w:t>Vzhledem k tomu, že účelem prověřování je posílit bezpečnost vnějších hranic a prostoru volného pohybu, vztahuje se v plném rozsahu na</w:t>
            </w:r>
            <w:r>
              <w:t xml:space="preserve"> osoby, jejichž vstup </w:t>
            </w:r>
            <w:r>
              <w:rPr>
                <w:b/>
                <w:i/>
                <w:strike w:val="0"/>
                <w:color w:val="auto"/>
                <w:highlight w:val="none"/>
                <w:u w:val="none" w:color="auto"/>
                <w:vertAlign w:val="baseline"/>
              </w:rPr>
              <w:t>členský stát povolil na základě výjimky uvedené v čl. 6 odst. 5 nařízení (EU) 2016/399, neboť osoby, na něž se tato výjimka vztahuje,</w:t>
            </w:r>
            <w:r>
              <w:t xml:space="preserve"> nesplňují všechny podmínky vstupu na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S ohledem na účel výjimky uvedené v čl. 6 odst. 5 nařízení (EU) 2016/399 by osoby, jejichž vstup byl členským státem povolen podle uvedeného ustanovení v individuálním rozhodnutí, neměly být prověřovány</w:t>
            </w:r>
            <w:r>
              <w:rPr>
                <w:b/>
                <w:i/>
                <w:strike w:val="0"/>
                <w:color w:val="auto"/>
                <w:highlight w:val="none"/>
                <w:u w:val="none" w:color="auto"/>
                <w:vertAlign w:val="baseline"/>
              </w:rPr>
              <w:t>, a to navzdory skutečnosti, že nesplňují všechny podmínky vstupu na území</w:t>
            </w:r>
            <w:r>
              <w:t>.</w:t>
            </w:r>
          </w:p>
        </w:tc>
        <w:tc>
          <w:tcPr>
            <w:tcW w:w="4876" w:type="dxa"/>
            <w:vAlign w:val="top"/>
          </w:tcPr>
          <w:p>
            <w:pPr>
              <w:pStyle w:val="Normal6a"/>
            </w:pPr>
            <w:r>
              <w:t>(14)</w:t>
            </w:r>
            <w:r>
              <w:tab/>
            </w:r>
            <w:r>
              <w:t>S ohledem na účel výjimky uvedené v čl. 6 odst. 5 nařízení (EU) 2016/399 by osoby, jejichž vstup byl členským státem povolen podle uvedeného ustanovení v individuálním rozhodnutí, neměly být prověřovány.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 xml:space="preserve">Všechny osoby podrobené prověřování by měly projít kontrolami s cílem </w:t>
            </w:r>
            <w:r>
              <w:rPr>
                <w:b/>
                <w:i/>
                <w:strike w:val="0"/>
                <w:color w:val="auto"/>
                <w:highlight w:val="none"/>
                <w:u w:val="none" w:color="auto"/>
                <w:vertAlign w:val="baseline"/>
              </w:rPr>
              <w:t>zjistit</w:t>
            </w:r>
            <w:r>
              <w:t xml:space="preserve"> jejich totožnost a určit, zda nepředstavují hrozbu pro vnitřní bezpečnost nebo veřejné zdraví. V případě osob žádajících o mezinárodní ochranu na hraničních přechodech by </w:t>
            </w:r>
            <w:r>
              <w:rPr>
                <w:b/>
                <w:i/>
                <w:strike w:val="0"/>
                <w:color w:val="auto"/>
                <w:highlight w:val="none"/>
                <w:u w:val="none" w:color="auto"/>
                <w:vertAlign w:val="baseline"/>
              </w:rPr>
              <w:t>mělo být zohledněno</w:t>
            </w:r>
            <w:r>
              <w:t xml:space="preserve"> zjišťování totožnosti a bezpečnostní kontroly prováděné v souvislosti s hraničními kontrolami</w:t>
            </w:r>
            <w:r>
              <w:rPr>
                <w:b/>
                <w:i/>
                <w:strike w:val="0"/>
                <w:color w:val="auto"/>
                <w:highlight w:val="none"/>
                <w:u w:val="none" w:color="auto"/>
                <w:vertAlign w:val="baseline"/>
              </w:rPr>
              <w:t>, aby se zabránilo duplicitě</w:t>
            </w:r>
            <w:r>
              <w:t>.</w:t>
            </w:r>
          </w:p>
        </w:tc>
        <w:tc>
          <w:tcPr>
            <w:tcW w:w="4876" w:type="dxa"/>
            <w:vAlign w:val="top"/>
          </w:tcPr>
          <w:p>
            <w:pPr>
              <w:pStyle w:val="Normal6a"/>
            </w:pPr>
            <w:r>
              <w:t>(15)</w:t>
            </w:r>
            <w:r>
              <w:tab/>
            </w:r>
            <w:r>
              <w:t xml:space="preserve">Všechny osoby podrobené prověřování by měly projít kontrolami s cílem </w:t>
            </w:r>
            <w:r>
              <w:rPr>
                <w:b/>
                <w:i/>
                <w:strike w:val="0"/>
                <w:color w:val="auto"/>
                <w:highlight w:val="none"/>
                <w:u w:val="none" w:color="auto"/>
                <w:vertAlign w:val="baseline"/>
              </w:rPr>
              <w:t>ověřit</w:t>
            </w:r>
            <w:r>
              <w:t xml:space="preserve"> jejich totožnost</w:t>
            </w:r>
            <w:r>
              <w:rPr>
                <w:b/>
                <w:i/>
                <w:strike w:val="0"/>
                <w:color w:val="auto"/>
                <w:highlight w:val="none"/>
                <w:u w:val="none" w:color="auto"/>
                <w:vertAlign w:val="baseline"/>
              </w:rPr>
              <w:t>, určit veškeré osoby ve zranitelné situaci nebo osoby se zvláštními potřebami</w:t>
            </w:r>
            <w:r>
              <w:t xml:space="preserve"> a určit, zda nepředstavují hrozbu pro vnitřní bezpečnost nebo veřejné zdraví. V případě osob žádajících o mezinárodní ochranu na hraničních přechodech by zjišťování totožnosti a bezpečnostní kontroly prováděné v souvislosti s hraničními kontrolami </w:t>
            </w:r>
            <w:r>
              <w:rPr>
                <w:b/>
                <w:i/>
                <w:strike w:val="0"/>
                <w:color w:val="auto"/>
                <w:highlight w:val="none"/>
                <w:u w:val="none" w:color="auto"/>
                <w:vertAlign w:val="baseline"/>
              </w:rPr>
              <w:t>neměly být v souladu s ustanoveními nařízení (EU) 2016/399 zdvojovány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 xml:space="preserve">Všechny osoby podrobené prověřování by měly projít kontrolami s cílem zjistit jejich totožnost a určit, zda nepředstavují hrozbu pro </w:t>
            </w:r>
            <w:r>
              <w:rPr>
                <w:b/>
                <w:i/>
                <w:strike w:val="0"/>
                <w:color w:val="auto"/>
                <w:highlight w:val="none"/>
                <w:u w:val="none" w:color="auto"/>
                <w:vertAlign w:val="baseline"/>
              </w:rPr>
              <w:t>vnitřní bezpečnost nebo</w:t>
            </w:r>
            <w:r>
              <w:t xml:space="preserve"> veřejné zdraví. V případě osob žádajících o mezinárodní ochranu na hraničních přechodech by </w:t>
            </w:r>
            <w:r>
              <w:rPr>
                <w:b/>
                <w:i/>
                <w:strike w:val="0"/>
                <w:color w:val="auto"/>
                <w:highlight w:val="none"/>
                <w:u w:val="none" w:color="auto"/>
                <w:vertAlign w:val="baseline"/>
              </w:rPr>
              <w:t>mělo být zohledněno</w:t>
            </w:r>
            <w:r>
              <w:t xml:space="preserve"> zjišťování totožnosti </w:t>
            </w:r>
            <w:r>
              <w:rPr>
                <w:b/>
                <w:i/>
                <w:strike w:val="0"/>
                <w:color w:val="auto"/>
                <w:highlight w:val="none"/>
                <w:u w:val="none" w:color="auto"/>
                <w:vertAlign w:val="baseline"/>
              </w:rPr>
              <w:t>a bezpečnostní kontroly</w:t>
            </w:r>
            <w:r>
              <w:t xml:space="preserve"> prováděné v souvislosti s hraničními kontrolami</w:t>
            </w:r>
            <w:r>
              <w:rPr>
                <w:b/>
                <w:i/>
                <w:strike w:val="0"/>
                <w:color w:val="auto"/>
                <w:highlight w:val="none"/>
                <w:u w:val="none" w:color="auto"/>
                <w:vertAlign w:val="baseline"/>
              </w:rPr>
              <w:t>, aby se zabránilo duplicitě</w:t>
            </w:r>
            <w:r>
              <w:t>.</w:t>
            </w:r>
          </w:p>
        </w:tc>
        <w:tc>
          <w:tcPr>
            <w:tcW w:w="4876" w:type="dxa"/>
            <w:vAlign w:val="top"/>
          </w:tcPr>
          <w:p>
            <w:pPr>
              <w:pStyle w:val="Normal6a"/>
            </w:pPr>
            <w:r>
              <w:t>(15)</w:t>
            </w:r>
            <w:r>
              <w:tab/>
            </w:r>
            <w:r>
              <w:t xml:space="preserve">Všechny osoby podrobené prověřování by měly projít kontrolami s cílem zjistit jejich totožnost a určit, zda nepředstavují hrozbu pro veřejné zdraví. V případě osob žádajících o mezinárodní ochranu na hraničních přechodech by zjišťování totožnosti prováděné v souvislosti s hraničními kontrolami </w:t>
            </w:r>
            <w:r>
              <w:rPr>
                <w:b/>
                <w:i/>
                <w:strike w:val="0"/>
                <w:color w:val="auto"/>
                <w:highlight w:val="none"/>
                <w:u w:val="none" w:color="auto"/>
                <w:vertAlign w:val="baseline"/>
              </w:rPr>
              <w:t>nemělo být v souladu s nařízením (EU) 2016/399 zdvojováno</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Všechny osoby podrobené prověřování by měly projít kontrolami s cílem zjistit jejich totožnost a určit, zda nepředstavují hrozbu pro vnitřní bezpečnost nebo veřejné zdraví. V případě osob žádajících o mezinárodní ochranu na hraničních přechodech by mělo být zohledněno zjišťování totožnosti a bezpečnostní kontroly prováděné v souvislosti s hraničními kontrolami, aby se zabránilo duplicitě.</w:t>
            </w:r>
          </w:p>
        </w:tc>
        <w:tc>
          <w:tcPr>
            <w:tcW w:w="4876" w:type="dxa"/>
            <w:vAlign w:val="top"/>
          </w:tcPr>
          <w:p>
            <w:pPr>
              <w:pStyle w:val="Normal6a"/>
            </w:pPr>
            <w:r>
              <w:t>(15)</w:t>
            </w:r>
            <w:r>
              <w:tab/>
            </w:r>
            <w:r>
              <w:t xml:space="preserve">Všechny osoby podrobené prověřování by měly projít kontrolami s cílem zjistit jejich totožnost a určit, zda nepředstavují hrozbu pro vnitřní </w:t>
            </w:r>
            <w:r>
              <w:rPr>
                <w:b/>
                <w:i/>
                <w:strike w:val="0"/>
                <w:color w:val="auto"/>
                <w:highlight w:val="none"/>
                <w:u w:val="none" w:color="auto"/>
                <w:vertAlign w:val="baseline"/>
              </w:rPr>
              <w:t>nebo vnitrostátní</w:t>
            </w:r>
            <w:r>
              <w:t xml:space="preserve"> bezpečnost</w:t>
            </w:r>
            <w:r>
              <w:rPr>
                <w:b/>
                <w:i/>
                <w:strike w:val="0"/>
                <w:color w:val="auto"/>
                <w:highlight w:val="none"/>
                <w:u w:val="none" w:color="auto"/>
                <w:vertAlign w:val="baseline"/>
              </w:rPr>
              <w:t>, veřejný pořádek</w:t>
            </w:r>
            <w:r>
              <w:t xml:space="preserve"> nebo veřejné zdraví. V případě osob žádajících o mezinárodní ochranu na hraničních přechodech by mělo být zohledněno zjišťování totožnosti a bezpečnostní kontroly prováděné v souvislosti s hraničními kontrolami, aby se zabránilo duplicitě.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(15a)</w:t>
            </w:r>
            <w:r>
              <w:tab/>
            </w:r>
            <w:r>
              <w:rPr>
                <w:b/>
                <w:i/>
                <w:strike w:val="0"/>
                <w:color w:val="auto"/>
                <w:highlight w:val="none"/>
                <w:u w:val="none" w:color="auto"/>
                <w:vertAlign w:val="baseline"/>
              </w:rPr>
              <w:t>Jsou-li známky toho, že by státní příslušníci třetích zemí nebo osoby bez státní příslušnosti nacházející se v zajišťovacích zařízeních nebo na hraničních přechodech, včetně tranzitního prostoru, na vnějších hranicích měli zájem o podání žádosti o mezinárodní ochranu, členské státy by jim měly poskytnou informace k tomu nezbytné. V těchto detenčních zařízeních a na hraničních přechodech zajistí členské státy tlumočení nezbytné pro usnadnění přístupu k azylovému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Po dokončení prověřování by dotčení státní příslušníci třetích zemí měli být nasměrováni k příslušnému řízení za účelem určení příslušnosti k posouzení žádosti o mezinárodní ochranu a posouzení potřeby mezinárodní ochrany, nebo by s nimi mělo být zahájeno řízení v souladu se směrnicí 2008/115 (směrnice o navracení). </w:t>
            </w:r>
            <w:r>
              <w:rPr>
                <w:b/>
                <w:i/>
                <w:strike w:val="0"/>
                <w:color w:val="auto"/>
                <w:highlight w:val="none"/>
                <w:u w:val="none" w:color="auto"/>
                <w:vertAlign w:val="baseline"/>
              </w:rPr>
              <w:t>Relevantní informace získané během prověřování by měly být poskytnuty příslušným orgánům na podporu dalšího posouzení každého jednotlivého případu při plném dodržování základních práv. Postupy stanovené směrnicí 2008/115 by se měly začít uplatňovat až po ukončení prověřování. Články 26 a 27</w:t>
            </w:r>
            <w:r>
              <w:t xml:space="preserve"> nařízení o azylovém řízení </w:t>
            </w:r>
            <w:r>
              <w:rPr>
                <w:b/>
                <w:i/>
                <w:strike w:val="0"/>
                <w:color w:val="auto"/>
                <w:highlight w:val="none"/>
                <w:u w:val="none" w:color="auto"/>
                <w:vertAlign w:val="baseline"/>
              </w:rPr>
              <w:t>by se měly použít až po ukončení prověřování. Tím by neměla být dotčena skutečnost, že osoby žádající o mezinárodní ochranu v okamžiku zadržení, v průběhu provádění opatření na ochranu hranic na hraničním přechodu nebo během prověřování, by měly být považovány za žadatele</w:t>
            </w:r>
            <w:r>
              <w:t>.</w:t>
            </w:r>
          </w:p>
        </w:tc>
        <w:tc>
          <w:tcPr>
            <w:tcW w:w="4876" w:type="dxa"/>
            <w:vAlign w:val="top"/>
          </w:tcPr>
          <w:p>
            <w:pPr>
              <w:pStyle w:val="Normal6a"/>
            </w:pPr>
            <w:r>
              <w:t>(16)</w:t>
            </w:r>
            <w:r>
              <w:tab/>
            </w:r>
            <w:r>
              <w:t xml:space="preserve">Po dokončení prověřování by dotčení státní příslušníci třetích zemí měli být nasměrováni k příslušnému řízení za účelem určení příslušnosti k posouzení žádosti o mezinárodní ochranu a posouzení potřeby mezinárodní ochrany, nebo by s nimi mělo být zahájeno řízení v souladu se směrnicí 2008/115 (směrnice o navracení). </w:t>
            </w:r>
            <w:r>
              <w:rPr>
                <w:b/>
                <w:i/>
                <w:strike w:val="0"/>
                <w:color w:val="auto"/>
                <w:highlight w:val="none"/>
                <w:u w:val="none" w:color="auto"/>
                <w:vertAlign w:val="baseline"/>
              </w:rPr>
              <w:t>Vzhledem k tomu, že toto postoupení je správní povahy a jeho účelem je stanovení příslušného řízení na individuálním základě, je právo na účinný opravný prostředek vyhrazeno pro příslušná řízení v souladu s ustanoveními nařízení (EU) XXX/XXX [</w:t>
            </w:r>
            <w:r>
              <w:t>nařízení o azylovém řízení</w:t>
            </w:r>
            <w:r>
              <w:rPr>
                <w:b/>
                <w:i/>
                <w:strike w:val="0"/>
                <w:color w:val="auto"/>
                <w:highlight w:val="none"/>
                <w:u w:val="none" w:color="auto"/>
                <w:vertAlign w:val="baseline"/>
              </w:rPr>
              <w:t>] nebo směrnice 2008/115</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rPr>
                <w:b/>
                <w:i/>
                <w:strike w:val="0"/>
                <w:color w:val="auto"/>
                <w:highlight w:val="none"/>
                <w:u w:val="none" w:color="auto"/>
                <w:vertAlign w:val="baseline"/>
              </w:rPr>
              <w:t>Po dokončení</w:t>
            </w:r>
            <w:r>
              <w:t xml:space="preserve"> prověřování by </w:t>
            </w:r>
            <w:r>
              <w:rPr>
                <w:b/>
                <w:i/>
                <w:strike w:val="0"/>
                <w:color w:val="auto"/>
                <w:highlight w:val="none"/>
                <w:u w:val="none" w:color="auto"/>
                <w:vertAlign w:val="baseline"/>
              </w:rPr>
              <w:t>dotčení státní příslušníci třetích zemí měli být nasměrováni k příslušnému řízení za účelem určení příslušnosti k posouzení žádosti o mezinárodní ochranu a posouzení potřeby mezinárodní ochrany, nebo by s nimi mělo být zahájeno řízení</w:t>
            </w:r>
            <w:r>
              <w:t xml:space="preserve"> v souladu se </w:t>
            </w:r>
            <w:r>
              <w:rPr>
                <w:b/>
                <w:i/>
                <w:strike w:val="0"/>
                <w:color w:val="auto"/>
                <w:highlight w:val="none"/>
                <w:u w:val="none" w:color="auto"/>
                <w:vertAlign w:val="baseline"/>
              </w:rPr>
              <w:t>směrnicí 2008/115 (směrnice o navracení). Relevantní informace získané během prověřování by měly být poskytnuty příslušným orgánům na podporu dalšího posouzení každého jednotlivého případu při plném dodržování základních práv. Postupy stanovené směrnicí 2008/115 by se měly začít uplatňovat až po ukončení prověřování. Články 26 a 27</w:t>
            </w:r>
            <w:r>
              <w:t xml:space="preserve"> nařízení o azylovém řízení </w:t>
            </w:r>
            <w:r>
              <w:rPr>
                <w:b/>
                <w:i/>
                <w:strike w:val="0"/>
                <w:color w:val="auto"/>
                <w:highlight w:val="none"/>
                <w:u w:val="none" w:color="auto"/>
                <w:vertAlign w:val="baseline"/>
              </w:rPr>
              <w:t>by se měly použít až po ukončení prověřování. Tím by neměla být dotčena skutečnost, že osoby žádající o mezinárodní ochranu v okamžiku zadržení, v průběhu provádění opatření na ochranu hranic na hraničním přechodu nebo během prověřování, by měly být považovány za žadatele</w:t>
            </w:r>
            <w:r>
              <w:t>.</w:t>
            </w:r>
          </w:p>
        </w:tc>
        <w:tc>
          <w:tcPr>
            <w:tcW w:w="4876" w:type="dxa"/>
            <w:vAlign w:val="top"/>
          </w:tcPr>
          <w:p>
            <w:pPr>
              <w:pStyle w:val="Normal6a"/>
            </w:pPr>
            <w:r>
              <w:t>(16)</w:t>
            </w:r>
            <w:r>
              <w:tab/>
            </w:r>
            <w:r>
              <w:rPr>
                <w:b/>
                <w:i/>
                <w:strike w:val="0"/>
                <w:color w:val="auto"/>
                <w:highlight w:val="none"/>
                <w:u w:val="none" w:color="auto"/>
                <w:vertAlign w:val="baseline"/>
              </w:rPr>
              <w:t>Informace získané během</w:t>
            </w:r>
            <w:r>
              <w:t xml:space="preserve"> prověřování by </w:t>
            </w:r>
            <w:r>
              <w:rPr>
                <w:b/>
                <w:i/>
                <w:strike w:val="0"/>
                <w:color w:val="auto"/>
                <w:highlight w:val="none"/>
                <w:u w:val="none" w:color="auto"/>
                <w:vertAlign w:val="baseline"/>
              </w:rPr>
              <w:t>měly být poskytnuty příslušným orgánům na podporu dalšího posouzení každého jednotlivého případu při plném dodržování základních práv.</w:t>
            </w:r>
            <w:r>
              <w:t xml:space="preserve"> </w:t>
            </w:r>
            <w:r>
              <w:rPr>
                <w:b/>
                <w:i/>
                <w:strike w:val="0"/>
                <w:color w:val="auto"/>
                <w:highlight w:val="none"/>
                <w:u w:val="none" w:color="auto"/>
                <w:vertAlign w:val="baseline"/>
              </w:rPr>
              <w:t>Odepření vstupu, jak je definováno v nařízení (EU) 2016/399, by se mělo vztahovat pouze na osoby, které dosud nevstoupily na území členských států, jako jsou tranzitní prostory, a to pouze v místech oficiálních pozemních a vzdušných hraničních přechodů.</w:t>
            </w:r>
            <w:r>
              <w:t xml:space="preserve"> V souladu se </w:t>
            </w:r>
            <w:r>
              <w:rPr>
                <w:b/>
                <w:i/>
                <w:strike w:val="0"/>
                <w:color w:val="auto"/>
                <w:highlight w:val="none"/>
                <w:u w:val="none" w:color="auto"/>
                <w:vertAlign w:val="baseline"/>
              </w:rPr>
              <w:t>zásadou nenavracení by v případě přání státního příslušníka třetí země podat žádost o mezinárodní ochranu bez ohledu na to, zda k tomu dojde v okamžiku zadržení, během hraničních kontrol na hraničním přechodu nebo na kterékoli části vnějších hranic nebo během prověřování, by tato osoba měla být považována za žadatele a od tohoto okamžiku tedy platí nařízení (EU) xxxx/xxxx [</w:t>
            </w:r>
            <w:r>
              <w:t>nařízení o azylovém řízení</w:t>
            </w:r>
            <w:r>
              <w:rPr>
                <w:b/>
                <w:i/>
                <w:strike w:val="0"/>
                <w:color w:val="auto"/>
                <w:highlight w:val="none"/>
                <w:u w:val="none" w:color="auto"/>
                <w:vertAlign w:val="baseline"/>
              </w:rPr>
              <w:t>] a směrnice 2013/33/EU [směrnice o podmínkách přijímání].</w:t>
            </w:r>
            <w:r>
              <w:t xml:space="preserve"> </w:t>
            </w:r>
            <w:r>
              <w:rPr>
                <w:b/>
                <w:i/>
                <w:strike w:val="0"/>
                <w:color w:val="auto"/>
                <w:highlight w:val="none"/>
                <w:u w:val="none" w:color="auto"/>
                <w:vertAlign w:val="baseline"/>
              </w:rPr>
              <w:t>Osoby identifikované jako osoby bez státní příslušnosti nebo osoby, kterým hrozí, že nebudou mít státní příslušnost, by případně také měly být postoupeny příslušným orgánům, aby určily, zda je daná osoba bez státní příslušnosti, a poskytly odpovídající ochranu v souladu s mezinárodním a vnitrostátním právem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Po dokončení prověřování by dotčení státní příslušníci třetích zemí měli být nasměrováni k příslušnému řízení za účelem určení příslušnosti k posouzení žádosti o mezinárodní ochranu a posouzení potřeby mezinárodní ochrany, </w:t>
            </w:r>
            <w:r>
              <w:rPr>
                <w:b/>
                <w:i/>
                <w:strike w:val="0"/>
                <w:color w:val="auto"/>
                <w:highlight w:val="none"/>
                <w:u w:val="none" w:color="auto"/>
                <w:vertAlign w:val="baseline"/>
              </w:rPr>
              <w:t>nebo by s nimi mělo být zahájeno řízení v souladu se směrnicí</w:t>
            </w:r>
            <w:r>
              <w:t xml:space="preserve"> 2008/115 (směrnice o navracení). Relevantní informace </w:t>
            </w:r>
            <w:r>
              <w:rPr>
                <w:b/>
                <w:i/>
                <w:strike w:val="0"/>
                <w:color w:val="auto"/>
                <w:highlight w:val="none"/>
                <w:u w:val="none" w:color="auto"/>
                <w:vertAlign w:val="baseline"/>
              </w:rPr>
              <w:t>získané</w:t>
            </w:r>
            <w:r>
              <w:t xml:space="preserve"> během prověřování by měly být </w:t>
            </w:r>
            <w:r>
              <w:rPr>
                <w:b/>
                <w:i/>
                <w:strike w:val="0"/>
                <w:color w:val="auto"/>
                <w:highlight w:val="none"/>
                <w:u w:val="none" w:color="auto"/>
                <w:vertAlign w:val="baseline"/>
              </w:rPr>
              <w:t>poskytnuty</w:t>
            </w:r>
            <w:r>
              <w:t xml:space="preserve"> příslušným orgánům na podporu dalšího posouzení každého jednotlivého případu při plném dodržování základních práv. Postupy stanovené směrnicí 2008/115 by se měly začít uplatňovat až po ukončení prověřování. </w:t>
            </w:r>
            <w:r>
              <w:rPr>
                <w:b/>
                <w:i/>
                <w:strike w:val="0"/>
                <w:color w:val="auto"/>
                <w:highlight w:val="none"/>
                <w:u w:val="none" w:color="auto"/>
                <w:vertAlign w:val="baseline"/>
              </w:rPr>
              <w:t>Články 26 a 27 nařízení o azylovém řízení by se měly použít až po ukončení prověřování. Tím by neměla být dotčena skutečnost, že</w:t>
            </w:r>
            <w:r>
              <w:t xml:space="preserve"> osoby žádající o mezinárodní ochranu v okamžiku zadržení, v průběhu provádění opatření na ochranu hranic na hraničním přechodu nebo během prověřování, by měly být považovány za žadatele.</w:t>
            </w:r>
          </w:p>
        </w:tc>
        <w:tc>
          <w:tcPr>
            <w:tcW w:w="4876" w:type="dxa"/>
            <w:vAlign w:val="top"/>
          </w:tcPr>
          <w:p>
            <w:pPr>
              <w:pStyle w:val="Normal6a"/>
            </w:pPr>
            <w:r>
              <w:t>(16)</w:t>
            </w:r>
            <w:r>
              <w:tab/>
            </w:r>
            <w:r>
              <w:t xml:space="preserve">Po dokončení prověřování by dotčení státní příslušníci třetích zemí měli být nasměrováni k příslušnému řízení za účelem určení příslušnosti k posouzení žádosti o mezinárodní ochranu a posouzení potřeby mezinárodní ochrany, </w:t>
            </w:r>
            <w:r>
              <w:rPr>
                <w:b/>
                <w:i/>
                <w:strike w:val="0"/>
                <w:color w:val="auto"/>
                <w:highlight w:val="none"/>
                <w:u w:val="none" w:color="auto"/>
                <w:vertAlign w:val="baseline"/>
              </w:rPr>
              <w:t>aby byly případně uplatněny postupy stanovené ve směrnici</w:t>
            </w:r>
            <w:r>
              <w:t xml:space="preserve"> 2008/115 (směrnice o navracení)</w:t>
            </w:r>
            <w:r>
              <w:rPr>
                <w:b/>
                <w:i/>
                <w:strike w:val="0"/>
                <w:color w:val="auto"/>
                <w:highlight w:val="none"/>
                <w:u w:val="none" w:color="auto"/>
                <w:vertAlign w:val="baseline"/>
              </w:rPr>
              <w:t>, aniž je dotčena možnost, že by členský stát udělil povolení k pobytu nebo jiná povolení zakládající právo pobytu ze solidárních, humanitárních nebo jiných důvodů podle vnitrostátního práva</w:t>
            </w:r>
            <w:r>
              <w:t xml:space="preserve">. Relevantní informace </w:t>
            </w:r>
            <w:r>
              <w:rPr>
                <w:b/>
                <w:i/>
                <w:strike w:val="0"/>
                <w:color w:val="auto"/>
                <w:highlight w:val="none"/>
                <w:u w:val="none" w:color="auto"/>
                <w:vertAlign w:val="baseline"/>
              </w:rPr>
              <w:t>poskytnuté</w:t>
            </w:r>
            <w:r>
              <w:t xml:space="preserve"> během prověřování by měly být </w:t>
            </w:r>
            <w:r>
              <w:rPr>
                <w:b/>
                <w:i/>
                <w:strike w:val="0"/>
                <w:color w:val="auto"/>
                <w:highlight w:val="none"/>
                <w:u w:val="none" w:color="auto"/>
                <w:vertAlign w:val="baseline"/>
              </w:rPr>
              <w:t>předány relevantním</w:t>
            </w:r>
            <w:r>
              <w:t xml:space="preserve"> příslušným orgánům na podporu dalšího posouzení každého jednotlivého případu při plném dodržování základních práv. Postupy stanovené směrnicí 2008/115 by se měly začít uplatňovat až po ukončení prověřování. Osoby žádající o mezinárodní ochranu v okamžiku zadržení, v průběhu provádění opatření na ochranu hranic na hraničním přechodu nebo během prověřování, by měly být </w:t>
            </w:r>
            <w:r>
              <w:rPr>
                <w:b/>
                <w:i/>
                <w:strike w:val="0"/>
                <w:color w:val="auto"/>
                <w:highlight w:val="none"/>
                <w:u w:val="none" w:color="auto"/>
                <w:vertAlign w:val="baseline"/>
              </w:rPr>
              <w:t>od okamžiku podání žádosti</w:t>
            </w:r>
            <w:r>
              <w:t xml:space="preserve"> považovány za žadatele </w:t>
            </w:r>
            <w:r>
              <w:rPr>
                <w:b/>
                <w:i/>
                <w:strike w:val="0"/>
                <w:color w:val="auto"/>
                <w:highlight w:val="none"/>
                <w:u w:val="none" w:color="auto"/>
                <w:vertAlign w:val="baseline"/>
              </w:rPr>
              <w:t>o mezinárodní ochranu, na které se vztahuje nařízení (EU) xxxx/xxxx [nařízení o azylovém řízení] a směrnice (EU) xxxx/xxxx [směrnice o podmínkách přijímání]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Po dokončení prověřování by dotčení státní příslušníci třetích zemí měli být nasměrováni k příslušnému řízení za účelem určení příslušnosti k posouzení žádosti o mezinárodní ochranu a posouzení potřeby mezinárodní ochrany, </w:t>
            </w:r>
            <w:r>
              <w:rPr>
                <w:b/>
                <w:i/>
                <w:strike w:val="0"/>
                <w:color w:val="auto"/>
                <w:highlight w:val="none"/>
                <w:u w:val="none" w:color="auto"/>
                <w:vertAlign w:val="baseline"/>
              </w:rPr>
              <w:t>nebo</w:t>
            </w:r>
            <w:r>
              <w:t xml:space="preserve"> by s nimi mělo být zahájeno řízení v souladu se směrnicí 2008/115 (směrnice o navracení). Relevantní informace získané během prověřování by měly být poskytnuty příslušným orgánům na podporu dalšího posouzení každého jednotlivého případu při plném dodržování základních práv. Postupy stanovené směrnicí 2008/115 by se měly začít uplatňovat až po ukončení prověřování. Články 26 a 27 nařízení o azylovém řízení by se měly použít až po ukončení prověřování. Tím by neměla být dotčena skutečnost, že osoby žádající o mezinárodní ochranu v okamžiku zadržení, v průběhu provádění opatření na ochranu hranic na hraničním přechodu nebo během prověřování, by měly být považovány za žadatele.</w:t>
            </w:r>
          </w:p>
        </w:tc>
        <w:tc>
          <w:tcPr>
            <w:tcW w:w="4876" w:type="dxa"/>
            <w:vAlign w:val="top"/>
          </w:tcPr>
          <w:p>
            <w:pPr>
              <w:pStyle w:val="Normal6a"/>
            </w:pPr>
            <w:r>
              <w:t>(16)</w:t>
            </w:r>
            <w:r>
              <w:tab/>
            </w:r>
            <w:r>
              <w:t xml:space="preserve">Po dokončení prověřování by dotčení státní příslušníci třetích zemí měli být nasměrováni k příslušnému řízení za účelem určení příslušnosti k posouzení žádosti o mezinárodní ochranu a posouzení potřeby mezinárodní ochrany, </w:t>
            </w:r>
            <w:r>
              <w:rPr>
                <w:b/>
                <w:i/>
                <w:strike w:val="0"/>
                <w:color w:val="auto"/>
                <w:highlight w:val="none"/>
                <w:u w:val="none" w:color="auto"/>
                <w:vertAlign w:val="baseline"/>
              </w:rPr>
              <w:t>případně</w:t>
            </w:r>
            <w:r>
              <w:t xml:space="preserve"> by s nimi mělo být zahájeno řízení v souladu se směrnicí 2008/115 (směrnice o navracení)</w:t>
            </w:r>
            <w:r>
              <w:rPr>
                <w:b/>
                <w:i/>
                <w:strike w:val="0"/>
                <w:color w:val="auto"/>
                <w:highlight w:val="none"/>
                <w:u w:val="none" w:color="auto"/>
                <w:vertAlign w:val="baseline"/>
              </w:rPr>
              <w:t>, nebo by jim měl být odepřen vstup v souladu s nařízením (EU) 2016/399, aniž by byl dotčen čl. 6 odst. 5 nařízení (EU) 2016/399</w:t>
            </w:r>
            <w:r>
              <w:t xml:space="preserve">. Relevantní informace získané během prověřování by měly být poskytnuty příslušným orgánům na podporu dalšího posouzení každého jednotlivého případu při plném dodržování základních práv. Postupy stanovené směrnicí 2008/115 by se měly začít uplatňovat až po ukončení prověřování. Články 26 a 27 nařízení o azylovém řízení by se měly použít až po ukončení prověřování. Tím by neměla být dotčena skutečnost, že osoby žádající o mezinárodní ochranu v okamžiku zadržení, v průběhu provádění opatření na ochranu hranic na hraničním přechodu nebo během prověřování, by měly být považovány za žadatele </w:t>
            </w:r>
            <w:r>
              <w:rPr>
                <w:b/>
                <w:i/>
                <w:strike w:val="0"/>
                <w:color w:val="auto"/>
                <w:highlight w:val="none"/>
                <w:u w:val="none" w:color="auto"/>
                <w:vertAlign w:val="baseline"/>
              </w:rPr>
              <w:t>o mezinárodní ochranu, na které se vztahuje nařízení (EU) xxxx/xxxx [nařízení o azylovém řízení] a směrnice (EU) xxxx/xxxx [přepracované znění směrnice o podmínkách přijímání]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Relevantní informace získané během prověřování by měly být poskytnuty příslušným orgánům na podporu dalšího posouzení každého jednotlivého případu při plném dodržování základních práv.</w:t>
            </w:r>
            <w:r>
              <w:t xml:space="preserve"> </w:t>
            </w:r>
            <w:r>
              <w:rPr>
                <w:b/>
                <w:i/>
                <w:strike w:val="0"/>
                <w:color w:val="auto"/>
                <w:highlight w:val="none"/>
                <w:u w:val="none" w:color="auto"/>
                <w:vertAlign w:val="baseline"/>
              </w:rPr>
              <w:t>Postupy stanovené směrnicí 2008/115 by se měly začít uplatňovat až po ukončení prověřování.</w:t>
            </w:r>
            <w:r>
              <w:t xml:space="preserve"> </w:t>
            </w:r>
            <w:r>
              <w:rPr>
                <w:b/>
                <w:i/>
                <w:strike w:val="0"/>
                <w:color w:val="auto"/>
                <w:highlight w:val="none"/>
                <w:u w:val="none" w:color="auto"/>
                <w:vertAlign w:val="baseline"/>
              </w:rPr>
              <w:t>Články 26 a 27 nařízení o azylovém řízení by se měly použít až po ukončení prověřování.</w:t>
            </w:r>
            <w:r>
              <w:t xml:space="preserve"> </w:t>
            </w:r>
            <w:r>
              <w:rPr>
                <w:b/>
                <w:i/>
                <w:strike w:val="0"/>
                <w:color w:val="auto"/>
                <w:highlight w:val="none"/>
                <w:u w:val="none" w:color="auto"/>
                <w:vertAlign w:val="baseline"/>
              </w:rPr>
              <w:t>Tím by neměla být dotčena skutečnost, že osoby žádající o mezinárodní ochranu v okamžiku zadržení, v průběhu kontroly na hraničním přechodu nebo během prověřování, by měly být považovány za žadatele.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(17)</w:t>
            </w:r>
            <w:r>
              <w:tab/>
            </w:r>
            <w:r>
              <w:rPr>
                <w:b/>
                <w:i/>
                <w:strike w:val="0"/>
                <w:color w:val="auto"/>
                <w:highlight w:val="none"/>
                <w:u w:val="none" w:color="auto"/>
                <w:vertAlign w:val="baseline"/>
              </w:rPr>
              <w:t>Po prověřování by mohla také následovat relokace v rámci mechanismu solidarity zavedeného nařízením (EU) XXX/XXX [nařízení o řízení azylu a migrace], pokud členský stát dobrovolně přispívá k úsilí v oblasti solidarity nebo žadatelé o mezinárodní ochranu nepodléhají řízení na hranicích podle nařízení (EU) XXX/XXX (nařízení o azylovém řízení), nebo v rámci mechanismu řešení krizových situací zavedeného nařízením (EU) XXX/XXX [nařízení o krizových situacích].</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(17)</w:t>
            </w:r>
            <w:r>
              <w:tab/>
            </w:r>
            <w:r>
              <w:t xml:space="preserve">Po prověřování by </w:t>
            </w:r>
            <w:r>
              <w:rPr>
                <w:b/>
                <w:i/>
                <w:strike w:val="0"/>
                <w:color w:val="auto"/>
                <w:highlight w:val="none"/>
                <w:u w:val="none" w:color="auto"/>
                <w:vertAlign w:val="baseline"/>
              </w:rPr>
              <w:t>mohla také</w:t>
            </w:r>
            <w:r>
              <w:t xml:space="preserve"> následovat relokace v rámci </w:t>
            </w:r>
            <w:r>
              <w:rPr>
                <w:b/>
                <w:i/>
                <w:strike w:val="0"/>
                <w:color w:val="auto"/>
                <w:highlight w:val="none"/>
                <w:u w:val="none" w:color="auto"/>
                <w:vertAlign w:val="baseline"/>
              </w:rPr>
              <w:t>mechanismu solidarity zavedeného</w:t>
            </w:r>
            <w:r>
              <w:t xml:space="preserve"> nařízením (EU) XXX/XXX [nařízení o </w:t>
            </w:r>
            <w:r>
              <w:rPr>
                <w:b/>
                <w:i/>
                <w:strike w:val="0"/>
                <w:color w:val="auto"/>
                <w:highlight w:val="none"/>
                <w:u w:val="none" w:color="auto"/>
                <w:vertAlign w:val="baseline"/>
              </w:rPr>
              <w:t>řízení azylu a migrace]</w:t>
            </w:r>
            <w:r>
              <w:t xml:space="preserve">, pokud </w:t>
            </w:r>
            <w:r>
              <w:rPr>
                <w:b/>
                <w:i/>
                <w:strike w:val="0"/>
                <w:color w:val="auto"/>
                <w:highlight w:val="none"/>
                <w:u w:val="none" w:color="auto"/>
                <w:vertAlign w:val="baseline"/>
              </w:rPr>
              <w:t>členský stát dobrovolně přispívá k úsilí v oblasti solidarity nebo žadatelé o mezinárodní ochranu nepodléhají řízení na hranicích podle nařízení (EU) XXX/XXX (nařízení o azylovém řízení), nebo v rámci mechanismu řešení krizových situací zavedeného nařízením (EU) XXX/XXX [nařízení o krizových situacích]</w:t>
            </w:r>
            <w:r>
              <w:t>.</w:t>
            </w:r>
          </w:p>
        </w:tc>
        <w:tc>
          <w:tcPr>
            <w:tcW w:w="4876" w:type="dxa"/>
            <w:vAlign w:val="top"/>
          </w:tcPr>
          <w:p>
            <w:pPr>
              <w:pStyle w:val="Normal6a"/>
            </w:pPr>
            <w:r>
              <w:t>(17)</w:t>
            </w:r>
            <w:r>
              <w:tab/>
            </w:r>
            <w:r>
              <w:t xml:space="preserve">Po prověřování by </w:t>
            </w:r>
            <w:r>
              <w:rPr>
                <w:b/>
                <w:i/>
                <w:strike w:val="0"/>
                <w:color w:val="auto"/>
                <w:highlight w:val="none"/>
                <w:u w:val="none" w:color="auto"/>
                <w:vertAlign w:val="baseline"/>
              </w:rPr>
              <w:t>měla rovněž</w:t>
            </w:r>
            <w:r>
              <w:t xml:space="preserve"> následovat relokace v rámci </w:t>
            </w:r>
            <w:r>
              <w:rPr>
                <w:b/>
                <w:i/>
                <w:strike w:val="0"/>
                <w:color w:val="auto"/>
                <w:highlight w:val="none"/>
                <w:u w:val="none" w:color="auto"/>
                <w:vertAlign w:val="baseline"/>
              </w:rPr>
              <w:t>relokačních mechanismů stanovených nařízením (EU) XXX/XXX [řízení azylu a migrace] a</w:t>
            </w:r>
            <w:r>
              <w:t xml:space="preserve"> nařízením (EU) XXX/XXX [nařízení o </w:t>
            </w:r>
            <w:r>
              <w:rPr>
                <w:b/>
                <w:i/>
                <w:strike w:val="0"/>
                <w:color w:val="auto"/>
                <w:highlight w:val="none"/>
                <w:u w:val="none" w:color="auto"/>
                <w:vertAlign w:val="baseline"/>
              </w:rPr>
              <w:t>krizových situacích].</w:t>
            </w:r>
            <w:r>
              <w:t xml:space="preserve"> </w:t>
            </w:r>
            <w:r>
              <w:rPr>
                <w:b/>
                <w:i/>
                <w:strike w:val="0"/>
                <w:color w:val="auto"/>
                <w:highlight w:val="none"/>
                <w:u w:val="none" w:color="auto"/>
                <w:vertAlign w:val="baseline"/>
              </w:rPr>
              <w:t>Relokace by měla být povinná po vylodění po pátracích a záchranných operacích, jakož i po příchodu žadatelů ve zranitelné situaci, a měla by být automatická</w:t>
            </w:r>
            <w:r>
              <w:t xml:space="preserve">, pokud </w:t>
            </w:r>
            <w:r>
              <w:rPr>
                <w:b/>
                <w:i/>
                <w:strike w:val="0"/>
                <w:color w:val="auto"/>
                <w:highlight w:val="none"/>
                <w:u w:val="none" w:color="auto"/>
                <w:vertAlign w:val="baseline"/>
              </w:rPr>
              <w:t>nelze určit žádný jiný členský stát, který by byl odpovědný za zpracování žádosti žadatele.</w:t>
            </w:r>
            <w:r>
              <w:t xml:space="preserve"> </w:t>
            </w:r>
            <w:r>
              <w:rPr>
                <w:b/>
                <w:i/>
                <w:strike w:val="0"/>
                <w:color w:val="auto"/>
                <w:highlight w:val="none"/>
                <w:u w:val="none" w:color="auto"/>
                <w:vertAlign w:val="baseline"/>
              </w:rPr>
              <w:t>Před přemístěním žadatele by měly být zohledněny veškeré smysluplné vazby na daný členský stát nebo preference žadatele, pokud takové vazby neexistují.</w:t>
            </w:r>
            <w:r>
              <w:t xml:space="preserve"> </w:t>
            </w:r>
            <w:r>
              <w:rPr>
                <w:b/>
                <w:i/>
                <w:strike w:val="0"/>
                <w:color w:val="auto"/>
                <w:highlight w:val="none"/>
                <w:u w:val="none" w:color="auto"/>
                <w:vertAlign w:val="baseline"/>
              </w:rPr>
              <w:t>Vždy by mělo být respektováno právo na sloučení rodiny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(17)</w:t>
            </w:r>
            <w:r>
              <w:tab/>
            </w:r>
            <w:r>
              <w:rPr>
                <w:b/>
                <w:i/>
                <w:strike w:val="0"/>
                <w:color w:val="auto"/>
                <w:highlight w:val="none"/>
                <w:u w:val="none" w:color="auto"/>
                <w:vertAlign w:val="baseline"/>
              </w:rPr>
              <w:t>Po prověřování by mohla také následovat relokace</w:t>
            </w:r>
            <w:r>
              <w:t xml:space="preserve"> v rámci </w:t>
            </w:r>
            <w:r>
              <w:rPr>
                <w:b/>
                <w:i/>
                <w:strike w:val="0"/>
                <w:color w:val="auto"/>
                <w:highlight w:val="none"/>
                <w:u w:val="none" w:color="auto"/>
                <w:vertAlign w:val="baseline"/>
              </w:rPr>
              <w:t>mechanismu solidarity zavedeného</w:t>
            </w:r>
            <w:r>
              <w:t xml:space="preserve"> nařízením (EU) XXX/XXX [</w:t>
            </w:r>
            <w:r>
              <w:rPr>
                <w:b/>
                <w:i/>
                <w:strike w:val="0"/>
                <w:color w:val="auto"/>
                <w:highlight w:val="none"/>
                <w:u w:val="none" w:color="auto"/>
                <w:vertAlign w:val="baseline"/>
              </w:rPr>
              <w:t>nařízení o</w:t>
            </w:r>
            <w:r>
              <w:t xml:space="preserve"> řízení azylu a migrace]</w:t>
            </w:r>
            <w:r>
              <w:rPr>
                <w:b/>
                <w:i/>
                <w:strike w:val="0"/>
                <w:color w:val="auto"/>
                <w:highlight w:val="none"/>
                <w:u w:val="none" w:color="auto"/>
                <w:vertAlign w:val="baseline"/>
              </w:rPr>
              <w:t>, pokud členský stát dobrovolně přispívá k úsilí v oblasti solidarity nebo žadatelé o mezinárodní ochranu nepodléhají řízení na hranicích podle nařízení (EU) XXX/XXX (nařízení o azylovém řízení), nebo v rámci mechanismu řešení krizových situací zavedeného nařízením (EU) XXX/XXX [nařízení o krizových situacích]</w:t>
            </w:r>
            <w:r>
              <w:t>.</w:t>
            </w:r>
          </w:p>
        </w:tc>
        <w:tc>
          <w:tcPr>
            <w:tcW w:w="4876" w:type="dxa"/>
            <w:vAlign w:val="top"/>
          </w:tcPr>
          <w:p>
            <w:pPr>
              <w:pStyle w:val="Normal6a"/>
            </w:pPr>
            <w:r>
              <w:t>(17)</w:t>
            </w:r>
            <w:r>
              <w:tab/>
            </w:r>
            <w:r>
              <w:rPr>
                <w:b/>
                <w:i/>
                <w:strike w:val="0"/>
                <w:color w:val="auto"/>
                <w:highlight w:val="none"/>
                <w:u w:val="none" w:color="auto"/>
                <w:vertAlign w:val="baseline"/>
              </w:rPr>
              <w:t>Členské státy by měly žadatele o mezinárodní ochranu přemístit rychle a bez zbytečného odkladu po prověření, včetně osob vyloděných po pátracích a záchranných operacích,</w:t>
            </w:r>
            <w:r>
              <w:t xml:space="preserve"> v rámci </w:t>
            </w:r>
            <w:r>
              <w:rPr>
                <w:b/>
                <w:i/>
                <w:strike w:val="0"/>
                <w:color w:val="auto"/>
                <w:highlight w:val="none"/>
                <w:u w:val="none" w:color="auto"/>
                <w:vertAlign w:val="baseline"/>
              </w:rPr>
              <w:t>automatického distribučního mechanismu zřízeného</w:t>
            </w:r>
            <w:r>
              <w:t xml:space="preserve"> nařízením (EU) XXX/XXX [řízení azylu a migrace] </w:t>
            </w:r>
            <w:r>
              <w:rPr>
                <w:b/>
                <w:i/>
                <w:strike w:val="0"/>
                <w:color w:val="auto"/>
                <w:highlight w:val="none"/>
                <w:u w:val="none" w:color="auto"/>
                <w:vertAlign w:val="baseline"/>
              </w:rPr>
              <w:t>nebo v rámci mechanismu pro řešení krizových situací stanoveného nařízením (EU) XXX/XXX [nařízení o krizových situacích].</w:t>
            </w:r>
            <w:r>
              <w:t xml:space="preserve"> </w:t>
            </w:r>
            <w:r>
              <w:rPr>
                <w:b/>
                <w:i/>
                <w:strike w:val="0"/>
                <w:color w:val="auto"/>
                <w:highlight w:val="none"/>
                <w:u w:val="none" w:color="auto"/>
                <w:vertAlign w:val="baseline"/>
              </w:rPr>
              <w:t>Nezletilé osoby bez doprovodu a rodiny s nezletilými osobami, jakož i zranitelní žadatelé by měli být přemístěni přednostně.</w:t>
            </w:r>
            <w:r>
              <w:t xml:space="preserve"> </w:t>
            </w:r>
            <w:r>
              <w:rPr>
                <w:b/>
                <w:i/>
                <w:strike w:val="0"/>
                <w:color w:val="auto"/>
                <w:highlight w:val="none"/>
                <w:u w:val="none" w:color="auto"/>
                <w:vertAlign w:val="baseline"/>
              </w:rPr>
              <w:t>Vždy by mělo být respektováno právo na sloučení rodiny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(17)</w:t>
            </w:r>
            <w:r>
              <w:tab/>
            </w:r>
            <w:r>
              <w:t>Po prověřování by mohla také následovat relokace v rámci mechanismu solidarity zavedeného nařízením (EU) XXX/XXX [nařízení o řízení azylu a migrace], pokud členský stát dobrovolně přispívá k úsilí v oblasti solidarity nebo žadatelé o mezinárodní ochranu nepodléhají řízení na hranicích podle nařízení (EU) XXX/XXX (nařízení o azylovém řízení), nebo v rámci mechanismu řešení krizových situací zavedeného nařízením (EU) XXX/XXX [nařízení o krizových situacích].</w:t>
            </w:r>
          </w:p>
        </w:tc>
        <w:tc>
          <w:tcPr>
            <w:tcW w:w="4876" w:type="dxa"/>
            <w:vAlign w:val="top"/>
          </w:tcPr>
          <w:p>
            <w:pPr>
              <w:pStyle w:val="Normal6a"/>
            </w:pPr>
            <w:r>
              <w:t>(17)</w:t>
            </w:r>
            <w:r>
              <w:tab/>
            </w:r>
            <w:r>
              <w:t>Po prověřování by mohla také následovat relokace</w:t>
            </w:r>
            <w:r>
              <w:rPr>
                <w:b/>
                <w:i/>
                <w:strike w:val="0"/>
                <w:color w:val="auto"/>
                <w:highlight w:val="none"/>
                <w:u w:val="none" w:color="auto"/>
                <w:vertAlign w:val="baseline"/>
              </w:rPr>
              <w:t>, a to i</w:t>
            </w:r>
            <w:r>
              <w:t xml:space="preserve"> v rámci mechanismu solidarity zavedeného nařízením (EU) XXX/XXX [nařízení o řízení azylu a migrace], pokud členský stát dobrovolně přispívá k úsilí v oblasti solidarity nebo žadatelé o mezinárodní ochranu nepodléhají řízení na hranicích podle nařízení (EU) XXX/XXX (nařízení o azylovém řízení), nebo v rámci mechanismu řešení krizových situací zavedeného nařízením (EU) XXX/XXX [nařízení o krizových situacích].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(18)</w:t>
            </w:r>
            <w:r>
              <w:tab/>
            </w:r>
            <w:r>
              <w:rPr>
                <w:b/>
                <w:i/>
                <w:strike w:val="0"/>
                <w:color w:val="auto"/>
                <w:highlight w:val="none"/>
                <w:u w:val="none" w:color="auto"/>
                <w:vertAlign w:val="baseline"/>
              </w:rPr>
              <w:t>V souladu s článkem 12 nařízení (EU) 2016/399 je splnění podmínek pro vstup na území a povolení vstupu vyjádřeno otiskem vstupního razítka v cestovním dokladu. V případě chybějícího vstupního razítka nebo cestovního dokladu se lze domnívat,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(18)</w:t>
            </w:r>
            <w:r>
              <w:tab/>
            </w:r>
            <w:r>
              <w:rPr>
                <w:b/>
                <w:i/>
                <w:strike w:val="0"/>
                <w:color w:val="auto"/>
                <w:highlight w:val="none"/>
                <w:u w:val="none" w:color="auto"/>
                <w:vertAlign w:val="baseline"/>
              </w:rPr>
              <w:t>V souladu s článkem 12 nařízení (EU) 2016/399 je splnění podmínek pro vstup na území a povolení vstupu vyjádřeno otiskem vstupního razítka v cestovním dokladu. V případě chybějícího vstupního razítka nebo cestovního dokladu se lze domnívat,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(18)</w:t>
            </w:r>
            <w:r>
              <w:tab/>
            </w:r>
            <w:r>
              <w:rPr>
                <w:b/>
                <w:i/>
                <w:strike w:val="0"/>
                <w:color w:val="auto"/>
                <w:highlight w:val="none"/>
                <w:u w:val="none" w:color="auto"/>
                <w:vertAlign w:val="baseline"/>
              </w:rPr>
              <w:t>V souladu s článkem 12 nařízení (EU) 2016/399 je splnění podmínek pro vstup na území a povolení vstupu vyjádřeno otiskem vstupního razítka v cestovním dokladu. V případě chybějícího vstupního razítka nebo cestovního dokladu se lze domnívat,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 xml:space="preserve">V souladu s článkem 12 nařízení (EU) 2016/399 je splnění podmínek pro vstup na území a povolení vstupu vyjádřeno otiskem vstupního razítka v cestovním dokladu. V případě chybějícího vstupního razítka nebo cestovního dokladu </w:t>
            </w:r>
            <w:r>
              <w:rPr>
                <w:b/>
                <w:i/>
                <w:strike w:val="0"/>
                <w:color w:val="auto"/>
                <w:highlight w:val="none"/>
                <w:u w:val="none" w:color="auto"/>
                <w:vertAlign w:val="baseline"/>
              </w:rPr>
              <w:t>se lze domnívat</w:t>
            </w:r>
            <w:r>
              <w: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vAlign w:val="top"/>
          </w:tcPr>
          <w:p>
            <w:pPr>
              <w:pStyle w:val="Normal6a"/>
            </w:pPr>
            <w:r>
              <w:t>(18)</w:t>
            </w:r>
            <w:r>
              <w:tab/>
            </w:r>
            <w:r>
              <w:t xml:space="preserve">V souladu s článkem 12 nařízení (EU) 2016/399 je splnění podmínek pro vstup na území a povolení vstupu vyjádřeno otiskem vstupního razítka v cestovním dokladu. V případě chybějícího vstupního razítka nebo cestovního dokladu </w:t>
            </w:r>
            <w:r>
              <w:rPr>
                <w:b/>
                <w:i/>
                <w:strike w:val="0"/>
                <w:color w:val="auto"/>
                <w:highlight w:val="none"/>
                <w:u w:val="none" w:color="auto"/>
                <w:vertAlign w:val="baseline"/>
              </w:rPr>
              <w:t>by se mělo předpokládat</w:t>
            </w:r>
            <w:r>
              <w:t xml:space="preserve">, že daná osoba nesplňuje podmínky vstupu na území. Se spuštěním provozu Systému vstupu/výstupu, který povede k nahrazení razítek záznamem v elektronickém systému, se tato domněnka stane </w:t>
            </w:r>
            <w:r>
              <w:rPr>
                <w:b/>
                <w:i/>
                <w:strike w:val="0"/>
                <w:color w:val="auto"/>
                <w:highlight w:val="none"/>
                <w:u w:val="none" w:color="auto"/>
                <w:vertAlign w:val="baseline"/>
              </w:rPr>
              <w:t>ještě</w:t>
            </w:r>
            <w:r>
              <w:t xml:space="preserv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w:t>
            </w:r>
            <w:r>
              <w:rPr>
                <w:b/>
                <w:i/>
                <w:strike w:val="0"/>
                <w:color w:val="auto"/>
                <w:highlight w:val="none"/>
                <w:u w:val="none" w:color="auto"/>
                <w:vertAlign w:val="baseline"/>
              </w:rPr>
              <w:t>jednoznačně</w:t>
            </w:r>
            <w:r>
              <w:t xml:space="preserv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 xml:space="preserve">V souladu s článkem 12 nařízení (EU) 2016/399 je splnění podmínek pro vstup na území a povolení vstupu vyjádřeno otiskem vstupního razítka v cestovním dokladu. V případě chybějícího vstupního razítka nebo cestovního dokladu </w:t>
            </w:r>
            <w:r>
              <w:rPr>
                <w:b/>
                <w:i/>
                <w:strike w:val="0"/>
                <w:color w:val="auto"/>
                <w:highlight w:val="none"/>
                <w:u w:val="none" w:color="auto"/>
                <w:vertAlign w:val="baseline"/>
              </w:rPr>
              <w:t>se lze domnívat</w:t>
            </w:r>
            <w:r>
              <w: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vAlign w:val="top"/>
          </w:tcPr>
          <w:p>
            <w:pPr>
              <w:pStyle w:val="Normal6a"/>
            </w:pPr>
            <w:r>
              <w:t>(18)</w:t>
            </w:r>
            <w:r>
              <w:tab/>
            </w:r>
            <w:r>
              <w:t xml:space="preserve">V souladu s článkem 12 nařízení (EU) 2016/399 je splnění podmínek pro vstup na území a povolení vstupu vyjádřeno otiskem vstupního razítka v cestovním dokladu. V případě chybějícího vstupního razítka nebo cestovního dokladu </w:t>
            </w:r>
            <w:r>
              <w:rPr>
                <w:b/>
                <w:i/>
                <w:strike w:val="0"/>
                <w:color w:val="auto"/>
                <w:highlight w:val="none"/>
                <w:u w:val="none" w:color="auto"/>
                <w:vertAlign w:val="baseline"/>
              </w:rPr>
              <w:t>by se mělo předpokládat</w:t>
            </w:r>
            <w:r>
              <w:t xml:space="preserve">,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w:t>
            </w:r>
            <w:r>
              <w:rPr>
                <w:b/>
                <w:i/>
                <w:strike w:val="0"/>
                <w:color w:val="auto"/>
                <w:highlight w:val="none"/>
                <w:u w:val="none" w:color="auto"/>
                <w:vertAlign w:val="baseline"/>
              </w:rPr>
              <w:t>nebo národní</w:t>
            </w:r>
            <w:r>
              <w:t xml:space="preserve"> bezpečnost </w:t>
            </w:r>
            <w:r>
              <w:rPr>
                <w:b/>
                <w:i/>
                <w:strike w:val="0"/>
                <w:color w:val="auto"/>
                <w:highlight w:val="none"/>
                <w:u w:val="none" w:color="auto"/>
                <w:vertAlign w:val="baseline"/>
              </w:rPr>
              <w:t>nebo pro veřejný pořádek</w:t>
            </w:r>
            <w:r>
              <w: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V souladu s článkem 12 nařízení (EU) 2016/399 je splnění podmínek pro vstup na území a povolení vstupu vyjádřeno otiskem vstupního razítka v cestovním dokladu. V případě chybějícího vstupního razítka nebo cestovního dokladu se lze domnívat,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c>
          <w:tcPr>
            <w:tcW w:w="4876" w:type="dxa"/>
            <w:vAlign w:val="top"/>
          </w:tcPr>
          <w:p>
            <w:pPr>
              <w:pStyle w:val="Normal6a"/>
            </w:pPr>
            <w:r>
              <w:t>(18)</w:t>
            </w:r>
            <w:r>
              <w:tab/>
            </w:r>
            <w:r>
              <w:t xml:space="preserve">V souladu s článkem 12 nařízení (EU) 2016/399 je splnění podmínek pro vstup na území a povolení vstupu vyjádřeno otiskem vstupního razítka v cestovním dokladu. V případě chybějícího vstupního razítka nebo cestovního dokladu se lze domnívat, že daná osoba nesplňuje podmínky vstupu na území. Se spuštěním provozu Systému vstupu/výstupu, který povede k nahrazení razítek záznamem v elektronickém systému, se tato domněnka stane spolehlivější. Členské státy by proto měly provádět prověřování u státních příslušníků třetích zemí, kteří se již nacházejí na daném území a nejsou schopni prokázat, že splnili podmínky vstupu na území členských států. Prověřování takovýchto státních příslušníků třetích zemí je nezbytné, aby se kompenzovala skutečnost, že se jim při příjezdu do schengenského prostoru pravděpodobně podařilo vyhnout se vstupním kontrolám, a proto jim nemohl být odepřen vstup nebo nemohli být na základě prověření nasměrováni k příslušnému řízení. Prostřednictvím nahlížení do databází uvedených v tomto nařízení by prověřování rovněž mohlo pomoci zjistit, zda dotyčná osoba nepředstavuje hrozbu pro vnitřní bezpečnost. Po </w:t>
            </w:r>
            <w:r>
              <w:rPr>
                <w:b/>
                <w:i/>
                <w:strike w:val="0"/>
                <w:color w:val="auto"/>
                <w:highlight w:val="none"/>
                <w:u w:val="none" w:color="auto"/>
                <w:vertAlign w:val="baseline"/>
              </w:rPr>
              <w:t>celou dobu prověřování by tyto osoby měly být považovány za osoby, které nevstoupily na území členského státu podobně jako osoby, které jsou prověřovány na vnějších hranicích.</w:t>
            </w:r>
            <w:r>
              <w:t xml:space="preserve"> </w:t>
            </w:r>
            <w:r>
              <w:rPr>
                <w:b/>
                <w:i/>
                <w:strike w:val="0"/>
                <w:color w:val="auto"/>
                <w:highlight w:val="none"/>
                <w:u w:val="none" w:color="auto"/>
                <w:vertAlign w:val="baseline"/>
              </w:rPr>
              <w:t>Po</w:t>
            </w:r>
            <w:r>
              <w:t xml:space="preserve"> ukončení prověřování na území by s dotčenými státními příslušníky třetích zemí mělo být zahájeno řízení o navrácení, nebo pokud požádají o mezinárodní ochranu, příslušné azylové řízení. Je třeba se v maximální možné míře vyhnout tomu, aby byl týž státní příslušník třetí země prověřován opakovaně.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Prověřování by mělo být dokončeno co nejdříve a nemělo by trvat déle než pět dnů</w:t>
            </w:r>
            <w:r>
              <w:rPr>
                <w:b/>
                <w:i/>
                <w:strike w:val="0"/>
                <w:color w:val="auto"/>
                <w:highlight w:val="none"/>
                <w:u w:val="none" w:color="auto"/>
                <w:vertAlign w:val="baseline"/>
              </w:rPr>
              <w:t>, pokud se provádí na vnější hranici, a tři dny, pokud se provádí na území členského státu. Jakékoli prodloužení pětidenní lhůty by mělo být vyhrazeno pro výjimečné situace na vnějších hranicích, kdy jsou překročeny kapacity členského státu provádět prověřování z důvodů, které nemůže ovlivnit, jako jsou krizové situace uvedené v článku 1 nařízení XXX/XXX [ návrh nařízení o krizích]</w:t>
            </w:r>
            <w:r>
              <w:t>.</w:t>
            </w:r>
          </w:p>
        </w:tc>
        <w:tc>
          <w:tcPr>
            <w:tcW w:w="4876" w:type="dxa"/>
            <w:vAlign w:val="top"/>
          </w:tcPr>
          <w:p>
            <w:pPr>
              <w:pStyle w:val="Normal6a"/>
            </w:pPr>
            <w:r>
              <w:t>(19)</w:t>
            </w:r>
            <w:r>
              <w:tab/>
            </w:r>
            <w:r>
              <w:t>Prověřování by mělo být dokončeno co nejdříve a nemělo by trvat déle než pět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Prověřování by mělo být dokončeno co nejdříve a nemělo by trvat déle než pět dnů</w:t>
            </w:r>
            <w:r>
              <w:rPr>
                <w:b/>
                <w:i/>
                <w:strike w:val="0"/>
                <w:color w:val="auto"/>
                <w:highlight w:val="none"/>
                <w:u w:val="none" w:color="auto"/>
                <w:vertAlign w:val="baseline"/>
              </w:rPr>
              <w:t>, pokud se provádí na vnější hranici, a tři dny, pokud se provádí na území členského státu. Jakékoli prodloužení pětidenní lhůty by mělo být vyhrazeno pro výjimečné situace na vnějších hranicích, kdy jsou překročeny kapacity členského státu provádět prověřování z důvodů, které nemůže ovlivnit, jako jsou krizové situace uvedené v článku 1 nařízení XXX/XXX [ návrh nařízení o krizích]</w:t>
            </w:r>
            <w:r>
              <w:t>.</w:t>
            </w:r>
          </w:p>
        </w:tc>
        <w:tc>
          <w:tcPr>
            <w:tcW w:w="4876" w:type="dxa"/>
            <w:vAlign w:val="top"/>
          </w:tcPr>
          <w:p>
            <w:pPr>
              <w:pStyle w:val="Normal6a"/>
            </w:pPr>
            <w:r>
              <w:t>(19)</w:t>
            </w:r>
            <w:r>
              <w:tab/>
            </w:r>
            <w:r>
              <w:t>Prověřování by mělo být dokončeno co nejdříve a nemělo by trvat déle než pět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Prověřování by mělo být dokončeno co nejdříve a nemělo by trvat déle než pět dnů</w:t>
            </w:r>
            <w:r>
              <w:rPr>
                <w:b/>
                <w:i/>
                <w:strike w:val="0"/>
                <w:color w:val="auto"/>
                <w:highlight w:val="none"/>
                <w:u w:val="none" w:color="auto"/>
                <w:vertAlign w:val="baseline"/>
              </w:rPr>
              <w:t>, pokud se provádí na vnější hranici, a tři dny, pokud se provádí na území členského státu. Jakékoli prodloužení pětidenní lhůty by mělo být vyhrazeno pro výjimečné situace na vnějších hranicích, kdy jsou překročeny kapacity členského státu provádět prověřování z důvodů, které nemůže ovlivnit, jako jsou krizové situace uvedené v článku 1 nařízení XXX/XXX [ návrh nařízení o krizích]</w:t>
            </w:r>
            <w:r>
              <w:t>.</w:t>
            </w:r>
          </w:p>
        </w:tc>
        <w:tc>
          <w:tcPr>
            <w:tcW w:w="4876" w:type="dxa"/>
            <w:vAlign w:val="top"/>
          </w:tcPr>
          <w:p>
            <w:pPr>
              <w:pStyle w:val="Normal6a"/>
            </w:pPr>
            <w:r>
              <w:t>(19)</w:t>
            </w:r>
            <w:r>
              <w:tab/>
            </w:r>
            <w:r>
              <w:t>Prověřování by mělo být dokončeno co nejdříve a nemělo by trvat déle než pět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Prověřování by mělo být dokončeno co nejdříve a nemělo by trvat déle než pět dnů, pokud se provádí na vnější hranici, a tři dny, pokud se provádí na území členského státu. </w:t>
            </w:r>
            <w:r>
              <w:rPr>
                <w:b/>
                <w:i/>
                <w:strike w:val="0"/>
                <w:color w:val="auto"/>
                <w:highlight w:val="none"/>
                <w:u w:val="none" w:color="auto"/>
                <w:vertAlign w:val="baseline"/>
              </w:rPr>
              <w:t>Jakékoli prodloužení pětidenní lhůty by mělo být vyhrazeno pro výjimečné situace na vnějších hranicích, kdy jsou překročeny kapacity členského státu provádět prověřování z důvodů, které nemůže ovlivnit, jako jsou krizové situace uvedené v článku 1 nařízení XXX/XXX [ návrh nařízení o krizích]</w:t>
            </w:r>
            <w:r>
              <w:t>.</w:t>
            </w:r>
          </w:p>
        </w:tc>
        <w:tc>
          <w:tcPr>
            <w:tcW w:w="4876" w:type="dxa"/>
            <w:vAlign w:val="top"/>
          </w:tcPr>
          <w:p>
            <w:pPr>
              <w:pStyle w:val="Normal6a"/>
            </w:pPr>
            <w:r>
              <w:t>(19)</w:t>
            </w:r>
            <w:r>
              <w:tab/>
            </w:r>
            <w:r>
              <w:t xml:space="preserve">Prověřování by mělo být dokončeno co nejdříve a nemělo by trvat déle než pět dnů, pokud se provádí na vnější hranici, a tři dny, pokud se provádí na území členského státu. </w:t>
            </w:r>
            <w:r>
              <w:rPr>
                <w:b/>
                <w:i/>
                <w:strike w:val="0"/>
                <w:color w:val="auto"/>
                <w:highlight w:val="none"/>
                <w:u w:val="none" w:color="auto"/>
                <w:vertAlign w:val="baseline"/>
              </w:rPr>
              <w:t>Ve výjimečných situacích lze tuto lhůtu prodloužit, je-li to nezbytné pro řádné provedení prověřovacího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Prověřování by mělo být dokončeno co nejdříve a nemělo by trvat déle než </w:t>
            </w:r>
            <w:r>
              <w:rPr>
                <w:b/>
                <w:i/>
                <w:strike w:val="0"/>
                <w:color w:val="auto"/>
                <w:highlight w:val="none"/>
                <w:u w:val="none" w:color="auto"/>
                <w:vertAlign w:val="baseline"/>
              </w:rPr>
              <w:t>pět dnů, pokud se provádí na vnější hranici, a tři dny, pokud se provádí na území členského státu</w:t>
            </w:r>
            <w:r>
              <w:t xml:space="preserve">. Jakékoli prodloužení </w:t>
            </w:r>
            <w:r>
              <w:rPr>
                <w:b/>
                <w:i/>
                <w:strike w:val="0"/>
                <w:color w:val="auto"/>
                <w:highlight w:val="none"/>
                <w:u w:val="none" w:color="auto"/>
                <w:vertAlign w:val="baseline"/>
              </w:rPr>
              <w:t>pětidenní</w:t>
            </w:r>
            <w:r>
              <w:t xml:space="preserve"> lhůty by mělo být vyhrazeno pro výjimečné situace na vnějších hranicích, </w:t>
            </w:r>
            <w:r>
              <w:rPr>
                <w:b/>
                <w:i/>
                <w:strike w:val="0"/>
                <w:color w:val="auto"/>
                <w:highlight w:val="none"/>
                <w:u w:val="none" w:color="auto"/>
                <w:vertAlign w:val="baseline"/>
              </w:rPr>
              <w:t>kdy</w:t>
            </w:r>
            <w:r>
              <w:t xml:space="preserve"> jsou překročeny kapacity členského státu provádět prověřování z důvodů, které nemůže ovlivnit, jako jsou krizové situace uvedené v článku 1 nařízení XXX/XXX [ návrh nařízení o krizích].</w:t>
            </w:r>
          </w:p>
        </w:tc>
        <w:tc>
          <w:tcPr>
            <w:tcW w:w="4876" w:type="dxa"/>
            <w:vAlign w:val="top"/>
          </w:tcPr>
          <w:p>
            <w:pPr>
              <w:pStyle w:val="Normal6a"/>
            </w:pPr>
            <w:r>
              <w:t>(19)</w:t>
            </w:r>
            <w:r>
              <w:tab/>
            </w:r>
            <w:r>
              <w:t xml:space="preserve">Prověřování by mělo být dokončeno co nejdříve a nemělo by trvat déle než </w:t>
            </w:r>
            <w:r>
              <w:rPr>
                <w:b/>
                <w:i/>
                <w:strike w:val="0"/>
                <w:color w:val="auto"/>
                <w:highlight w:val="none"/>
                <w:u w:val="none" w:color="auto"/>
                <w:vertAlign w:val="baseline"/>
              </w:rPr>
              <w:t>14 dnů</w:t>
            </w:r>
            <w:r>
              <w:t xml:space="preserve">. Jakékoli prodloužení </w:t>
            </w:r>
            <w:r>
              <w:rPr>
                <w:b/>
                <w:i/>
                <w:strike w:val="0"/>
                <w:color w:val="auto"/>
                <w:highlight w:val="none"/>
                <w:u w:val="none" w:color="auto"/>
                <w:vertAlign w:val="baseline"/>
              </w:rPr>
              <w:t>čtrnáctidenní</w:t>
            </w:r>
            <w:r>
              <w:t xml:space="preserve"> lhůty by mělo být vyhrazeno pro výjimečné situace na vnějších hranicích, </w:t>
            </w:r>
            <w:r>
              <w:rPr>
                <w:b/>
                <w:i/>
                <w:strike w:val="0"/>
                <w:color w:val="auto"/>
                <w:highlight w:val="none"/>
                <w:u w:val="none" w:color="auto"/>
                <w:vertAlign w:val="baseline"/>
              </w:rPr>
              <w:t>například pokud</w:t>
            </w:r>
            <w:r>
              <w:t xml:space="preserve"> jsou překročeny kapacity členského státu provádět prověřování z důvodů, které nemůže ovlivnit, jako jsou krizové situace uvedené v článku 1 nařízení XXX/XXX [návrh nařízení o krizích]</w:t>
            </w:r>
            <w:r>
              <w:rPr>
                <w:b/>
                <w:i/>
                <w:strike w:val="0"/>
                <w:color w:val="auto"/>
                <w:highlight w:val="none"/>
                <w:u w:val="none" w:color="auto"/>
                <w:vertAlign w:val="baseline"/>
              </w:rPr>
              <w:t>, nebo není-li v této lhůtě možné dokončit prověřovací řízení nebo posouzení bezpečnosti, zranitelnosti a určení věku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(20)</w:t>
            </w:r>
            <w:r>
              <w:tab/>
            </w:r>
            <w:r>
              <w:rPr>
                <w:b/>
                <w:i/>
                <w:strike w:val="0"/>
                <w:color w:val="auto"/>
                <w:highlight w:val="none"/>
                <w:u w:val="none" w:color="auto"/>
                <w:vertAlign w:val="baseline"/>
              </w:rPr>
              <w:t>Členské státy by měly určit vhodná místa pro prověřování na vnějších hranicích nebo v jejich blízkosti s přihlédnutím ke geografii a stávající infrastruktuře a zajistit, že prověřování zadržených státních příslušníků třetích zemí i osob, které se dostaví na hraniční přechod, proběhne rychle. Úkoly spojené s prověřováním lze provádět v hotspotech uvedených v čl. 2 bodu 23 nařízení Evropského parlamentu a Rady (EU) 2019/1896</w:t>
            </w:r>
            <w:r>
              <w:rPr>
                <w:rStyle w:val="SupBoldItalic"/>
              </w:rPr>
              <w:t>23</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23</w:t>
            </w:r>
            <w:r>
              <w:t xml:space="preserve"> </w:t>
            </w:r>
            <w:r>
              <w:rPr>
                <w:b/>
                <w:i/>
                <w:strike w:val="0"/>
                <w:color w:val="auto"/>
                <w:highlight w:val="none"/>
                <w:u w:val="none" w:color="auto"/>
                <w:vertAlign w:val="baseline"/>
              </w:rPr>
              <w:t>Nařízení Evropského parlamentu a Rady (EU) 2019/1896 ze dne 13. listopadu 2019 o Evropské pohraniční a pobřežní stráži (Úř. věst. L 295, 14.11.2019, s.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(20)</w:t>
            </w:r>
            <w:r>
              <w:tab/>
            </w:r>
            <w:r>
              <w:rPr>
                <w:b/>
                <w:i/>
                <w:strike w:val="0"/>
                <w:color w:val="auto"/>
                <w:highlight w:val="none"/>
                <w:u w:val="none" w:color="auto"/>
                <w:vertAlign w:val="baseline"/>
              </w:rPr>
              <w:t>Členské státy by měly určit vhodná místa pro prověřování na vnějších hranicích nebo v jejich blízkosti s přihlédnutím ke geografii a stávající infrastruktuře a zajistit, že prověřování zadržených státních příslušníků třetích zemí i osob, které se dostaví na hraniční přechod, proběhne rychle. Úkoly spojené s prověřováním lze provádět v hotspotech uvedených v čl. 2 bodu 23 nařízení Evropského parlamentu a Rady (EU) 2019/1896</w:t>
            </w:r>
            <w:r>
              <w:rPr>
                <w:rStyle w:val="SupBoldItalic"/>
              </w:rPr>
              <w:t>23</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23</w:t>
            </w:r>
            <w:r>
              <w:t xml:space="preserve"> </w:t>
            </w:r>
            <w:r>
              <w:rPr>
                <w:b/>
                <w:i/>
                <w:strike w:val="0"/>
                <w:color w:val="auto"/>
                <w:highlight w:val="none"/>
                <w:u w:val="none" w:color="auto"/>
                <w:vertAlign w:val="baseline"/>
              </w:rPr>
              <w:t>Nařízení Evropského parlamentu a Rady (EU) 2019/1896 ze dne 13. listopadu 2019 o Evropské pohraniční a pobřežní stráži (Úř. věst. L 295, 14.11.2019, s.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 xml:space="preserve">Členské státy by měly určit vhodná místa pro prověřování na vnějších hranicích nebo v jejich blízkosti s přihlédnutím ke geografii a stávající infrastruktuře a zajistit, že prověřování zadržených státních příslušníků třetích zemí i osob, které se dostaví na hraniční přechod, proběhne rychle. </w:t>
            </w:r>
            <w:r>
              <w:rPr>
                <w:b/>
                <w:i/>
                <w:strike w:val="0"/>
                <w:color w:val="auto"/>
                <w:highlight w:val="none"/>
                <w:u w:val="none" w:color="auto"/>
                <w:vertAlign w:val="baseline"/>
              </w:rPr>
              <w:t>Úkoly spojené s prověřováním lze provádět v hotspotech uvedených v čl. 2 bodu 23 nařízení Evropského parlamentu a Rady (EU) 2019/1896</w:t>
            </w:r>
            <w:r>
              <w:rPr>
                <w:rStyle w:val="SupBoldItalic"/>
              </w:rPr>
              <w:t>23</w:t>
            </w:r>
            <w:r>
              <w:t>.</w:t>
            </w:r>
          </w:p>
        </w:tc>
        <w:tc>
          <w:tcPr>
            <w:tcW w:w="4876" w:type="dxa"/>
            <w:vAlign w:val="top"/>
          </w:tcPr>
          <w:p>
            <w:pPr>
              <w:pStyle w:val="Normal6a"/>
            </w:pPr>
            <w:r>
              <w:t>(20)</w:t>
            </w:r>
            <w:r>
              <w:tab/>
            </w:r>
            <w:r>
              <w:t>Členské státy by měly určit vhodná místa pro prověřování</w:t>
            </w:r>
            <w:r>
              <w:rPr>
                <w:b/>
                <w:i/>
                <w:strike w:val="0"/>
                <w:color w:val="auto"/>
                <w:highlight w:val="none"/>
                <w:u w:val="none" w:color="auto"/>
                <w:vertAlign w:val="baseline"/>
              </w:rPr>
              <w:t>, a to i</w:t>
            </w:r>
            <w:r>
              <w:t xml:space="preserve"> na vnějších hranicích nebo v jejich blízkosti s přihlédnutím ke geografii a stávající infrastruktuře a zajistit, že prověřování zadržených státních příslušníků třetích zemí i osob, které se dostaví na hraniční přechod, proběhne rychle. </w:t>
            </w:r>
            <w:r>
              <w:rPr>
                <w:b/>
                <w:i/>
                <w:strike w:val="0"/>
                <w:color w:val="auto"/>
                <w:highlight w:val="none"/>
                <w:u w:val="none" w:color="auto"/>
                <w:vertAlign w:val="baseline"/>
              </w:rPr>
              <w:t>Členské státy zajistí, aby se během prověřování uplatňovaly příslušné podmínky přijímání stanovené ve směrnici (EU)XXX/XXX [přepracované znění směrnice o podmínkách přijímání].</w:t>
            </w:r>
            <w:r>
              <w:t xml:space="preserve"> </w:t>
            </w:r>
            <w:r>
              <w:rPr>
                <w:b/>
                <w:i/>
                <w:strike w:val="0"/>
                <w:color w:val="auto"/>
                <w:highlight w:val="none"/>
                <w:u w:val="none" w:color="auto"/>
                <w:vertAlign w:val="baseline"/>
              </w:rPr>
              <w:t>Děti, rodiny a další zranitelné skupiny by měly být upřednostněny a měly by být bezprostředně po příjezdu odeslány do vhodného ubytování</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23</w:t>
            </w:r>
            <w:r>
              <w:t xml:space="preserve"> </w:t>
            </w:r>
            <w:r>
              <w:rPr>
                <w:b/>
                <w:i/>
                <w:strike w:val="0"/>
                <w:color w:val="auto"/>
                <w:highlight w:val="none"/>
                <w:u w:val="none" w:color="auto"/>
                <w:vertAlign w:val="baseline"/>
              </w:rPr>
              <w:t>Nařízení Evropského parlamentu a Rady (EU) 2019/1896 ze dne 13. listopadu 2019 o Evropské pohraniční a pobřežní stráži (Úř. věst. L 295, 14.11.2019, s.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Členské státy by měly určit vhodná místa pro prověřování na vnějších hranicích nebo v jejich blízkosti s přihlédnutím ke geografii a stávající infrastruktuře a zajistit, že prověřování zadržených státních příslušníků třetích zemí i osob, které se dostaví na hraniční přechod, proběhne rychle. Úkoly spojené s prověřováním lze provádět v hotspotech uvedených v čl. 2 bodu 23 nařízení Evropského parlamentu a Rady (EU) 2019/1896</w:t>
            </w:r>
            <w:r>
              <w:rPr>
                <w:rStyle w:val="Sup"/>
              </w:rPr>
              <w:t>23</w:t>
            </w:r>
            <w:r>
              <w:t>.</w:t>
            </w:r>
          </w:p>
        </w:tc>
        <w:tc>
          <w:tcPr>
            <w:tcW w:w="4876" w:type="dxa"/>
            <w:vAlign w:val="top"/>
          </w:tcPr>
          <w:p>
            <w:pPr>
              <w:pStyle w:val="Normal6a"/>
            </w:pPr>
            <w:r>
              <w:t>(20)</w:t>
            </w:r>
            <w:r>
              <w:tab/>
            </w:r>
            <w:r>
              <w:t xml:space="preserve">Členské státy by měly určit vhodná místa pro prověřování na vnějších hranicích nebo v jejich </w:t>
            </w:r>
            <w:r>
              <w:rPr>
                <w:b/>
                <w:i/>
                <w:strike w:val="0"/>
                <w:color w:val="auto"/>
                <w:highlight w:val="none"/>
                <w:u w:val="none" w:color="auto"/>
                <w:vertAlign w:val="baseline"/>
              </w:rPr>
              <w:t>bezprostřední</w:t>
            </w:r>
            <w:r>
              <w:t xml:space="preserve"> blízkosti s přihlédnutím ke geografii a stávající infrastruktuře a zajistit, že prověřování zadržených státních příslušníků třetích zemí i osob, které se dostaví na hraniční přechod, proběhne rychle</w:t>
            </w:r>
            <w:r>
              <w:rPr>
                <w:b/>
                <w:i/>
                <w:strike w:val="0"/>
                <w:color w:val="auto"/>
                <w:highlight w:val="none"/>
                <w:u w:val="none" w:color="auto"/>
                <w:vertAlign w:val="baseline"/>
              </w:rPr>
              <w:t>.</w:t>
            </w:r>
            <w:r>
              <w:t xml:space="preserve"> </w:t>
            </w:r>
            <w:r>
              <w:rPr>
                <w:b/>
                <w:i/>
                <w:strike w:val="0"/>
                <w:color w:val="auto"/>
                <w:highlight w:val="none"/>
                <w:u w:val="none" w:color="auto"/>
                <w:vertAlign w:val="baseline"/>
              </w:rPr>
              <w:t>V žádném případě se prověřované osoby v rámci řízení nepovažují za osoby nacházející se na území členského státu</w:t>
            </w:r>
            <w:r>
              <w:t>. Úkoly spojené s prověřováním lze provádět v hotspotech uvedených v čl. 2 bodu 23 nařízení Evropského parlamentu a Rady (EU) 2019/1896</w:t>
            </w:r>
            <w:r>
              <w:rPr>
                <w:rStyle w:val="Sup"/>
              </w:rPr>
              <w:t>23</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23</w:t>
            </w:r>
            <w:r>
              <w:t xml:space="preserve"> </w:t>
            </w:r>
            <w:r>
              <w:t>Nařízení Evropského parlamentu a Rady (EU) 2019/1896 ze dne 13. listopadu 2019 o Evropské pohraniční a pobřežní stráži (Úř. věst. L 295, 14.11.2019,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23</w:t>
            </w:r>
            <w:r>
              <w:t xml:space="preserve"> </w:t>
            </w:r>
            <w:r>
              <w:t>Nařízení Evropského parlamentu a Rady (EU) 2019/1896 ze dne 13. listopadu 2019 o Evropské pohraniční a pobřežní stráži (Úř. věst. L 295, 14.11.2019,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(21)</w:t>
            </w:r>
            <w:r>
              <w:tab/>
            </w:r>
            <w:r>
              <w:rPr>
                <w:b/>
                <w:i/>
                <w:strike w:val="0"/>
                <w:color w:val="auto"/>
                <w:highlight w:val="none"/>
                <w:u w:val="none" w:color="auto"/>
                <w:vertAlign w:val="baseline"/>
              </w:rPr>
              <w:t>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2008/115. Kdykoli je to nutné, měly by být do prověřování úzce zapojeny také orgány ochrany dětí, aby bylo zajištěno, že během prověřování bude náležitě zohledněn nejlepší zájem dítěte.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Pr>
                <w:rStyle w:val="SupBoldItalic"/>
              </w:rPr>
              <w:t>24</w:t>
            </w:r>
            <w:r>
              <w:rPr>
                <w:b/>
                <w:i/>
                <w:strike w:val="0"/>
                <w:color w:val="auto"/>
                <w:highlight w:val="none"/>
                <w:u w:val="none" w:color="auto"/>
                <w:vertAlign w:val="baseline"/>
              </w:rPr>
              <w:t>, členské státy by měly zapojit národní zpravodaje pro boj proti obchodování s lidmi.</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24</w:t>
            </w:r>
            <w:r>
              <w:t xml:space="preserve"> </w:t>
            </w:r>
            <w:r>
              <w:rPr>
                <w:b/>
                <w:i/>
                <w:strike w:val="0"/>
                <w:color w:val="auto"/>
                <w:highlight w:val="none"/>
                <w:u w:val="none" w:color="auto"/>
                <w:vertAlign w:val="baseline"/>
              </w:rPr>
              <w:t>Směrnice Evropského parlamentu a Rady 2011/36/EU ze dne 5. dubna 2011 o prevenci obchodování s lidmi, boji proti němu a o ochraně obětí (Úř. věst. L 101, 15.4.2011, s.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Za účelem dosažení cílů prověřování by měla být zajištěna úzká spolupráce mezi příslušnými vnitrostátními orgány uvedenými v článku 16 nařízení 2016/399</w:t>
            </w:r>
            <w:r>
              <w:rPr>
                <w:b/>
                <w:i/>
                <w:strike w:val="0"/>
                <w:color w:val="auto"/>
                <w:highlight w:val="none"/>
                <w:u w:val="none" w:color="auto"/>
                <w:vertAlign w:val="baseline"/>
              </w:rPr>
              <w:t>,</w:t>
            </w:r>
            <w:r>
              <w:t xml:space="preserve"> orgány uvedenými v článku 5 [nařízení o azylovém řízení] </w:t>
            </w:r>
            <w:r>
              <w:rPr>
                <w:b/>
                <w:i/>
                <w:strike w:val="0"/>
                <w:color w:val="auto"/>
                <w:highlight w:val="none"/>
                <w:u w:val="none" w:color="auto"/>
                <w:vertAlign w:val="baseline"/>
              </w:rPr>
              <w:t>a</w:t>
            </w:r>
            <w:r>
              <w:t xml:space="preserve"> orgány </w:t>
            </w:r>
            <w:r>
              <w:rPr>
                <w:b/>
                <w:i/>
                <w:strike w:val="0"/>
                <w:color w:val="auto"/>
                <w:highlight w:val="none"/>
                <w:u w:val="none" w:color="auto"/>
                <w:vertAlign w:val="baseline"/>
              </w:rPr>
              <w:t>odpovědnými za provádění řízení o navrácení podle směrnice 2008/115. Kdykoli je to nutné, měly by být do prověřování úzce zapojeny také orgány ochrany dětí, aby bylo zajištěno, že během prověřování bude náležitě zohledněn nejlepší zájem dítěte</w:t>
            </w:r>
            <w:r>
              <w:t xml:space="preserve">. Členské státy by měly mít možnost využívat podpory v mezích mandátů příslušných agentur, zejména Evropské agentury pro pohraniční a pobřežní stráž a [Agentury Evropské unie pro azyl]. </w:t>
            </w:r>
            <w:r>
              <w:rPr>
                <w:b/>
                <w:i/>
                <w:strike w:val="0"/>
                <w:color w:val="auto"/>
                <w:highlight w:val="none"/>
                <w:u w:val="none" w:color="auto"/>
                <w:vertAlign w:val="baseline"/>
              </w:rPr>
              <w:t>Kdykoli prověřování odhalí skutečnosti související s obchodováním s lidmi v souladu se směrnicí Evropského parlamentu a Rady 2011/36/EU</w:t>
            </w:r>
            <w:r>
              <w:rPr>
                <w:rStyle w:val="Sup"/>
              </w:rPr>
              <w:t>24</w:t>
            </w:r>
            <w:r>
              <w:rPr>
                <w:b/>
                <w:i/>
                <w:strike w:val="0"/>
                <w:color w:val="auto"/>
                <w:highlight w:val="none"/>
                <w:u w:val="none" w:color="auto"/>
                <w:vertAlign w:val="baseline"/>
              </w:rPr>
              <w:t>,</w:t>
            </w:r>
            <w:r>
              <w:t xml:space="preserve"> členské státy by měly zapojit národní zpravodaje pro boj proti obchodování s lidmi.</w:t>
            </w:r>
          </w:p>
        </w:tc>
        <w:tc>
          <w:tcPr>
            <w:tcW w:w="4876" w:type="dxa"/>
            <w:vAlign w:val="top"/>
          </w:tcPr>
          <w:p>
            <w:pPr>
              <w:pStyle w:val="Normal6a"/>
            </w:pPr>
            <w:r>
              <w:t>(21)</w:t>
            </w:r>
            <w:r>
              <w:tab/>
            </w:r>
            <w:r>
              <w:t>Za účelem dosažení cílů prověřování</w:t>
            </w:r>
            <w:r>
              <w:rPr>
                <w:b/>
                <w:i/>
                <w:strike w:val="0"/>
                <w:color w:val="auto"/>
                <w:highlight w:val="none"/>
                <w:u w:val="none" w:color="auto"/>
                <w:vertAlign w:val="baseline"/>
              </w:rPr>
              <w:t>, zejména uznání zranitelnosti,</w:t>
            </w:r>
            <w:r>
              <w:t xml:space="preserve"> by měla být zajištěna úzká spolupráce mezi příslušnými vnitrostátními orgány uvedenými v článku 16 nařízení 2016/399 </w:t>
            </w:r>
            <w:r>
              <w:rPr>
                <w:b/>
                <w:i/>
                <w:strike w:val="0"/>
                <w:color w:val="auto"/>
                <w:highlight w:val="none"/>
                <w:u w:val="none" w:color="auto"/>
                <w:vertAlign w:val="baseline"/>
              </w:rPr>
              <w:t>a</w:t>
            </w:r>
            <w:r>
              <w:t xml:space="preserve"> orgány uvedenými v článku 5 [nařízení o azylovém řízení]</w:t>
            </w:r>
            <w:r>
              <w:rPr>
                <w:b/>
                <w:i/>
                <w:strike w:val="0"/>
                <w:color w:val="auto"/>
                <w:highlight w:val="none"/>
                <w:u w:val="none" w:color="auto"/>
                <w:vertAlign w:val="baseline"/>
              </w:rPr>
              <w:t>.</w:t>
            </w:r>
            <w:r>
              <w:t xml:space="preserve"> </w:t>
            </w:r>
            <w:r>
              <w:rPr>
                <w:b/>
                <w:i/>
                <w:strike w:val="0"/>
                <w:color w:val="auto"/>
                <w:highlight w:val="none"/>
                <w:u w:val="none" w:color="auto"/>
                <w:vertAlign w:val="baseline"/>
              </w:rPr>
              <w:t>Do prověřování by měly být úzce zapojeny také</w:t>
            </w:r>
            <w:r>
              <w:t xml:space="preserve"> orgány </w:t>
            </w:r>
            <w:r>
              <w:rPr>
                <w:b/>
                <w:i/>
                <w:strike w:val="0"/>
                <w:color w:val="auto"/>
                <w:highlight w:val="none"/>
                <w:u w:val="none" w:color="auto"/>
                <w:vertAlign w:val="baseline"/>
              </w:rPr>
              <w:t>ochrany dětí, aby bylo zajištěno, že během prověřování bude náležitě zohledněn nejlepší zájem dítěte.</w:t>
            </w:r>
            <w:r>
              <w:t xml:space="preserve"> </w:t>
            </w:r>
            <w:r>
              <w:rPr>
                <w:b/>
                <w:i/>
                <w:strike w:val="0"/>
                <w:color w:val="auto"/>
                <w:highlight w:val="none"/>
                <w:u w:val="none" w:color="auto"/>
                <w:vertAlign w:val="baseline"/>
              </w:rPr>
              <w:t>Měl by být jmenován zástupce, který bude nezletilou osobu bez doprovodu během prověřování zastupovat a pomáhat jí.</w:t>
            </w:r>
            <w:r>
              <w:t xml:space="preserve"> </w:t>
            </w:r>
            <w:r>
              <w:rPr>
                <w:b/>
                <w:i/>
                <w:strike w:val="0"/>
                <w:color w:val="auto"/>
                <w:highlight w:val="none"/>
                <w:u w:val="none" w:color="auto"/>
                <w:vertAlign w:val="baseline"/>
              </w:rPr>
              <w:t>Tento zástupce by měl být případně totožný se zástupcem, který má být jmenován v souladu s článkem 23 směrnice 2013/33/EU [směrnice o podmínkách přijímání].</w:t>
            </w:r>
            <w:r>
              <w:t xml:space="preserve"> </w:t>
            </w:r>
            <w:r>
              <w:rPr>
                <w:b/>
                <w:i/>
                <w:strike w:val="0"/>
                <w:color w:val="auto"/>
                <w:highlight w:val="none"/>
                <w:u w:val="none" w:color="auto"/>
                <w:vertAlign w:val="baseline"/>
              </w:rPr>
              <w:t>Členské státy by měly usilovat o spolupráci s monitorovacím mechanismem stanoveným v článku 7 s cílem zajistit, aby veškerá opatření a postupy byly v souladu se základními právy.</w:t>
            </w:r>
            <w:r>
              <w:t xml:space="preserve"> </w:t>
            </w:r>
            <w:r>
              <w:rPr>
                <w:b/>
                <w:i/>
                <w:strike w:val="0"/>
                <w:color w:val="auto"/>
                <w:highlight w:val="none"/>
                <w:u w:val="none" w:color="auto"/>
                <w:vertAlign w:val="baseline"/>
              </w:rPr>
              <w:t>Kromě monitorovacího mechanismu by měl být umožněn přístup ke sledování postupů identifikace, ověřování a posuzování věku nevládním organizacím a organizacím občanské společnosti, které se specializují na ochranu dětí</w:t>
            </w:r>
            <w:r>
              <w:t xml:space="preserve">. Členské státy by měly mít možnost využívat podpory v mezích mandátů příslušných agentur, zejména Evropské agentury pro pohraniční a pobřežní stráž a [Agentury Evropské unie pro azyl]. </w:t>
            </w:r>
            <w:r>
              <w:rPr>
                <w:b/>
                <w:i/>
                <w:strike w:val="0"/>
                <w:color w:val="auto"/>
                <w:highlight w:val="none"/>
                <w:u w:val="none" w:color="auto"/>
                <w:vertAlign w:val="baseline"/>
              </w:rPr>
              <w:t>Úkoly, funkce a činnosti prováděné příslušnými agenturami EU na podporu členských států podle tohoto nařízení by měly spadat do oblasti působnosti nezávislého monitorovacího mechanismu, který má každý členský stát zřídit v souladu s tímto nařízením.</w:t>
            </w:r>
            <w:r>
              <w:t xml:space="preserve"> Členské státy by měly </w:t>
            </w:r>
            <w:r>
              <w:rPr>
                <w:b/>
                <w:i/>
                <w:strike w:val="0"/>
                <w:color w:val="auto"/>
                <w:highlight w:val="none"/>
                <w:u w:val="none" w:color="auto"/>
                <w:vertAlign w:val="baseline"/>
              </w:rPr>
              <w:t>také zavést opatření k co nejrychlejší identifikaci potenciálních obětí obchodování s lidmi s cílem zabránit dalšímu obchodování s lidmi, poskytnout jim ochranu a</w:t>
            </w:r>
            <w:r>
              <w:t xml:space="preserve"> zapojit národní zpravodaje pro boj proti obchodování s lidmi</w:t>
            </w:r>
            <w:r>
              <w:rPr>
                <w:b/>
                <w:i/>
                <w:strike w:val="0"/>
                <w:color w:val="auto"/>
                <w:highlight w:val="none"/>
                <w:u w:val="none" w:color="auto"/>
                <w:vertAlign w:val="baseline"/>
              </w:rPr>
              <w:t>, kdykoli prověřování odhalí skutečnosti související s obchodováním s lidmi v souladu se směrnicí Evropského parlamentu a Rady 2011/36/EU</w:t>
            </w:r>
            <w:r>
              <w:rPr>
                <w:rStyle w:val="Sup"/>
              </w:rPr>
              <w:t>24</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w:t>
            </w:r>
            <w:r>
              <w:rPr>
                <w:b/>
                <w:i/>
                <w:strike w:val="0"/>
                <w:color w:val="auto"/>
                <w:highlight w:val="none"/>
                <w:u w:val="none" w:color="auto"/>
                <w:vertAlign w:val="baseline"/>
              </w:rPr>
              <w:t>2008/115</w:t>
            </w:r>
            <w:r>
              <w:t>. Kdykoli je to nutné, měly by být do prověřování úzce zapojeny také orgány ochrany dětí, aby bylo zajištěno, že během prověřování bude náležitě zohledněn nejlepší zájem dítěte.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Pr>
                <w:rStyle w:val="Sup"/>
              </w:rPr>
              <w:t>24</w:t>
            </w:r>
            <w:r>
              <w:t>, členské státy by měly zapojit národní zpravodaje pro boj proti obchodování s lidmi.</w:t>
            </w:r>
          </w:p>
        </w:tc>
        <w:tc>
          <w:tcPr>
            <w:tcW w:w="4876" w:type="dxa"/>
            <w:vAlign w:val="top"/>
          </w:tcPr>
          <w:p>
            <w:pPr>
              <w:pStyle w:val="Normal6a"/>
            </w:pPr>
            <w:r>
              <w:t>(21)</w:t>
            </w:r>
            <w:r>
              <w:tab/>
            </w:r>
            <w:r>
              <w:t xml:space="preserve">Za účelem dosažení cílů prověřování by měla být zajištěna úzká spolupráce mezi příslušnými vnitrostátními orgány uvedenými v článku 16 nařízení </w:t>
            </w:r>
            <w:r>
              <w:rPr>
                <w:b/>
                <w:i/>
                <w:strike w:val="0"/>
                <w:color w:val="auto"/>
                <w:highlight w:val="none"/>
                <w:u w:val="none" w:color="auto"/>
                <w:vertAlign w:val="baseline"/>
              </w:rPr>
              <w:t>(EU)</w:t>
            </w:r>
            <w:r>
              <w:t xml:space="preserve"> 2016/399, orgány uvedenými v článku 5 </w:t>
            </w:r>
            <w:r>
              <w:rPr>
                <w:b/>
                <w:i/>
                <w:strike w:val="0"/>
                <w:color w:val="auto"/>
                <w:highlight w:val="none"/>
                <w:u w:val="none" w:color="auto"/>
                <w:vertAlign w:val="baseline"/>
              </w:rPr>
              <w:t>nařízení (EU) xxxx/xxxx</w:t>
            </w:r>
            <w:r>
              <w:t xml:space="preserve"> [nařízení o azylovém řízení] a orgány odpovědnými za provádění řízení o navrácení podle směrnice </w:t>
            </w:r>
            <w:r>
              <w:rPr>
                <w:b/>
                <w:i/>
                <w:strike w:val="0"/>
                <w:color w:val="auto"/>
                <w:highlight w:val="none"/>
                <w:u w:val="none" w:color="auto"/>
                <w:vertAlign w:val="baseline"/>
              </w:rPr>
              <w:t>2008/115/ES</w:t>
            </w:r>
            <w:r>
              <w:t>. Kdykoli je to nutné, měly by být do prověřování úzce zapojeny také orgány ochrany dětí, aby bylo zajištěno, že během prověřování bude náležitě zohledněn nejlepší zájem dítěte. Členské státy by měly mít možnost využívat podpory v mezích mandátů příslušných agentur, zejména Evropské agentury pro pohraniční a pobřežní stráž a [Agentury Evropské unie pro azyl]</w:t>
            </w:r>
            <w:r>
              <w:rPr>
                <w:b/>
                <w:i/>
                <w:strike w:val="0"/>
                <w:color w:val="auto"/>
                <w:highlight w:val="none"/>
                <w:u w:val="none" w:color="auto"/>
                <w:vertAlign w:val="baseline"/>
              </w:rPr>
              <w:t>.</w:t>
            </w:r>
            <w:r>
              <w:t xml:space="preserve"> </w:t>
            </w:r>
            <w:r>
              <w:rPr>
                <w:b/>
                <w:i/>
                <w:strike w:val="0"/>
                <w:color w:val="auto"/>
                <w:highlight w:val="none"/>
                <w:u w:val="none" w:color="auto"/>
                <w:vertAlign w:val="baseline"/>
              </w:rPr>
              <w:t>Úkoly, funkce a činnosti prováděné příslušnými agenturami EU na podporu členských států podle tohoto nařízení by měly spadat do oblasti působnosti nezávislého monitorovacího mechanismu, který má každý členský stát zřídit v souladu s tímto nařízením</w:t>
            </w:r>
            <w:r>
              <w:t>. Kdykoli prověřování odhalí skutečnosti související s obchodováním s lidmi v souladu se směrnicí Evropského parlamentu a Rady 2011/36/EU</w:t>
            </w:r>
            <w:r>
              <w:rPr>
                <w:rStyle w:val="Sup"/>
              </w:rPr>
              <w:t>24</w:t>
            </w:r>
            <w:r>
              <w:t>, členské státy by měly zapojit národní zpravodaje pro boj proti obchodování s lidmi.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Harald Vilimsky</w:t>
      </w:r>
      <w:r>
        <w:t xml:space="preserve">, </w:t>
      </w:r>
      <w:r>
        <w:t>Charlie Weimers</w:t>
      </w:r>
      <w:r>
        <w:t xml:space="preserve">, </w:t>
      </w:r>
      <w:r>
        <w:t>Nicolaus Fest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2008/115. Kdykoli je to nutné, </w:t>
            </w:r>
            <w:r>
              <w:rPr>
                <w:b/>
                <w:i/>
                <w:strike w:val="0"/>
                <w:color w:val="auto"/>
                <w:highlight w:val="none"/>
                <w:u w:val="none" w:color="auto"/>
                <w:vertAlign w:val="baseline"/>
              </w:rPr>
              <w:t>měly by</w:t>
            </w:r>
            <w:r>
              <w:t xml:space="preserve"> být do prověřování </w:t>
            </w:r>
            <w:r>
              <w:rPr>
                <w:b/>
                <w:i/>
                <w:strike w:val="0"/>
                <w:color w:val="auto"/>
                <w:highlight w:val="none"/>
                <w:u w:val="none" w:color="auto"/>
                <w:vertAlign w:val="baseline"/>
              </w:rPr>
              <w:t>úzce</w:t>
            </w:r>
            <w:r>
              <w:t xml:space="preserve"> zapojeny také orgány ochrany dětí</w:t>
            </w:r>
            <w:r>
              <w:rPr>
                <w:b/>
                <w:i/>
                <w:strike w:val="0"/>
                <w:color w:val="auto"/>
                <w:highlight w:val="none"/>
                <w:u w:val="none" w:color="auto"/>
                <w:vertAlign w:val="baseline"/>
              </w:rPr>
              <w:t>, aby bylo zajištěno, že během prověřování bude náležitě zohledněn nejlepší zájem dítěte</w:t>
            </w:r>
            <w:r>
              <w:t>.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Pr>
                <w:rStyle w:val="Sup"/>
              </w:rPr>
              <w:t>24</w:t>
            </w:r>
            <w:r>
              <w:t>, členské státy by měly zapojit národní zpravodaje pro boj proti obchodování s lidmi.</w:t>
            </w:r>
          </w:p>
        </w:tc>
        <w:tc>
          <w:tcPr>
            <w:tcW w:w="4876" w:type="dxa"/>
            <w:vAlign w:val="top"/>
          </w:tcPr>
          <w:p>
            <w:pPr>
              <w:pStyle w:val="Normal6a"/>
            </w:pPr>
            <w:r>
              <w:t>(21)</w:t>
            </w:r>
            <w:r>
              <w:tab/>
            </w:r>
            <w:r>
              <w:t xml:space="preserve">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2008/115. Kdykoli je to nutné, </w:t>
            </w:r>
            <w:r>
              <w:rPr>
                <w:b/>
                <w:i/>
                <w:strike w:val="0"/>
                <w:color w:val="auto"/>
                <w:highlight w:val="none"/>
                <w:u w:val="none" w:color="auto"/>
                <w:vertAlign w:val="baseline"/>
              </w:rPr>
              <w:t>mohou</w:t>
            </w:r>
            <w:r>
              <w:t xml:space="preserve"> být do prověřování zapojeny také orgány ochrany dětí.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Pr>
                <w:rStyle w:val="Sup"/>
              </w:rPr>
              <w:t>24</w:t>
            </w:r>
            <w:r>
              <w:t>, členské státy by měly zapojit národní zpravodaje pro boj proti obchodování s lidmi.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2008/115. </w:t>
            </w:r>
            <w:r>
              <w:rPr>
                <w:b/>
                <w:i/>
                <w:strike w:val="0"/>
                <w:color w:val="auto"/>
                <w:highlight w:val="none"/>
                <w:u w:val="none" w:color="auto"/>
                <w:vertAlign w:val="baseline"/>
              </w:rPr>
              <w:t>Kdykoli je to nutné</w:t>
            </w:r>
            <w:r>
              <w:t>, měly by být do prověřování úzce zapojeny také orgány ochrany dětí, aby bylo zajištěno, že během prověřování bude náležitě zohledněn nejlepší zájem dítěte.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Pr>
                <w:rStyle w:val="Sup"/>
              </w:rPr>
              <w:t>24</w:t>
            </w:r>
            <w:r>
              <w:t>, členské státy by měly zapojit národní zpravodaje pro boj proti obchodování s lidmi.</w:t>
            </w:r>
          </w:p>
        </w:tc>
        <w:tc>
          <w:tcPr>
            <w:tcW w:w="4876" w:type="dxa"/>
            <w:vAlign w:val="top"/>
          </w:tcPr>
          <w:p>
            <w:pPr>
              <w:pStyle w:val="Normal6a"/>
            </w:pPr>
            <w:r>
              <w:t>(21)</w:t>
            </w:r>
            <w:r>
              <w:tab/>
            </w:r>
            <w:r>
              <w:t xml:space="preserve">Za účelem dosažení cílů prověřování by měla být zajištěna úzká spolupráce mezi příslušnými vnitrostátními orgány uvedenými v článku 16 nařízení 2016/399, orgány uvedenými v článku 5 [nařízení o azylovém řízení] a orgány odpovědnými za provádění řízení o navrácení podle směrnice 2008/115. </w:t>
            </w:r>
            <w:r>
              <w:rPr>
                <w:b/>
                <w:i/>
                <w:strike w:val="0"/>
                <w:color w:val="auto"/>
                <w:highlight w:val="none"/>
                <w:u w:val="none" w:color="auto"/>
                <w:vertAlign w:val="baseline"/>
              </w:rPr>
              <w:t>Pokud se jedná o nezletilé osoby či osoby, které se prohlašují za nezletilé</w:t>
            </w:r>
            <w:r>
              <w:t>, měly by být do prověřování úzce zapojeny také orgány ochrany dětí, aby bylo zajištěno, že během prověřování bude náležitě zohledněn nejlepší zájem dítěte. Členské státy by měly mít možnost využívat podpory v mezích mandátů příslušných agentur, zejména Evropské agentury pro pohraniční a pobřežní stráž a [Agentury Evropské unie pro azyl]. Kdykoli prověřování odhalí skutečnosti související s obchodováním s lidmi v souladu se směrnicí Evropského parlamentu a Rady 2011/36/EU</w:t>
            </w:r>
            <w:r>
              <w:rPr>
                <w:rStyle w:val="Sup"/>
              </w:rPr>
              <w:t>24</w:t>
            </w:r>
            <w:r>
              <w:t>, členské státy by měly zapojit národní zpravodaje pro boj proti obchodování s lidmi.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xml:space="preserve"> 1)</w:t>
            </w:r>
            <w:r>
              <w:t>.</w:t>
            </w:r>
          </w:p>
        </w:tc>
        <w:tc>
          <w:tcPr>
            <w:tcW w:w="4876" w:type="dxa"/>
            <w:vAlign w:val="top"/>
          </w:tcPr>
          <w:p>
            <w:pPr>
              <w:pStyle w:val="Normal6a"/>
            </w:pPr>
            <w:r>
              <w:rPr>
                <w:rStyle w:val="Sup"/>
              </w:rPr>
              <w:t>24</w:t>
            </w:r>
            <w:r>
              <w:t xml:space="preserve"> </w:t>
            </w:r>
            <w:r>
              <w:t>Směrnice Evropského parlamentu a Rady 2011/36/EU ze dne 5. dubna 2011 o prevenci obchodování s lidmi, boji proti němu a o ochraně obětí (Úř. věst. L 101, 15.4.2011, s.</w:t>
            </w:r>
            <w:r>
              <w:rPr>
                <w:b/>
                <w:i/>
                <w:strike w:val="0"/>
                <w:color w:val="auto"/>
                <w:highlight w:val="none"/>
                <w:u w:val="none" w:color="auto"/>
                <w:vertAlign w:val="baseline"/>
              </w:rPr>
              <w:t> 1)</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(22)</w:t>
            </w:r>
            <w:r>
              <w:tab/>
            </w:r>
            <w:r>
              <w:rPr>
                <w:b/>
                <w:i/>
                <w:strike w:val="0"/>
                <w:color w:val="auto"/>
                <w:highlight w:val="none"/>
                <w:u w:val="none" w:color="auto"/>
                <w:vertAlign w:val="baseline"/>
              </w:rPr>
              <w:t>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Zvláštní pozornost by měla být věnována nejlepšímu zájmu dítěte.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Příslušné orgány </w:t>
            </w:r>
            <w:r>
              <w:rPr>
                <w:b/>
                <w:i/>
                <w:strike w:val="0"/>
                <w:color w:val="auto"/>
                <w:highlight w:val="none"/>
                <w:u w:val="none" w:color="auto"/>
                <w:vertAlign w:val="baseline"/>
              </w:rPr>
              <w:t>by měly</w:t>
            </w:r>
            <w:r>
              <w:t xml:space="preserve"> při provádění prověřování </w:t>
            </w:r>
            <w:r>
              <w:rPr>
                <w:b/>
                <w:i/>
                <w:strike w:val="0"/>
                <w:color w:val="auto"/>
                <w:highlight w:val="none"/>
                <w:u w:val="none" w:color="auto"/>
                <w:vertAlign w:val="baseline"/>
              </w:rPr>
              <w:t>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Zvláštní pozornost by měla být věnována nejlepšímu zájmu dítěte</w:t>
            </w:r>
            <w:r>
              <w:t>.</w:t>
            </w:r>
          </w:p>
        </w:tc>
        <w:tc>
          <w:tcPr>
            <w:tcW w:w="4876" w:type="dxa"/>
            <w:vAlign w:val="top"/>
          </w:tcPr>
          <w:p>
            <w:pPr>
              <w:pStyle w:val="Normal6a"/>
            </w:pPr>
            <w:r>
              <w:t>(22)</w:t>
            </w:r>
            <w:r>
              <w:tab/>
            </w:r>
            <w:r>
              <w:rPr>
                <w:b/>
                <w:i/>
                <w:strike w:val="0"/>
                <w:color w:val="auto"/>
                <w:highlight w:val="none"/>
                <w:u w:val="none" w:color="auto"/>
                <w:vertAlign w:val="baseline"/>
              </w:rPr>
              <w:t>Očekává se, že</w:t>
            </w:r>
            <w:r>
              <w:t xml:space="preserve"> příslušné orgány při provádění prověřování </w:t>
            </w:r>
            <w:r>
              <w:rPr>
                <w:b/>
                <w:i/>
                <w:strike w:val="0"/>
                <w:color w:val="auto"/>
                <w:highlight w:val="none"/>
                <w:u w:val="none" w:color="auto"/>
                <w:vertAlign w:val="baseline"/>
              </w:rPr>
              <w:t>dodržují vnitrostátní právní předpisy a veškerá příslušná ustanovení dvoustranných a mnohostranných dohod nebo dohod EU s partnerskými třetími zeměmi, v nichž se nacházejí přijímací střediska, a zajistí, aby během tohoto řízení byla respektována lidská důstojnost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w:t>
            </w:r>
            <w:r>
              <w:rPr>
                <w:b/>
                <w:i/>
                <w:strike w:val="0"/>
                <w:color w:val="auto"/>
                <w:highlight w:val="none"/>
                <w:u w:val="none" w:color="auto"/>
                <w:vertAlign w:val="baseline"/>
              </w:rPr>
              <w:t>. Zvláštní pozornost by měla být věnována nejlepšímu</w:t>
            </w:r>
            <w:r>
              <w:t xml:space="preserve"> zájmu dítěte.</w:t>
            </w:r>
          </w:p>
        </w:tc>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či genderové identitě.</w:t>
            </w:r>
            <w:r>
              <w:t xml:space="preserve"> </w:t>
            </w:r>
            <w:r>
              <w:rPr>
                <w:b/>
                <w:i/>
                <w:strike w:val="0"/>
                <w:color w:val="auto"/>
                <w:highlight w:val="none"/>
                <w:u w:val="none" w:color="auto"/>
                <w:vertAlign w:val="baseline"/>
              </w:rPr>
              <w:t>U všech rozhodnutí týkajících se dětí je třeba brát v první ohled na nejlepší zájem dítěte.</w:t>
            </w:r>
            <w:r>
              <w:t xml:space="preserve"> </w:t>
            </w:r>
            <w:r>
              <w:rPr>
                <w:b/>
                <w:i/>
                <w:strike w:val="0"/>
                <w:color w:val="auto"/>
                <w:highlight w:val="none"/>
                <w:u w:val="none" w:color="auto"/>
                <w:vertAlign w:val="baseline"/>
              </w:rPr>
              <w:t>Vzhledem k tomu, že zajištění dětí pro účely migrace není nikdy v nejlepším</w:t>
            </w:r>
            <w:r>
              <w:t xml:space="preserve"> zájmu dítěte</w:t>
            </w:r>
            <w:r>
              <w:rPr>
                <w:b/>
                <w:i/>
                <w:strike w:val="0"/>
                <w:color w:val="auto"/>
                <w:highlight w:val="none"/>
                <w:u w:val="none" w:color="auto"/>
                <w:vertAlign w:val="baseline"/>
              </w:rPr>
              <w:t>, děti bez doprovodu ani děti s rodinami nesmí být nikdy zajištěny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Zvláštní pozornost by měla být věnována nejlepšímu zájmu</w:t>
            </w:r>
            <w:r>
              <w:t xml:space="preserve"> dítěte.</w:t>
            </w:r>
          </w:p>
        </w:tc>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Při provádění tohoto nařízení je třeba brát v první řadě ohled na nejlepší zájem</w:t>
            </w:r>
            <w:r>
              <w:t xml:space="preserve"> dítěte.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Zvláštní pozornost by měla být věnována nejlepšímu zájmu</w:t>
            </w:r>
            <w:r>
              <w:t xml:space="preserve"> dítěte.</w:t>
            </w:r>
          </w:p>
        </w:tc>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Při provádění tohoto nařízení je třeba brát v první řadě ohled na nejlepší zájem</w:t>
            </w:r>
            <w:r>
              <w:t xml:space="preserve"> dítěte.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Zvláštní pozornost by měla být věnována nejlepšímu zájmu</w:t>
            </w:r>
            <w:r>
              <w:t xml:space="preserve"> dítěte.</w:t>
            </w:r>
          </w:p>
        </w:tc>
        <w:tc>
          <w:tcPr>
            <w:tcW w:w="4876" w:type="dxa"/>
            <w:vAlign w:val="top"/>
          </w:tcPr>
          <w:p>
            <w:pPr>
              <w:pStyle w:val="Normal6a"/>
            </w:pPr>
            <w:r>
              <w:t>(22)</w:t>
            </w:r>
            <w:r>
              <w:tab/>
            </w:r>
            <w:r>
              <w:t xml:space="preserve">Příslušné orgány by měly při provádění prověřování dodržovat Listinu základních práv Evropské unie, zajistit respektování lidské důstojnosti a zajistit, aby nedocházelo k diskriminaci osob založené na pohlaví, rase, barvě pleti, etnickém nebo sociálním původu, genetických rysech, jazyku, náboženském vyznání nebo přesvědčení, politických názorech či jakýchkoli jiných názorech, příslušnosti k národnostní menšině, zdravotním postižení, věku nebo sexuální orientaci. </w:t>
            </w:r>
            <w:r>
              <w:rPr>
                <w:b/>
                <w:i/>
                <w:strike w:val="0"/>
                <w:color w:val="auto"/>
                <w:highlight w:val="none"/>
                <w:u w:val="none" w:color="auto"/>
                <w:vertAlign w:val="baseline"/>
              </w:rPr>
              <w:t>Je třeba vzít v úvahu nejlepší zájem</w:t>
            </w:r>
            <w:r>
              <w:t xml:space="preserve"> dítěte.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(23)</w:t>
            </w:r>
            <w:r>
              <w:tab/>
            </w:r>
            <w:r>
              <w:rPr>
                <w:b/>
                <w:i/>
                <w:strike w:val="0"/>
                <w:color w:val="auto"/>
                <w:highlight w:val="none"/>
                <w:u w:val="none" w:color="auto"/>
                <w:vertAlign w:val="baseline"/>
              </w:rP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(23)</w:t>
            </w:r>
            <w:r>
              <w:tab/>
            </w:r>
            <w:r>
              <w:rPr>
                <w:b/>
                <w:i/>
                <w:strike w:val="0"/>
                <w:color w:val="auto"/>
                <w:highlight w:val="none"/>
                <w:u w:val="none" w:color="auto"/>
                <w:vertAlign w:val="baseline"/>
              </w:rP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w:t>
            </w:r>
            <w:r>
              <w:rPr>
                <w:b/>
                <w:i/>
                <w:strike w:val="0"/>
                <w:color w:val="auto"/>
                <w:highlight w:val="none"/>
                <w:u w:val="none" w:color="auto"/>
                <w:vertAlign w:val="baseline"/>
              </w:rPr>
              <w:t xml:space="preserve"> b) nařízení (EU</w:t>
            </w:r>
            <w:r>
              <w:t xml:space="preserve">) </w:t>
            </w:r>
            <w:r>
              <w:rPr>
                <w:b/>
                <w:i/>
                <w:strike w:val="0"/>
                <w:color w:val="auto"/>
                <w:highlight w:val="none"/>
                <w:u w:val="none" w:color="auto"/>
                <w:vertAlign w:val="baseline"/>
              </w:rPr>
              <w:t>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w:t>
            </w:r>
            <w:r>
              <w:t xml:space="preserve"> nařízení (EU) </w:t>
            </w:r>
            <w:r>
              <w:rPr>
                <w:b/>
                <w:i/>
                <w:strike w:val="0"/>
                <w:color w:val="auto"/>
                <w:highlight w:val="none"/>
                <w:u w:val="none" w:color="auto"/>
                <w:vertAlign w:val="baseline"/>
              </w:rPr>
              <w:t>2019/1896. Členské státy by měly vyšetřovat obvinění z porušení základních práv během prověřování mimo jiné tím, že zajistí, aby stížnosti byly vyřizovány rychle a odpovídajícím způsobem</w:t>
            </w:r>
            <w:r>
              <w:t>.</w:t>
            </w:r>
          </w:p>
        </w:tc>
        <w:tc>
          <w:tcPr>
            <w:tcW w:w="4876" w:type="dxa"/>
            <w:vAlign w:val="top"/>
          </w:tcPr>
          <w:p>
            <w:pPr>
              <w:pStyle w:val="Normal6a"/>
            </w:pPr>
            <w:r>
              <w:t>(23)</w:t>
            </w:r>
            <w:r>
              <w:tab/>
            </w:r>
            <w: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w:t>
            </w:r>
            <w:r>
              <w:rPr>
                <w:b/>
                <w:i/>
                <w:strike w:val="0"/>
                <w:color w:val="auto"/>
                <w:highlight w:val="none"/>
                <w:u w:val="none" w:color="auto"/>
                <w:vertAlign w:val="baseline"/>
              </w:rPr>
              <w:t> b</w:t>
            </w:r>
            <w:r>
              <w:t xml:space="preserve">) nařízení (EU) </w:t>
            </w:r>
            <w:r>
              <w:rPr>
                <w:b/>
                <w:i/>
                <w:strike w:val="0"/>
                <w:color w:val="auto"/>
                <w:highlight w:val="none"/>
                <w:u w:val="none" w:color="auto"/>
                <w:vertAlign w:val="baseline"/>
              </w:rPr>
              <w:t>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Aby bylo během prověřování zajištěno dodržování právních předpisů </w:t>
            </w:r>
            <w:r>
              <w:rPr>
                <w:b/>
                <w:i/>
                <w:strike w:val="0"/>
                <w:color w:val="auto"/>
                <w:highlight w:val="none"/>
                <w:u w:val="none" w:color="auto"/>
                <w:vertAlign w:val="baseline"/>
              </w:rPr>
              <w:t>EU a mezinárodního práva, včetně Listiny základních práv,</w:t>
            </w:r>
            <w:r>
              <w:t xml:space="preserve"> každý členský stát </w:t>
            </w:r>
            <w:r>
              <w:rPr>
                <w:b/>
                <w:i/>
                <w:strike w:val="0"/>
                <w:color w:val="auto"/>
                <w:highlight w:val="none"/>
                <w:u w:val="none" w:color="auto"/>
                <w:vertAlign w:val="baseline"/>
              </w:rPr>
              <w:t>by měl zřídit</w:t>
            </w:r>
            <w:r>
              <w:t xml:space="preserve"> monitorovací mechanismus </w:t>
            </w:r>
            <w:r>
              <w:rPr>
                <w:b/>
                <w:i/>
                <w:strike w:val="0"/>
                <w:color w:val="auto"/>
                <w:highlight w:val="none"/>
                <w:u w:val="none" w:color="auto"/>
                <w:vertAlign w:val="baseline"/>
              </w:rPr>
              <w:t>a zavést</w:t>
            </w:r>
            <w:r>
              <w:t xml:space="preserve"> odpovídající záruky jeho nezávislosti. Monitorovací mechanismus by se měl vztahovat zejména na </w:t>
            </w:r>
            <w:r>
              <w:rPr>
                <w:b/>
                <w:i/>
                <w:strike w:val="0"/>
                <w:color w:val="auto"/>
                <w:highlight w:val="none"/>
                <w:u w:val="none" w:color="auto"/>
                <w:vertAlign w:val="baseline"/>
              </w:rPr>
              <w:t>dodržování základních práv v souvislosti s prověřováním, jakož i na dodržování platných vnitrostátních 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w:t>
            </w:r>
            <w:r>
              <w:t xml:space="preserve"> pro základní práva </w:t>
            </w:r>
            <w:r>
              <w:rPr>
                <w:b/>
                <w:i/>
                <w:strike w:val="0"/>
                <w:color w:val="auto"/>
                <w:highlight w:val="none"/>
                <w:u w:val="none" w:color="auto"/>
                <w:vertAlign w:val="baseline"/>
              </w:rPr>
              <w:t>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r>
              <w:t>.</w:t>
            </w:r>
          </w:p>
        </w:tc>
        <w:tc>
          <w:tcPr>
            <w:tcW w:w="4876" w:type="dxa"/>
            <w:vAlign w:val="top"/>
          </w:tcPr>
          <w:p>
            <w:pPr>
              <w:pStyle w:val="Normal6a"/>
            </w:pPr>
            <w:r>
              <w:t>(23)</w:t>
            </w:r>
            <w:r>
              <w:tab/>
            </w:r>
            <w:r>
              <w:t xml:space="preserve">Aby bylo během prověřování zajištěno dodržování </w:t>
            </w:r>
            <w:r>
              <w:rPr>
                <w:b/>
                <w:i/>
                <w:strike w:val="0"/>
                <w:color w:val="auto"/>
                <w:highlight w:val="none"/>
                <w:u w:val="none" w:color="auto"/>
                <w:vertAlign w:val="baseline"/>
              </w:rPr>
              <w:t>vnitrostátních</w:t>
            </w:r>
            <w:r>
              <w:t xml:space="preserve"> právních předpisů </w:t>
            </w:r>
            <w:r>
              <w:rPr>
                <w:b/>
                <w:i/>
                <w:strike w:val="0"/>
                <w:color w:val="auto"/>
                <w:highlight w:val="none"/>
                <w:u w:val="none" w:color="auto"/>
                <w:vertAlign w:val="baseline"/>
              </w:rPr>
              <w:t>a dohod s partnerskými třetími zeměmi, měl by</w:t>
            </w:r>
            <w:r>
              <w:t xml:space="preserve"> každý členský stát </w:t>
            </w:r>
            <w:r>
              <w:rPr>
                <w:b/>
                <w:i/>
                <w:strike w:val="0"/>
                <w:color w:val="auto"/>
                <w:highlight w:val="none"/>
                <w:u w:val="none" w:color="auto"/>
                <w:vertAlign w:val="baseline"/>
              </w:rPr>
              <w:t>zavést</w:t>
            </w:r>
            <w:r>
              <w:t xml:space="preserve"> monitorovací mechanismus </w:t>
            </w:r>
            <w:r>
              <w:rPr>
                <w:b/>
                <w:i/>
                <w:strike w:val="0"/>
                <w:color w:val="auto"/>
                <w:highlight w:val="none"/>
                <w:u w:val="none" w:color="auto"/>
                <w:vertAlign w:val="baseline"/>
              </w:rPr>
              <w:t>pro sledování účinnosti navracení a přemisťování do přijímacích středisek v partnerských třetích zemích a</w:t>
            </w:r>
            <w:r>
              <w:t xml:space="preserve"> odpovídající záruky jeho nezávislosti. Monitorovací mechanismus by se měl vztahovat zejména na </w:t>
            </w:r>
            <w:r>
              <w:rPr>
                <w:b/>
                <w:i/>
                <w:strike w:val="0"/>
                <w:color w:val="auto"/>
                <w:highlight w:val="none"/>
                <w:u w:val="none" w:color="auto"/>
                <w:vertAlign w:val="baseline"/>
              </w:rPr>
              <w:t>účinnost kontrol, přemisťování do přijímacích středisek v partnerských třetích zemích a navracení do poslední bezpečné tranzitní země, zemí původu nebo přístavů původu po záchraně na moři, jakož i na dodržování platných vnitrostátních pravidel a dohod s partnerskými třetími zeměmi.</w:t>
            </w:r>
            <w:r>
              <w:t xml:space="preserve"> </w:t>
            </w:r>
            <w:r>
              <w:rPr>
                <w:b/>
                <w:i/>
                <w:strike w:val="0"/>
                <w:color w:val="auto"/>
                <w:highlight w:val="none"/>
                <w:u w:val="none" w:color="auto"/>
                <w:vertAlign w:val="baseline"/>
              </w:rPr>
              <w:t>Agentura</w:t>
            </w:r>
            <w:r>
              <w:t xml:space="preserve"> pro základní práva </w:t>
            </w:r>
            <w:r>
              <w:rPr>
                <w:b/>
                <w:i/>
                <w:strike w:val="0"/>
                <w:color w:val="auto"/>
                <w:highlight w:val="none"/>
                <w:u w:val="none" w:color="auto"/>
                <w:vertAlign w:val="baseline"/>
              </w:rPr>
              <w:t>nikdy nekoná způsobem, který by zasahoval do činnosti vnitrostátních orgánů během procesu prověřování, přemisťování do partnerských třetích zemí nebo doprovodu plavidel, která převážejí migranty, do přístavu původu za účelem vylodění, místo do Evropy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Aby bylo během prověřování zajištěno dodržování právních předpisů EU a mezinárodního práva, včetně Listiny základních práv, </w:t>
            </w:r>
            <w:r>
              <w:rPr>
                <w:b/>
                <w:i/>
                <w:strike w:val="0"/>
                <w:color w:val="auto"/>
                <w:highlight w:val="none"/>
                <w:u w:val="none" w:color="auto"/>
                <w:vertAlign w:val="baseline"/>
              </w:rPr>
              <w:t>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w:t>
            </w:r>
            <w:r>
              <w:t xml:space="preserve"> Členské státy </w:t>
            </w:r>
            <w:r>
              <w:rPr>
                <w:b/>
                <w:i/>
                <w:strike w:val="0"/>
                <w:color w:val="auto"/>
                <w:highlight w:val="none"/>
                <w:u w:val="none" w:color="auto"/>
                <w:vertAlign w:val="baseline"/>
              </w:rPr>
              <w:t>by měly</w:t>
            </w:r>
            <w:r>
              <w:t xml:space="preserve"> vyšetřovat obvinění z porušení základních práv během prověřování mimo jiné tím, že zajistí, aby stížnosti byly vyřizovány rychle a odpovídajícím způsobem.</w:t>
            </w:r>
          </w:p>
        </w:tc>
        <w:tc>
          <w:tcPr>
            <w:tcW w:w="4876" w:type="dxa"/>
            <w:vAlign w:val="top"/>
          </w:tcPr>
          <w:p>
            <w:pPr>
              <w:pStyle w:val="Normal6a"/>
            </w:pPr>
            <w:r>
              <w:t>(23)</w:t>
            </w:r>
            <w:r>
              <w:tab/>
            </w:r>
            <w:r>
              <w:t xml:space="preserve">Aby bylo během prověřování zajištěno dodržování právních předpisů EU a mezinárodního práva, včetně Listiny základních práv, </w:t>
            </w:r>
            <w:r>
              <w:rPr>
                <w:b/>
                <w:i/>
                <w:strike w:val="0"/>
                <w:color w:val="auto"/>
                <w:highlight w:val="none"/>
                <w:u w:val="none" w:color="auto"/>
                <w:vertAlign w:val="baseline"/>
              </w:rPr>
              <w:t>měly by</w:t>
            </w:r>
            <w:r>
              <w:t xml:space="preserve"> členské státy vyšetřovat obvinění z porušení základních práv během prověřování mimo jiné tím, že zajistí, aby stížnosti byly vyřizovány rychle a odpovídajícím způsobem.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Aby bylo </w:t>
            </w:r>
            <w:r>
              <w:rPr>
                <w:b/>
                <w:i/>
                <w:strike w:val="0"/>
                <w:color w:val="auto"/>
                <w:highlight w:val="none"/>
                <w:u w:val="none" w:color="auto"/>
                <w:vertAlign w:val="baseline"/>
              </w:rPr>
              <w:t>během prověřování</w:t>
            </w:r>
            <w:r>
              <w:t xml:space="preserve"> zajištěno dodržování právních předpisů EU a mezinárodního práva, včetně Listiny základních práv, každý členský stát by měl zřídit monitorovací mechanismus a zavést odpovídající záruky jeho nezávislosti. Monitorovací mechanismus by </w:t>
            </w:r>
            <w:r>
              <w:rPr>
                <w:b/>
                <w:i/>
                <w:strike w:val="0"/>
                <w:color w:val="auto"/>
                <w:highlight w:val="none"/>
                <w:u w:val="none" w:color="auto"/>
                <w:vertAlign w:val="baseline"/>
              </w:rPr>
              <w:t>se měl vztahovat zejména na</w:t>
            </w:r>
            <w:r>
              <w:t xml:space="preserve"> dodržování základních práv v souvislosti s prověřováním, </w:t>
            </w:r>
            <w:r>
              <w:rPr>
                <w:b/>
                <w:i/>
                <w:strike w:val="0"/>
                <w:color w:val="auto"/>
                <w:highlight w:val="none"/>
                <w:u w:val="none" w:color="auto"/>
                <w:vertAlign w:val="baseline"/>
              </w:rPr>
              <w:t>jakož i na dodržování platných vnitrostátních pravidel týkajících se zajištění a dodržování zásady nenavracení podle čl. 3 písm</w:t>
            </w:r>
            <w:r>
              <w:t>.</w:t>
            </w:r>
            <w:r>
              <w:rPr>
                <w:b/>
                <w:i/>
                <w:strike w:val="0"/>
                <w:color w:val="auto"/>
                <w:highlight w:val="none"/>
                <w:u w:val="none" w:color="auto"/>
                <w:vertAlign w:val="baseline"/>
              </w:rPr>
              <w:t xml:space="preserve"> b) nařízení (EU) 2016/399</w:t>
            </w:r>
            <w:r>
              <w:t xml:space="preserve">. Agentura pro základní práva by měla stanovit </w:t>
            </w:r>
            <w:r>
              <w:rPr>
                <w:b/>
                <w:i/>
                <w:strike w:val="0"/>
                <w:color w:val="auto"/>
                <w:highlight w:val="none"/>
                <w:u w:val="none" w:color="auto"/>
                <w:vertAlign w:val="baseline"/>
              </w:rPr>
              <w:t>obecné</w:t>
            </w:r>
            <w:r>
              <w:t xml:space="preserve"> pokyny pro </w:t>
            </w:r>
            <w:r>
              <w:rPr>
                <w:b/>
                <w:i/>
                <w:strike w:val="0"/>
                <w:color w:val="auto"/>
                <w:highlight w:val="none"/>
                <w:u w:val="none" w:color="auto"/>
                <w:vertAlign w:val="baseline"/>
              </w:rPr>
              <w:t>zřízení a nezávislé</w:t>
            </w:r>
            <w:r>
              <w:t xml:space="preserve">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w:t>
            </w:r>
            <w:r>
              <w:rPr>
                <w:b/>
                <w:i/>
                <w:strike w:val="0"/>
                <w:color w:val="auto"/>
                <w:highlight w:val="none"/>
                <w:u w:val="none" w:color="auto"/>
                <w:vertAlign w:val="baseline"/>
              </w:rPr>
              <w:t>Fungováním nezávislého monitorovacího mechanismu by nemělo být dotčeno monitorování základních práv prováděné osobami pověřenými sledováním</w:t>
            </w:r>
            <w:r>
              <w:t xml:space="preserve"> základních práv Evropské </w:t>
            </w:r>
            <w:r>
              <w:rPr>
                <w:b/>
                <w:i/>
                <w:strike w:val="0"/>
                <w:color w:val="auto"/>
                <w:highlight w:val="none"/>
                <w:u w:val="none" w:color="auto"/>
                <w:vertAlign w:val="baseline"/>
              </w:rPr>
              <w:t>agentury pro pohraniční a pobřežní stráž podle</w:t>
            </w:r>
            <w:r>
              <w:t xml:space="preserve"> nařízení (EU) </w:t>
            </w:r>
            <w:r>
              <w:rPr>
                <w:b/>
                <w:i/>
                <w:strike w:val="0"/>
                <w:color w:val="auto"/>
                <w:highlight w:val="none"/>
                <w:u w:val="none" w:color="auto"/>
                <w:vertAlign w:val="baseline"/>
              </w:rPr>
              <w:t>2019/1896</w:t>
            </w:r>
            <w:r>
              <w:t xml:space="preserve">. Členské státy by měly vyšetřovat obvinění z porušení základních práv během prověřování mimo jiné tím, že zajistí, aby stížnosti byly vyřizovány rychle </w:t>
            </w:r>
            <w:r>
              <w:rPr>
                <w:b/>
                <w:i/>
                <w:strike w:val="0"/>
                <w:color w:val="auto"/>
                <w:highlight w:val="none"/>
                <w:u w:val="none" w:color="auto"/>
                <w:vertAlign w:val="baseline"/>
              </w:rPr>
              <w:t>a odpovídajícím způsobem</w:t>
            </w:r>
            <w:r>
              <w:t>.</w:t>
            </w:r>
          </w:p>
        </w:tc>
        <w:tc>
          <w:tcPr>
            <w:tcW w:w="4876" w:type="dxa"/>
            <w:vAlign w:val="top"/>
          </w:tcPr>
          <w:p>
            <w:pPr>
              <w:pStyle w:val="Normal6a"/>
            </w:pPr>
            <w:r>
              <w:t>(23)</w:t>
            </w:r>
            <w:r>
              <w:tab/>
            </w:r>
            <w:r>
              <w:t xml:space="preserve">Aby bylo zajištěno dodržování právních předpisů EU a mezinárodního práva, včetně Listiny základních práv, každý členský stát by měl zřídit monitorovací mechanismus a zavést odpovídající záruky jeho nezávislosti. Monitorovací mechanismus by </w:t>
            </w:r>
            <w:r>
              <w:rPr>
                <w:b/>
                <w:i/>
                <w:strike w:val="0"/>
                <w:color w:val="auto"/>
                <w:highlight w:val="none"/>
                <w:u w:val="none" w:color="auto"/>
                <w:vertAlign w:val="baseline"/>
              </w:rPr>
              <w:t>měl zejména průběžně monitorovat veškerou činnost v oblasti správy a ostrahy hranic prováděné vnitrostátními orgány nebo příslušnými agenturami EU na jejím území, dodržování zásady nenavracení a</w:t>
            </w:r>
            <w:r>
              <w:t xml:space="preserve"> dodržování základních práv v souvislosti s prověřováním, </w:t>
            </w:r>
            <w:r>
              <w:rPr>
                <w:b/>
                <w:i/>
                <w:strike w:val="0"/>
                <w:color w:val="auto"/>
                <w:highlight w:val="none"/>
                <w:u w:val="none" w:color="auto"/>
                <w:vertAlign w:val="baseline"/>
              </w:rPr>
              <w:t>azylovým řízením a řízením o navrácení.</w:t>
            </w:r>
            <w:r>
              <w:t xml:space="preserve"> </w:t>
            </w:r>
            <w:r>
              <w:rPr>
                <w:b/>
                <w:i/>
                <w:strike w:val="0"/>
                <w:color w:val="auto"/>
                <w:highlight w:val="none"/>
                <w:u w:val="none" w:color="auto"/>
                <w:vertAlign w:val="baseline"/>
              </w:rPr>
              <w:t>Nezávislý monitorovací mechanismus vydává doporučení členským státům a agenturám EU a každoročně zveřejní zprávu o svých zjištěních, doporučeních a opatřeních přijatých k provedení jeho doporučení.</w:t>
            </w:r>
            <w:r>
              <w:t xml:space="preserve"> </w:t>
            </w:r>
            <w:r>
              <w:rPr>
                <w:b/>
                <w:i/>
                <w:strike w:val="0"/>
                <w:color w:val="auto"/>
                <w:highlight w:val="none"/>
                <w:u w:val="none" w:color="auto"/>
                <w:vertAlign w:val="baseline"/>
              </w:rPr>
              <w:t>Aby mohl monitorovací mechanismus účinně plnit své úkoly, měl by mít neomezený přístup k jakémukoli místu nebo dokumentům, které považuje za důležité pro plnění svého mandátu, a měl by mít možnost provádět pravidelné ohlášené a neohlášené návštěvy</w:t>
            </w:r>
            <w:r>
              <w:t xml:space="preserve">. </w:t>
            </w:r>
            <w:r>
              <w:rPr>
                <w:b/>
                <w:i/>
                <w:strike w:val="0"/>
                <w:color w:val="auto"/>
                <w:highlight w:val="none"/>
                <w:u w:val="none" w:color="auto"/>
                <w:vertAlign w:val="baseline"/>
              </w:rPr>
              <w:t>Členské státy by měly zavést přiměřené záruky, které zaručí nezávislost mechanismu, mimo jiné tím, že zajistí, aby součástí monitorovacího systému byli vnitrostátní organizace na ochranu lidských práv, veřejní ochránci práv, nezávislé nevládní organizace a organizace občanské společnosti a mezinárodní organizace</w:t>
            </w:r>
            <w:r>
              <w:t xml:space="preserve">. Agentura pro základní práva by měla stanovit pokyny pro </w:t>
            </w:r>
            <w:r>
              <w:rPr>
                <w:b/>
                <w:i/>
                <w:strike w:val="0"/>
                <w:color w:val="auto"/>
                <w:highlight w:val="none"/>
                <w:u w:val="none" w:color="auto"/>
                <w:vertAlign w:val="baseline"/>
              </w:rPr>
              <w:t>uplatňování rámce stanoveného v článku 7, který zahrnuje záruky pro zajištění nezávislého</w:t>
            </w:r>
            <w:r>
              <w:t xml:space="preserve">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w:t>
            </w:r>
            <w:r>
              <w:rPr>
                <w:b/>
                <w:i/>
                <w:strike w:val="0"/>
                <w:color w:val="auto"/>
                <w:highlight w:val="none"/>
                <w:u w:val="none" w:color="auto"/>
                <w:vertAlign w:val="baseline"/>
              </w:rPr>
              <w:t>Nezávislý monitorovací mechanismus by měl působit v součinnosti s dalšími monitorovacími nástroji EU v oblasti</w:t>
            </w:r>
            <w:r>
              <w:t xml:space="preserve"> základních práv</w:t>
            </w:r>
            <w:r>
              <w:rPr>
                <w:b/>
                <w:i/>
                <w:strike w:val="0"/>
                <w:color w:val="auto"/>
                <w:highlight w:val="none"/>
                <w:u w:val="none" w:color="auto"/>
                <w:vertAlign w:val="baseline"/>
              </w:rPr>
              <w:t>, jako jsou zejména nástroje stanovené v článcích 109, 110 a 111 nařízení (EU) 2019/1896 (nařízení o</w:t>
            </w:r>
            <w:r>
              <w:t xml:space="preserve"> Evropské </w:t>
            </w:r>
            <w:r>
              <w:rPr>
                <w:b/>
                <w:i/>
                <w:strike w:val="0"/>
                <w:color w:val="auto"/>
                <w:highlight w:val="none"/>
                <w:u w:val="none" w:color="auto"/>
                <w:vertAlign w:val="baseline"/>
              </w:rPr>
              <w:t>pohraniční a pobřežní stráži), monitorovací mechanismus pro účely sledování operativního a technického uplatňování společného evropského azylového systému, jak je stanoveno v článku 14</w:t>
            </w:r>
            <w:r>
              <w:t xml:space="preserve"> nařízení (EU) </w:t>
            </w:r>
            <w:r>
              <w:rPr>
                <w:b/>
                <w:i/>
                <w:strike w:val="0"/>
                <w:color w:val="auto"/>
                <w:highlight w:val="none"/>
                <w:u w:val="none" w:color="auto"/>
                <w:vertAlign w:val="baseline"/>
              </w:rPr>
              <w:t>xxxx/xxxx [nařízení o Agentuře EU pro azyl] a v nařízení (EU) xxxx/xxxx [nařízení o schengenském hodnotícím a monitorovacím mechanismu], a jeho fungováním by tyto nástroje neměly být dotčeny</w:t>
            </w:r>
            <w:r>
              <w:t xml:space="preserve">. Členské státy by měly vyšetřovat </w:t>
            </w:r>
            <w:r>
              <w:rPr>
                <w:b/>
                <w:i/>
                <w:strike w:val="0"/>
                <w:color w:val="auto"/>
                <w:highlight w:val="none"/>
                <w:u w:val="none" w:color="auto"/>
                <w:vertAlign w:val="baseline"/>
              </w:rPr>
              <w:t>všechna</w:t>
            </w:r>
            <w:r>
              <w:t xml:space="preserve"> obvinění z porušení základních práv během prověřování</w:t>
            </w:r>
            <w:r>
              <w:rPr>
                <w:b/>
                <w:i/>
                <w:strike w:val="0"/>
                <w:color w:val="auto"/>
                <w:highlight w:val="none"/>
                <w:u w:val="none" w:color="auto"/>
                <w:vertAlign w:val="baseline"/>
              </w:rPr>
              <w:t>, azylového řízení a řízení o navrácení</w:t>
            </w:r>
            <w:r>
              <w:t xml:space="preserve"> mimo jiné tím, že zajistí, aby stížnosti byly vyřizovány rychle</w:t>
            </w:r>
            <w:r>
              <w:rPr>
                <w:b/>
                <w:i/>
                <w:strike w:val="0"/>
                <w:color w:val="auto"/>
                <w:highlight w:val="none"/>
                <w:u w:val="none" w:color="auto"/>
                <w:vertAlign w:val="baseline"/>
              </w:rPr>
              <w:t>, účinně a tak, aby mohly vést k identifikaci a odpovídajícímu postihu odpovědných osob</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Aby bylo </w:t>
            </w:r>
            <w:r>
              <w:rPr>
                <w:b/>
                <w:i/>
                <w:strike w:val="0"/>
                <w:color w:val="auto"/>
                <w:highlight w:val="none"/>
                <w:u w:val="none" w:color="auto"/>
                <w:vertAlign w:val="baseline"/>
              </w:rPr>
              <w:t>během prověřování</w:t>
            </w:r>
            <w:r>
              <w:t xml:space="preserve">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w:t>
            </w:r>
            <w:r>
              <w:rPr>
                <w:b/>
                <w:i/>
                <w:strike w:val="0"/>
                <w:color w:val="auto"/>
                <w:highlight w:val="none"/>
                <w:u w:val="none" w:color="auto"/>
                <w:vertAlign w:val="baseline"/>
              </w:rPr>
              <w:t xml:space="preserve"> b)</w:t>
            </w:r>
            <w:r>
              <w:t xml:space="preserve"> nařízení (EU) 2016/399. Agentura pro základní práva by měla stanovit obecné pokyny pro zřízení a nezávislé fungování takového monitorovacího mechanismu. Členské státy by dále měly </w:t>
            </w:r>
            <w:r>
              <w:rPr>
                <w:b/>
                <w:i/>
                <w:strike w:val="0"/>
                <w:color w:val="auto"/>
                <w:highlight w:val="none"/>
                <w:u w:val="none" w:color="auto"/>
                <w:vertAlign w:val="baseline"/>
              </w:rPr>
              <w:t>mít možnost požádat</w:t>
            </w:r>
            <w:r>
              <w:t xml:space="preserve">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w:t>
            </w:r>
            <w:r>
              <w:rPr>
                <w:b/>
                <w:i/>
                <w:strike w:val="0"/>
                <w:color w:val="auto"/>
                <w:highlight w:val="none"/>
                <w:u w:val="none" w:color="auto"/>
                <w:vertAlign w:val="baseline"/>
              </w:rPr>
              <w:t>Členským státům by také mělo být umožněno přizvat k účasti na monitorování relevantní a příslušné</w:t>
            </w:r>
            <w:r>
              <w:t xml:space="preserve"> vnitrostátní, mezinárodní a nevládní organizace a subjekty. Fungováním nezávislého monitorovacího mechanismu by </w:t>
            </w:r>
            <w:r>
              <w:rPr>
                <w:b/>
                <w:i/>
                <w:strike w:val="0"/>
                <w:color w:val="auto"/>
                <w:highlight w:val="none"/>
                <w:u w:val="none" w:color="auto"/>
                <w:vertAlign w:val="baseline"/>
              </w:rPr>
              <w:t>nemělo být dotčeno</w:t>
            </w:r>
            <w:r>
              <w:t xml:space="preserve"> monitorování základních práv prováděné osobami pověřenými sledováním základních práv Evropské agentury pro pohraniční a pobřežní stráž podle nařízení (EU) 2019/1896. Členské státy by měly vyšetřovat obvinění z porušení základních práv </w:t>
            </w:r>
            <w:r>
              <w:rPr>
                <w:b/>
                <w:i/>
                <w:strike w:val="0"/>
                <w:color w:val="auto"/>
                <w:highlight w:val="none"/>
                <w:u w:val="none" w:color="auto"/>
                <w:vertAlign w:val="baseline"/>
              </w:rPr>
              <w:t>během prověřování</w:t>
            </w:r>
            <w:r>
              <w:t xml:space="preserve"> mimo jiné tím, že zajistí, aby stížnosti byly vyřizovány rychle a odpovídajícím způsobem.</w:t>
            </w:r>
          </w:p>
        </w:tc>
        <w:tc>
          <w:tcPr>
            <w:tcW w:w="4876" w:type="dxa"/>
            <w:vAlign w:val="top"/>
          </w:tcPr>
          <w:p>
            <w:pPr>
              <w:pStyle w:val="Normal6a"/>
            </w:pPr>
            <w:r>
              <w:t>(23)</w:t>
            </w:r>
            <w:r>
              <w:tab/>
            </w:r>
            <w:r>
              <w:t xml:space="preserve">Aby bylo zajištěno dodržování právních předpisů EU a mezinárodního práva, včetně Listiny základních práv, </w:t>
            </w:r>
            <w:r>
              <w:rPr>
                <w:b/>
                <w:i/>
                <w:strike w:val="0"/>
                <w:color w:val="auto"/>
                <w:highlight w:val="none"/>
                <w:u w:val="none" w:color="auto"/>
                <w:vertAlign w:val="baseline"/>
              </w:rPr>
              <w:t>při všech činnostech, které se odehrávají na vnějších hranicích a ve všech řízeních probíhajících v souvislosti s migrací,</w:t>
            </w:r>
            <w:r>
              <w:t xml:space="preserve"> každý členský stát by měl zřídit monitorovací mechanismus a zavést odpovídající záruky jeho nezávislosti. Monitorovací mechanismus by se měl vztahovat zejména na dodržování základních práv v souvislosti s </w:t>
            </w:r>
            <w:r>
              <w:rPr>
                <w:b/>
                <w:i/>
                <w:strike w:val="0"/>
                <w:color w:val="auto"/>
                <w:highlight w:val="none"/>
                <w:u w:val="none" w:color="auto"/>
                <w:vertAlign w:val="baseline"/>
              </w:rPr>
              <w:t>ochranou hranic,</w:t>
            </w:r>
            <w:r>
              <w:t xml:space="preserve"> prověřováním, </w:t>
            </w:r>
            <w:r>
              <w:rPr>
                <w:b/>
                <w:i/>
                <w:strike w:val="0"/>
                <w:color w:val="auto"/>
                <w:highlight w:val="none"/>
                <w:u w:val="none" w:color="auto"/>
                <w:vertAlign w:val="baseline"/>
              </w:rPr>
              <w:t>azylovým řízením a řízením o navrácení,</w:t>
            </w:r>
            <w:r>
              <w:t xml:space="preserve"> jakož i na dodržování platných vnitrostátních pravidel týkajících se zajištění a dodržování zásady nenavracení podle čl. 3 písm.</w:t>
            </w:r>
            <w:r>
              <w:rPr>
                <w:b/>
                <w:i/>
                <w:strike w:val="0"/>
                <w:color w:val="auto"/>
                <w:highlight w:val="none"/>
                <w:u w:val="none" w:color="auto"/>
                <w:vertAlign w:val="baseline"/>
              </w:rPr>
              <w:t> b)</w:t>
            </w:r>
            <w:r>
              <w:t xml:space="preserve"> nařízení (EU) 2016/399. Agentura pro základní práva by měla stanovit obecné pokyny pro zřízení a nezávislé fungování takového monitorovacího mechanismu. Členské státy by dále měly </w:t>
            </w:r>
            <w:r>
              <w:rPr>
                <w:b/>
                <w:i/>
                <w:strike w:val="0"/>
                <w:color w:val="auto"/>
                <w:highlight w:val="none"/>
                <w:u w:val="none" w:color="auto"/>
                <w:vertAlign w:val="baseline"/>
              </w:rPr>
              <w:t>být vybízeny, aby požádaly</w:t>
            </w:r>
            <w:r>
              <w:t xml:space="preserve"> o podporu Agentury pro základní práva při vývoji svých vnitrostátních </w:t>
            </w:r>
            <w:r>
              <w:rPr>
                <w:b/>
                <w:i/>
                <w:strike w:val="0"/>
                <w:color w:val="auto"/>
                <w:highlight w:val="none"/>
                <w:u w:val="none" w:color="auto"/>
                <w:vertAlign w:val="baseline"/>
              </w:rPr>
              <w:t>nezávislých</w:t>
            </w:r>
            <w:r>
              <w:t xml:space="preserve"> monitorovacích mechanismů. Členské státy by rovněž měly mít možnost požádat Agenturu pro základní práva o radu ohledně stanovení metodiky pro tento monitorovací mechanismus a ohledně vhodných opatření v oblasti odborné přípravy. </w:t>
            </w:r>
            <w:r>
              <w:rPr>
                <w:b/>
                <w:i/>
                <w:strike w:val="0"/>
                <w:color w:val="auto"/>
                <w:highlight w:val="none"/>
                <w:u w:val="none" w:color="auto"/>
                <w:vertAlign w:val="baseline"/>
              </w:rPr>
              <w:t>Na vytváření, řízení a fungování monitorovacího mechanismu by se měly podílet nezávislé</w:t>
            </w:r>
            <w:r>
              <w:t xml:space="preserve"> vnitrostátní, mezinárodní a nevládní organizace a subjekty</w:t>
            </w:r>
            <w:r>
              <w:rPr>
                <w:b/>
                <w:i/>
                <w:strike w:val="0"/>
                <w:color w:val="auto"/>
                <w:highlight w:val="none"/>
                <w:u w:val="none" w:color="auto"/>
                <w:vertAlign w:val="baseline"/>
              </w:rPr>
              <w:t>, organizace občanské společnosti a obránci lidských práv a při výkonu své práce jim musí být zajištěna odpovídající ochrana</w:t>
            </w:r>
            <w:r>
              <w:t xml:space="preserve">. Fungováním nezávislého monitorovacího mechanismu by </w:t>
            </w:r>
            <w:r>
              <w:rPr>
                <w:b/>
                <w:i/>
                <w:strike w:val="0"/>
                <w:color w:val="auto"/>
                <w:highlight w:val="none"/>
                <w:u w:val="none" w:color="auto"/>
                <w:vertAlign w:val="baseline"/>
              </w:rPr>
              <w:t>neměly být dotčeny</w:t>
            </w:r>
            <w:r>
              <w:t xml:space="preserve"> monitorování základních práv prováděné osobami pověřenými sledováním základních práv Evropské agentury pro pohraniční a pobřežní stráž podle nařízení (EU) 2019/1896 </w:t>
            </w:r>
            <w:r>
              <w:rPr>
                <w:b/>
                <w:i/>
                <w:strike w:val="0"/>
                <w:color w:val="auto"/>
                <w:highlight w:val="none"/>
                <w:u w:val="none" w:color="auto"/>
                <w:vertAlign w:val="baseline"/>
              </w:rPr>
              <w:t>, mechanismus pro účely monitorování provozního a technického uplatňování společného evropského azylového systému (CEAS), jak je stanoveno v článku 14 nařízení (EU) xxxx/xxxx [nařízení o Agentuře EU pro azyl], a toto fungování by mělo doplňovat monitorování prováděné stávajícími vnitrostátními nebo mezinárodními monitorovacími orgány.</w:t>
            </w:r>
            <w:r>
              <w:t xml:space="preserve"> </w:t>
            </w:r>
            <w:r>
              <w:rPr>
                <w:b/>
                <w:i/>
                <w:strike w:val="0"/>
                <w:color w:val="auto"/>
                <w:highlight w:val="none"/>
                <w:u w:val="none" w:color="auto"/>
                <w:vertAlign w:val="baseline"/>
              </w:rPr>
              <w:t>Členské státy by měly zajistit, aby nezávislé vnitrostátní orgány zapojené do monitorovacího mechanismu a samotný mechanismus mohly řádně vykonávat svou činnost, mimo jiné poskytnutím přístupu k místům nebo dokumentům, prováděním vyšetřování a podáváním zpráv</w:t>
            </w:r>
            <w:r>
              <w:t>. Členské státy by měly vyšetřovat obvinění z porušení základních práv</w:t>
            </w:r>
            <w:r>
              <w:rPr>
                <w:b/>
                <w:i/>
                <w:strike w:val="0"/>
                <w:color w:val="auto"/>
                <w:highlight w:val="none"/>
                <w:u w:val="none" w:color="auto"/>
                <w:vertAlign w:val="baseline"/>
              </w:rPr>
              <w:t>,</w:t>
            </w:r>
            <w:r>
              <w:t xml:space="preserve"> mimo jiné tím, že zajistí, aby stížnosti byly vyřizovány rychle a odpovídajícím způsobem</w:t>
            </w:r>
            <w:r>
              <w:rPr>
                <w:b/>
                <w:i/>
                <w:strike w:val="0"/>
                <w:color w:val="auto"/>
                <w:highlight w:val="none"/>
                <w:u w:val="none" w:color="auto"/>
                <w:vertAlign w:val="baseline"/>
              </w:rPr>
              <w:t>, včetně stanovení účinných, přiměřených a odrazujících sankcí a postupů, které v případě porušení práva povedou k identifikaci a sankcím osob, které jsou za ně odpovědné</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c>
          <w:tcPr>
            <w:tcW w:w="4876" w:type="dxa"/>
            <w:vAlign w:val="top"/>
          </w:tcPr>
          <w:p>
            <w:pPr>
              <w:pStyle w:val="Normal6a"/>
            </w:pPr>
            <w:r>
              <w:t>(23)</w:t>
            </w:r>
            <w:r>
              <w:tab/>
            </w:r>
            <w:r>
              <w:t xml:space="preserve">Aby bylo během prověřování zajištěno dodržování právních předpisů EU a mezinárodního práva, včetně Listiny základních práv, každý členský stát by měl zřídit monitorovací mechanismus </w:t>
            </w:r>
            <w:r>
              <w:rPr>
                <w:b/>
                <w:i/>
                <w:strike w:val="0"/>
                <w:color w:val="auto"/>
                <w:highlight w:val="none"/>
                <w:u w:val="none" w:color="auto"/>
                <w:vertAlign w:val="baseline"/>
              </w:rPr>
              <w:t>nebo určit existující mechanismus</w:t>
            </w:r>
            <w:r>
              <w:t xml:space="preserve"> a zavést odpovídající záruky jeho nezávislosti. Monitorovací mechanismus </w:t>
            </w:r>
            <w:r>
              <w:rPr>
                <w:b/>
                <w:i/>
                <w:strike w:val="0"/>
                <w:color w:val="auto"/>
                <w:highlight w:val="none"/>
                <w:u w:val="none" w:color="auto"/>
                <w:vertAlign w:val="baseline"/>
              </w:rPr>
              <w:t>doplňující monitorování prováděné Agenturou Evropské unie pro otázky azylu</w:t>
            </w:r>
            <w:r>
              <w:t xml:space="preserve"> by se měl vztahovat zejména na dodržování základních práv v souvislosti s prověřováním, jakož i na dodržování platných vnitrostátních pravidel týkajících se zajištění a dodržování zásady nenavracení podle čl. 3 písm. b)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účasti na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Aby bylo </w:t>
            </w:r>
            <w:r>
              <w:rPr>
                <w:b/>
                <w:i/>
                <w:strike w:val="0"/>
                <w:color w:val="auto"/>
                <w:highlight w:val="none"/>
                <w:u w:val="none" w:color="auto"/>
                <w:vertAlign w:val="baseline"/>
              </w:rPr>
              <w:t>během prověřování</w:t>
            </w:r>
            <w:r>
              <w:t xml:space="preserve"> zajištěno dodržování právních předpisů EU a mezinárodního práva, včetně Listiny základních práv, každý členský stát </w:t>
            </w:r>
            <w:r>
              <w:rPr>
                <w:b/>
                <w:i/>
                <w:strike w:val="0"/>
                <w:color w:val="auto"/>
                <w:highlight w:val="none"/>
                <w:u w:val="none" w:color="auto"/>
                <w:vertAlign w:val="baseline"/>
              </w:rPr>
              <w:t>by měl zřídit monitorovací mechanismus a zavést</w:t>
            </w:r>
            <w:r>
              <w:t xml:space="preserve"> odpovídající záruky jeho nezávislosti. Monitorovací mechanismus by se měl vztahovat zejména na dodržování základních práv </w:t>
            </w:r>
            <w:r>
              <w:rPr>
                <w:b/>
                <w:i/>
                <w:strike w:val="0"/>
                <w:color w:val="auto"/>
                <w:highlight w:val="none"/>
                <w:u w:val="none" w:color="auto"/>
                <w:vertAlign w:val="baseline"/>
              </w:rPr>
              <w:t>v souvislosti s prověřováním, jakož i na dodržování platných vnitrostátních pravidel týkajících se</w:t>
            </w:r>
            <w:r>
              <w:t xml:space="preserve"> zajištění a dodržování zásady nenavracení podle čl. 3 písm. b) nařízení (EU) 2016/399. Agentura pro základní práva </w:t>
            </w:r>
            <w:r>
              <w:rPr>
                <w:b/>
                <w:i/>
                <w:strike w:val="0"/>
                <w:color w:val="auto"/>
                <w:highlight w:val="none"/>
                <w:u w:val="none" w:color="auto"/>
                <w:vertAlign w:val="baseline"/>
              </w:rPr>
              <w:t>by měla stanovit</w:t>
            </w:r>
            <w:r>
              <w:t xml:space="preserve"> obecné pokyny pro zřízení a nezávislé fungování takového monitorovacího mechanismu. Členské státy </w:t>
            </w:r>
            <w:r>
              <w:rPr>
                <w:b/>
                <w:i/>
                <w:strike w:val="0"/>
                <w:color w:val="auto"/>
                <w:highlight w:val="none"/>
                <w:u w:val="none" w:color="auto"/>
                <w:vertAlign w:val="baseline"/>
              </w:rPr>
              <w:t>by dále měly mít</w:t>
            </w:r>
            <w:r>
              <w:t xml:space="preserve">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w:t>
            </w:r>
            <w:r>
              <w:rPr>
                <w:b/>
                <w:i/>
                <w:strike w:val="0"/>
                <w:color w:val="auto"/>
                <w:highlight w:val="none"/>
                <w:u w:val="none" w:color="auto"/>
                <w:vertAlign w:val="baseline"/>
              </w:rPr>
              <w:t>Členským státům by také mělo být umožněno přizvat k účasti na monitorování</w:t>
            </w:r>
            <w:r>
              <w:t xml:space="preserve">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w:t>
            </w:r>
            <w:r>
              <w:rPr>
                <w:b/>
                <w:i/>
                <w:strike w:val="0"/>
                <w:color w:val="auto"/>
                <w:highlight w:val="none"/>
                <w:u w:val="none" w:color="auto"/>
                <w:vertAlign w:val="baseline"/>
              </w:rPr>
              <w:t>během prověřování</w:t>
            </w:r>
            <w:r>
              <w:t xml:space="preserve"> mimo jiné tím, že zajistí, aby stížnosti byly vyřizovány rychle a </w:t>
            </w:r>
            <w:r>
              <w:rPr>
                <w:b/>
                <w:i/>
                <w:strike w:val="0"/>
                <w:color w:val="auto"/>
                <w:highlight w:val="none"/>
                <w:u w:val="none" w:color="auto"/>
                <w:vertAlign w:val="baseline"/>
              </w:rPr>
              <w:t>odpovídajícím způsobem</w:t>
            </w:r>
            <w:r>
              <w:t>.</w:t>
            </w:r>
          </w:p>
        </w:tc>
        <w:tc>
          <w:tcPr>
            <w:tcW w:w="4876" w:type="dxa"/>
            <w:vAlign w:val="top"/>
          </w:tcPr>
          <w:p>
            <w:pPr>
              <w:pStyle w:val="Normal6a"/>
            </w:pPr>
            <w:r>
              <w:t>(23)</w:t>
            </w:r>
            <w:r>
              <w:tab/>
            </w:r>
            <w:r>
              <w:t xml:space="preserve">Aby bylo zajištěno dodržování právních předpisů EU a mezinárodního práva, včetně Listiny základních práv, </w:t>
            </w:r>
            <w:r>
              <w:rPr>
                <w:b/>
                <w:i/>
                <w:strike w:val="0"/>
                <w:color w:val="auto"/>
                <w:highlight w:val="none"/>
                <w:u w:val="none" w:color="auto"/>
                <w:vertAlign w:val="baseline"/>
              </w:rPr>
              <w:t>zřídí</w:t>
            </w:r>
            <w:r>
              <w:t xml:space="preserve"> každý členský stát </w:t>
            </w:r>
            <w:r>
              <w:rPr>
                <w:b/>
                <w:i/>
                <w:strike w:val="0"/>
                <w:color w:val="auto"/>
                <w:highlight w:val="none"/>
                <w:u w:val="none" w:color="auto"/>
                <w:vertAlign w:val="baseline"/>
              </w:rPr>
              <w:t>monitorovací mechanismus během ostrahy hranic, prověřování, všech azylových řízení a řízení o navrácení, jakož i v krizových situacích v oblasti migrace a azylu.</w:t>
            </w:r>
            <w:r>
              <w:t xml:space="preserve"> </w:t>
            </w:r>
            <w:r>
              <w:rPr>
                <w:b/>
                <w:i/>
                <w:strike w:val="0"/>
                <w:color w:val="auto"/>
                <w:highlight w:val="none"/>
                <w:u w:val="none" w:color="auto"/>
                <w:vertAlign w:val="baseline"/>
              </w:rPr>
              <w:t>Zavede</w:t>
            </w:r>
            <w:r>
              <w:t xml:space="preserve"> odpovídající záruky jeho nezávislosti </w:t>
            </w:r>
            <w:r>
              <w:rPr>
                <w:b/>
                <w:i/>
                <w:strike w:val="0"/>
                <w:color w:val="auto"/>
                <w:highlight w:val="none"/>
                <w:u w:val="none" w:color="auto"/>
                <w:vertAlign w:val="baseline"/>
              </w:rPr>
              <w:t>a účinnosti a v případě potřeby zahájí vyšetřování a připraví disciplinární a odrazující opatření</w:t>
            </w:r>
            <w:r>
              <w:t>. Monitorovací mechanismus by se měl vztahovat zejména na dodržování základních práv</w:t>
            </w:r>
            <w:r>
              <w:rPr>
                <w:b/>
                <w:i/>
                <w:strike w:val="0"/>
                <w:color w:val="auto"/>
                <w:highlight w:val="none"/>
                <w:u w:val="none" w:color="auto"/>
                <w:vertAlign w:val="baseline"/>
              </w:rPr>
              <w:t>, včetně používání</w:t>
            </w:r>
            <w:r>
              <w:t xml:space="preserve"> zajištění a dodržování zásady nenavracení podle čl. 3 písm. b) nařízení (EU) 2016/399. Agentura pro základní práva </w:t>
            </w:r>
            <w:r>
              <w:rPr>
                <w:b/>
                <w:i/>
                <w:strike w:val="0"/>
                <w:color w:val="auto"/>
                <w:highlight w:val="none"/>
                <w:u w:val="none" w:color="auto"/>
                <w:vertAlign w:val="baseline"/>
              </w:rPr>
              <w:t>stanoví</w:t>
            </w:r>
            <w:r>
              <w:t xml:space="preserve"> obecné pokyny pro zřízení a nezávislé fungování takového monitorovacího mechanismu. Členské státy </w:t>
            </w:r>
            <w:r>
              <w:rPr>
                <w:b/>
                <w:i/>
                <w:strike w:val="0"/>
                <w:color w:val="auto"/>
                <w:highlight w:val="none"/>
                <w:u w:val="none" w:color="auto"/>
                <w:vertAlign w:val="baseline"/>
              </w:rPr>
              <w:t>mají dále</w:t>
            </w:r>
            <w:r>
              <w:t xml:space="preserve">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w:t>
            </w:r>
            <w:r>
              <w:rPr>
                <w:b/>
                <w:i/>
                <w:strike w:val="0"/>
                <w:color w:val="auto"/>
                <w:highlight w:val="none"/>
                <w:u w:val="none" w:color="auto"/>
                <w:vertAlign w:val="baseline"/>
              </w:rPr>
              <w:t>Monitorování se mohou účastnit</w:t>
            </w:r>
            <w:r>
              <w:t xml:space="preserve">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mimo jiné tím, že zajistí, aby stížnosti byly vyřizovány rychle a </w:t>
            </w:r>
            <w:r>
              <w:rPr>
                <w:b/>
                <w:i/>
                <w:strike w:val="0"/>
                <w:color w:val="auto"/>
                <w:highlight w:val="none"/>
                <w:u w:val="none" w:color="auto"/>
                <w:vertAlign w:val="baseline"/>
              </w:rPr>
              <w:t>nezávisle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w:t>
            </w:r>
            <w:r>
              <w:rPr>
                <w:b/>
                <w:i/>
                <w:strike w:val="0"/>
                <w:color w:val="auto"/>
                <w:highlight w:val="none"/>
                <w:u w:val="none" w:color="auto"/>
                <w:vertAlign w:val="baseline"/>
              </w:rPr>
              <w:t xml:space="preserve"> b)</w:t>
            </w:r>
            <w:r>
              <w:t xml:space="preserve">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w:t>
            </w:r>
            <w:r>
              <w:rPr>
                <w:b/>
                <w:i/>
                <w:strike w:val="0"/>
                <w:color w:val="auto"/>
                <w:highlight w:val="none"/>
                <w:u w:val="none" w:color="auto"/>
                <w:vertAlign w:val="baseline"/>
              </w:rPr>
              <w:t>účasti na</w:t>
            </w:r>
            <w:r>
              <w:t xml:space="preserve">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c>
          <w:tcPr>
            <w:tcW w:w="4876" w:type="dxa"/>
            <w:vAlign w:val="top"/>
          </w:tcPr>
          <w:p>
            <w:pPr>
              <w:pStyle w:val="Normal6a"/>
            </w:pPr>
            <w:r>
              <w:t>(23)</w:t>
            </w:r>
            <w:r>
              <w:tab/>
            </w:r>
            <w:r>
              <w:t>Aby bylo během prověřování zajištěno dodržování právních předpisů EU a mezinárodního práva, včetně Listiny základních práv, každý členský stát by měl zřídit monitorovací mechanismus a zavést odpovídající záruky jeho nezávislosti. Monitorovací mechanismus by se měl vztahovat zejména na dodržování základních práv v souvislosti s prověřováním, jakož i na dodržování platných vnitrostátních pravidel týkajících se zajištění a dodržování zásady nenavracení podle čl. 3 písm.</w:t>
            </w:r>
            <w:r>
              <w:rPr>
                <w:b/>
                <w:i/>
                <w:strike w:val="0"/>
                <w:color w:val="auto"/>
                <w:highlight w:val="none"/>
                <w:u w:val="none" w:color="auto"/>
                <w:vertAlign w:val="baseline"/>
              </w:rPr>
              <w:t> b)</w:t>
            </w:r>
            <w:r>
              <w:t xml:space="preserve"> nařízení (EU) 2016/399. Agentura pro základní práva by měla stanovit obecné pokyny pro zřízení a nezávislé fungování takového monitorovacího mechanismu. Členské státy by dále měly mít možnost požádat o podporu Agentury pro základní práva při vývoji svých vnitrostátních monitorovacích mechanismů. Členské státy by rovněž měly mít možnost požádat Agenturu pro základní práva o radu ohledně stanovení metodiky pro tento monitorovací mechanismus a ohledně vhodných opatření v oblasti odborné přípravy. Členským státům by také mělo být umožněno přizvat k monitorování relevantní a příslušné vnitrostátní, mezinárodní a nevládní organizace a subjekty. Fungováním nezávislého monitorovacího mechanismu by nemělo být dotčeno monitorování základních práv prováděné osobami pověřenými sledováním základních práv Evropské agentury pro pohraniční a pobřežní stráž podle nařízení (EU) 2019/1896. Členské státy by měly vyšetřovat obvinění z porušení základních práv během prověřování mimo jiné tím, že zajistí, aby stížnosti byly vyřizovány rychle a odpovídajícím způsobem.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(23a)</w:t>
            </w:r>
            <w:r>
              <w:tab/>
            </w:r>
            <w:r>
              <w:rPr>
                <w:b/>
                <w:i/>
                <w:strike w:val="0"/>
                <w:color w:val="auto"/>
                <w:highlight w:val="none"/>
                <w:u w:val="none" w:color="auto"/>
                <w:vertAlign w:val="baseline"/>
              </w:rPr>
              <w:t>Státní příslušníci třetích zemí by měli mít možnost požívat nejvyšších standardů ochrany údajů, zejména s ohledem na jejich potenciální zranitelnost, citlivost údajů shromážděných během prověřování a možné důsledky informací poskytnutých během prověřování pro jejich následující řízení.</w:t>
            </w:r>
            <w:r>
              <w:t xml:space="preserve"> </w:t>
            </w:r>
            <w:r>
              <w:rPr>
                <w:b/>
                <w:i/>
                <w:strike w:val="0"/>
                <w:color w:val="auto"/>
                <w:highlight w:val="none"/>
                <w:u w:val="none" w:color="auto"/>
                <w:vertAlign w:val="baseline"/>
              </w:rPr>
              <w:t>Prověřovací řízení by mělo být vždy v souladu s nařízením (EU) 2016/679, nařízením 2018/1725 a případně směrnicí 2018/680, včetně obecných zásad minimalizace údajů a omezení účelu.</w:t>
            </w:r>
            <w:r>
              <w:t xml:space="preserve"> </w:t>
            </w:r>
            <w:r>
              <w:rPr>
                <w:b/>
                <w:i/>
                <w:strike w:val="0"/>
                <w:color w:val="auto"/>
                <w:highlight w:val="none"/>
                <w:u w:val="none" w:color="auto"/>
                <w:vertAlign w:val="baseline"/>
              </w:rPr>
              <w:t>Vnitrostátní orgány pro ochranu údajů a EDPB-EIOÚ by proto měly být úzce zapojeny do prověřovacích řízení a do monitorovacího mechanismu stanoveného v článku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(23a)</w:t>
            </w:r>
            <w:r>
              <w:tab/>
            </w:r>
            <w:r>
              <w:rPr>
                <w:b/>
                <w:i/>
                <w:strike w:val="0"/>
                <w:color w:val="auto"/>
                <w:highlight w:val="none"/>
                <w:u w:val="none" w:color="auto"/>
                <w:vertAlign w:val="baseline"/>
              </w:rPr>
              <w:t>Státní příslušníci třetích zemí by měli mít možnost požívat nejvyšších standardů ochrany údajů, zejména s ohledem na jejich potenciální zranitelnost, citlivost údajů shromážděných během prověřování a možné důsledky informací poskytnutých během prověřování pro jejich následující řízení.</w:t>
            </w:r>
            <w:r>
              <w:t xml:space="preserve"> </w:t>
            </w:r>
            <w:r>
              <w:rPr>
                <w:b/>
                <w:i/>
                <w:strike w:val="0"/>
                <w:color w:val="auto"/>
                <w:highlight w:val="none"/>
                <w:u w:val="none" w:color="auto"/>
                <w:vertAlign w:val="baseline"/>
              </w:rPr>
              <w:t>Prověřovací řízení by mělo být vždy v souladu s nařízením (EU) 2016/679, nařízením 2018/1725 a případně směrnicí 2018/680, včetně obecných zásad minimalizace údajů a omezení účelu.</w:t>
            </w:r>
            <w:r>
              <w:t xml:space="preserve"> </w:t>
            </w:r>
            <w:r>
              <w:rPr>
                <w:b/>
                <w:i/>
                <w:strike w:val="0"/>
                <w:color w:val="auto"/>
                <w:highlight w:val="none"/>
                <w:u w:val="none" w:color="auto"/>
                <w:vertAlign w:val="baseline"/>
              </w:rPr>
              <w:t>Do prováděcích řízení by proto měly být úzce zapojeny vnitrostátní orgány pro ochranu údajů a EDPB-EIOÚ.</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(23a)</w:t>
            </w:r>
            <w:r>
              <w:tab/>
            </w:r>
            <w:r>
              <w:rPr>
                <w:b/>
                <w:i/>
                <w:strike w:val="0"/>
                <w:color w:val="auto"/>
                <w:highlight w:val="none"/>
                <w:u w:val="none" w:color="auto"/>
                <w:vertAlign w:val="baseline"/>
              </w:rPr>
              <w:t>Členské státy by měly mít právo mohou odepřít nevládním organizacím účast na postupu prověřování nelegálních migrantů, kteří se pokoušejí vstoupit na území Evropské unie.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Do konce prověřování by orgány odpovědné za prověřování měly vyplnit informační formulář. Formulář by měl být předán orgánům, které posuzují žádosti o mezinárodní ochranu</w:t>
            </w:r>
            <w:r>
              <w:rPr>
                <w:b/>
                <w:i/>
                <w:strike w:val="0"/>
                <w:color w:val="auto"/>
                <w:highlight w:val="none"/>
                <w:u w:val="none" w:color="auto"/>
                <w:vertAlign w:val="baseline"/>
              </w:rPr>
              <w:t>, nebo orgánům příslušným pro navracení – podle toho, ke kterému orgánu je dotyčná osoba nasměrována. V prvním případě by orgány odpovědné za prověřování měly rovněž uvést veškeré prvky</w:t>
            </w:r>
            <w:r>
              <w:t xml:space="preserve">, které se </w:t>
            </w:r>
            <w:r>
              <w:rPr>
                <w:b/>
                <w:i/>
                <w:strike w:val="0"/>
                <w:color w:val="auto"/>
                <w:highlight w:val="none"/>
                <w:u w:val="none" w:color="auto"/>
                <w:vertAlign w:val="baseline"/>
              </w:rPr>
              <w:t>mohou zdát relevantní pro určení, zda by příslušné orgány měly žádost dotčeného státního příslušníka</w:t>
            </w:r>
            <w:r>
              <w:t xml:space="preserve"> třetí země </w:t>
            </w:r>
            <w:r>
              <w:rPr>
                <w:b/>
                <w:i/>
                <w:strike w:val="0"/>
                <w:color w:val="auto"/>
                <w:highlight w:val="none"/>
                <w:u w:val="none" w:color="auto"/>
                <w:vertAlign w:val="baseline"/>
              </w:rPr>
              <w:t>předložit v rámci zrychleného řízení nebo řízení na hranicích</w:t>
            </w:r>
            <w:r>
              <w:t>.</w:t>
            </w:r>
          </w:p>
        </w:tc>
        <w:tc>
          <w:tcPr>
            <w:tcW w:w="4876" w:type="dxa"/>
            <w:vAlign w:val="top"/>
          </w:tcPr>
          <w:p>
            <w:pPr>
              <w:pStyle w:val="Normal6a"/>
            </w:pPr>
            <w:r>
              <w:t>(24)</w:t>
            </w:r>
            <w:r>
              <w:tab/>
            </w:r>
            <w:r>
              <w:t>Do konce prověřování by orgány odpovědné za prověřování měly vyplnit informační formulář. Formulář by měl být předán orgánům, které posuzují žádosti o mezinárodní ochranu</w:t>
            </w:r>
            <w:r>
              <w:rPr>
                <w:b/>
                <w:i/>
                <w:strike w:val="0"/>
                <w:color w:val="auto"/>
                <w:highlight w:val="none"/>
                <w:u w:val="none" w:color="auto"/>
                <w:vertAlign w:val="baseline"/>
              </w:rPr>
              <w:t>.</w:t>
            </w:r>
            <w:r>
              <w:t xml:space="preserve"> </w:t>
            </w:r>
            <w:r>
              <w:rPr>
                <w:b/>
                <w:i/>
                <w:strike w:val="0"/>
                <w:color w:val="auto"/>
                <w:highlight w:val="none"/>
                <w:u w:val="none" w:color="auto"/>
                <w:vertAlign w:val="baseline"/>
              </w:rPr>
              <w:t>Formulář, včetně přílohy, by měl mít jasně vymezenou omezenou dobu uchovávání a měl by vycházet ze zásady, že údaje by měly být vymazány, pokud již nejsou nezbytné pro účely, pro které jsou shromažďovány nebo jinak zpracovávány.</w:t>
            </w:r>
            <w:r>
              <w:t xml:space="preserve"> </w:t>
            </w:r>
            <w:r>
              <w:rPr>
                <w:b/>
                <w:i/>
                <w:strike w:val="0"/>
                <w:color w:val="auto"/>
                <w:highlight w:val="none"/>
                <w:u w:val="none" w:color="auto"/>
                <w:vertAlign w:val="baseline"/>
              </w:rPr>
              <w:t>Dotčený státní příslušník třetí země by měl obdržet kopii informačního formuláře a všech informací</w:t>
            </w:r>
            <w:r>
              <w:t xml:space="preserve">, které se </w:t>
            </w:r>
            <w:r>
              <w:rPr>
                <w:b/>
                <w:i/>
                <w:strike w:val="0"/>
                <w:color w:val="auto"/>
                <w:highlight w:val="none"/>
                <w:u w:val="none" w:color="auto"/>
                <w:vertAlign w:val="baseline"/>
              </w:rPr>
              <w:t>ho týkají předtím, než jsou předány příslušným orgánům.</w:t>
            </w:r>
            <w:r>
              <w:t xml:space="preserve"> </w:t>
            </w:r>
            <w:r>
              <w:rPr>
                <w:b/>
                <w:i/>
                <w:strike w:val="0"/>
                <w:color w:val="auto"/>
                <w:highlight w:val="none"/>
                <w:u w:val="none" w:color="auto"/>
                <w:vertAlign w:val="baseline"/>
              </w:rPr>
              <w:t>Kopie by měla být také v jazyce, kterému státní příslušník</w:t>
            </w:r>
            <w:r>
              <w:t xml:space="preserve"> třetí země </w:t>
            </w:r>
            <w:r>
              <w:rPr>
                <w:b/>
                <w:i/>
                <w:strike w:val="0"/>
                <w:color w:val="auto"/>
                <w:highlight w:val="none"/>
                <w:u w:val="none" w:color="auto"/>
                <w:vertAlign w:val="baseline"/>
              </w:rPr>
              <w:t>rozumí, a měla by obsahovat veškeré relevantní informace, aby daná osoba mohla uplatnit své právo na opravu nebo doplnění údajů nebo informací poskytnutých během prověřovacího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Do konce prověřování by orgány odpovědné za prověřování měly vyplnit informační formulář. Formulář by měl být předán orgánům, které posuzují žádosti o mezinárodní ochranu, nebo orgánům příslušným pro navracení – podle toho, ke kterému orgánu je dotyčná osoba nasměrována. </w:t>
            </w:r>
            <w:r>
              <w:rPr>
                <w:b/>
                <w:i/>
                <w:strike w:val="0"/>
                <w:color w:val="auto"/>
                <w:highlight w:val="none"/>
                <w:u w:val="none" w:color="auto"/>
                <w:vertAlign w:val="baseline"/>
              </w:rPr>
              <w:t>V prvním případě by orgány odpovědné za prověřování měly rovněž uvést veškeré prvky, které se mohou zdát relevantní pro určení, zda by příslušné orgány měly žádost dotčeného státního příslušníka třetí země předložit v rámci zrychleného řízení nebo řízení na hranicích.</w:t>
            </w:r>
          </w:p>
        </w:tc>
        <w:tc>
          <w:tcPr>
            <w:tcW w:w="4876" w:type="dxa"/>
            <w:vAlign w:val="top"/>
          </w:tcPr>
          <w:p>
            <w:pPr>
              <w:pStyle w:val="Normal6a"/>
            </w:pPr>
            <w:r>
              <w:t>(24)</w:t>
            </w:r>
            <w:r>
              <w:tab/>
            </w:r>
            <w:r>
              <w:t>Do konce prověřování by orgány odpovědné za prověřování měly vyplnit informační formulář. Formulář by měl být předán orgánům, které posuzují žádosti o mezinárodní ochranu, nebo orgánům příslušným pro navracení – podle toho, ke kterému orgánu je dotyčná osoba nasměrována.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Do konce prověřování by orgány odpovědné za prověřování měly vyplnit informační formulář. Formulář by měl být předán orgánům, které posuzují žádosti o mezinárodní ochranu, nebo orgánům příslušným pro </w:t>
            </w:r>
            <w:r>
              <w:rPr>
                <w:b/>
                <w:i/>
                <w:strike w:val="0"/>
                <w:color w:val="auto"/>
                <w:highlight w:val="none"/>
                <w:u w:val="none" w:color="auto"/>
                <w:vertAlign w:val="baseline"/>
              </w:rPr>
              <w:t>navracení</w:t>
            </w:r>
            <w:r>
              <w:t xml:space="preserve"> – podle toho, ke kterému orgánu je dotyčná osoba nasměrována. </w:t>
            </w:r>
            <w:r>
              <w:rPr>
                <w:b/>
                <w:i/>
                <w:strike w:val="0"/>
                <w:color w:val="auto"/>
                <w:highlight w:val="none"/>
                <w:u w:val="none" w:color="auto"/>
                <w:vertAlign w:val="baseline"/>
              </w:rPr>
              <w:t>V prvním případě by orgány odpovědné za prověřování měly rovněž uvést veškeré prvky, které se mohou zdát relevantní pro určení, zda by příslušné orgány měly žádost dotčeného státního příslušníka třetí země předložit v rámci zrychleného řízení nebo řízení na hranicích</w:t>
            </w:r>
            <w:r>
              <w:t>.</w:t>
            </w:r>
          </w:p>
        </w:tc>
        <w:tc>
          <w:tcPr>
            <w:tcW w:w="4876" w:type="dxa"/>
            <w:vAlign w:val="top"/>
          </w:tcPr>
          <w:p>
            <w:pPr>
              <w:pStyle w:val="Normal6a"/>
            </w:pPr>
            <w:r>
              <w:t>(24)</w:t>
            </w:r>
            <w:r>
              <w:tab/>
            </w:r>
            <w:r>
              <w:t xml:space="preserve">Do konce prověřování by orgány odpovědné za prověřování měly vyplnit informační formulář. Formulář by měl být předán orgánům, které posuzují žádosti o mezinárodní ochranu, </w:t>
            </w:r>
            <w:r>
              <w:rPr>
                <w:b/>
                <w:i/>
                <w:strike w:val="0"/>
                <w:color w:val="auto"/>
                <w:highlight w:val="none"/>
                <w:u w:val="none" w:color="auto"/>
                <w:vertAlign w:val="baseline"/>
              </w:rPr>
              <w:t>orgánům příslušným pro navracení</w:t>
            </w:r>
            <w:r>
              <w:t xml:space="preserve"> nebo orgánům příslušným pro </w:t>
            </w:r>
            <w:r>
              <w:rPr>
                <w:b/>
                <w:i/>
                <w:strike w:val="0"/>
                <w:color w:val="auto"/>
                <w:highlight w:val="none"/>
                <w:u w:val="none" w:color="auto"/>
                <w:vertAlign w:val="baseline"/>
              </w:rPr>
              <w:t>odepření vstupu</w:t>
            </w:r>
            <w:r>
              <w:t xml:space="preserve"> – podle toho, ke kterému orgánu je dotyčná osoba nasměrována. </w:t>
            </w:r>
            <w:r>
              <w:rPr>
                <w:b/>
                <w:i/>
                <w:strike w:val="0"/>
                <w:color w:val="auto"/>
                <w:highlight w:val="none"/>
                <w:u w:val="none" w:color="auto"/>
                <w:vertAlign w:val="baseline"/>
              </w:rPr>
              <w:t>Tím by neměla být dotčena možnost členských států povolit státním příslušníkům třetích zemí vstup na území nebo pobyt na něm z jiných důvodů podle vnitrostátního, unijního nebo mezinárodního práva.</w:t>
            </w:r>
            <w:r>
              <w:t xml:space="preserve"> </w:t>
            </w:r>
            <w:r>
              <w:rPr>
                <w:b/>
                <w:i/>
                <w:strike w:val="0"/>
                <w:color w:val="auto"/>
                <w:highlight w:val="none"/>
                <w:u w:val="none" w:color="auto"/>
                <w:vertAlign w:val="baseline"/>
              </w:rPr>
              <w:t>Členské státy zajistí, aby všichni prověřovaní státní příslušníci třetích zemí byli řádně informováni kvalifikovanými a vyškolenými pracovníky o svých právech a o možnosti požádat o mezinárodní ochranu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Do konce prověřování by orgány odpovědné za prověřování měly vyplnit informační formulář. Formulář by měl být předán orgánům, které posuzují žádosti o mezinárodní ochranu, nebo orgánům příslušným pro navracení – podle toho, ke kterému orgánu je dotyčná osoba nasměrována. </w:t>
            </w:r>
            <w:r>
              <w:rPr>
                <w:b/>
                <w:i/>
                <w:strike w:val="0"/>
                <w:color w:val="auto"/>
                <w:highlight w:val="none"/>
                <w:u w:val="none" w:color="auto"/>
                <w:vertAlign w:val="baseline"/>
              </w:rPr>
              <w:t>V prvním případě by orgány odpovědné za prověřování měly rovněž uvést veškeré prvky, které se mohou zdát relevantní pro určení, zda by příslušné orgány měly žádost dotčeného státního příslušníka</w:t>
            </w:r>
            <w:r>
              <w:t xml:space="preserve"> třetí země </w:t>
            </w:r>
            <w:r>
              <w:rPr>
                <w:b/>
                <w:i/>
                <w:strike w:val="0"/>
                <w:color w:val="auto"/>
                <w:highlight w:val="none"/>
                <w:u w:val="none" w:color="auto"/>
                <w:vertAlign w:val="baseline"/>
              </w:rPr>
              <w:t>předložit v rámci zrychleného řízení nebo řízení na hranicích</w:t>
            </w:r>
            <w:r>
              <w:t>.</w:t>
            </w:r>
          </w:p>
        </w:tc>
        <w:tc>
          <w:tcPr>
            <w:tcW w:w="4876" w:type="dxa"/>
            <w:vAlign w:val="top"/>
          </w:tcPr>
          <w:p>
            <w:pPr>
              <w:pStyle w:val="Normal6a"/>
            </w:pPr>
            <w:r>
              <w:t>(24)</w:t>
            </w:r>
            <w:r>
              <w:tab/>
            </w:r>
            <w:r>
              <w:t xml:space="preserve">Do konce prověřování by orgány odpovědné za prověřování měly vyplnit informační formulář. Formulář by měl být předán orgánům, které posuzují žádosti o mezinárodní ochranu, nebo orgánům příslušným pro navracení – podle toho, ke kterému orgánu je dotyčná osoba nasměrována. </w:t>
            </w:r>
            <w:r>
              <w:rPr>
                <w:b/>
                <w:i/>
                <w:strike w:val="0"/>
                <w:color w:val="auto"/>
                <w:highlight w:val="none"/>
                <w:u w:val="none" w:color="auto"/>
                <w:vertAlign w:val="baseline"/>
              </w:rPr>
              <w:t>Aby bylo zajištěno dodržování zejména práva na informace, přístup k osobním údajům a opravu a na účinný opravný prostředek, měl by být informační formulář předtím, než je předán orgánům posuzujícím žádosti o mezinárodní ochranu nebo orgánům příslušným pro navracení, předán dotčenému státnímu příslušníkovi</w:t>
            </w:r>
            <w:r>
              <w:t xml:space="preserve"> třetí země </w:t>
            </w:r>
            <w:r>
              <w:rPr>
                <w:b/>
                <w:i/>
                <w:strike w:val="0"/>
                <w:color w:val="auto"/>
                <w:highlight w:val="none"/>
                <w:u w:val="none" w:color="auto"/>
                <w:vertAlign w:val="baseline"/>
              </w:rPr>
              <w:t>a měl by obsahovat veškeré případné připomínky nebo námitky vznesené dotčenou osobou, jakož i právní a faktické důvody vysvětlující volbu orgánů odpovědných za prověřování, aby byla tato osoba nasměrována ke konkrétnímu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Do konce prověřování by orgány odpovědné za prověřování měly vyplnit </w:t>
            </w:r>
            <w:r>
              <w:rPr>
                <w:b/>
                <w:i/>
                <w:strike w:val="0"/>
                <w:color w:val="auto"/>
                <w:highlight w:val="none"/>
                <w:u w:val="none" w:color="auto"/>
                <w:vertAlign w:val="baseline"/>
              </w:rPr>
              <w:t>informační</w:t>
            </w:r>
            <w:r>
              <w:t xml:space="preserve"> formulář. Formulář by měl být předán orgánům, které posuzují žádosti o mezinárodní ochranu, nebo orgánům příslušným pro navracení – podle toho, ke kterému orgánu je dotyčná osoba nasměrována. V prvním případě by orgány odpovědné za prověřování měly rovněž uvést veškeré prvky, které se mohou zdát relevantní pro určení, zda by příslušné orgány měly žádost dotčeného státního příslušníka třetí země předložit v rámci zrychleného řízení nebo řízení na hranicích.</w:t>
            </w:r>
          </w:p>
        </w:tc>
        <w:tc>
          <w:tcPr>
            <w:tcW w:w="4876" w:type="dxa"/>
            <w:vAlign w:val="top"/>
          </w:tcPr>
          <w:p>
            <w:pPr>
              <w:pStyle w:val="Normal6a"/>
            </w:pPr>
            <w:r>
              <w:t>(24)</w:t>
            </w:r>
            <w:r>
              <w:tab/>
            </w:r>
            <w:r>
              <w:t xml:space="preserve">Do konce prověřování by orgány odpovědné za prověřování měly vyplnit </w:t>
            </w:r>
            <w:r>
              <w:rPr>
                <w:b/>
                <w:i/>
                <w:strike w:val="0"/>
                <w:color w:val="auto"/>
                <w:highlight w:val="none"/>
                <w:u w:val="none" w:color="auto"/>
                <w:vertAlign w:val="baseline"/>
              </w:rPr>
              <w:t>prověřovací</w:t>
            </w:r>
            <w:r>
              <w:t xml:space="preserve"> formulář. Formulář by měl být předán orgánům, které posuzují žádosti o mezinárodní ochranu, nebo orgánům příslušným pro navracení – podle toho, ke kterému orgánu je dotyčná osoba nasměrována. V prvním případě by orgány odpovědné za prověřování měly rovněž uvést veškeré prvky, které se mohou zdát relevantní pro určení, zda by příslušné orgány měly žádost dotčeného státního příslušníka třetí země předložit v rámci zrychleného řízení nebo řízení na hranicích.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Toto nařízení by nemělo členským státům bránit v možnosti, aby v kterémkoli okamžiku rozhodli o tom, že státnímu příslušníkovi třetí země, který vstoupí na jejich území nebo na něm neoprávněně pobývá, udělí samostatné povolení k pobytu nebo jiné povolení zakládající oprávnění k pobytu ze solidárních, humanitárních nebo jiných důvodů.</w:t>
            </w:r>
            <w:r>
              <w:t xml:space="preserve"> </w:t>
            </w:r>
            <w:r>
              <w:rPr>
                <w:b/>
                <w:i/>
                <w:strike w:val="0"/>
                <w:color w:val="auto"/>
                <w:highlight w:val="none"/>
                <w:u w:val="none" w:color="auto"/>
                <w:vertAlign w:val="baseline"/>
              </w:rPr>
              <w:t>V takovém případě by se rozhodnutí o navrácení nemělo vydávat.</w:t>
            </w:r>
            <w:r>
              <w:t xml:space="preserve"> </w:t>
            </w:r>
            <w:r>
              <w:rPr>
                <w:b/>
                <w:i/>
                <w:strike w:val="0"/>
                <w:color w:val="auto"/>
                <w:highlight w:val="none"/>
                <w:u w:val="none" w:color="auto"/>
                <w:vertAlign w:val="baseline"/>
              </w:rPr>
              <w:t>Bylo-li již rozhodnutí o navrácení vydáno, zruší se nebo pozastaví na dobu platnosti povolení k pobytu nebo jiného povolení zakládajícího oprávnění k pobytu.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Členské státy by měly zajistit, aby byl postup vypracování informačního formuláře doprovázen formálními procesními zárukami.</w:t>
            </w:r>
            <w:r>
              <w:t xml:space="preserve"> </w:t>
            </w:r>
            <w:r>
              <w:rPr>
                <w:b/>
                <w:i/>
                <w:strike w:val="0"/>
                <w:color w:val="auto"/>
                <w:highlight w:val="none"/>
                <w:u w:val="none" w:color="auto"/>
                <w:vertAlign w:val="baseline"/>
              </w:rPr>
              <w:t>Všichni státní příslušníci třetích zemí by měli mít možnost zpochybnit informace zaznamenané v informačním formuláři a měli by mít přístup k účinnému opravnému prostředku, pokud jde o výsledek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V zájmu zajištění spravedlivého řízení by prověřovaní státní příslušníci třetích zemí měli mít právo přesně vědět, které informace o nich jsou zaznamenávány.</w:t>
            </w:r>
            <w:r>
              <w:t xml:space="preserve"> </w:t>
            </w:r>
            <w:r>
              <w:rPr>
                <w:b/>
                <w:i/>
                <w:strike w:val="0"/>
                <w:color w:val="auto"/>
                <w:highlight w:val="none"/>
                <w:u w:val="none" w:color="auto"/>
                <w:vertAlign w:val="baseline"/>
              </w:rPr>
              <w:t>Měli by mít rovněž právo na opravu nebo doplnění údajů nebo informací poskytnutých během prověřovacího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(25)</w:t>
            </w:r>
            <w:r>
              <w:tab/>
            </w:r>
            <w:r>
              <w:rPr>
                <w:b/>
                <w:i/>
                <w:strike w:val="0"/>
                <w:color w:val="auto"/>
                <w:highlight w:val="none"/>
                <w:u w:val="none" w:color="auto"/>
                <w:vertAlign w:val="baseline"/>
              </w:rPr>
              <w:t>Biometrické údaje shromážděné během prověřování by příslušné orgány měly spolu s údaji uvedenými v článcích [12, 13, 14 a 14a] nařízení o Eurodacu předat do systému Eurodac ve lhůtách stanovených v uvedeném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(25)</w:t>
            </w:r>
            <w:r>
              <w:tab/>
            </w:r>
            <w:r>
              <w:rPr>
                <w:b/>
                <w:i/>
                <w:strike w:val="0"/>
                <w:color w:val="auto"/>
                <w:highlight w:val="none"/>
                <w:u w:val="none" w:color="auto"/>
                <w:vertAlign w:val="baseline"/>
              </w:rPr>
              <w:t>Biometrické údaje shromážděné během prověřování by příslušné orgány měly spolu s údaji uvedenými v článcích [12, 13, 14 a 14a] nařízení o Eurodacu předat do systému Eurodac ve lhůtách stanovených v uvedeném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U všech osob prověřovaných na vnějších hranicích by měla být provedena předběžná zdravotní prohlídka za účelem identifikace osob, které potřebují </w:t>
            </w:r>
            <w:r>
              <w:rPr>
                <w:b/>
                <w:i/>
                <w:strike w:val="0"/>
                <w:color w:val="auto"/>
                <w:highlight w:val="none"/>
                <w:u w:val="none" w:color="auto"/>
                <w:vertAlign w:val="baseline"/>
              </w:rPr>
              <w:t>okamžitou</w:t>
            </w:r>
            <w:r>
              <w:t xml:space="preserve"> péči nebo vyžadují přijetí dalších opatření, například izolaci z důvodů ochrany veřejného zdraví. Je třeba </w:t>
            </w:r>
            <w:r>
              <w:rPr>
                <w:b/>
                <w:i/>
                <w:strike w:val="0"/>
                <w:color w:val="auto"/>
                <w:highlight w:val="none"/>
                <w:u w:val="none" w:color="auto"/>
                <w:vertAlign w:val="baseline"/>
              </w:rPr>
              <w:t>zohlednit</w:t>
            </w:r>
            <w:r>
              <w:t xml:space="preserve"> specifické potřeby nezletilých a zranitelných osob. </w:t>
            </w:r>
            <w:r>
              <w:rPr>
                <w:b/>
                <w:i/>
                <w:strike w:val="0"/>
                <w:color w:val="auto"/>
                <w:highlight w:val="none"/>
                <w:u w:val="none" w:color="auto"/>
                <w:vertAlign w:val="baseline"/>
              </w:rPr>
              <w:t>Je-li z okolností zřejmé, že taková prohlídka není nutná</w:t>
            </w:r>
            <w:r>
              <w:t xml:space="preserve">, zejména proto, že </w:t>
            </w:r>
            <w:r>
              <w:rPr>
                <w:b/>
                <w:i/>
                <w:strike w:val="0"/>
                <w:color w:val="auto"/>
                <w:highlight w:val="none"/>
                <w:u w:val="none" w:color="auto"/>
                <w:vertAlign w:val="baseline"/>
              </w:rPr>
              <w:t>se celkový stav osoby jeví jako velmi dobrý, nemělo by se prohlídka provádět a dotyčná osoba by o této skutečnosti měla být informována. Předběžná zdravotní prohlídka by měla být provedena zdravotnickými orgány dotčeného členského státu. U státních příslušníků třetích zemí zadržených na území členského státu by předběžná zdravotní prohlídka měla být provedena, pokud je to na první pohled považováno za nezbytné</w:t>
            </w:r>
            <w:r>
              <w:t>.</w:t>
            </w:r>
          </w:p>
        </w:tc>
        <w:tc>
          <w:tcPr>
            <w:tcW w:w="4876" w:type="dxa"/>
            <w:vAlign w:val="top"/>
          </w:tcPr>
          <w:p>
            <w:pPr>
              <w:pStyle w:val="Normal6a"/>
            </w:pPr>
            <w:r>
              <w:t>(26)</w:t>
            </w:r>
            <w:r>
              <w:tab/>
            </w:r>
            <w:r>
              <w:t xml:space="preserve">U všech osob prověřovaných na vnějších hranicích by měla být provedena předběžná zdravotní prohlídka </w:t>
            </w:r>
            <w:r>
              <w:rPr>
                <w:b/>
                <w:i/>
                <w:strike w:val="0"/>
                <w:color w:val="auto"/>
                <w:highlight w:val="none"/>
                <w:u w:val="none" w:color="auto"/>
                <w:vertAlign w:val="baseline"/>
              </w:rPr>
              <w:t>a kontrola zranitelnosti</w:t>
            </w:r>
            <w:r>
              <w:t xml:space="preserve"> za účelem identifikace osob </w:t>
            </w:r>
            <w:r>
              <w:rPr>
                <w:b/>
                <w:i/>
                <w:strike w:val="0"/>
                <w:color w:val="auto"/>
                <w:highlight w:val="none"/>
                <w:u w:val="none" w:color="auto"/>
                <w:vertAlign w:val="baseline"/>
              </w:rPr>
              <w:t>ve zranitelné situaci se zvláštními potřebami při přijetí, včetně osob</w:t>
            </w:r>
            <w:r>
              <w:t xml:space="preserve">, které potřebují </w:t>
            </w:r>
            <w:r>
              <w:rPr>
                <w:b/>
                <w:i/>
                <w:strike w:val="0"/>
                <w:color w:val="auto"/>
                <w:highlight w:val="none"/>
                <w:u w:val="none" w:color="auto"/>
                <w:vertAlign w:val="baseline"/>
              </w:rPr>
              <w:t>zdravotní</w:t>
            </w:r>
            <w:r>
              <w:t xml:space="preserve"> péči nebo vyžadují přijetí dalších opatření, například izolaci z důvodů ochrany veřejného zdraví. </w:t>
            </w:r>
            <w:r>
              <w:rPr>
                <w:b/>
                <w:i/>
                <w:strike w:val="0"/>
                <w:color w:val="auto"/>
                <w:highlight w:val="none"/>
                <w:u w:val="none" w:color="auto"/>
                <w:vertAlign w:val="baseline"/>
              </w:rPr>
              <w:t>V první řadě</w:t>
            </w:r>
            <w:r>
              <w:t xml:space="preserve"> je třeba </w:t>
            </w:r>
            <w:r>
              <w:rPr>
                <w:b/>
                <w:i/>
                <w:strike w:val="0"/>
                <w:color w:val="auto"/>
                <w:highlight w:val="none"/>
                <w:u w:val="none" w:color="auto"/>
                <w:vertAlign w:val="baseline"/>
              </w:rPr>
              <w:t>brát ohled na</w:t>
            </w:r>
            <w:r>
              <w:t xml:space="preserve"> specifické potřeby nezletilých a zranitelných osob. </w:t>
            </w:r>
            <w:r>
              <w:rPr>
                <w:b/>
                <w:i/>
                <w:strike w:val="0"/>
                <w:color w:val="auto"/>
                <w:highlight w:val="none"/>
                <w:u w:val="none" w:color="auto"/>
                <w:vertAlign w:val="baseline"/>
              </w:rPr>
              <w:t>Předběžná zdravotní prohlídka by měla být provedena kvalifikovanými zdravotnickými pracovníky zdravotních orgány dotčeného členského státu.</w:t>
            </w:r>
            <w:r>
              <w:t xml:space="preserve"> </w:t>
            </w:r>
            <w:r>
              <w:rPr>
                <w:b/>
                <w:i/>
                <w:strike w:val="0"/>
                <w:color w:val="auto"/>
                <w:highlight w:val="none"/>
                <w:u w:val="none" w:color="auto"/>
                <w:vertAlign w:val="baseline"/>
              </w:rPr>
              <w:t>Členské státy by měly zajistit odpovídající personální obsazení jak z hlediska počtu zdravotnických pracovníků, tak z hlediska jejich zvláštní odborné přípravy</w:t>
            </w:r>
            <w:r>
              <w:t xml:space="preserve">, zejména proto, že </w:t>
            </w:r>
            <w:r>
              <w:rPr>
                <w:b/>
                <w:i/>
                <w:strike w:val="0"/>
                <w:color w:val="auto"/>
                <w:highlight w:val="none"/>
                <w:u w:val="none" w:color="auto"/>
                <w:vertAlign w:val="baseline"/>
              </w:rPr>
              <w:t>mohou pracovat s dětmi a osobami, které utrpěly různé traumatické zážitky.</w:t>
            </w:r>
            <w:r>
              <w:t xml:space="preserve"> </w:t>
            </w:r>
            <w:r>
              <w:rPr>
                <w:b/>
                <w:i/>
                <w:strike w:val="0"/>
                <w:color w:val="auto"/>
                <w:highlight w:val="none"/>
                <w:u w:val="none" w:color="auto"/>
                <w:vertAlign w:val="baseline"/>
              </w:rPr>
              <w:t>Předběžné zdravotní kontroly a kontroly zranitelnosti, které nebyly dokončeny během prověřování, by měly neprodleně pokračovat ve vhodném navazujícím řízení, k němuž bude dotčený státní příslušník třetí země nasměrován, aniž jsou dotčeny povinné kontroly zranitelnosti, které mají být prováděny v rámci těchto řízení podle nařízení (EU) č. XX/XXX [nařízení o řízení azylu a migrace] nebo směrnice 2008/115 (směrnice o navracení)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U všech osob prověřovaných na vnějších hranicích by měla být provedena předběžná zdravotní prohlídka za účelem identifikace osob, které potřebují okamžitou péči nebo vyžadují přijetí dalších opatření, například izolaci z důvodů ochrany veřejného zdraví. Je třeba zohlednit specifické potřeby nezletilých a zranitelných osob. </w:t>
            </w:r>
            <w:r>
              <w:rPr>
                <w:b/>
                <w:i/>
                <w:strike w:val="0"/>
                <w:color w:val="auto"/>
                <w:highlight w:val="none"/>
                <w:u w:val="none" w:color="auto"/>
                <w:vertAlign w:val="baseline"/>
              </w:rPr>
              <w:t>Je-li z okolností zřejmé, že taková prohlídka není nutná, zejména proto, že se celkový stav osoby jeví jako velmi dobrý, nemělo by se prohlídka provádět a dotyčná osoba by o této skutečnosti měla být informována.</w:t>
            </w:r>
            <w:r>
              <w:t xml:space="preserve"> Předběžná zdravotní prohlídka by měla být provedena zdravotnickými orgány dotčeného členského státu. </w:t>
            </w:r>
            <w:r>
              <w:rPr>
                <w:b/>
                <w:i/>
                <w:strike w:val="0"/>
                <w:color w:val="auto"/>
                <w:highlight w:val="none"/>
                <w:u w:val="none" w:color="auto"/>
                <w:vertAlign w:val="baseline"/>
              </w:rPr>
              <w:t>U státních příslušníků třetích zemí zadržených na území členského státu by předběžná zdravotní prohlídka měla být provedena, pokud je to na první pohled považováno za nezbytné.</w:t>
            </w:r>
          </w:p>
        </w:tc>
        <w:tc>
          <w:tcPr>
            <w:tcW w:w="4876" w:type="dxa"/>
            <w:vAlign w:val="top"/>
          </w:tcPr>
          <w:p>
            <w:pPr>
              <w:pStyle w:val="Normal6a"/>
            </w:pPr>
            <w:r>
              <w:t>(26)</w:t>
            </w:r>
            <w:r>
              <w:tab/>
            </w:r>
            <w:r>
              <w:t>U všech osob prověřovaných na vnějších hranicích by měla být provedena předběžná zdravotní prohlídka za účelem identifikace osob, které potřebují okamžitou péči nebo vyžadují přijetí dalších opatření, například izolaci z důvodů ochrany veřejného zdraví. Je třeba zohlednit specifické potřeby nezletilých a zranitelných osob. Předběžná zdravotní prohlídka by měla být provedena zdravotnickými orgány dotčeného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U všech </w:t>
            </w:r>
            <w:r>
              <w:rPr>
                <w:b/>
                <w:i/>
                <w:strike w:val="0"/>
                <w:color w:val="auto"/>
                <w:highlight w:val="none"/>
                <w:u w:val="none" w:color="auto"/>
                <w:vertAlign w:val="baseline"/>
              </w:rPr>
              <w:t>osob</w:t>
            </w:r>
            <w:r>
              <w:t xml:space="preserve"> prověřovaných </w:t>
            </w:r>
            <w:r>
              <w:rPr>
                <w:b/>
                <w:i/>
                <w:strike w:val="0"/>
                <w:color w:val="auto"/>
                <w:highlight w:val="none"/>
                <w:u w:val="none" w:color="auto"/>
                <w:vertAlign w:val="baseline"/>
              </w:rPr>
              <w:t>na vnějších hranicích</w:t>
            </w:r>
            <w:r>
              <w:t xml:space="preserve"> by měla být provedena </w:t>
            </w:r>
            <w:r>
              <w:rPr>
                <w:b/>
                <w:i/>
                <w:strike w:val="0"/>
                <w:color w:val="auto"/>
                <w:highlight w:val="none"/>
                <w:u w:val="none" w:color="auto"/>
                <w:vertAlign w:val="baseline"/>
              </w:rPr>
              <w:t>předběžná zdravotní prohlídka</w:t>
            </w:r>
            <w:r>
              <w:t xml:space="preserve"> za účelem identifikace osob, které potřebují </w:t>
            </w:r>
            <w:r>
              <w:rPr>
                <w:b/>
                <w:i/>
                <w:strike w:val="0"/>
                <w:color w:val="auto"/>
                <w:highlight w:val="none"/>
                <w:u w:val="none" w:color="auto"/>
                <w:vertAlign w:val="baseline"/>
              </w:rPr>
              <w:t>okamžitou péči nebo</w:t>
            </w:r>
            <w:r>
              <w:t xml:space="preserve"> vyžadují přijetí dalších opatření, například izolaci z důvodů ochrany veřejného zdraví. Je třeba </w:t>
            </w:r>
            <w:r>
              <w:rPr>
                <w:b/>
                <w:i/>
                <w:strike w:val="0"/>
                <w:color w:val="auto"/>
                <w:highlight w:val="none"/>
                <w:u w:val="none" w:color="auto"/>
                <w:vertAlign w:val="baseline"/>
              </w:rPr>
              <w:t>zohlednit</w:t>
            </w:r>
            <w:r>
              <w:t xml:space="preserve"> specifické potřeby nezletilých a zranitelných osob. </w:t>
            </w:r>
            <w:r>
              <w:rPr>
                <w:b/>
                <w:i/>
                <w:strike w:val="0"/>
                <w:color w:val="auto"/>
                <w:highlight w:val="none"/>
                <w:u w:val="none" w:color="auto"/>
                <w:vertAlign w:val="baseline"/>
              </w:rPr>
              <w:t>Je-li z okolností zřejmé, že taková prohlídka není nutná, zejména proto, že se celkový stav osoby jeví jako velmi dobrý, nemělo by se prohlídka provádět a dotyčná osoba by o této skutečnosti měla být informována. Předběžná zdravotní prohlídka by měla být provedena zdravotnickými orgány dotčeného členského státu. U státních příslušníků třetích zemí zadržených na území členského státu by předběžná zdravotní prohlídka měla být provedena, pokud je to na první pohled považováno za nezbytné</w:t>
            </w:r>
            <w:r>
              <w:t>.</w:t>
            </w:r>
          </w:p>
        </w:tc>
        <w:tc>
          <w:tcPr>
            <w:tcW w:w="4876" w:type="dxa"/>
            <w:vAlign w:val="top"/>
          </w:tcPr>
          <w:p>
            <w:pPr>
              <w:pStyle w:val="Normal6a"/>
            </w:pPr>
            <w:r>
              <w:t>(26)</w:t>
            </w:r>
            <w:r>
              <w:tab/>
            </w:r>
            <w:r>
              <w:t xml:space="preserve">U všech prověřovaných </w:t>
            </w:r>
            <w:r>
              <w:rPr>
                <w:b/>
                <w:i/>
                <w:strike w:val="0"/>
                <w:color w:val="auto"/>
                <w:highlight w:val="none"/>
                <w:u w:val="none" w:color="auto"/>
                <w:vertAlign w:val="baseline"/>
              </w:rPr>
              <w:t>osob</w:t>
            </w:r>
            <w:r>
              <w:t xml:space="preserve"> by měla být provedena </w:t>
            </w:r>
            <w:r>
              <w:rPr>
                <w:b/>
                <w:i/>
                <w:strike w:val="0"/>
                <w:color w:val="auto"/>
                <w:highlight w:val="none"/>
                <w:u w:val="none" w:color="auto"/>
                <w:vertAlign w:val="baseline"/>
              </w:rPr>
              <w:t>kontrola zranitelnosti</w:t>
            </w:r>
            <w:r>
              <w:t xml:space="preserve"> za účelem identifikace osob </w:t>
            </w:r>
            <w:r>
              <w:rPr>
                <w:b/>
                <w:i/>
                <w:strike w:val="0"/>
                <w:color w:val="auto"/>
                <w:highlight w:val="none"/>
                <w:u w:val="none" w:color="auto"/>
                <w:vertAlign w:val="baseline"/>
              </w:rPr>
              <w:t>ve zranitelné situaci, osob</w:t>
            </w:r>
            <w:r>
              <w:t xml:space="preserve">, které potřebují </w:t>
            </w:r>
            <w:r>
              <w:rPr>
                <w:b/>
                <w:i/>
                <w:strike w:val="0"/>
                <w:color w:val="auto"/>
                <w:highlight w:val="none"/>
                <w:u w:val="none" w:color="auto"/>
                <w:vertAlign w:val="baseline"/>
              </w:rPr>
              <w:t>zdravotní péči, osob se zvláštními potřebami při přijetí nebo zvláštními procesními potřebami či</w:t>
            </w:r>
            <w:r>
              <w:t xml:space="preserve"> vyžadují přijetí dalších opatření, například izolaci z důvodů ochrany veřejného zdraví. </w:t>
            </w:r>
            <w:r>
              <w:rPr>
                <w:b/>
                <w:i/>
                <w:strike w:val="0"/>
                <w:color w:val="auto"/>
                <w:highlight w:val="none"/>
                <w:u w:val="none" w:color="auto"/>
                <w:vertAlign w:val="baseline"/>
              </w:rPr>
              <w:t>V první řadě</w:t>
            </w:r>
            <w:r>
              <w:t xml:space="preserve"> je třeba </w:t>
            </w:r>
            <w:r>
              <w:rPr>
                <w:b/>
                <w:i/>
                <w:strike w:val="0"/>
                <w:color w:val="auto"/>
                <w:highlight w:val="none"/>
                <w:u w:val="none" w:color="auto"/>
                <w:vertAlign w:val="baseline"/>
              </w:rPr>
              <w:t>brát ohled na</w:t>
            </w:r>
            <w:r>
              <w:t xml:space="preserve"> specifické potřeby nezletilých a zranitelných osob. </w:t>
            </w:r>
            <w:r>
              <w:rPr>
                <w:b/>
                <w:i/>
                <w:strike w:val="0"/>
                <w:color w:val="auto"/>
                <w:highlight w:val="none"/>
                <w:u w:val="none" w:color="auto"/>
                <w:vertAlign w:val="baseline"/>
              </w:rPr>
              <w:t>Předběžná zdravotní prohlídka by měla být provedena kvalifikovaným zdravotnickým personálem zdravotnických orgánů dotčeného členského státu.</w:t>
            </w:r>
            <w:r>
              <w:t xml:space="preserve"> </w:t>
            </w:r>
            <w:r>
              <w:rPr>
                <w:b/>
                <w:i/>
                <w:strike w:val="0"/>
                <w:color w:val="auto"/>
                <w:highlight w:val="none"/>
                <w:u w:val="none" w:color="auto"/>
                <w:vertAlign w:val="baseline"/>
              </w:rPr>
              <w:t>Předběžné zdravotní kontroly a kontroly zranitelnosti, které nebyly dokončeny během prověřování, by měly neprodleně pokračovat ve vhodném navazujícím řízení, k němuž bude dotčený státní příslušník třetí země nasměrován, aniž jsou dotčeny povinné kontroly zranitelnosti, které mají být prováděny v rámci řízení podle nařízení (EU) č. XX/XXX [nařízení o řízení azylu a migrace] nebo směrnice 2008/115 (směrnice o navracení)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U všech </w:t>
            </w:r>
            <w:r>
              <w:rPr>
                <w:b/>
                <w:i/>
                <w:strike w:val="0"/>
                <w:color w:val="auto"/>
                <w:highlight w:val="none"/>
                <w:u w:val="none" w:color="auto"/>
                <w:vertAlign w:val="baseline"/>
              </w:rPr>
              <w:t>osob</w:t>
            </w:r>
            <w:r>
              <w:t xml:space="preserve"> prověřovaných </w:t>
            </w:r>
            <w:r>
              <w:rPr>
                <w:b/>
                <w:i/>
                <w:strike w:val="0"/>
                <w:color w:val="auto"/>
                <w:highlight w:val="none"/>
                <w:u w:val="none" w:color="auto"/>
                <w:vertAlign w:val="baseline"/>
              </w:rPr>
              <w:t>na vnějších hranicích</w:t>
            </w:r>
            <w:r>
              <w:t xml:space="preserve"> by měla být provedena předběžná zdravotní prohlídka za účelem identifikace osob, které potřebují okamžitou péči nebo vyžadují přijetí dalších opatření, například izolaci z důvodů ochrany veřejného zdraví. Je třeba zohlednit specifické potřeby nezletilých a zranitelných osob. </w:t>
            </w:r>
            <w:r>
              <w:rPr>
                <w:b/>
                <w:i/>
                <w:strike w:val="0"/>
                <w:color w:val="auto"/>
                <w:highlight w:val="none"/>
                <w:u w:val="none" w:color="auto"/>
                <w:vertAlign w:val="baseline"/>
              </w:rPr>
              <w:t>Je-li z okolností zřejmé, že taková prohlídka není nutná, zejména proto, že se celkový stav osoby jeví jako velmi dobrý, nemělo by se prohlídka provádět a dotyčná osoba by o této skutečnosti měla být informována.</w:t>
            </w:r>
            <w:r>
              <w:t xml:space="preserve"> Předběžná zdravotní prohlídka by měla být provedena zdravotnickými orgány dotčeného členského státu. </w:t>
            </w:r>
            <w:r>
              <w:rPr>
                <w:b/>
                <w:i/>
                <w:strike w:val="0"/>
                <w:color w:val="auto"/>
                <w:highlight w:val="none"/>
                <w:u w:val="none" w:color="auto"/>
                <w:vertAlign w:val="baseline"/>
              </w:rPr>
              <w:t>U státních příslušníků třetích zemí zadržených na území členského státu by předběžná zdravotní prohlídka měla být provedena, pokud je to na první pohled považováno za nezbytné.</w:t>
            </w:r>
          </w:p>
        </w:tc>
        <w:tc>
          <w:tcPr>
            <w:tcW w:w="4876" w:type="dxa"/>
            <w:vAlign w:val="top"/>
          </w:tcPr>
          <w:p>
            <w:pPr>
              <w:pStyle w:val="Normal6a"/>
            </w:pPr>
            <w:r>
              <w:t>(26)</w:t>
            </w:r>
            <w:r>
              <w:tab/>
            </w:r>
            <w:r>
              <w:t xml:space="preserve">U všech prověřovaných </w:t>
            </w:r>
            <w:r>
              <w:rPr>
                <w:b/>
                <w:i/>
                <w:strike w:val="0"/>
                <w:color w:val="auto"/>
                <w:highlight w:val="none"/>
                <w:u w:val="none" w:color="auto"/>
                <w:vertAlign w:val="baseline"/>
              </w:rPr>
              <w:t>osob</w:t>
            </w:r>
            <w:r>
              <w:t xml:space="preserve"> by měla být provedena předběžná zdravotní prohlídka za účelem identifikace osob, které potřebují okamžitou péči nebo vyžadují přijetí dalších opatření, například izolaci z důvodů ochrany veřejného zdraví. Je třeba zohlednit specifické potřeby nezletilých a zranitelných osob. Předběžná zdravotní prohlídka by měla být provedena </w:t>
            </w:r>
            <w:r>
              <w:rPr>
                <w:b/>
                <w:i/>
                <w:strike w:val="0"/>
                <w:color w:val="auto"/>
                <w:highlight w:val="none"/>
                <w:u w:val="none" w:color="auto"/>
                <w:vertAlign w:val="baseline"/>
              </w:rPr>
              <w:t>kvalifikovanými</w:t>
            </w:r>
            <w:r>
              <w:t xml:space="preserve"> zdravotnickými orgány dotčeného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U všech osob prověřovaných na vnějších hranicích by </w:t>
            </w:r>
            <w:r>
              <w:rPr>
                <w:b/>
                <w:i/>
                <w:strike w:val="0"/>
                <w:color w:val="auto"/>
                <w:highlight w:val="none"/>
                <w:u w:val="none" w:color="auto"/>
                <w:vertAlign w:val="baseline"/>
              </w:rPr>
              <w:t>měla být provedena předběžná</w:t>
            </w:r>
            <w:r>
              <w:t xml:space="preserve"> zdravotní </w:t>
            </w:r>
            <w:r>
              <w:rPr>
                <w:b/>
                <w:i/>
                <w:strike w:val="0"/>
                <w:color w:val="auto"/>
                <w:highlight w:val="none"/>
                <w:u w:val="none" w:color="auto"/>
                <w:vertAlign w:val="baseline"/>
              </w:rPr>
              <w:t>prohlídka</w:t>
            </w:r>
            <w:r>
              <w:t xml:space="preserve"> za účelem identifikace osob, které potřebují okamžitou péči nebo vyžadují přijetí dalších opatření, například izolaci z důvodů ochrany veřejného zdraví. Je třeba zohlednit specifické potřeby nezletilých a zranitelných osob. Je-li z okolností zřejmé, že taková prohlídka není nutná, zejména proto, že se celkový stav osoby jeví jako velmi dobrý, nemělo by se prohlídka provádět a dotyčná osoba by o této skutečnosti měla být informována</w:t>
            </w:r>
            <w:r>
              <w:rPr>
                <w:b/>
                <w:i/>
                <w:strike w:val="0"/>
                <w:color w:val="auto"/>
                <w:highlight w:val="none"/>
                <w:u w:val="none" w:color="auto"/>
                <w:vertAlign w:val="baseline"/>
              </w:rPr>
              <w:t>. Předběžná zdravotní prohlídka by měla být provedena zdravotnickými orgány dotčeného členského státu</w:t>
            </w:r>
            <w:r>
              <w:t>. U státních příslušníků třetích zemí zadržených na území členského státu by předběžná zdravotní prohlídka měla být provedena, pokud je to na první pohled považováno za nezbytné.</w:t>
            </w:r>
          </w:p>
        </w:tc>
        <w:tc>
          <w:tcPr>
            <w:tcW w:w="4876" w:type="dxa"/>
            <w:vAlign w:val="top"/>
          </w:tcPr>
          <w:p>
            <w:pPr>
              <w:pStyle w:val="Normal6a"/>
            </w:pPr>
            <w:r>
              <w:t>(26)</w:t>
            </w:r>
            <w:r>
              <w:tab/>
            </w:r>
            <w:r>
              <w:t xml:space="preserve">U všech osob prověřovaných na vnějších hranicích by </w:t>
            </w:r>
            <w:r>
              <w:rPr>
                <w:b/>
                <w:i/>
                <w:strike w:val="0"/>
                <w:color w:val="auto"/>
                <w:highlight w:val="none"/>
                <w:u w:val="none" w:color="auto"/>
                <w:vertAlign w:val="baseline"/>
              </w:rPr>
              <w:t>měly příslušné orgány členských států provést předběžnou</w:t>
            </w:r>
            <w:r>
              <w:t xml:space="preserve"> zdravotní </w:t>
            </w:r>
            <w:r>
              <w:rPr>
                <w:b/>
                <w:i/>
                <w:strike w:val="0"/>
                <w:color w:val="auto"/>
                <w:highlight w:val="none"/>
                <w:u w:val="none" w:color="auto"/>
                <w:vertAlign w:val="baseline"/>
              </w:rPr>
              <w:t>prohlídku</w:t>
            </w:r>
            <w:r>
              <w:t xml:space="preserve"> za účelem identifikace osob, které potřebují okamžitou péči nebo vyžadují přijetí dalších opatření, například izolaci z důvodů ochrany veřejného zdraví. Je třeba zohlednit specifické potřeby nezletilých a zranitelných osob. Je-li z okolností zřejmé, že taková prohlídka není nutná, zejména proto, že se celkový stav osoby jeví jako velmi dobrý, nemělo by se prohlídka provádět a dotyčná osoba by o této skutečnosti měla být informována. U státních příslušníků třetích zemí zadržených na území členského státu by předběžná zdravotní prohlídka měla být provedena, pokud je to na první pohled považováno za nezbytné.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(26a)</w:t>
            </w:r>
            <w:r>
              <w:tab/>
            </w:r>
            <w:r>
              <w:rPr>
                <w:b/>
                <w:i/>
                <w:strike w:val="0"/>
                <w:color w:val="auto"/>
                <w:highlight w:val="none"/>
                <w:u w:val="none" w:color="auto"/>
                <w:vertAlign w:val="baseline"/>
              </w:rPr>
              <w:t>Na prověřované státní příslušníky třetích zemí se vztahuje předběžná kontrole zranitelnosti s cílem určit oblasti zranitelnosti nebo zvláštní procesní potřeby a potřeby při přijetí ve smyslu čl. 13 odst. 2 bodu 1 směrnice (EU) XXX/XXX [směrnice o podmínkách přijímání].</w:t>
            </w:r>
            <w:r>
              <w:t xml:space="preserve"> </w:t>
            </w:r>
            <w:r>
              <w:rPr>
                <w:b/>
                <w:i/>
                <w:strike w:val="0"/>
                <w:color w:val="auto"/>
                <w:highlight w:val="none"/>
                <w:u w:val="none" w:color="auto"/>
                <w:vertAlign w:val="baseline"/>
              </w:rPr>
              <w:t>Touto předběžnou kontrolou zranitelnosti by nemělo být dotčeno úplné posouzení zranitelnosti v příštím řízení podle článku 21 uvedené směrnice.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(26a)</w:t>
            </w:r>
            <w:r>
              <w:tab/>
            </w:r>
            <w:r>
              <w:rPr>
                <w:b/>
                <w:i/>
                <w:strike w:val="0"/>
                <w:color w:val="auto"/>
                <w:highlight w:val="none"/>
                <w:u w:val="none" w:color="auto"/>
                <w:vertAlign w:val="baseline"/>
              </w:rPr>
              <w:t>Je-li to na základě předběžného zdravotního vyšetření a individuálních okolností považováno za nezbytné, měli by mít státní příslušníci třetích zemí právo na předběžné lékařské vyšetření.</w:t>
            </w:r>
            <w:r>
              <w:t xml:space="preserve"> </w:t>
            </w:r>
            <w:r>
              <w:rPr>
                <w:b/>
                <w:i/>
                <w:strike w:val="0"/>
                <w:color w:val="auto"/>
                <w:highlight w:val="none"/>
                <w:u w:val="none" w:color="auto"/>
                <w:vertAlign w:val="baseline"/>
              </w:rPr>
              <w:t>Předběžné lékařské vyšetření by měly provádět zdravotnické orgány dotčeného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(26a)</w:t>
            </w:r>
            <w:r>
              <w:tab/>
            </w:r>
            <w:r>
              <w:rPr>
                <w:b/>
                <w:i/>
                <w:strike w:val="0"/>
                <w:color w:val="auto"/>
                <w:highlight w:val="none"/>
                <w:u w:val="none" w:color="auto"/>
                <w:vertAlign w:val="baseline"/>
              </w:rPr>
              <w:t>Osobám, které jsou prověřovány jako nezletilé, by měly být nabídnuty testy umožňující určit kostní věk s cílem potvrdit jejich nezletilost a vyloučit zjevně nepodložené žádosti o přiznání statusu nezletilé osoby.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Uznání či neuznání statusu nezletilé osoby v co nejranější fázi, již během prověřování, může zjednodušit všechna následující řízení (azyl, navracení atd.).</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(27)</w:t>
            </w:r>
            <w:r>
              <w:tab/>
            </w:r>
            <w:r>
              <w:rPr>
                <w:b/>
                <w:i/>
                <w:strike w:val="0"/>
                <w:color w:val="auto"/>
                <w:highlight w:val="none"/>
                <w:u w:val="none" w:color="auto"/>
                <w:vertAlign w:val="baseline"/>
              </w:rPr>
              <w:t>Během prověřování by všem dotčeným osobám měla být zaručena životní úroveň v souladu s Listinou základních práv Evropské unie a tyto osoby by měly mít přístup k neodkladné zdravotní péči a základní léčbě v případě onemocnění. Zvláštní pozornost by měla být věnována zranitelným osobám, jako jsou těhotné ženy, starší osoby, rodiny s jedním rodičem, osoby s okamžitě identifikovatelným fyzickým nebo mentálním postižením, osoby, které zjevně utrpěly psychické nebo fyzické trauma a nezletilé osoby bez doprovodu. Zejména v případě nezletilé osoby by informace měly být poskytovány způsobem vhodným pro dítě a odpovídajícím věku dítěte. Všechny orgány podílející se na plnění úkolů souvisejících s prověřováním by měly respektovat lidskou důstojnost, soukromí a zdržet se jakýchkoli diskriminujících jednání nebo chování.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Během prověřování by všem dotčeným osobám měla být zaručena životní úroveň v souladu s Listinou základních práv Evropské unie a tyto osoby by měly mít přístup k neodkladné zdravotní péči a základní léčbě v případě onemocnění. Zvláštní pozornost by měla být věnována zranitelným osobám, jako jsou těhotné ženy, starší osoby, rodiny s jedním rodičem, osoby s </w:t>
            </w:r>
            <w:r>
              <w:rPr>
                <w:b/>
                <w:i/>
                <w:strike w:val="0"/>
                <w:color w:val="auto"/>
                <w:highlight w:val="none"/>
                <w:u w:val="none" w:color="auto"/>
                <w:vertAlign w:val="baseline"/>
              </w:rPr>
              <w:t>okamžitě identifikovatelným</w:t>
            </w:r>
            <w:r>
              <w:t xml:space="preserve"> fyzickým nebo mentálním postižením, </w:t>
            </w:r>
            <w:r>
              <w:rPr>
                <w:b/>
                <w:i/>
                <w:strike w:val="0"/>
                <w:color w:val="auto"/>
                <w:highlight w:val="none"/>
                <w:u w:val="none" w:color="auto"/>
                <w:vertAlign w:val="baseline"/>
              </w:rPr>
              <w:t>osoby, které zjevně</w:t>
            </w:r>
            <w:r>
              <w:t xml:space="preserve"> utrpěly psychické nebo fyzické trauma </w:t>
            </w:r>
            <w:r>
              <w:rPr>
                <w:b/>
                <w:i/>
                <w:strike w:val="0"/>
                <w:color w:val="auto"/>
                <w:highlight w:val="none"/>
                <w:u w:val="none" w:color="auto"/>
                <w:vertAlign w:val="baseline"/>
              </w:rPr>
              <w:t>a nezletilé</w:t>
            </w:r>
            <w:r>
              <w:t xml:space="preserve"> osoby bez </w:t>
            </w:r>
            <w:r>
              <w:rPr>
                <w:b/>
                <w:i/>
                <w:strike w:val="0"/>
                <w:color w:val="auto"/>
                <w:highlight w:val="none"/>
                <w:u w:val="none" w:color="auto"/>
                <w:vertAlign w:val="baseline"/>
              </w:rPr>
              <w:t>doprovodu</w:t>
            </w:r>
            <w:r>
              <w:t xml:space="preserve">. Zejména v případě </w:t>
            </w:r>
            <w:r>
              <w:rPr>
                <w:b/>
                <w:i/>
                <w:strike w:val="0"/>
                <w:color w:val="auto"/>
                <w:highlight w:val="none"/>
                <w:u w:val="none" w:color="auto"/>
                <w:vertAlign w:val="baseline"/>
              </w:rPr>
              <w:t>nezletilé osoby</w:t>
            </w:r>
            <w:r>
              <w:t xml:space="preserve"> by informace měly být poskytovány způsobem vhodným pro dítě a odpovídajícím věku dítěte. Všechny orgány podílející se na plnění úkolů souvisejících s prověřováním by měly respektovat lidskou důstojnost, soukromí a zdržet se jakýchkoli diskriminujících jednání nebo chování.</w:t>
            </w:r>
          </w:p>
        </w:tc>
        <w:tc>
          <w:tcPr>
            <w:tcW w:w="4876" w:type="dxa"/>
            <w:vAlign w:val="top"/>
          </w:tcPr>
          <w:p>
            <w:pPr>
              <w:pStyle w:val="Normal6a"/>
            </w:pPr>
            <w:r>
              <w:t>(27)</w:t>
            </w:r>
            <w:r>
              <w:tab/>
            </w:r>
            <w:r>
              <w:t xml:space="preserve">Během prověřování by všem dotčeným osobám měla být zaručena životní úroveň v souladu s Listinou základních práv Evropské unie a tyto osoby by měly mít přístup k neodkladné zdravotní péči a základní léčbě v případě onemocnění. </w:t>
            </w:r>
            <w:r>
              <w:rPr>
                <w:b/>
                <w:i/>
                <w:strike w:val="0"/>
                <w:color w:val="auto"/>
                <w:highlight w:val="none"/>
                <w:u w:val="none" w:color="auto"/>
                <w:vertAlign w:val="baseline"/>
              </w:rPr>
              <w:t>Aniž je dotčen článek 14 o odepření vstupu ve smyslu nařízení (EU) 2016/399, použijí se během prověřování všechna příslušná ustanovení nařízení (EU) xxxx/xxxx [nařízení o azylovém řízení] a směrnice 2013/33/EU [směrnice o podmínkách přijímání].</w:t>
            </w:r>
            <w:r>
              <w:t xml:space="preserve"> Zvláštní pozornost by měla být věnována zranitelným osobám, jako jsou </w:t>
            </w:r>
            <w:r>
              <w:rPr>
                <w:b/>
                <w:i/>
                <w:strike w:val="0"/>
                <w:color w:val="auto"/>
                <w:highlight w:val="none"/>
                <w:u w:val="none" w:color="auto"/>
                <w:vertAlign w:val="baseline"/>
              </w:rPr>
              <w:t>děti, děti bez doprovodu,</w:t>
            </w:r>
            <w:r>
              <w:t xml:space="preserve"> těhotné ženy, starší osoby, rodiny s jedním rodičem, osoby s fyzickým nebo mentálním postižením, </w:t>
            </w:r>
            <w:r>
              <w:rPr>
                <w:b/>
                <w:i/>
                <w:strike w:val="0"/>
                <w:color w:val="auto"/>
                <w:highlight w:val="none"/>
                <w:u w:val="none" w:color="auto"/>
                <w:vertAlign w:val="baseline"/>
              </w:rPr>
              <w:t>oběti obchodování s lidmi, oběti mučení a nelidského a ponižujícího zacházení, oběti sexuálního násilí a násilí na základě pohlaví, osob, které</w:t>
            </w:r>
            <w:r>
              <w:t xml:space="preserve"> utrpěly psychické nebo fyzické trauma</w:t>
            </w:r>
            <w:r>
              <w:rPr>
                <w:b/>
                <w:i/>
                <w:strike w:val="0"/>
                <w:color w:val="auto"/>
                <w:highlight w:val="none"/>
                <w:u w:val="none" w:color="auto"/>
                <w:vertAlign w:val="baseline"/>
              </w:rPr>
              <w:t>, osoby se symptomy posttraumatické stresové poruchy a</w:t>
            </w:r>
            <w:r>
              <w:t xml:space="preserve"> osoby bez </w:t>
            </w:r>
            <w:r>
              <w:rPr>
                <w:b/>
                <w:i/>
                <w:strike w:val="0"/>
                <w:color w:val="auto"/>
                <w:highlight w:val="none"/>
                <w:u w:val="none" w:color="auto"/>
                <w:vertAlign w:val="baseline"/>
              </w:rPr>
              <w:t>státní příslušnosti</w:t>
            </w:r>
            <w:r>
              <w:t xml:space="preserve">. Zejména v případě </w:t>
            </w:r>
            <w:r>
              <w:rPr>
                <w:b/>
                <w:i/>
                <w:strike w:val="0"/>
                <w:color w:val="auto"/>
                <w:highlight w:val="none"/>
                <w:u w:val="none" w:color="auto"/>
                <w:vertAlign w:val="baseline"/>
              </w:rPr>
              <w:t>dětí</w:t>
            </w:r>
            <w:r>
              <w:t xml:space="preserve"> by informace měly být poskytovány způsobem vhodným pro dítě a odpovídajícím věku dítěte </w:t>
            </w:r>
            <w:r>
              <w:rPr>
                <w:b/>
                <w:i/>
                <w:strike w:val="0"/>
                <w:color w:val="auto"/>
                <w:highlight w:val="none"/>
                <w:u w:val="none" w:color="auto"/>
                <w:vertAlign w:val="baseline"/>
              </w:rPr>
              <w:t>a případně by měl být jmenován zástupce</w:t>
            </w:r>
            <w:r>
              <w:t xml:space="preserve">. Všechny orgány podílející se na plnění úkolů souvisejících s prověřováním by měly respektovat lidskou důstojnost, soukromí a zdržet se jakýchkoli diskriminujících jednání nebo chování. </w:t>
            </w:r>
            <w:r>
              <w:rPr>
                <w:b/>
                <w:i/>
                <w:strike w:val="0"/>
                <w:color w:val="auto"/>
                <w:highlight w:val="none"/>
                <w:u w:val="none" w:color="auto"/>
                <w:vertAlign w:val="baseline"/>
              </w:rPr>
              <w:t>Zásada, že se v případě pochybností rozhodne ve prospěch nezletilé osoby by se měla uplatňovat vždy, pokud je věk dané osoby nejasný nebo sporný a neexistuje žádná podkladová dokumentace prokazující její věk.</w:t>
            </w:r>
            <w:r>
              <w:t xml:space="preserve"> </w:t>
            </w:r>
            <w:r>
              <w:rPr>
                <w:b/>
                <w:i/>
                <w:strike w:val="0"/>
                <w:color w:val="auto"/>
                <w:highlight w:val="none"/>
                <w:u w:val="none" w:color="auto"/>
                <w:vertAlign w:val="baseline"/>
              </w:rPr>
              <w:t>Postupy posuzování věku by měly být zahájeny, pouze pokud existuje důvodná pochybnost, že daná osoba není nezletilá, a měly by vycházet z předpokladu nezletilosti, respektovat nejlepší zájem dítěte a používat především jiné než lékařské postupy.</w:t>
            </w:r>
            <w:r>
              <w:t xml:space="preserve"> </w:t>
            </w:r>
            <w:r>
              <w:rPr>
                <w:b/>
                <w:i/>
                <w:strike w:val="0"/>
                <w:color w:val="auto"/>
                <w:highlight w:val="none"/>
                <w:u w:val="none" w:color="auto"/>
                <w:vertAlign w:val="baseline"/>
              </w:rPr>
              <w:t>Za žádných okolností by se při postupech posuzování věku nemělo používat nucené svlékání nebo vyšetření pohlavních orgánů.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Během prověřování by všem dotčeným osobám měla být zaručena životní úroveň v souladu s Listinou základních práv Evropské unie a tyto osoby by měly mít přístup k neodkladné zdravotní péči a základní léčbě v případě onemocnění. Zvláštní pozornost by měla být věnována </w:t>
            </w:r>
            <w:r>
              <w:rPr>
                <w:b/>
                <w:i/>
                <w:strike w:val="0"/>
                <w:color w:val="auto"/>
                <w:highlight w:val="none"/>
                <w:u w:val="none" w:color="auto"/>
                <w:vertAlign w:val="baseline"/>
              </w:rPr>
              <w:t>zranitelným osobám</w:t>
            </w:r>
            <w:r>
              <w:t xml:space="preserve">, jako jsou </w:t>
            </w:r>
            <w:r>
              <w:rPr>
                <w:b/>
                <w:i/>
                <w:strike w:val="0"/>
                <w:color w:val="auto"/>
                <w:highlight w:val="none"/>
                <w:u w:val="none" w:color="auto"/>
                <w:vertAlign w:val="baseline"/>
              </w:rPr>
              <w:t>těhotné ženy, starší</w:t>
            </w:r>
            <w:r>
              <w:t xml:space="preserve"> osoby</w:t>
            </w:r>
            <w:r>
              <w:rPr>
                <w:b/>
                <w:i/>
                <w:strike w:val="0"/>
                <w:color w:val="auto"/>
                <w:highlight w:val="none"/>
                <w:u w:val="none" w:color="auto"/>
                <w:vertAlign w:val="baseline"/>
              </w:rPr>
              <w:t>, rodiny s jedním rodičem</w:t>
            </w:r>
            <w:r>
              <w:t xml:space="preserve">, osoby </w:t>
            </w:r>
            <w:r>
              <w:rPr>
                <w:b/>
                <w:i/>
                <w:strike w:val="0"/>
                <w:color w:val="auto"/>
                <w:highlight w:val="none"/>
                <w:u w:val="none" w:color="auto"/>
                <w:vertAlign w:val="baseline"/>
              </w:rPr>
              <w:t>s okamžitě identifikovatelným fyzickým nebo mentálním postižením</w:t>
            </w:r>
            <w:r>
              <w:t xml:space="preserve">, osoby, které </w:t>
            </w:r>
            <w:r>
              <w:rPr>
                <w:b/>
                <w:i/>
                <w:strike w:val="0"/>
                <w:color w:val="auto"/>
                <w:highlight w:val="none"/>
                <w:u w:val="none" w:color="auto"/>
                <w:vertAlign w:val="baseline"/>
              </w:rPr>
              <w:t>zjevně utrpěly psychické nebo fyzické trauma a nezletilé osoby bez doprovodu</w:t>
            </w:r>
            <w:r>
              <w:t>. Zejména v případě nezletilé osoby by informace měly být poskytovány způsobem vhodným pro dítě a odpovídajícím věku dítěte. Všechny orgány podílející se na plnění úkolů souvisejících s prověřováním by měly respektovat lidskou důstojnost, soukromí a zdržet se jakýchkoli diskriminujících jednání nebo chování.</w:t>
            </w:r>
          </w:p>
        </w:tc>
        <w:tc>
          <w:tcPr>
            <w:tcW w:w="4876" w:type="dxa"/>
            <w:vAlign w:val="top"/>
          </w:tcPr>
          <w:p>
            <w:pPr>
              <w:pStyle w:val="Normal6a"/>
            </w:pPr>
            <w:r>
              <w:t>(27)</w:t>
            </w:r>
            <w:r>
              <w:tab/>
            </w:r>
            <w:r>
              <w:t xml:space="preserve">Během prověřování by všem dotčeným osobám měla být zaručena životní úroveň v souladu </w:t>
            </w:r>
            <w:r>
              <w:rPr>
                <w:b/>
                <w:i/>
                <w:strike w:val="0"/>
                <w:color w:val="auto"/>
                <w:highlight w:val="none"/>
                <w:u w:val="none" w:color="auto"/>
                <w:vertAlign w:val="baseline"/>
              </w:rPr>
              <w:t>se standardy a ustanoveními směrnice (EU) xxxx/xxxx [směrnice o podmínkách přijímání] a</w:t>
            </w:r>
            <w:r>
              <w:t xml:space="preserve"> s Listinou základních práv Evropské unie a tyto osoby by měly mít přístup k neodkladné zdravotní péči a základní léčbě v případě onemocnění. Zvláštní pozornost by měla být věnována </w:t>
            </w:r>
            <w:r>
              <w:rPr>
                <w:b/>
                <w:i/>
                <w:strike w:val="0"/>
                <w:color w:val="auto"/>
                <w:highlight w:val="none"/>
                <w:u w:val="none" w:color="auto"/>
                <w:vertAlign w:val="baseline"/>
              </w:rPr>
              <w:t>osobám ve zranitelné situaci</w:t>
            </w:r>
            <w:r>
              <w:t xml:space="preserve">, jako jsou </w:t>
            </w:r>
            <w:r>
              <w:rPr>
                <w:b/>
                <w:i/>
                <w:strike w:val="0"/>
                <w:color w:val="auto"/>
                <w:highlight w:val="none"/>
                <w:u w:val="none" w:color="auto"/>
                <w:vertAlign w:val="baseline"/>
              </w:rPr>
              <w:t>nezletilé osoby, nezletilé</w:t>
            </w:r>
            <w:r>
              <w:t xml:space="preserve"> osoby </w:t>
            </w:r>
            <w:r>
              <w:rPr>
                <w:b/>
                <w:i/>
                <w:strike w:val="0"/>
                <w:color w:val="auto"/>
                <w:highlight w:val="none"/>
                <w:u w:val="none" w:color="auto"/>
                <w:vertAlign w:val="baseline"/>
              </w:rPr>
              <w:t>bez doprovodu, osoby se zdravotním postižením</w:t>
            </w:r>
            <w:r>
              <w:t xml:space="preserve">, </w:t>
            </w:r>
            <w:r>
              <w:rPr>
                <w:b/>
                <w:i/>
                <w:strike w:val="0"/>
                <w:color w:val="auto"/>
                <w:highlight w:val="none"/>
                <w:u w:val="none" w:color="auto"/>
                <w:vertAlign w:val="baseline"/>
              </w:rPr>
              <w:t>starší</w:t>
            </w:r>
            <w:r>
              <w:t xml:space="preserve"> osoby</w:t>
            </w:r>
            <w:r>
              <w:rPr>
                <w:b/>
                <w:i/>
                <w:strike w:val="0"/>
                <w:color w:val="auto"/>
                <w:highlight w:val="none"/>
                <w:u w:val="none" w:color="auto"/>
                <w:vertAlign w:val="baseline"/>
              </w:rPr>
              <w:t>, těhotné ženy, osamělí rodiče s nezletilými dětmi, oběti obchodování s lidmi</w:t>
            </w:r>
            <w:r>
              <w:t xml:space="preserve">, osoby </w:t>
            </w:r>
            <w:r>
              <w:rPr>
                <w:b/>
                <w:i/>
                <w:strike w:val="0"/>
                <w:color w:val="auto"/>
                <w:highlight w:val="none"/>
                <w:u w:val="none" w:color="auto"/>
                <w:vertAlign w:val="baseline"/>
              </w:rPr>
              <w:t>trpící závažným onemocněním, osoby s mentální poruchou a osoby</w:t>
            </w:r>
            <w:r>
              <w:t xml:space="preserve">, které </w:t>
            </w:r>
            <w:r>
              <w:rPr>
                <w:b/>
                <w:i/>
                <w:strike w:val="0"/>
                <w:color w:val="auto"/>
                <w:highlight w:val="none"/>
                <w:u w:val="none" w:color="auto"/>
                <w:vertAlign w:val="baseline"/>
              </w:rPr>
              <w:t>byly vystaveny mučení, znásilnění nebo jiným závažným formám psychického, fyzického nebo sexuálního násilí, jako jsou oběti ženské obřízky</w:t>
            </w:r>
            <w:r>
              <w:t xml:space="preserve">. Zejména v případě nezletilé osoby by informace měly být poskytovány </w:t>
            </w:r>
            <w:r>
              <w:rPr>
                <w:b/>
                <w:i/>
                <w:strike w:val="0"/>
                <w:color w:val="auto"/>
                <w:highlight w:val="none"/>
                <w:u w:val="none" w:color="auto"/>
                <w:vertAlign w:val="baseline"/>
              </w:rPr>
              <w:t>řádně proškolenými zaměstnanci</w:t>
            </w:r>
            <w:r>
              <w:t xml:space="preserve"> způsobem vhodným pro dítě a odpovídajícím věku dítěte</w:t>
            </w:r>
            <w:r>
              <w:rPr>
                <w:b/>
                <w:i/>
                <w:strike w:val="0"/>
                <w:color w:val="auto"/>
                <w:highlight w:val="none"/>
                <w:u w:val="none" w:color="auto"/>
                <w:vertAlign w:val="baseline"/>
              </w:rPr>
              <w:t>.</w:t>
            </w:r>
            <w:r>
              <w:t xml:space="preserve"> </w:t>
            </w:r>
            <w:r>
              <w:rPr>
                <w:b/>
                <w:i/>
                <w:strike w:val="0"/>
                <w:color w:val="auto"/>
                <w:highlight w:val="none"/>
                <w:u w:val="none" w:color="auto"/>
                <w:vertAlign w:val="baseline"/>
              </w:rPr>
              <w:t>Zásada, že se v případě pochybností rozhodne ve prospěch nezletilé osoby by se měla uplatňovat vždy, pokud je věk dané osoby nejasný nebo sporný a neexistuje žádná podkladová dokumentace prokazující její věk</w:t>
            </w:r>
            <w:r>
              <w:t>. Všechny orgány podílející se na plnění úkolů souvisejících s prověřováním by měly respektovat lidskou důstojnost, soukromí a zdržet se jakýchkoli diskriminujících jednání nebo chování.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Během prověřování </w:t>
            </w:r>
            <w:r>
              <w:rPr>
                <w:b/>
                <w:i/>
                <w:strike w:val="0"/>
                <w:color w:val="auto"/>
                <w:highlight w:val="none"/>
                <w:u w:val="none" w:color="auto"/>
                <w:vertAlign w:val="baseline"/>
              </w:rPr>
              <w:t>by</w:t>
            </w:r>
            <w:r>
              <w:t xml:space="preserve"> všem dotčeným osobám </w:t>
            </w:r>
            <w:r>
              <w:rPr>
                <w:b/>
                <w:i/>
                <w:strike w:val="0"/>
                <w:color w:val="auto"/>
                <w:highlight w:val="none"/>
                <w:u w:val="none" w:color="auto"/>
                <w:vertAlign w:val="baseline"/>
              </w:rPr>
              <w:t>měla být</w:t>
            </w:r>
            <w:r>
              <w:t xml:space="preserve"> zaručena životní úroveň v souladu s Listinou základních práv Evropské unie a </w:t>
            </w:r>
            <w:r>
              <w:rPr>
                <w:b/>
                <w:i/>
                <w:strike w:val="0"/>
                <w:color w:val="auto"/>
                <w:highlight w:val="none"/>
                <w:u w:val="none" w:color="auto"/>
                <w:vertAlign w:val="baseline"/>
              </w:rPr>
              <w:t>tyto osoby by měly mít přístup</w:t>
            </w:r>
            <w:r>
              <w:t xml:space="preserve"> k neodkladné zdravotní péči a základní léčbě v případě onemocnění. Zvláštní pozornost by měla být věnována zranitelným osobám, jako jsou </w:t>
            </w:r>
            <w:r>
              <w:rPr>
                <w:b/>
                <w:i/>
                <w:strike w:val="0"/>
                <w:color w:val="auto"/>
                <w:highlight w:val="none"/>
                <w:u w:val="none" w:color="auto"/>
                <w:vertAlign w:val="baseline"/>
              </w:rPr>
              <w:t>těhotné ženy, starší</w:t>
            </w:r>
            <w:r>
              <w:t xml:space="preserve"> osoby</w:t>
            </w:r>
            <w:r>
              <w:rPr>
                <w:b/>
                <w:i/>
                <w:strike w:val="0"/>
                <w:color w:val="auto"/>
                <w:highlight w:val="none"/>
                <w:u w:val="none" w:color="auto"/>
                <w:vertAlign w:val="baseline"/>
              </w:rPr>
              <w:t>, rodiny s jedním rodičem, osoby s okamžitě identifikovatelným fyzickým nebo mentálním postižením, osoby, které zjevně utrpěly psychické nebo fyzické trauma a nezletilé osoby bez doprovodu</w:t>
            </w:r>
            <w:r>
              <w:t>. Zejména v případě nezletilé osoby by informace měly být poskytovány způsobem vhodným pro dítě a odpovídajícím věku dítěte. Všechny orgány podílející se na plnění úkolů souvisejících s prověřováním by měly respektovat lidskou důstojnost, soukromí a zdržet se jakýchkoli diskriminujících jednání nebo chování.</w:t>
            </w:r>
          </w:p>
        </w:tc>
        <w:tc>
          <w:tcPr>
            <w:tcW w:w="4876" w:type="dxa"/>
            <w:vAlign w:val="top"/>
          </w:tcPr>
          <w:p>
            <w:pPr>
              <w:pStyle w:val="Normal6a"/>
            </w:pPr>
            <w:r>
              <w:t>(27)</w:t>
            </w:r>
            <w:r>
              <w:tab/>
            </w:r>
            <w:r>
              <w:t xml:space="preserve">Během prověřování </w:t>
            </w:r>
            <w:r>
              <w:rPr>
                <w:b/>
                <w:i/>
                <w:strike w:val="0"/>
                <w:color w:val="auto"/>
                <w:highlight w:val="none"/>
                <w:u w:val="none" w:color="auto"/>
                <w:vertAlign w:val="baseline"/>
              </w:rPr>
              <w:t>musí být</w:t>
            </w:r>
            <w:r>
              <w:t xml:space="preserve"> všem dotčeným osobám zaručena životní úroveň v souladu s Listinou základních práv Evropské unie a </w:t>
            </w:r>
            <w:r>
              <w:rPr>
                <w:b/>
                <w:i/>
                <w:strike w:val="0"/>
                <w:color w:val="auto"/>
                <w:highlight w:val="none"/>
                <w:u w:val="none" w:color="auto"/>
                <w:vertAlign w:val="baseline"/>
              </w:rPr>
              <w:t>během prověřování platí stejné podmínky přijímání jako podmínky stanovené směrnicí XXX/XXX/EU [přepracované znění směrnice o podmínkách přijímání], včetně přístupu</w:t>
            </w:r>
            <w:r>
              <w:t xml:space="preserve"> k neodkladné zdravotní péči a základní léčbě v případě onemocnění. Zvláštní pozornost by měla být věnována zranitelným osobám, jako jsou osoby </w:t>
            </w:r>
            <w:r>
              <w:rPr>
                <w:b/>
                <w:i/>
                <w:strike w:val="0"/>
                <w:color w:val="auto"/>
                <w:highlight w:val="none"/>
                <w:u w:val="none" w:color="auto"/>
                <w:vertAlign w:val="baseline"/>
              </w:rPr>
              <w:t>uvedené v článku 20 směrnice (EU) XXX/XXX (směrnice o podmínkách přijímání)</w:t>
            </w:r>
            <w:r>
              <w:t>. Zejména v případě nezletilé osoby by informace měly být poskytovány způsobem vhodným pro dítě a odpovídajícím věku dítěte. Všechny orgány podílející se na plnění úkolů souvisejících s prověřováním by měly respektovat lidskou důstojnost, soukromí a zdržet se jakýchkoli diskriminujících jednání nebo chování.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Abir Al-Sahlani</w:t>
      </w:r>
      <w:r>
        <w:t xml:space="preserve">, </w:t>
      </w:r>
      <w:r>
        <w:t>Jan-Christoph Oetjen</w:t>
      </w:r>
      <w:r>
        <w:t xml:space="preserve">, </w:t>
      </w:r>
      <w:r>
        <w:t>Dragoş Tudorache</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Během prověřování by všem dotčeným osobám měla být zaručena životní úroveň v souladu s Listinou základních práv Evropské unie a tyto osoby by měly mít přístup k neodkladné zdravotní péči a základní léčbě v případě onemocnění. Zvláštní pozornost by měla být věnována zranitelným osobám, jako jsou těhotné ženy, starší osoby, rodiny s jedním rodičem, osoby s okamžitě identifikovatelným fyzickým nebo mentálním postižením, osoby, které zjevně utrpěly psychické nebo fyzické trauma a nezletilé osoby bez doprovodu. Zejména v případě nezletilé osoby by informace měly být poskytovány způsobem vhodným pro dítě a odpovídajícím věku dítěte. Všechny orgány podílející se na plnění úkolů souvisejících s prověřováním </w:t>
            </w:r>
            <w:r>
              <w:rPr>
                <w:b/>
                <w:i/>
                <w:strike w:val="0"/>
                <w:color w:val="auto"/>
                <w:highlight w:val="none"/>
                <w:u w:val="none" w:color="auto"/>
                <w:vertAlign w:val="baseline"/>
              </w:rPr>
              <w:t>by měly respektovat</w:t>
            </w:r>
            <w:r>
              <w:t xml:space="preserve"> lidskou důstojnost, soukromí a </w:t>
            </w:r>
            <w:r>
              <w:rPr>
                <w:b/>
                <w:i/>
                <w:strike w:val="0"/>
                <w:color w:val="auto"/>
                <w:highlight w:val="none"/>
                <w:u w:val="none" w:color="auto"/>
                <w:vertAlign w:val="baseline"/>
              </w:rPr>
              <w:t>zdržet se jakýchkoli diskriminujících</w:t>
            </w:r>
            <w:r>
              <w:t xml:space="preserve"> jednání nebo chování.</w:t>
            </w:r>
          </w:p>
        </w:tc>
        <w:tc>
          <w:tcPr>
            <w:tcW w:w="4876" w:type="dxa"/>
            <w:vAlign w:val="top"/>
          </w:tcPr>
          <w:p>
            <w:pPr>
              <w:pStyle w:val="Normal6a"/>
            </w:pPr>
            <w:r>
              <w:t>(27)</w:t>
            </w:r>
            <w:r>
              <w:tab/>
            </w:r>
            <w:r>
              <w:t xml:space="preserve">Během prověřování by všem dotčeným osobám měla být zaručena životní úroveň v souladu s Listinou základních práv Evropské unie a tyto osoby by měly mít přístup k neodkladné zdravotní péči a základní léčbě v případě onemocnění. Zvláštní pozornost by měla být věnována zranitelným osobám, jako jsou těhotné ženy, starší osoby, rodiny s jedním rodičem, osoby s okamžitě identifikovatelným fyzickým nebo mentálním postižením, osoby, které zjevně utrpěly psychické nebo fyzické trauma a nezletilé osoby bez doprovodu. Zejména v případě nezletilé osoby by informace měly být poskytovány způsobem vhodným pro dítě a odpovídajícím věku dítěte. Všechny orgány podílející se na plnění úkolů souvisejících s prověřováním </w:t>
            </w:r>
            <w:r>
              <w:rPr>
                <w:b/>
                <w:i/>
                <w:strike w:val="0"/>
                <w:color w:val="auto"/>
                <w:highlight w:val="none"/>
                <w:u w:val="none" w:color="auto"/>
                <w:vertAlign w:val="baseline"/>
              </w:rPr>
              <w:t>respektují</w:t>
            </w:r>
            <w:r>
              <w:t xml:space="preserve"> lidskou důstojnost, soukromí a </w:t>
            </w:r>
            <w:r>
              <w:rPr>
                <w:b/>
                <w:i/>
                <w:strike w:val="0"/>
                <w:color w:val="auto"/>
                <w:highlight w:val="none"/>
                <w:u w:val="none" w:color="auto"/>
                <w:vertAlign w:val="baseline"/>
              </w:rPr>
              <w:t>zdrží se jakéhokoli diskriminujícího</w:t>
            </w:r>
            <w:r>
              <w:t xml:space="preserve"> jednání nebo chování.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299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Vzhledem k tomu, že státní příslušníci třetích zemí, kteří jsou podrobeni prověřování, </w:t>
            </w:r>
            <w:r>
              <w:rPr>
                <w:b/>
                <w:i/>
                <w:strike w:val="0"/>
                <w:color w:val="auto"/>
                <w:highlight w:val="none"/>
                <w:u w:val="none" w:color="auto"/>
                <w:vertAlign w:val="baseline"/>
              </w:rPr>
              <w:t>u sebe</w:t>
            </w:r>
            <w:r>
              <w:t xml:space="preserve"> nemusí mít nezbytné doklady totožnosti a cestovní doklady potřebné k legálnímu překročení vnější hranice, měl by být v rámci prověřování </w:t>
            </w:r>
            <w:r>
              <w:rPr>
                <w:b/>
                <w:i/>
                <w:strike w:val="0"/>
                <w:color w:val="auto"/>
                <w:highlight w:val="none"/>
                <w:u w:val="none" w:color="auto"/>
                <w:vertAlign w:val="baseline"/>
              </w:rPr>
              <w:t>stanoven</w:t>
            </w:r>
            <w:r>
              <w:t xml:space="preserve"> postup zjištění totožnosti.</w:t>
            </w:r>
          </w:p>
        </w:tc>
        <w:tc>
          <w:tcPr>
            <w:tcW w:w="4876" w:type="dxa"/>
            <w:vAlign w:val="top"/>
          </w:tcPr>
          <w:p>
            <w:pPr>
              <w:pStyle w:val="Normal6a"/>
            </w:pPr>
            <w:r>
              <w:t>(28)</w:t>
            </w:r>
            <w:r>
              <w:tab/>
            </w:r>
            <w:r>
              <w:t xml:space="preserve">Vzhledem k tomu, že státní příslušníci třetích zemí, kteří jsou podrobeni prověřování, nemusí mít nezbytné doklady totožnosti a cestovní doklady potřebné k legálnímu překročení vnější hranice </w:t>
            </w:r>
            <w:r>
              <w:rPr>
                <w:b/>
                <w:i/>
                <w:strike w:val="0"/>
                <w:color w:val="auto"/>
                <w:highlight w:val="none"/>
                <w:u w:val="none" w:color="auto"/>
                <w:vertAlign w:val="baseline"/>
              </w:rPr>
              <w:t>nebo je mít u sebe</w:t>
            </w:r>
            <w:r>
              <w:t xml:space="preserve">, měl by být v rámci prověřování </w:t>
            </w:r>
            <w:r>
              <w:rPr>
                <w:b/>
                <w:i/>
                <w:strike w:val="0"/>
                <w:color w:val="auto"/>
                <w:highlight w:val="none"/>
                <w:u w:val="none" w:color="auto"/>
                <w:vertAlign w:val="baseline"/>
              </w:rPr>
              <w:t>proveden</w:t>
            </w:r>
            <w:r>
              <w:t xml:space="preserve"> postup zjištění totožnosti.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Vzhledem k tomu, že státní příslušníci třetích zemí, kteří jsou podrobeni prověřování, u sebe nemusí mít nezbytné doklady totožnosti a cestovní doklady potřebné k legálnímu překročení vnější hranice, měl by být v rámci prověřování </w:t>
            </w:r>
            <w:r>
              <w:rPr>
                <w:b/>
                <w:i/>
                <w:strike w:val="0"/>
                <w:color w:val="auto"/>
                <w:highlight w:val="none"/>
                <w:u w:val="none" w:color="auto"/>
                <w:vertAlign w:val="baseline"/>
              </w:rPr>
              <w:t>stanoven</w:t>
            </w:r>
            <w:r>
              <w:t xml:space="preserve"> postup zjištění totožnosti.</w:t>
            </w:r>
          </w:p>
        </w:tc>
        <w:tc>
          <w:tcPr>
            <w:tcW w:w="4876" w:type="dxa"/>
            <w:vAlign w:val="top"/>
          </w:tcPr>
          <w:p>
            <w:pPr>
              <w:pStyle w:val="Normal6a"/>
            </w:pPr>
            <w:r>
              <w:t>(28)</w:t>
            </w:r>
            <w:r>
              <w:tab/>
            </w:r>
            <w:r>
              <w:t xml:space="preserve">Vzhledem k tomu, že státní příslušníci třetích zemí, kteří jsou podrobeni prověřování, u sebe nemusí mít nezbytné doklady totožnosti a cestovní doklady potřebné k legálnímu překročení vnější hranice, měl by být v rámci prověřování </w:t>
            </w:r>
            <w:r>
              <w:rPr>
                <w:b/>
                <w:i/>
                <w:strike w:val="0"/>
                <w:color w:val="auto"/>
                <w:highlight w:val="none"/>
                <w:u w:val="none" w:color="auto"/>
                <w:vertAlign w:val="baseline"/>
              </w:rPr>
              <w:t>proveden</w:t>
            </w:r>
            <w:r>
              <w:t xml:space="preserve"> postup zjištění totožnosti.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Vzhledem k tomu, že státní příslušníci třetích zemí, kteří jsou podrobeni prověřování, u sebe nemusí mít nezbytné doklady totožnosti a cestovní doklady potřebné k legálnímu překročení vnější hranice, měl by být v rámci prověřování </w:t>
            </w:r>
            <w:r>
              <w:rPr>
                <w:b/>
                <w:i/>
                <w:strike w:val="0"/>
                <w:color w:val="auto"/>
                <w:highlight w:val="none"/>
                <w:u w:val="none" w:color="auto"/>
                <w:vertAlign w:val="baseline"/>
              </w:rPr>
              <w:t>stanoven</w:t>
            </w:r>
            <w:r>
              <w:t xml:space="preserve"> postup zjištění totožnosti.</w:t>
            </w:r>
          </w:p>
        </w:tc>
        <w:tc>
          <w:tcPr>
            <w:tcW w:w="4876" w:type="dxa"/>
            <w:vAlign w:val="top"/>
          </w:tcPr>
          <w:p>
            <w:pPr>
              <w:pStyle w:val="Normal6a"/>
            </w:pPr>
            <w:r>
              <w:t>(28)</w:t>
            </w:r>
            <w:r>
              <w:tab/>
            </w:r>
            <w:r>
              <w:t xml:space="preserve">Vzhledem k tomu, že státní příslušníci třetích zemí, kteří jsou podrobeni prověřování, u sebe nemusí mít nezbytné doklady totožnosti a cestovní doklady potřebné k legálnímu překročení vnější hranice, měl by být v rámci prověřování </w:t>
            </w:r>
            <w:r>
              <w:rPr>
                <w:b/>
                <w:i/>
                <w:strike w:val="0"/>
                <w:color w:val="auto"/>
                <w:highlight w:val="none"/>
                <w:u w:val="none" w:color="auto"/>
                <w:vertAlign w:val="baseline"/>
              </w:rPr>
              <w:t>proveden</w:t>
            </w:r>
            <w:r>
              <w:t xml:space="preserve"> postup zjištění totožnosti.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Vzhledem k tomu, že státní příslušníci třetích zemí, kteří jsou podrobeni prověřování, u sebe nemusí mít nezbytné doklady totožnosti a cestovní doklady potřebné k legálnímu překročení vnější hranice, měl by být v rámci prověřování stanoven postup zjištění totožnosti.</w:t>
            </w:r>
          </w:p>
        </w:tc>
        <w:tc>
          <w:tcPr>
            <w:tcW w:w="4876" w:type="dxa"/>
            <w:vAlign w:val="top"/>
          </w:tcPr>
          <w:p>
            <w:pPr>
              <w:pStyle w:val="Normal6a"/>
            </w:pPr>
            <w:r>
              <w:t>(28)</w:t>
            </w:r>
            <w:r>
              <w:tab/>
            </w:r>
            <w:r>
              <w:t xml:space="preserve">Vzhledem k tomu, že státní příslušníci třetích zemí, kteří jsou podrobeni prověřování, u sebe nemusí mít nezbytné doklady totožnosti a cestovní doklady potřebné k legálnímu překročení vnější hranice </w:t>
            </w:r>
            <w:r>
              <w:rPr>
                <w:b/>
                <w:i/>
                <w:strike w:val="0"/>
                <w:color w:val="auto"/>
                <w:highlight w:val="none"/>
                <w:u w:val="none" w:color="auto"/>
                <w:vertAlign w:val="baseline"/>
              </w:rPr>
              <w:t>nebo je nechtějí předat</w:t>
            </w:r>
            <w:r>
              <w:t>, měl by být v rámci prověřování stanoven postup zjištění totožnosti.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nejsou uchovávány déle, než je nezbytně nutné pro potřeby základních systémů, a měly by být automaticky vymazány, jakmile jsou údaje vymazány ze základních systémů. </w:t>
            </w:r>
            <w:r>
              <w:rPr>
                <w:b/>
                <w:i/>
                <w:strike w:val="0"/>
                <w:color w:val="auto"/>
                <w:highlight w:val="none"/>
                <w:u w:val="none" w:color="auto"/>
                <w:vertAlign w:val="baseline"/>
              </w:rPr>
              <w:t>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w:t>
            </w:r>
          </w:p>
        </w:tc>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 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nejsou uchovávány déle, než je nezbytně nutné pro potřeby základních systémů, a měly by být automaticky vymazány, jakmile jsou údaje vymazány ze základních systémů.</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nejsou uchovávány déle, než je nezbytně nutné pro potřeby základních systémů, a měly by být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w:t>
            </w:r>
          </w:p>
        </w:tc>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 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nejsou uchovávány déle, než je nezbytně nutné pro potřeby základních systémů, a měly by být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 </w:t>
            </w:r>
            <w:r>
              <w:rPr>
                <w:b/>
                <w:i/>
                <w:strike w:val="0"/>
                <w:color w:val="auto"/>
                <w:highlight w:val="none"/>
                <w:u w:val="none" w:color="auto"/>
                <w:vertAlign w:val="baseline"/>
              </w:rPr>
              <w:t>Pro účely prověřování a v souladu se zásadami nezbytnosti a proporcionality by při vyhledávání v CIR měly být kontrolovány pouze systémy EES, VIS a Eurodac.</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w:t>
            </w:r>
            <w:r>
              <w:rPr>
                <w:b/>
                <w:i/>
                <w:strike w:val="0"/>
                <w:color w:val="auto"/>
                <w:highlight w:val="none"/>
                <w:u w:val="none" w:color="auto"/>
                <w:vertAlign w:val="baseline"/>
              </w:rPr>
              <w:t>nejsou</w:t>
            </w:r>
            <w:r>
              <w:t xml:space="preserve"> uchovávány </w:t>
            </w:r>
            <w:r>
              <w:rPr>
                <w:b/>
                <w:i/>
                <w:strike w:val="0"/>
                <w:color w:val="auto"/>
                <w:highlight w:val="none"/>
                <w:u w:val="none" w:color="auto"/>
                <w:vertAlign w:val="baseline"/>
              </w:rPr>
              <w:t>déle, než je</w:t>
            </w:r>
            <w:r>
              <w:t xml:space="preserve"> nezbytně nutné pro potřeby základních systémů, a měly by být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w:t>
            </w:r>
          </w:p>
        </w:tc>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 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w:t>
            </w:r>
            <w:r>
              <w:rPr>
                <w:b/>
                <w:i/>
                <w:strike w:val="0"/>
                <w:color w:val="auto"/>
                <w:highlight w:val="none"/>
                <w:u w:val="none" w:color="auto"/>
                <w:vertAlign w:val="baseline"/>
              </w:rPr>
              <w:t>jsou</w:t>
            </w:r>
            <w:r>
              <w:t xml:space="preserve"> uchovávány </w:t>
            </w:r>
            <w:r>
              <w:rPr>
                <w:b/>
                <w:i/>
                <w:strike w:val="0"/>
                <w:color w:val="auto"/>
                <w:highlight w:val="none"/>
                <w:u w:val="none" w:color="auto"/>
                <w:vertAlign w:val="baseline"/>
              </w:rPr>
              <w:t>tak dlouho, jak je to</w:t>
            </w:r>
            <w:r>
              <w:t xml:space="preserve"> nezbytně nutné pro potřeby základních systémů, a měly by být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nejsou uchovávány déle, než je nezbytně nutné pro potřeby základních systémů, a </w:t>
            </w:r>
            <w:r>
              <w:rPr>
                <w:b/>
                <w:i/>
                <w:strike w:val="0"/>
                <w:color w:val="auto"/>
                <w:highlight w:val="none"/>
                <w:u w:val="none" w:color="auto"/>
                <w:vertAlign w:val="baseline"/>
              </w:rPr>
              <w:t>měly by být</w:t>
            </w:r>
            <w:r>
              <w:t xml:space="preserve">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w:t>
            </w:r>
          </w:p>
        </w:tc>
        <w:tc>
          <w:tcPr>
            <w:tcW w:w="4876" w:type="dxa"/>
            <w:vAlign w:val="top"/>
          </w:tcPr>
          <w:p>
            <w:pPr>
              <w:pStyle w:val="Normal6a"/>
            </w:pPr>
            <w:r>
              <w:t>(29)</w:t>
            </w:r>
            <w:r>
              <w:tab/>
            </w:r>
            <w:r>
              <w:t>Společné úložiště údajů o totožnosti („CIR“) bylo zřízeno nařízením Evropského parlamentu a Rady (EU) 2019/817 (nařízení o interoperabilitě)</w:t>
            </w:r>
            <w:r>
              <w:rPr>
                <w:rStyle w:val="Sup"/>
              </w:rPr>
              <w:t>25</w:t>
            </w:r>
            <w:r>
              <w:t xml:space="preserve"> s cílem usnadnit a podpořit správné zjištění totožnosti osob registrovaných v Systému vstupu/výstupu („EES“), ve Vízovém informačním systému („VIS“), v Evropském systému pro cestovní informace a povolení („ETIAS“), v Eurodacu a v Evropském informačním systému rejstříků trestů pro státní příslušníky třetích zemí („ECRIS-TCN“), včetně případů neznámých osob, které nedokážou prokázat svou totožnost. Za tímto účelem obsahuje CIR pouze logicky oddělené údaje o totožnosti, cestovních dokladech a biometrické údaje uložené v systémech EES, VIS, ETIAS, Eurodac a ECRIS-TCN. V CIR jsou uloženy pouze osobní údaje nezbytně nutné k provedení přesného zjištění totožnosti. Osobní údaje zaznamenané v CIR nejsou uchovávány déle, než je nezbytně nutné pro potřeby základních systémů, a </w:t>
            </w:r>
            <w:r>
              <w:rPr>
                <w:b/>
                <w:i/>
                <w:strike w:val="0"/>
                <w:color w:val="auto"/>
                <w:highlight w:val="none"/>
                <w:u w:val="none" w:color="auto"/>
                <w:vertAlign w:val="baseline"/>
              </w:rPr>
              <w:t>budou</w:t>
            </w:r>
            <w:r>
              <w:t xml:space="preserve"> automaticky vymazány, jakmile jsou údaje vymazány ze základních systémů. Nahlížení do CIR umožňuje spolehlivé a úplné zjištění totožnosti osob, neboť v jednom kroku lze rychle a spolehlivě prohlížet údaje o totožnosti uložené v EES, VIS, ETIAS, Eurodacu a ECRIS-TCN, a to při zajištění maximální ochrany údajů a zabránění zbytečnému zpracování nebo duplikaci údajů.</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c>
          <w:tcPr>
            <w:tcW w:w="4876" w:type="dxa"/>
            <w:vAlign w:val="top"/>
          </w:tcPr>
          <w:p>
            <w:pPr>
              <w:pStyle w:val="Normal6a"/>
            </w:pPr>
            <w:r>
              <w:rPr>
                <w:rStyle w:val="Sup"/>
              </w:rPr>
              <w:t>25</w:t>
            </w:r>
            <w:r>
              <w:t xml:space="preserve"> </w:t>
            </w:r>
            <w:r>
              <w:t>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Za účelem zjištění totožnosti prověřovaných osob by mělo být ověřování v CIR zahájeno za přítomnosti prověřované osoby. Během uvedeného ověřování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w:t>
            </w:r>
            <w:r>
              <w:rPr>
                <w:b/>
                <w:i/>
                <w:strike w:val="0"/>
                <w:color w:val="auto"/>
                <w:highlight w:val="none"/>
                <w:u w:val="none" w:color="auto"/>
                <w:vertAlign w:val="baseline"/>
              </w:rPr>
              <w:t>V souladu se zásadami nezbytnosti a proporcionality a v případě, kdy</w:t>
            </w:r>
            <w:r>
              <w:t xml:space="preserve"> vyhledávání ukáže, že údaje o této osobě jsou uložené v CIR, měly by mít orgány členského státu přístup do CIR za účelem nahlížení do údajů o totožnosti, údajů o cestovním dokladu a biometrických údajů této osoby, </w:t>
            </w:r>
            <w:r>
              <w:rPr>
                <w:b/>
                <w:i/>
                <w:strike w:val="0"/>
                <w:color w:val="auto"/>
                <w:highlight w:val="none"/>
                <w:u w:val="none" w:color="auto"/>
                <w:vertAlign w:val="baseline"/>
              </w:rPr>
              <w:t>aniž by bylo v CIR jakkoli uvedeno, do kterého informačního systému EU</w:t>
            </w:r>
            <w:r>
              <w:t xml:space="preserve"> tyto údaje </w:t>
            </w:r>
            <w:r>
              <w:rPr>
                <w:b/>
                <w:i/>
                <w:strike w:val="0"/>
                <w:color w:val="auto"/>
                <w:highlight w:val="none"/>
                <w:u w:val="none" w:color="auto"/>
                <w:vertAlign w:val="baseline"/>
              </w:rPr>
              <w:t>patří</w:t>
            </w:r>
            <w:r>
              <w:t>.</w:t>
            </w:r>
          </w:p>
        </w:tc>
        <w:tc>
          <w:tcPr>
            <w:tcW w:w="4876" w:type="dxa"/>
            <w:vAlign w:val="top"/>
          </w:tcPr>
          <w:p>
            <w:pPr>
              <w:pStyle w:val="Normal6a"/>
            </w:pPr>
            <w:r>
              <w:t>(30)</w:t>
            </w:r>
            <w:r>
              <w:tab/>
            </w:r>
            <w:r>
              <w:t xml:space="preserve">Za účelem zjištění totožnosti prověřovaných osob by mělo být ověřování v CIR zahájeno za přítomnosti prověřované osoby. Během uvedeného ověřování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w:t>
            </w:r>
            <w:r>
              <w:rPr>
                <w:b/>
                <w:i/>
                <w:strike w:val="0"/>
                <w:color w:val="auto"/>
                <w:highlight w:val="none"/>
                <w:u w:val="none" w:color="auto"/>
                <w:vertAlign w:val="baseline"/>
              </w:rPr>
              <w:t>Pokud</w:t>
            </w:r>
            <w:r>
              <w:t xml:space="preserve"> vyhledávání ukáže, že údaje o této osobě jsou uložené v CIR, měly by mít orgány členského státu přístup do CIR za účelem nahlížení do údajů o totožnosti, údajů o cestovním dokladu a biometrických údajů této osoby, </w:t>
            </w:r>
            <w:r>
              <w:rPr>
                <w:b/>
                <w:i/>
                <w:strike w:val="0"/>
                <w:color w:val="auto"/>
                <w:highlight w:val="none"/>
                <w:u w:val="none" w:color="auto"/>
                <w:vertAlign w:val="baseline"/>
              </w:rPr>
              <w:t>jakož i do zdroje, odkud jsou</w:t>
            </w:r>
            <w:r>
              <w:t xml:space="preserve"> tyto údaje </w:t>
            </w:r>
            <w:r>
              <w:rPr>
                <w:b/>
                <w:i/>
                <w:strike w:val="0"/>
                <w:color w:val="auto"/>
                <w:highlight w:val="none"/>
                <w:u w:val="none" w:color="auto"/>
                <w:vertAlign w:val="baseline"/>
              </w:rPr>
              <w:t>získány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Vzhledem k tomu, že jedním z účelů prověřování je zjistit, zda vstup dané osoby představuje hrozbu pro EU, či nikoli, může být znalost zdroje údajů o totožnosti důležitou informací.</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Za účelem </w:t>
            </w:r>
            <w:r>
              <w:rPr>
                <w:b/>
                <w:i/>
                <w:strike w:val="0"/>
                <w:color w:val="auto"/>
                <w:highlight w:val="none"/>
                <w:u w:val="none" w:color="auto"/>
                <w:vertAlign w:val="baseline"/>
              </w:rPr>
              <w:t>zjištění</w:t>
            </w:r>
            <w:r>
              <w:t xml:space="preserve"> totožnosti prověřovaných osob by mělo být </w:t>
            </w:r>
            <w:r>
              <w:rPr>
                <w:b/>
                <w:i/>
                <w:strike w:val="0"/>
                <w:color w:val="auto"/>
                <w:highlight w:val="none"/>
                <w:u w:val="none" w:color="auto"/>
                <w:vertAlign w:val="baseline"/>
              </w:rPr>
              <w:t>ověřování v</w:t>
            </w:r>
            <w:r>
              <w:t xml:space="preserve"> CIR zahájeno za přítomnosti prověřované osoby. Během uvedeného </w:t>
            </w:r>
            <w:r>
              <w:rPr>
                <w:b/>
                <w:i/>
                <w:strike w:val="0"/>
                <w:color w:val="auto"/>
                <w:highlight w:val="none"/>
                <w:u w:val="none" w:color="auto"/>
                <w:vertAlign w:val="baseline"/>
              </w:rPr>
              <w:t>ověřování</w:t>
            </w:r>
            <w:r>
              <w:t xml:space="preserve">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V souladu se zásadami nezbytnosti a proporcionality a v případě, kdy vyhledávání ukáže, že údaje o této osobě jsou uložené v CIR, měly by mít orgány členského státu přístup do CIR za účelem nahlížení do údajů o totožnosti, údajů o cestovním dokladu a biometrických údajů této osoby, aniž by bylo v CIR jakkoli uvedeno, do kterého informačního systému EU tyto údaje patří.</w:t>
            </w:r>
          </w:p>
        </w:tc>
        <w:tc>
          <w:tcPr>
            <w:tcW w:w="4876" w:type="dxa"/>
            <w:vAlign w:val="top"/>
          </w:tcPr>
          <w:p>
            <w:pPr>
              <w:pStyle w:val="Normal6a"/>
            </w:pPr>
            <w:r>
              <w:t>(30)</w:t>
            </w:r>
            <w:r>
              <w:tab/>
            </w:r>
            <w:r>
              <w:t xml:space="preserve">Za účelem </w:t>
            </w:r>
            <w:r>
              <w:rPr>
                <w:b/>
                <w:i/>
                <w:strike w:val="0"/>
                <w:color w:val="auto"/>
                <w:highlight w:val="none"/>
                <w:u w:val="none" w:color="auto"/>
                <w:vertAlign w:val="baseline"/>
              </w:rPr>
              <w:t>ověření</w:t>
            </w:r>
            <w:r>
              <w:t xml:space="preserve"> totožnosti prověřovaných osob by mělo být </w:t>
            </w:r>
            <w:r>
              <w:rPr>
                <w:b/>
                <w:i/>
                <w:strike w:val="0"/>
                <w:color w:val="auto"/>
                <w:highlight w:val="none"/>
                <w:u w:val="none" w:color="auto"/>
                <w:vertAlign w:val="baseline"/>
              </w:rPr>
              <w:t>nahlížení do</w:t>
            </w:r>
            <w:r>
              <w:t xml:space="preserve"> CIR zahájeno za přítomnosti prověřované osoby. Během uvedeného </w:t>
            </w:r>
            <w:r>
              <w:rPr>
                <w:b/>
                <w:i/>
                <w:strike w:val="0"/>
                <w:color w:val="auto"/>
                <w:highlight w:val="none"/>
                <w:u w:val="none" w:color="auto"/>
                <w:vertAlign w:val="baseline"/>
              </w:rPr>
              <w:t>nahlížení</w:t>
            </w:r>
            <w:r>
              <w:t xml:space="preserve">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V souladu se zásadami nezbytnosti a proporcionality a v případě, kdy vyhledávání ukáže, že údaje o této osobě jsou uložené v CIR, měly by mít orgány členského státu přístup do CIR za účelem nahlížení do údajů o totožnosti, údajů o cestovním dokladu a biometrických údajů této osoby, aniž by bylo v CIR jakkoli uvedeno, do kterého informačního systému EU tyto údaje patří. </w:t>
            </w:r>
            <w:r>
              <w:rPr>
                <w:b/>
                <w:i/>
                <w:strike w:val="0"/>
                <w:color w:val="auto"/>
                <w:highlight w:val="none"/>
                <w:u w:val="none" w:color="auto"/>
                <w:vertAlign w:val="baseline"/>
              </w:rPr>
              <w:t>Přístup příslušných orgánů členských států do CIR by měl být omezen v rozsahu, v jakém jsou údaje nezbytné pro plnění jejich úkolů v souladu s těmito účely, a měl by být přiměřený sledovaným cílům.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Za účelem zjištění totožnosti prověřovaných osob by mělo být ověřování v CIR zahájeno za přítomnosti prověřované osoby. Během uvedeného ověřování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V souladu se zásadami nezbytnosti a proporcionality a v případě, kdy vyhledávání ukáže, že údaje o této osobě jsou uložené v CIR, měly by mít orgány členského státu přístup do CIR za účelem nahlížení do údajů o totožnosti, údajů o cestovním dokladu a biometrických údajů této osoby, aniž by bylo v CIR jakkoli uvedeno, do kterého informačního systému EU tyto údaje patří.</w:t>
            </w:r>
          </w:p>
        </w:tc>
        <w:tc>
          <w:tcPr>
            <w:tcW w:w="4876" w:type="dxa"/>
            <w:vAlign w:val="top"/>
          </w:tcPr>
          <w:p>
            <w:pPr>
              <w:pStyle w:val="Normal6a"/>
            </w:pPr>
            <w:r>
              <w:t>(30)</w:t>
            </w:r>
            <w:r>
              <w:tab/>
            </w:r>
            <w:r>
              <w:t xml:space="preserve">Za účelem zjištění totožnosti prověřovaných osob by mělo být ověřování v CIR zahájeno za přítomnosti prověřované osoby. Během uvedeného ověřování by měly být biometrické údaje této osoby porovnány s údaji obsaženými v CIR. Pokud nelze biometrické údaje osoby použít nebo pokud vyhledávání na základě těchto údajů není úspěšné, lze pro vyhledávání použít údaje o totožnosti dané osoby ve spojení s údaji o cestovním dokladu, pokud jsou tyto údaje k dispozici. V souladu se zásadami nezbytnosti a proporcionality a v případě, kdy vyhledávání ukáže, že údaje o této osobě jsou uložené v CIR, měly by mít orgány členského státu přístup do CIR za účelem nahlížení do údajů o totožnosti, údajů o cestovním dokladu a biometrických údajů této osoby, aniž by bylo v CIR jakkoli uvedeno, do kterého informačního systému EU tyto údaje patří. </w:t>
            </w:r>
            <w:r>
              <w:rPr>
                <w:b/>
                <w:i/>
                <w:strike w:val="0"/>
                <w:color w:val="auto"/>
                <w:highlight w:val="none"/>
                <w:u w:val="none" w:color="auto"/>
                <w:vertAlign w:val="baseline"/>
              </w:rPr>
              <w:t>Přístup příslušných orgánů členských států do CIR by měl být omezen v rozsahu, v jakém je naprosto nezbytný pro plnění jejich konkrétních úkolů v souladu s těmito účely, a měl by být přiměřený sledovaným cílům.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rPr>
                <w:b/>
                <w:i/>
                <w:strike w:val="0"/>
                <w:color w:val="auto"/>
                <w:highlight w:val="none"/>
                <w:u w:val="none" w:color="auto"/>
                <w:vertAlign w:val="baseline"/>
              </w:rPr>
              <w:t>Vzhledem k tomu, že použití CIR pro účely zjištění totožnosti bylo nařízením (EU) 2019/817 omezeno na usnadnění a podporu správného zjištění totožnosti osob registrovaných v EES, VIS, ETIAS, Eurodacu a ECRIS-TCN v situacích policejních kontrol na území členských států,</w:t>
            </w:r>
            <w:r>
              <w:t xml:space="preserve"> je třeba </w:t>
            </w:r>
            <w:r>
              <w:rPr>
                <w:b/>
                <w:i/>
                <w:strike w:val="0"/>
                <w:color w:val="auto"/>
                <w:highlight w:val="none"/>
                <w:u w:val="none" w:color="auto"/>
                <w:vertAlign w:val="baseline"/>
              </w:rPr>
              <w:t>uvedené nařízení</w:t>
            </w:r>
            <w:r>
              <w:t xml:space="preserve"> pozměnit tak, aby zahrnovalo další </w:t>
            </w:r>
            <w:r>
              <w:rPr>
                <w:b/>
                <w:i/>
                <w:strike w:val="0"/>
                <w:color w:val="auto"/>
                <w:highlight w:val="none"/>
                <w:u w:val="none" w:color="auto"/>
                <w:vertAlign w:val="baseline"/>
              </w:rPr>
              <w:t>účel</w:t>
            </w:r>
            <w:r>
              <w:t xml:space="preserve"> použití CIR k zjištění totožnosti osob v průběhu prověřování stanoveného tímto nařízením.</w:t>
            </w:r>
          </w:p>
        </w:tc>
        <w:tc>
          <w:tcPr>
            <w:tcW w:w="4876" w:type="dxa"/>
            <w:vAlign w:val="top"/>
          </w:tcPr>
          <w:p>
            <w:pPr>
              <w:pStyle w:val="Normal6a"/>
            </w:pPr>
            <w:r>
              <w:t>(31)</w:t>
            </w:r>
            <w:r>
              <w:tab/>
            </w:r>
            <w:r>
              <w:rPr>
                <w:b/>
                <w:i/>
                <w:strike w:val="0"/>
                <w:color w:val="auto"/>
                <w:highlight w:val="none"/>
                <w:u w:val="none" w:color="auto"/>
                <w:vertAlign w:val="baseline"/>
              </w:rPr>
              <w:t>Nařízení 2019/817</w:t>
            </w:r>
            <w:r>
              <w:t xml:space="preserve"> je třeba pozměnit tak, aby zahrnovalo další použití CIR k zjištění totožnosti osob v průběhu prověřování stanoveného tímto nařízením.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rPr>
                <w:b/>
                <w:i/>
                <w:strike w:val="0"/>
                <w:color w:val="auto"/>
                <w:highlight w:val="none"/>
                <w:u w:val="none" w:color="auto"/>
                <w:vertAlign w:val="baseline"/>
              </w:rPr>
              <w:t>Vzhledem k tomu, že použití CIR pro účely zjištění totožnosti bylo nařízením</w:t>
            </w:r>
            <w:r>
              <w:t xml:space="preserve"> (EU) 2019/817 </w:t>
            </w:r>
            <w:r>
              <w:rPr>
                <w:b/>
                <w:i/>
                <w:strike w:val="0"/>
                <w:color w:val="auto"/>
                <w:highlight w:val="none"/>
                <w:u w:val="none" w:color="auto"/>
                <w:vertAlign w:val="baseline"/>
              </w:rPr>
              <w:t>omezeno na usnadnění a podporu správného zjištění totožnosti osob registrovaných v EES, VIS, ETIAS, Eurodacu a ECRIS-TCN v situacích policejních kontrol na území členských států,</w:t>
            </w:r>
            <w:r>
              <w:t xml:space="preserve"> je třeba </w:t>
            </w:r>
            <w:r>
              <w:rPr>
                <w:b/>
                <w:i/>
                <w:strike w:val="0"/>
                <w:color w:val="auto"/>
                <w:highlight w:val="none"/>
                <w:u w:val="none" w:color="auto"/>
                <w:vertAlign w:val="baseline"/>
              </w:rPr>
              <w:t>uvedené nařízení</w:t>
            </w:r>
            <w:r>
              <w:t xml:space="preserve"> pozměnit tak, aby zahrnovalo další účel použití CIR k zjištění totožnosti osob v průběhu prověřování </w:t>
            </w:r>
            <w:r>
              <w:rPr>
                <w:b/>
                <w:i/>
                <w:strike w:val="0"/>
                <w:color w:val="auto"/>
                <w:highlight w:val="none"/>
                <w:u w:val="none" w:color="auto"/>
                <w:vertAlign w:val="baseline"/>
              </w:rPr>
              <w:t>stanoveného tímto nařízením</w:t>
            </w:r>
            <w:r>
              <w:t>.</w:t>
            </w:r>
          </w:p>
        </w:tc>
        <w:tc>
          <w:tcPr>
            <w:tcW w:w="4876" w:type="dxa"/>
            <w:vAlign w:val="top"/>
          </w:tcPr>
          <w:p>
            <w:pPr>
              <w:pStyle w:val="Normal6a"/>
            </w:pPr>
            <w:r>
              <w:t>(31)</w:t>
            </w:r>
            <w:r>
              <w:tab/>
            </w:r>
            <w:r>
              <w:rPr>
                <w:b/>
                <w:i/>
                <w:strike w:val="0"/>
                <w:color w:val="auto"/>
                <w:highlight w:val="none"/>
                <w:u w:val="none" w:color="auto"/>
                <w:vertAlign w:val="baseline"/>
              </w:rPr>
              <w:t>Nařízení</w:t>
            </w:r>
            <w:r>
              <w:t xml:space="preserve"> (EU) 2019/817 je třeba pozměnit tak, aby zahrnovalo další účel použití CIR k zjištění totožnosti osob v průběhu prověřování</w:t>
            </w:r>
            <w:r>
              <w:rPr>
                <w:b/>
                <w:i/>
                <w:strike w:val="0"/>
                <w:color w:val="auto"/>
                <w:highlight w:val="none"/>
                <w:u w:val="none" w:color="auto"/>
                <w:vertAlign w:val="baseline"/>
              </w:rPr>
              <w:t>, jak je stanoveno v tomto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Vzhledem k tomu, že řada prověřovaných osob u sebe nemusí mít žádné cestovní doklady, měly by mít orgány provádějící prověřování přístup ke všem dalším relevantním dokumentům v držení dotčených osob v případech, kdy nejsou biometrické údaje těchto osob použitelné nebo kdy vyhledávání v CIR není úspěšné. Orgány by měly mít možnost využívat i jiné než biometrické údaje z těchto dokumentů s cílem provádět kontroly v příslušných databázích.</w:t>
            </w:r>
          </w:p>
        </w:tc>
        <w:tc>
          <w:tcPr>
            <w:tcW w:w="4876" w:type="dxa"/>
            <w:vAlign w:val="top"/>
          </w:tcPr>
          <w:p>
            <w:pPr>
              <w:pStyle w:val="Normal6a"/>
            </w:pPr>
            <w:r>
              <w:t>(32)</w:t>
            </w:r>
            <w:r>
              <w:tab/>
            </w:r>
            <w:r>
              <w:t>Vzhledem k tomu, že řada prověřovaných osob u sebe nemusí mít žádné cestovní doklady, měly by mít orgány provádějící prověřování přístup ke všem dalším relevantním dokumentům v držení dotčených osob v případech, kdy nejsou biometrické údaje těchto osob použitelné nebo kdy vyhledávání v CIR není úspěšné. Orgány by měly mít možnost využívat i jiné než biometrické údaje z těchto dokumentů s cílem provádět kontroly v příslušných databázích</w:t>
            </w:r>
            <w:r>
              <w:rPr>
                <w:b/>
                <w:i/>
                <w:strike w:val="0"/>
                <w:color w:val="auto"/>
                <w:highlight w:val="none"/>
                <w:u w:val="none" w:color="auto"/>
                <w:vertAlign w:val="baseline"/>
              </w:rPr>
              <w:t>, ovšem v plném souladu s nařízením GDPR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Vzhledem k tomu, že řada prověřovaných osob u sebe nemusí mít žádné cestovní doklady, měly by mít orgány provádějící prověřování přístup ke všem dalším relevantním dokumentům v držení dotčených osob v případech, kdy nejsou biometrické údaje těchto osob použitelné nebo kdy vyhledávání v CIR není úspěšné. Orgány by měly mít možnost využívat i jiné než biometrické údaje z těchto dokumentů s cílem provádět kontroly v příslušných databázích.</w:t>
            </w:r>
          </w:p>
        </w:tc>
        <w:tc>
          <w:tcPr>
            <w:tcW w:w="4876" w:type="dxa"/>
            <w:vAlign w:val="top"/>
          </w:tcPr>
          <w:p>
            <w:pPr>
              <w:pStyle w:val="Normal6a"/>
            </w:pPr>
            <w:r>
              <w:t>(32)</w:t>
            </w:r>
            <w:r>
              <w:tab/>
            </w:r>
            <w:r>
              <w:t xml:space="preserve">Vzhledem k tomu, že řada prověřovaných osob u sebe nemusí mít žádné cestovní doklady </w:t>
            </w:r>
            <w:r>
              <w:rPr>
                <w:b/>
                <w:i/>
                <w:strike w:val="0"/>
                <w:color w:val="auto"/>
                <w:highlight w:val="none"/>
                <w:u w:val="none" w:color="auto"/>
                <w:vertAlign w:val="baseline"/>
              </w:rPr>
              <w:t>nebo je nechtějí předat</w:t>
            </w:r>
            <w:r>
              <w:t>, měly by mít orgány provádějící prověřování přístup ke všem dalším relevantním dokumentům v držení dotčených osob v případech, kdy nejsou biometrické údaje těchto osob použitelné nebo kdy vyhledávání v CIR není úspěšné. Orgány by měly mít možnost využívat i jiné než biometrické údaje z těchto dokumentů s cílem provádět kontroly v příslušných databázích.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(32a)</w:t>
            </w:r>
            <w:r>
              <w:tab/>
            </w:r>
            <w:r>
              <w:rPr>
                <w:b/>
                <w:i/>
                <w:strike w:val="0"/>
                <w:color w:val="auto"/>
                <w:highlight w:val="none"/>
                <w:u w:val="none" w:color="auto"/>
                <w:vertAlign w:val="baseline"/>
              </w:rPr>
              <w:t>Příslušné orgány by měly být v souladu s ustanoveními vnitrostátních právních předpisů schopny vyhledávat v soukromém majetku, osobním vlastnictví a elektronických zařízeních pro identifikaci nebo cestovní doklady za účelem zjištění totožnosti státního příslušníka třetí země.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w:t>
            </w:r>
            <w:r>
              <w:rPr>
                <w:b/>
                <w:i/>
                <w:strike w:val="0"/>
                <w:color w:val="auto"/>
                <w:highlight w:val="none"/>
                <w:u w:val="none" w:color="auto"/>
                <w:vertAlign w:val="baseline"/>
              </w:rPr>
              <w:t>a nemělo by se opakovat, ledaže by takové opakování odůvodňovaly zvláštní okolnosti</w:t>
            </w:r>
            <w:r>
              <w:t>.</w:t>
            </w:r>
          </w:p>
        </w:tc>
        <w:tc>
          <w:tcPr>
            <w:tcW w:w="4876" w:type="dxa"/>
            <w:vAlign w:val="top"/>
          </w:tcPr>
          <w:p>
            <w:pPr>
              <w:pStyle w:val="Normal6a"/>
            </w:pPr>
            <w:r>
              <w:t>(33)</w:t>
            </w:r>
            <w:r>
              <w:tab/>
            </w:r>
            <w:r>
              <w:t>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w:t>
            </w:r>
            <w:r>
              <w:rPr>
                <w:b/>
                <w:i/>
                <w:strike w:val="0"/>
                <w:color w:val="auto"/>
                <w:highlight w:val="none"/>
                <w:u w:val="none" w:color="auto"/>
                <w:vertAlign w:val="baseline"/>
              </w:rPr>
              <w:t>, ledaže by takové opakování odůvodňovaly zvláštní okolnosti</w:t>
            </w:r>
            <w:r>
              <w:t>.</w:t>
            </w:r>
          </w:p>
        </w:tc>
        <w:tc>
          <w:tcPr>
            <w:tcW w:w="4876" w:type="dxa"/>
            <w:vAlign w:val="top"/>
          </w:tcPr>
          <w:p>
            <w:pPr>
              <w:pStyle w:val="Normal6a"/>
            </w:pPr>
            <w:r>
              <w:t>(33)</w:t>
            </w:r>
            <w:r>
              <w:tab/>
            </w:r>
            <w:r>
              <w:t>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w:t>
            </w:r>
            <w:r>
              <w:rPr>
                <w:b/>
                <w:i/>
                <w:strike w:val="0"/>
                <w:color w:val="auto"/>
                <w:highlight w:val="none"/>
                <w:u w:val="none" w:color="auto"/>
                <w:vertAlign w:val="baseline"/>
              </w:rPr>
              <w:t>.</w:t>
            </w:r>
            <w:r>
              <w:t xml:space="preserve"> </w:t>
            </w:r>
            <w:r>
              <w:rPr>
                <w:b/>
                <w:i/>
                <w:strike w:val="0"/>
                <w:color w:val="auto"/>
                <w:highlight w:val="none"/>
                <w:u w:val="none" w:color="auto"/>
                <w:vertAlign w:val="baseline"/>
              </w:rPr>
              <w:t>Shromažďování osobních údajů, a zejména pořizování biometrických údajů, v souladu s články 10, 13 a 14 nařízení (EU) xxxx/xxxx [nařízení o Eurodacu], by mělo v rámci prověřování proběhnout pouze jednou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w:t>
            </w:r>
            <w:r>
              <w:rPr>
                <w:b/>
                <w:i/>
                <w:strike w:val="0"/>
                <w:color w:val="auto"/>
                <w:highlight w:val="none"/>
                <w:u w:val="none" w:color="auto"/>
                <w:vertAlign w:val="baseline"/>
              </w:rPr>
              <w:t>, ledaže by takové opakování odůvodňovaly zvláštní okolnosti</w:t>
            </w:r>
            <w:r>
              <w:t>.</w:t>
            </w:r>
          </w:p>
        </w:tc>
        <w:tc>
          <w:tcPr>
            <w:tcW w:w="4876" w:type="dxa"/>
            <w:vAlign w:val="top"/>
          </w:tcPr>
          <w:p>
            <w:pPr>
              <w:pStyle w:val="Normal6a"/>
            </w:pPr>
            <w:r>
              <w:t>(33)</w:t>
            </w:r>
            <w:r>
              <w:tab/>
            </w:r>
            <w:r>
              <w:t>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w:t>
            </w:r>
            <w:r>
              <w:rPr>
                <w:b/>
                <w:i/>
                <w:strike w:val="0"/>
                <w:color w:val="auto"/>
                <w:highlight w:val="none"/>
                <w:u w:val="none" w:color="auto"/>
                <w:vertAlign w:val="baseline"/>
              </w:rPr>
              <w:t>.</w:t>
            </w:r>
            <w:r>
              <w:t xml:space="preserve"> </w:t>
            </w:r>
            <w:r>
              <w:rPr>
                <w:b/>
                <w:i/>
                <w:strike w:val="0"/>
                <w:color w:val="auto"/>
                <w:highlight w:val="none"/>
                <w:u w:val="none" w:color="auto"/>
                <w:vertAlign w:val="baseline"/>
              </w:rPr>
              <w:t>Shromažďování osobních údajů, a zejména pořizování biometrických údajů, v souladu s články 10, 13 a 14a nařízení (EU) xxxx/xxxx [nařízení o Eurodacu], by mělo v rámci prověřování proběhnout pouze jednou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 ledaže by takové opakování odůvodňovaly </w:t>
            </w:r>
            <w:r>
              <w:rPr>
                <w:b/>
                <w:i/>
                <w:strike w:val="0"/>
                <w:color w:val="auto"/>
                <w:highlight w:val="none"/>
                <w:u w:val="none" w:color="auto"/>
                <w:vertAlign w:val="baseline"/>
              </w:rPr>
              <w:t>zvláštní</w:t>
            </w:r>
            <w:r>
              <w:t xml:space="preserve"> okolnosti.</w:t>
            </w:r>
          </w:p>
        </w:tc>
        <w:tc>
          <w:tcPr>
            <w:tcW w:w="4876" w:type="dxa"/>
            <w:vAlign w:val="top"/>
          </w:tcPr>
          <w:p>
            <w:pPr>
              <w:pStyle w:val="Normal6a"/>
            </w:pPr>
            <w:r>
              <w:t>(33)</w:t>
            </w:r>
            <w:r>
              <w:tab/>
            </w:r>
            <w:r>
              <w:t xml:space="preserve">Zjišťování totožnosti osob během hraničních kontrol na hraničním přechodu a jakékoli nahlížení do databází v souvislosti s ostrahou hranic nebo policejními kontrolami v oblasti vnějších hranic orgány, které dotčenou osobu nasměrovaly k prověření, by mělo být považováno za součást prověřování a nemělo by se opakovat, ledaže by takové opakování </w:t>
            </w:r>
            <w:r>
              <w:rPr>
                <w:b/>
                <w:i/>
                <w:strike w:val="0"/>
                <w:color w:val="auto"/>
                <w:highlight w:val="none"/>
                <w:u w:val="none" w:color="auto"/>
                <w:vertAlign w:val="baseline"/>
              </w:rPr>
              <w:t>řádně</w:t>
            </w:r>
            <w:r>
              <w:t xml:space="preserve"> odůvodňovaly </w:t>
            </w:r>
            <w:r>
              <w:rPr>
                <w:b/>
                <w:i/>
                <w:strike w:val="0"/>
                <w:color w:val="auto"/>
                <w:highlight w:val="none"/>
                <w:u w:val="none" w:color="auto"/>
                <w:vertAlign w:val="baseline"/>
              </w:rPr>
              <w:t>mimořádné</w:t>
            </w:r>
            <w:r>
              <w:t xml:space="preserve"> okolnosti.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(34)</w:t>
            </w:r>
            <w:r>
              <w:tab/>
            </w:r>
            <w:r>
              <w:rPr>
                <w:b/>
                <w:i/>
                <w:strike w:val="0"/>
                <w:color w:val="auto"/>
                <w:highlight w:val="none"/>
                <w:u w:val="none" w:color="auto"/>
                <w:vertAlign w:val="baseline"/>
              </w:rPr>
              <w:t>V zájmu zajištění jednotných podmínek pro provádění čl. 11 odst. 5 a čl. 12 odst. 5 tohoto nařízení by měly být Komisi svěřeny prováděcí pravomoci. Tyto pravomoci by měly být vykonávány v souladu s nařízením Evropského parlamentu a Rady (EU) č. 182/2011</w:t>
            </w:r>
            <w:r>
              <w:rPr>
                <w:rStyle w:val="SupBoldItalic"/>
              </w:rPr>
              <w:t>26</w:t>
            </w:r>
            <w:r>
              <w:rPr>
                <w:b/>
                <w:i/>
                <w:strike w:val="0"/>
                <w:color w:val="auto"/>
                <w:highlight w:val="none"/>
                <w:u w:val="none" w:color="auto"/>
                <w:vertAlign w:val="baseline"/>
              </w:rPr>
              <w:t>. Při přijímání příslušných prováděcích aktů by se měl použít přezkumný postup.</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26</w:t>
            </w:r>
            <w:r>
              <w:t xml:space="preserve"> </w:t>
            </w:r>
            <w:r>
              <w:rPr>
                <w:b/>
                <w:i/>
                <w:strike w:val="0"/>
                <w:color w:val="auto"/>
                <w:highlight w:val="none"/>
                <w:u w:val="none" w:color="auto"/>
                <w:vertAlign w:val="baseline"/>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(34)</w:t>
            </w:r>
            <w:r>
              <w:tab/>
            </w:r>
            <w:r>
              <w:rPr>
                <w:b/>
                <w:i/>
                <w:strike w:val="0"/>
                <w:color w:val="auto"/>
                <w:highlight w:val="none"/>
                <w:u w:val="none" w:color="auto"/>
                <w:vertAlign w:val="baseline"/>
              </w:rPr>
              <w:t>V zájmu zajištění jednotných podmínek pro provádění čl. 11 odst. 5 a čl. 12 odst. 5 tohoto nařízení by měly být Komisi svěřeny prováděcí pravomoci. Tyto pravomoci by měly být vykonávány v souladu s nařízením Evropského parlamentu a Rady (EU) č. 182/2011</w:t>
            </w:r>
            <w:r>
              <w:rPr>
                <w:rStyle w:val="SupBoldItalic"/>
              </w:rPr>
              <w:t>26</w:t>
            </w:r>
            <w:r>
              <w:rPr>
                <w:b/>
                <w:i/>
                <w:strike w:val="0"/>
                <w:color w:val="auto"/>
                <w:highlight w:val="none"/>
                <w:u w:val="none" w:color="auto"/>
                <w:vertAlign w:val="baseline"/>
              </w:rPr>
              <w:t>. Při přijímání příslušných prováděcích aktů by se měl použít přezkumný postup.</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26</w:t>
            </w:r>
            <w:r>
              <w:t xml:space="preserve"> </w:t>
            </w:r>
            <w:r>
              <w:rPr>
                <w:b/>
                <w:i/>
                <w:strike w:val="0"/>
                <w:color w:val="auto"/>
                <w:highlight w:val="none"/>
                <w:u w:val="none" w:color="auto"/>
                <w:vertAlign w:val="baseline"/>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 xml:space="preserve">V zájmu zajištění jednotných podmínek pro provádění čl. 11 odst. 5 a čl. 12 odst. 5 tohoto nařízení by měly být </w:t>
            </w:r>
            <w:r>
              <w:rPr>
                <w:b/>
                <w:i/>
                <w:strike w:val="0"/>
                <w:color w:val="auto"/>
                <w:highlight w:val="none"/>
                <w:u w:val="none" w:color="auto"/>
                <w:vertAlign w:val="baseline"/>
              </w:rPr>
              <w:t>Komisi svěřeny prováděcí pravomoci. Tyto pravomoci by měly být vykonávány</w:t>
            </w:r>
            <w:r>
              <w:t xml:space="preserve"> v souladu s </w:t>
            </w:r>
            <w:r>
              <w:rPr>
                <w:b/>
                <w:i/>
                <w:strike w:val="0"/>
                <w:color w:val="auto"/>
                <w:highlight w:val="none"/>
                <w:u w:val="none" w:color="auto"/>
                <w:vertAlign w:val="baseline"/>
              </w:rPr>
              <w:t>nařízením Evropského parlamentu a Rady (EU</w:t>
            </w:r>
            <w:r>
              <w:t xml:space="preserve">) </w:t>
            </w:r>
            <w:r>
              <w:rPr>
                <w:b/>
                <w:i/>
                <w:strike w:val="0"/>
                <w:color w:val="auto"/>
                <w:highlight w:val="none"/>
                <w:u w:val="none" w:color="auto"/>
                <w:vertAlign w:val="baseline"/>
              </w:rPr>
              <w:t>č. 182/2011</w:t>
            </w:r>
            <w:r>
              <w:rPr>
                <w:rStyle w:val="SupBoldItalic"/>
              </w:rPr>
              <w:t>26</w:t>
            </w:r>
            <w:r>
              <w:rPr>
                <w:b/>
                <w:i/>
                <w:strike w:val="0"/>
                <w:color w:val="auto"/>
                <w:highlight w:val="none"/>
                <w:u w:val="none" w:color="auto"/>
                <w:vertAlign w:val="baseline"/>
              </w:rPr>
              <w:t>. Při přijímání příslušných prováděcích aktů by se měl použít přezkumný postup.</w:t>
            </w:r>
          </w:p>
        </w:tc>
        <w:tc>
          <w:tcPr>
            <w:tcW w:w="4876" w:type="dxa"/>
            <w:vAlign w:val="top"/>
          </w:tcPr>
          <w:p>
            <w:pPr>
              <w:pStyle w:val="Normal6a"/>
            </w:pPr>
            <w:r>
              <w:t>(34)</w:t>
            </w:r>
            <w:r>
              <w:tab/>
            </w:r>
            <w:r>
              <w:t xml:space="preserve">V zájmu zajištění jednotných podmínek pro provádění čl. 11 odst. 5 a čl. 12 odst. 5 tohoto nařízení by měly být v souladu s </w:t>
            </w:r>
            <w:r>
              <w:rPr>
                <w:b/>
                <w:i/>
                <w:strike w:val="0"/>
                <w:color w:val="auto"/>
                <w:highlight w:val="none"/>
                <w:u w:val="none" w:color="auto"/>
                <w:vertAlign w:val="baseline"/>
              </w:rPr>
              <w:t>článkem 290 Smlouvy o fungování Evropské unie (SFEU</w:t>
            </w:r>
            <w:r>
              <w:t xml:space="preserve">) </w:t>
            </w:r>
            <w:r>
              <w:rPr>
                <w:b/>
                <w:i/>
                <w:strike w:val="0"/>
                <w:color w:val="auto"/>
                <w:highlight w:val="none"/>
                <w:u w:val="none" w:color="auto"/>
                <w:vertAlign w:val="baseline"/>
              </w:rPr>
              <w:t>Komisi svěřeny pravomoci, pokud jde o:</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postup a specifikace pro vyhledávání údajů, zpracování a používání údajů podle čl. 11 odst. 5,</w:t>
            </w:r>
            <w:r>
              <w:br/>
            </w:r>
            <w:r>
              <w:br/>
            </w:r>
            <w:r>
              <w:rPr>
                <w:b/>
                <w:i/>
                <w:strike w:val="0"/>
                <w:color w:val="auto"/>
                <w:highlight w:val="none"/>
                <w:u w:val="none" w:color="auto"/>
                <w:vertAlign w:val="baseline"/>
              </w:rPr>
              <w:t>– postup spolupráce mezi orgány odpovědnými za provádění prověřování, národními ústřednami Interpolu, národní jednotkou Europolu a ústředními orgány ECRIS-TCN za účelem stanovení rizika pro vnitřní bezpečnost podle čl. 12 odst. 5.</w:t>
            </w:r>
            <w:r>
              <w:t xml:space="preserve"> </w:t>
            </w:r>
            <w:r>
              <w:rPr>
                <w:b/>
                <w:i/>
                <w:strike w:val="0"/>
                <w:color w:val="auto"/>
                <w:highlight w:val="none"/>
                <w:u w:val="none" w:color="auto"/>
                <w:vertAlign w:val="baseline"/>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t xml:space="preserve"> </w:t>
            </w:r>
            <w:r>
              <w:rPr>
                <w:b/>
                <w:i/>
                <w:strike w:val="0"/>
                <w:color w:val="auto"/>
                <w:highlight w:val="none"/>
                <w:u w:val="none" w:color="auto"/>
                <w:vertAlign w:val="baseline"/>
              </w:rPr>
              <w:t>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26</w:t>
            </w:r>
            <w:r>
              <w:t xml:space="preserve"> </w:t>
            </w:r>
            <w:r>
              <w:rPr>
                <w:b/>
                <w:i/>
                <w:strike w:val="0"/>
                <w:color w:val="auto"/>
                <w:highlight w:val="none"/>
                <w:u w:val="none" w:color="auto"/>
                <w:vertAlign w:val="baseline"/>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(35)</w:t>
            </w:r>
            <w:r>
              <w:tab/>
            </w:r>
            <w:r>
              <w:rPr>
                <w:b/>
                <w:i/>
                <w:strike w:val="0"/>
                <w:color w:val="auto"/>
                <w:highlight w:val="none"/>
                <w:u w:val="none" w:color="auto"/>
                <w:vertAlign w:val="baseline"/>
              </w:rPr>
              <w:t>Prověřování by mělo rovněž posoudit, zda by vstup státních příslušníků třetích zemí na území Unie mohl představovat hrozbu pro vnitřní bezpečnost nebo pro veřejný pořádek.</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Prověřování by mělo rovněž posoudit, zda by vstup státních příslušníků třetích zemí na území Unie mohl představovat hrozbu pro vnitřní bezpečnost </w:t>
            </w:r>
            <w:r>
              <w:rPr>
                <w:b/>
                <w:i/>
                <w:strike w:val="0"/>
                <w:color w:val="auto"/>
                <w:highlight w:val="none"/>
                <w:u w:val="none" w:color="auto"/>
                <w:vertAlign w:val="baseline"/>
              </w:rPr>
              <w:t>nebo pro veřejný pořádek</w:t>
            </w:r>
            <w:r>
              <w:t>.</w:t>
            </w:r>
          </w:p>
        </w:tc>
        <w:tc>
          <w:tcPr>
            <w:tcW w:w="4876" w:type="dxa"/>
            <w:vAlign w:val="top"/>
          </w:tcPr>
          <w:p>
            <w:pPr>
              <w:pStyle w:val="Normal6a"/>
            </w:pPr>
            <w:r>
              <w:t>(35)</w:t>
            </w:r>
            <w:r>
              <w:tab/>
            </w:r>
            <w:r>
              <w:t>Prověřování by mělo rovněž posoudit, zda by vstup státních příslušníků třetích zemí na území Unie mohl představovat hrozbu pro vnitřní bezpečnost.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Prověřování by mělo </w:t>
            </w:r>
            <w:r>
              <w:rPr>
                <w:b/>
                <w:i/>
                <w:strike w:val="0"/>
                <w:color w:val="auto"/>
                <w:highlight w:val="none"/>
                <w:u w:val="none" w:color="auto"/>
                <w:vertAlign w:val="baseline"/>
              </w:rPr>
              <w:t>rovněž</w:t>
            </w:r>
            <w:r>
              <w:t xml:space="preserve"> posoudit, zda by vstup státních příslušníků třetích zemí na území Unie mohl představovat hrozbu pro vnitřní bezpečnost nebo pro veřejný pořádek.</w:t>
            </w:r>
          </w:p>
        </w:tc>
        <w:tc>
          <w:tcPr>
            <w:tcW w:w="4876" w:type="dxa"/>
            <w:vAlign w:val="top"/>
          </w:tcPr>
          <w:p>
            <w:pPr>
              <w:pStyle w:val="Normal6a"/>
            </w:pPr>
            <w:r>
              <w:t>(35)</w:t>
            </w:r>
            <w:r>
              <w:tab/>
            </w:r>
            <w:r>
              <w:t xml:space="preserve">Prověřování by mělo </w:t>
            </w:r>
            <w:r>
              <w:rPr>
                <w:b/>
                <w:i/>
                <w:strike w:val="0"/>
                <w:color w:val="auto"/>
                <w:highlight w:val="none"/>
                <w:u w:val="none" w:color="auto"/>
                <w:vertAlign w:val="baseline"/>
              </w:rPr>
              <w:t>v první řadě</w:t>
            </w:r>
            <w:r>
              <w:t xml:space="preserve"> posoudit, zda by vstup státních příslušníků třetích zemí na území Unie mohl představovat hrozbu pro vnitřní bezpečnost nebo pro veřejný pořádek.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Prověřování </w:t>
            </w:r>
            <w:r>
              <w:rPr>
                <w:b/>
                <w:i/>
                <w:strike w:val="0"/>
                <w:color w:val="auto"/>
                <w:highlight w:val="none"/>
                <w:u w:val="none" w:color="auto"/>
                <w:vertAlign w:val="baseline"/>
              </w:rPr>
              <w:t>by mělo</w:t>
            </w:r>
            <w:r>
              <w:t xml:space="preserve"> rovněž </w:t>
            </w:r>
            <w:r>
              <w:rPr>
                <w:b/>
                <w:i/>
                <w:strike w:val="0"/>
                <w:color w:val="auto"/>
                <w:highlight w:val="none"/>
                <w:u w:val="none" w:color="auto"/>
                <w:vertAlign w:val="baseline"/>
              </w:rPr>
              <w:t>posoudit</w:t>
            </w:r>
            <w:r>
              <w:t>, zda by vstup státních příslušníků třetích zemí na území Unie mohl představovat hrozbu pro vnitřní bezpečnost nebo pro veřejný pořádek.</w:t>
            </w:r>
          </w:p>
        </w:tc>
        <w:tc>
          <w:tcPr>
            <w:tcW w:w="4876" w:type="dxa"/>
            <w:vAlign w:val="top"/>
          </w:tcPr>
          <w:p>
            <w:pPr>
              <w:pStyle w:val="Normal6a"/>
            </w:pPr>
            <w:r>
              <w:t>(35)</w:t>
            </w:r>
            <w:r>
              <w:tab/>
            </w:r>
            <w:r>
              <w:t xml:space="preserve">Prověřování rovněž </w:t>
            </w:r>
            <w:r>
              <w:rPr>
                <w:b/>
                <w:i/>
                <w:strike w:val="0"/>
                <w:color w:val="auto"/>
                <w:highlight w:val="none"/>
                <w:u w:val="none" w:color="auto"/>
                <w:vertAlign w:val="baseline"/>
              </w:rPr>
              <w:t>posoudí</w:t>
            </w:r>
            <w:r>
              <w:t>, zda by vstup státních příslušníků třetích zemí na území Unie mohl představovat hrozbu pro vnitřní bezpečnost nebo pro veřejný pořádek.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 xml:space="preserve">Prověřování by mělo rovněž posoudit, zda by vstup státních příslušníků třetích zemí na území Unie mohl představovat hrozbu pro </w:t>
            </w:r>
            <w:r>
              <w:rPr>
                <w:b/>
                <w:i/>
                <w:strike w:val="0"/>
                <w:color w:val="auto"/>
                <w:highlight w:val="none"/>
                <w:u w:val="none" w:color="auto"/>
                <w:vertAlign w:val="baseline"/>
              </w:rPr>
              <w:t>vnitřní</w:t>
            </w:r>
            <w:r>
              <w:t xml:space="preserve"> bezpečnost nebo pro veřejný pořádek.</w:t>
            </w:r>
          </w:p>
        </w:tc>
        <w:tc>
          <w:tcPr>
            <w:tcW w:w="4876" w:type="dxa"/>
            <w:vAlign w:val="top"/>
          </w:tcPr>
          <w:p>
            <w:pPr>
              <w:pStyle w:val="Normal6a"/>
            </w:pPr>
            <w:r>
              <w:t>(35)</w:t>
            </w:r>
            <w:r>
              <w:tab/>
            </w:r>
            <w:r>
              <w:t xml:space="preserve">Prověřování by mělo rovněž posoudit, zda by vstup státních příslušníků třetích zemí na území Unie mohl představovat hrozbu pro </w:t>
            </w:r>
            <w:r>
              <w:rPr>
                <w:b/>
                <w:i/>
                <w:strike w:val="0"/>
                <w:color w:val="auto"/>
                <w:highlight w:val="none"/>
                <w:u w:val="none" w:color="auto"/>
                <w:vertAlign w:val="baseline"/>
              </w:rPr>
              <w:t>národní</w:t>
            </w:r>
            <w:r>
              <w:t xml:space="preserve"> bezpečnost nebo pro veřejný pořádek.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t>Jelikož se prověřování vztahuje na osoby, které se nacházejí na vnější hranici</w:t>
            </w:r>
            <w:r>
              <w:rPr>
                <w:b/>
                <w:i/>
                <w:strike w:val="0"/>
                <w:color w:val="auto"/>
                <w:highlight w:val="none"/>
                <w:u w:val="none" w:color="auto"/>
                <w:vertAlign w:val="baseline"/>
              </w:rPr>
              <w:t>, aniž by splňovaly</w:t>
            </w:r>
            <w:r>
              <w:t xml:space="preserve"> podmínky vstupu, </w:t>
            </w:r>
            <w:r>
              <w:rPr>
                <w:b/>
                <w:i/>
                <w:strike w:val="0"/>
                <w:color w:val="auto"/>
                <w:highlight w:val="none"/>
                <w:u w:val="none" w:color="auto"/>
                <w:vertAlign w:val="baseline"/>
              </w:rPr>
              <w:t>nebo na osoby, které byly vyloděny po pátrací a záchranné operaci</w:t>
            </w:r>
            <w:r>
              <w:t xml:space="preserve">, měly by být bezpečnostní kontroly prováděné v rámci prověřování </w:t>
            </w:r>
            <w:r>
              <w:rPr>
                <w:b/>
                <w:i/>
                <w:strike w:val="0"/>
                <w:color w:val="auto"/>
                <w:highlight w:val="none"/>
                <w:u w:val="none" w:color="auto"/>
                <w:vertAlign w:val="baseline"/>
              </w:rPr>
              <w:t>alespoň</w:t>
            </w:r>
            <w:r>
              <w:t xml:space="preserve"> na podobné úrovni jako kontroly prováděné u státních příslušníků třetích zemí, kteří žádají předem o povolení ke vstupu na území Unie za účelem krátkodobého pobytu, ať už podléhají vízové povinnosti, nebo ne.</w:t>
            </w:r>
          </w:p>
        </w:tc>
        <w:tc>
          <w:tcPr>
            <w:tcW w:w="4876" w:type="dxa"/>
            <w:vAlign w:val="top"/>
          </w:tcPr>
          <w:p>
            <w:pPr>
              <w:pStyle w:val="Normal6a"/>
            </w:pPr>
            <w:r>
              <w:t>(36)</w:t>
            </w:r>
            <w:r>
              <w:tab/>
            </w:r>
            <w:r>
              <w:t xml:space="preserve">Jelikož se prověřování vztahuje na osoby, které se nacházejí na vnější hranici </w:t>
            </w:r>
            <w:r>
              <w:rPr>
                <w:b/>
                <w:i/>
                <w:strike w:val="0"/>
                <w:color w:val="auto"/>
                <w:highlight w:val="none"/>
                <w:u w:val="none" w:color="auto"/>
                <w:vertAlign w:val="baseline"/>
              </w:rPr>
              <w:t>a které nemusí splňovat</w:t>
            </w:r>
            <w:r>
              <w:t xml:space="preserve"> podmínky vstupu, </w:t>
            </w:r>
            <w:r>
              <w:rPr>
                <w:b/>
                <w:i/>
                <w:strike w:val="0"/>
                <w:color w:val="auto"/>
                <w:highlight w:val="none"/>
                <w:u w:val="none" w:color="auto"/>
                <w:vertAlign w:val="baseline"/>
              </w:rPr>
              <w:t>a aniž je dotčeno právo usilovat o mezinárodní ochranu</w:t>
            </w:r>
            <w:r>
              <w:t>, měly by být bezpečnostní kontroly prováděné v rámci prověřování na podobné úrovni jako kontroly prováděné u státních příslušníků třetích zemí, kteří žádají předem o povolení ke vstupu na území Unie za účelem krátkodobého pobytu, ať už podléhají vízové povinnosti, nebo ne</w:t>
            </w:r>
            <w:r>
              <w:rPr>
                <w:b/>
                <w:i/>
                <w:strike w:val="0"/>
                <w:color w:val="auto"/>
                <w:highlight w:val="none"/>
                <w:u w:val="none" w:color="auto"/>
                <w:vertAlign w:val="baseline"/>
              </w:rPr>
              <w:t>, a měly by zároveň dodržovat zásady nezbytnosti a proporcionality.</w:t>
            </w:r>
            <w:r>
              <w:t xml:space="preserve"> </w:t>
            </w:r>
            <w:r>
              <w:rPr>
                <w:b/>
                <w:i/>
                <w:strike w:val="0"/>
                <w:color w:val="auto"/>
                <w:highlight w:val="none"/>
                <w:u w:val="none" w:color="auto"/>
                <w:vertAlign w:val="baseline"/>
              </w:rPr>
              <w:t>V tomto ohledu by měly mít prověřované osoby také stejná práva, pokud jde o ochranu jejich údajů, jako státní příslušníci třetích zemí, kteří předem žádají o povolení ke vstupu do Unie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rPr>
                <w:b/>
                <w:i/>
                <w:strike w:val="0"/>
                <w:color w:val="auto"/>
                <w:highlight w:val="none"/>
                <w:u w:val="none" w:color="auto"/>
                <w:vertAlign w:val="baseline"/>
              </w:rPr>
              <w:t>Jelikož se prověřování vztahuje na osoby, které se nacházejí na vnější hranici, aniž by splňovaly podmínky vstupu, nebo na osoby, které byly vyloděny po pátrací a záchranné operaci, měly by být</w:t>
            </w:r>
            <w:r>
              <w:t xml:space="preserve"> bezpečnostní kontroly prováděné v rámci prověřování </w:t>
            </w:r>
            <w:r>
              <w:rPr>
                <w:b/>
                <w:i/>
                <w:strike w:val="0"/>
                <w:color w:val="auto"/>
                <w:highlight w:val="none"/>
                <w:u w:val="none" w:color="auto"/>
                <w:vertAlign w:val="baseline"/>
              </w:rPr>
              <w:t>alespoň na podobné úrovni jako kontroly prováděné</w:t>
            </w:r>
            <w:r>
              <w:t xml:space="preserve"> u státních příslušníků třetích zemí, kteří žádají předem o povolení ke vstupu na území Unie za účelem krátkodobého pobytu, ať už podléhají vízové povinnosti, nebo ne.</w:t>
            </w:r>
          </w:p>
        </w:tc>
        <w:tc>
          <w:tcPr>
            <w:tcW w:w="4876" w:type="dxa"/>
            <w:vAlign w:val="top"/>
          </w:tcPr>
          <w:p>
            <w:pPr>
              <w:pStyle w:val="Normal6a"/>
            </w:pPr>
            <w:r>
              <w:t>(36)</w:t>
            </w:r>
            <w:r>
              <w:tab/>
            </w:r>
            <w:r>
              <w:t xml:space="preserve">Bezpečnostní kontroly prováděné v rámci prověřování </w:t>
            </w:r>
            <w:r>
              <w:rPr>
                <w:b/>
                <w:i/>
                <w:strike w:val="0"/>
                <w:color w:val="auto"/>
                <w:highlight w:val="none"/>
                <w:u w:val="none" w:color="auto"/>
                <w:vertAlign w:val="baseline"/>
              </w:rPr>
              <w:t>by neměly překračovat úroveň kontrol prováděných</w:t>
            </w:r>
            <w:r>
              <w:t xml:space="preserve"> u státních příslušníků třetích zemí, kteří žádají předem o povolení ke vstupu na území Unie za účelem krátkodobého pobytu, ať už podléhají vízové povinnosti, nebo ne.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t xml:space="preserve">Jelikož se prověřování vztahuje na osoby, které se nacházejí na vnější hranici, aniž by splňovaly podmínky vstupu, </w:t>
            </w:r>
            <w:r>
              <w:rPr>
                <w:b/>
                <w:i/>
                <w:strike w:val="0"/>
                <w:color w:val="auto"/>
                <w:highlight w:val="none"/>
                <w:u w:val="none" w:color="auto"/>
                <w:vertAlign w:val="baseline"/>
              </w:rPr>
              <w:t>nebo na osoby, které byly vyloděny po pátrací a záchranné operaci,</w:t>
            </w:r>
            <w:r>
              <w:t xml:space="preserve"> měly by být bezpečnostní kontroly prováděné v rámci prověřování alespoň na podobné úrovni jako kontroly prováděné u státních příslušníků třetích zemí, kteří žádají předem o povolení ke vstupu na území Unie za účelem krátkodobého pobytu, ať už podléhají vízové povinnosti, nebo ne.</w:t>
            </w:r>
          </w:p>
        </w:tc>
        <w:tc>
          <w:tcPr>
            <w:tcW w:w="4876" w:type="dxa"/>
            <w:vAlign w:val="top"/>
          </w:tcPr>
          <w:p>
            <w:pPr>
              <w:pStyle w:val="Normal6a"/>
            </w:pPr>
            <w:r>
              <w:t>(36)</w:t>
            </w:r>
            <w:r>
              <w:tab/>
            </w:r>
            <w:r>
              <w:t>Jelikož se prověřování vztahuje na osoby, které se nacházejí na vnější hranici, aniž by splňovaly podmínky vstupu, měly by být bezpečnostní kontroly prováděné v rámci prověřování alespoň na podobné úrovni jako kontroly prováděné u státních příslušníků třetích zemí, kteří žádají předem o povolení ke vstupu na území Unie za účelem krátkodobého pobytu, ať už podléhají vízové povinnosti, nebo ne.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(37)</w:t>
            </w:r>
            <w:r>
              <w:tab/>
            </w:r>
            <w:r>
              <w:t>Pro státní příslušníky třetích zemí, kteří jsou na základě své státní příslušnosti osvobozeni od vízové povinnosti podle nařízení Evropského parlamentu a Rady (EU) 2018/1806</w:t>
            </w:r>
            <w:r>
              <w:rPr>
                <w:rStyle w:val="Sup"/>
              </w:rPr>
              <w:t>27</w:t>
            </w:r>
            <w:r>
              <w:t>, stanoví nařízení Evropského parlamentu a Rady (EU) 2018/1240</w:t>
            </w:r>
            <w:r>
              <w:rPr>
                <w:rStyle w:val="Sup"/>
              </w:rPr>
              <w:t>28</w:t>
            </w:r>
            <w:r>
              <w:t xml:space="preserve">(nařízení ETIAS) povinnost žádat o cestovní povolení pro krátkodobý pobyt v EU. Před získáním tohoto cestovního povolení jsou </w:t>
            </w:r>
            <w:r>
              <w:rPr>
                <w:b/>
                <w:i/>
                <w:strike w:val="0"/>
                <w:color w:val="auto"/>
                <w:highlight w:val="none"/>
                <w:u w:val="none" w:color="auto"/>
                <w:vertAlign w:val="baseline"/>
              </w:rPr>
              <w:t>osobní údaje předložené dotčenými osobami</w:t>
            </w:r>
            <w:r>
              <w:t xml:space="preserve"> podrobeny bezpečnostním kontrolám </w:t>
            </w:r>
            <w:r>
              <w:rPr>
                <w:b/>
                <w:i/>
                <w:strike w:val="0"/>
                <w:color w:val="auto"/>
                <w:highlight w:val="none"/>
                <w:u w:val="none" w:color="auto"/>
                <w:vertAlign w:val="baseline"/>
              </w:rPr>
              <w:t>v řadě databází EU – Vízovém informačním systému (VIS), Schengenském informačním systému (SIS), Systému vstupu/výstupu (EES), Evropském systému pro cestovní informace a povolení (ETIAS), na základě údajů Europolu zpracovávaných pro účely uvedené v čl. 18 odst. 2 písm. a)</w:t>
            </w:r>
            <w:r>
              <w:t xml:space="preserve"> nařízení </w:t>
            </w:r>
            <w:r>
              <w:rPr>
                <w:b/>
                <w:i/>
                <w:strike w:val="0"/>
                <w:color w:val="auto"/>
                <w:highlight w:val="none"/>
                <w:u w:val="none" w:color="auto"/>
                <w:vertAlign w:val="baseline"/>
              </w:rPr>
              <w:t>(EU) 2016/794</w:t>
            </w:r>
            <w:r>
              <w:rPr>
                <w:rStyle w:val="SupBoldItalic"/>
              </w:rPr>
              <w:t>29</w:t>
            </w:r>
            <w:r>
              <w:rPr>
                <w:b/>
                <w:i/>
                <w:strike w:val="0"/>
                <w:color w:val="auto"/>
                <w:highlight w:val="none"/>
                <w:u w:val="none" w:color="auto"/>
                <w:vertAlign w:val="baseline"/>
              </w:rPr>
              <w:t>, databázi ECRIS-TCN</w:t>
            </w:r>
            <w:r>
              <w:rPr>
                <w:rStyle w:val="SupBoldItalic"/>
              </w:rPr>
              <w:t>30</w:t>
            </w:r>
            <w:r>
              <w:rPr>
                <w:b/>
                <w:i/>
                <w:strike w:val="0"/>
                <w:color w:val="auto"/>
                <w:highlight w:val="none"/>
                <w:u w:val="none" w:color="auto"/>
                <w:vertAlign w:val="baseline"/>
              </w:rPr>
              <w:t>, a také v databázích Interpolu – databázi odcizených a ztracených cestovních dokladů (SLTD) a databázi cestovních dokladů s údaji uvedenými v oběžnících (TDAWN)</w:t>
            </w:r>
            <w:r>
              <w:t>.</w:t>
            </w:r>
          </w:p>
        </w:tc>
        <w:tc>
          <w:tcPr>
            <w:tcW w:w="4876" w:type="dxa"/>
            <w:vAlign w:val="top"/>
          </w:tcPr>
          <w:p>
            <w:pPr>
              <w:pStyle w:val="Normal6a"/>
            </w:pPr>
            <w:r>
              <w:t>(37)</w:t>
            </w:r>
            <w:r>
              <w:tab/>
            </w:r>
            <w:r>
              <w:t>Pro státní příslušníky třetích zemí, kteří jsou na základě své státní příslušnosti osvobozeni od vízové povinnosti podle nařízení Evropského parlamentu a Rady (EU) 2018/1806</w:t>
            </w:r>
            <w:r>
              <w:rPr>
                <w:rStyle w:val="Sup"/>
              </w:rPr>
              <w:t>27</w:t>
            </w:r>
            <w:r>
              <w:t>, stanoví nařízení Evropského parlamentu a Rady (EU) 2018/1240</w:t>
            </w:r>
            <w:r>
              <w:rPr>
                <w:rStyle w:val="Sup"/>
              </w:rPr>
              <w:t>28</w:t>
            </w:r>
            <w:r>
              <w:t xml:space="preserve"> (nařízení ETIAS) povinnost žádat o cestovní povolení pro krátkodobý pobyt v EU. Před získáním tohoto cestovního povolení jsou </w:t>
            </w:r>
            <w:r>
              <w:rPr>
                <w:b/>
                <w:i/>
                <w:strike w:val="0"/>
                <w:color w:val="auto"/>
                <w:highlight w:val="none"/>
                <w:u w:val="none" w:color="auto"/>
                <w:vertAlign w:val="baseline"/>
              </w:rPr>
              <w:t>dotčené osoby</w:t>
            </w:r>
            <w:r>
              <w:t xml:space="preserve"> podrobeny bezpečnostním kontrolám </w:t>
            </w:r>
            <w:r>
              <w:rPr>
                <w:b/>
                <w:i/>
                <w:strike w:val="0"/>
                <w:color w:val="auto"/>
                <w:highlight w:val="none"/>
                <w:u w:val="none" w:color="auto"/>
                <w:vertAlign w:val="baseline"/>
              </w:rPr>
              <w:t>podle uvedeného</w:t>
            </w:r>
            <w:r>
              <w:t xml:space="preserve"> nařízení.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27</w:t>
            </w:r>
            <w:r>
              <w:t xml:space="preserve"> </w:t>
            </w:r>
            <w:r>
              <w:t>Nařízení Evropského parlamentu a Rady (EU) 2018/1806 ze dne 14. listopadu 2018, kterým se stanoví seznam třetích zemí, jejichž státní příslušníci musí mít při překračování vnějších hranic vízum, jakož i seznam třetích zemí, jejichž státní příslušníci jsou od této povinnosti osvobozeni (Úř. věst. L 303, 28.11.2018, s. 39).</w:t>
            </w:r>
          </w:p>
        </w:tc>
        <w:tc>
          <w:tcPr>
            <w:tcW w:w="4876" w:type="dxa"/>
            <w:vAlign w:val="top"/>
          </w:tcPr>
          <w:p>
            <w:pPr>
              <w:pStyle w:val="Normal6a"/>
            </w:pPr>
            <w:r>
              <w:rPr>
                <w:rStyle w:val="Sup"/>
              </w:rPr>
              <w:t>27</w:t>
            </w:r>
            <w:r>
              <w:t xml:space="preserve"> </w:t>
            </w:r>
            <w:r>
              <w:t>Nařízení Evropského parlamentu a Rady (EU) 2018/1806 ze dne 14. listopadu 2018, kterým se stanoví seznam třetích zemí, jejichž státní příslušníci musí mít při překračování vnějších hranic vízum, jakož i seznam třetích zemí, jejichž státní příslušníci jsou od této povinnosti osvobozeni (Úř. věst. L 303, 28.11.2018, s. 39).</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28</w:t>
            </w:r>
            <w:r>
              <w:t xml:space="preserve"> </w:t>
            </w:r>
            <w:r>
              <w:t>Nařízení Evropského parlamentu a Rady (EU) 2018/1240 ze dne 12. září 2018, kterým se zřizuje Evropský systém pro cestovní informace a povolení (ETIAS) a kterým se mění nařízení (EU) č. 1077/2011, (EU) č. 515/2014, (EU) 2016/399, (EU) 2016/1624 a (EU) 2017/2226 (Úř. věst. L 236, 19.9.2018, s. 1).</w:t>
            </w:r>
          </w:p>
        </w:tc>
        <w:tc>
          <w:tcPr>
            <w:tcW w:w="4876" w:type="dxa"/>
            <w:vAlign w:val="top"/>
          </w:tcPr>
          <w:p>
            <w:pPr>
              <w:pStyle w:val="Normal6a"/>
            </w:pPr>
            <w:r>
              <w:rPr>
                <w:rStyle w:val="Sup"/>
              </w:rPr>
              <w:t>28</w:t>
            </w:r>
            <w:r>
              <w:t xml:space="preserve"> </w:t>
            </w:r>
            <w:r>
              <w:t>Nařízení Evropského parlamentu a Rady (EU) 2018/1240 ze dne 12. září 2018, kterým se zřizuje Evropský systém pro cestovní informace a povolení (ETIAS) a kterým se mění nařízení (EU) č. 1077/2011, (EU) č. 515/2014, (EU) 2016/399, (EU) 2016/1624 a (EU) 2017/2226 (Úř. věst. L 236, 19.9.2018,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29</w:t>
            </w:r>
            <w:r>
              <w:t xml:space="preserve"> </w:t>
            </w:r>
            <w:r>
              <w:rPr>
                <w:b/>
                <w:i/>
                <w:strike w:val="0"/>
                <w:color w:val="auto"/>
                <w:highlight w:val="none"/>
                <w:u w:val="none" w:color="auto"/>
                <w:vertAlign w:val="baseline"/>
              </w:rPr>
              <w:t>Nařízení (EU) 2016/794 ze dne 11. května 2016 o Agentuře Evropské unie pro spolupráci v oblasti prosazování práva (Europol) a o zrušení a nahrazení rozhodnutí 2009/371/SVV, 2009/934/SVV, 2009/935/SVV, 2009/936/SVV a 2009/968/SVV (Úř. věst. L 135, 24.5.2016, s. 53).</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30</w:t>
            </w:r>
            <w:r>
              <w:t xml:space="preserve"> </w:t>
            </w:r>
            <w:r>
              <w:rPr>
                <w:b/>
                <w:i/>
                <w:strike w:val="0"/>
                <w:color w:val="auto"/>
                <w:highlight w:val="none"/>
                <w:u w:val="none" w:color="auto"/>
                <w:vertAlign w:val="baseline"/>
              </w:rPr>
              <w:t>Nařízení Evropského parlamentu a Rady (ES) 2019/816 ze dne 17. dubna 2019, kterým se zřizuje centralizovaný systém pro identifikaci členských států, jež mají informace o odsouzeních státních příslušníků třetích zemí a osob bez státní příslušnosti (ECRIS-TCN), na doplnění Evropského informačního systému rejstříků trestů, a kterým se mění nařízení (EU) 2018/1726 (Úř. věst. L 135, 22.5.2019, s. 1).</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Pokud jde o státní příslušníky třetích zemí, kteří podléhají vízové povinnosti podle nařízení (EU) 2018/1806, tito jsou podrobeni bezpečnostním kontrolám </w:t>
            </w:r>
            <w:r>
              <w:rPr>
                <w:b/>
                <w:i/>
                <w:strike w:val="0"/>
                <w:color w:val="auto"/>
                <w:highlight w:val="none"/>
                <w:u w:val="none" w:color="auto"/>
                <w:vertAlign w:val="baseline"/>
              </w:rPr>
              <w:t>ve stejných databázích jako státní příslušníci třetích zemí bez vízové povinnosti</w:t>
            </w:r>
            <w:r>
              <w:t xml:space="preserve"> podle nařízení (EU) 810/2009 a nařízení (EU) 767/2008 před vydáním víza.</w:t>
            </w:r>
          </w:p>
        </w:tc>
        <w:tc>
          <w:tcPr>
            <w:tcW w:w="4876" w:type="dxa"/>
            <w:vAlign w:val="top"/>
          </w:tcPr>
          <w:p>
            <w:pPr>
              <w:pStyle w:val="Normal6a"/>
            </w:pPr>
            <w:r>
              <w:t>(38)</w:t>
            </w:r>
            <w:r>
              <w:tab/>
            </w:r>
            <w:r>
              <w:t>Pokud jde o státní příslušníky třetích zemí, kteří podléhají vízové povinnosti podle nařízení (EU) 2018/1806, tito jsou podrobeni bezpečnostním kontrolám podle nařízení (EU) 810/2009 a nařízení (EU) 767/2008 před vydáním víza.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(39)</w:t>
            </w:r>
            <w:r>
              <w:tab/>
            </w:r>
            <w:r>
              <w:rPr>
                <w:b/>
                <w:i/>
                <w:strike w:val="0"/>
                <w:color w:val="auto"/>
                <w:highlight w:val="none"/>
                <w:u w:val="none" w:color="auto"/>
                <w:vertAlign w:val="baseline"/>
              </w:rPr>
              <w:t>Z úvahy rozvinuté v 36. bodě odůvodnění vyplývá, že pokud jde o osoby podléhající prověřování, mělo by automatické ověřování prováděné z bezpečnostních důvodů vycházet z porovnání se stejnými systémy jako u žadatelů o vízum nebo cestovní povolení podle Evropského systému pro cestovní informace a povolení: VIS, EES, ETIAS, SIS, ECRIS-TCN, Europol a databáze Interpolu SLTD a TDAWN. Prověřované osoby by rovněž měly být kontrolovány na základě databáze ECRIS-TCN o osobách odsouzených v souvislosti s teroristickými trestnými činy a jinými formami závažné trestné činnosti, údajů Europolu uvedenými ve 38. bodě odůvodnění, a databází Interpolu – databáze odcizených a ztracených cestovních dokladů a databáze cestovních dokladů s údaji uvedenými v oběžnících.</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rPr>
                <w:b/>
                <w:i/>
                <w:strike w:val="0"/>
                <w:color w:val="auto"/>
                <w:highlight w:val="none"/>
                <w:u w:val="none" w:color="auto"/>
                <w:vertAlign w:val="baseline"/>
              </w:rPr>
              <w:t>Z úvahy rozvinuté v 36. bodě odůvodnění vyplývá, že</w:t>
            </w:r>
            <w:r>
              <w:t xml:space="preserve"> pokud jde o osoby podléhající prověřování, mělo by automatické ověřování prováděné z bezpečnostních důvodů vycházet z porovnání </w:t>
            </w:r>
            <w:r>
              <w:rPr>
                <w:b/>
                <w:i/>
                <w:strike w:val="0"/>
                <w:color w:val="auto"/>
                <w:highlight w:val="none"/>
                <w:u w:val="none" w:color="auto"/>
                <w:vertAlign w:val="baseline"/>
              </w:rPr>
              <w:t>se stejnými systémy jako u žadatelů o vízum nebo cestovní povolení podle Evropského systému pro cestovní informace a povolení: VIS, EES, ETIAS, SIS, ECRIS-TCN, Europol</w:t>
            </w:r>
            <w:r>
              <w:t xml:space="preserve"> a databáze Interpolu SLTD </w:t>
            </w:r>
            <w:r>
              <w:rPr>
                <w:b/>
                <w:i/>
                <w:strike w:val="0"/>
                <w:color w:val="auto"/>
                <w:highlight w:val="none"/>
                <w:u w:val="none" w:color="auto"/>
                <w:vertAlign w:val="baseline"/>
              </w:rPr>
              <w:t>a TDAWN. Prověřované osoby by rovněž měly být kontrolovány na základě databáze ECRIS-TCN o osobách odsouzených v souvislosti s teroristickými trestnými činy a jinými formami závažné trestné činnosti, údajů Europolu uvedenými ve 38. bodě odůvodnění, a databází Interpolu – databáze odcizených a ztracených cestovních dokladů a databáze cestovních dokladů s údaji uvedenými v oběžnících</w:t>
            </w:r>
            <w:r>
              <w:t>.</w:t>
            </w:r>
          </w:p>
        </w:tc>
        <w:tc>
          <w:tcPr>
            <w:tcW w:w="4876" w:type="dxa"/>
            <w:vAlign w:val="top"/>
          </w:tcPr>
          <w:p>
            <w:pPr>
              <w:pStyle w:val="Normal6a"/>
            </w:pPr>
            <w:r>
              <w:t>(39)</w:t>
            </w:r>
            <w:r>
              <w:tab/>
            </w:r>
            <w:r>
              <w:t xml:space="preserve">Pokud jde o osoby podléhající prověřování, mělo by automatické ověřování prováděné z bezpečnostních důvodů vycházet z porovnání </w:t>
            </w:r>
            <w:r>
              <w:rPr>
                <w:b/>
                <w:i/>
                <w:strike w:val="0"/>
                <w:color w:val="auto"/>
                <w:highlight w:val="none"/>
                <w:u w:val="none" w:color="auto"/>
                <w:vertAlign w:val="baseline"/>
              </w:rPr>
              <w:t>s VIS, EES, SIS, Europolu</w:t>
            </w:r>
            <w:r>
              <w:t xml:space="preserve"> a databáze Interpolu SLTD.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 xml:space="preserve">Tyto kontroly by měly být prováděny způsobem, který zajistí, že </w:t>
            </w:r>
            <w:r>
              <w:rPr>
                <w:b/>
                <w:i/>
                <w:strike w:val="0"/>
                <w:color w:val="auto"/>
                <w:highlight w:val="none"/>
                <w:u w:val="none" w:color="auto"/>
                <w:vertAlign w:val="baseline"/>
              </w:rPr>
              <w:t>z uvedených databází budou načteny</w:t>
            </w:r>
            <w:r>
              <w:t xml:space="preserve"> pouze </w:t>
            </w:r>
            <w:r>
              <w:rPr>
                <w:b/>
                <w:i/>
                <w:strike w:val="0"/>
                <w:color w:val="auto"/>
                <w:highlight w:val="none"/>
                <w:u w:val="none" w:color="auto"/>
                <w:vertAlign w:val="baseline"/>
              </w:rPr>
              <w:t>údaje nezbytné</w:t>
            </w:r>
            <w:r>
              <w:t xml:space="preserve"> k provedení bezpečnostních kontrol</w:t>
            </w:r>
            <w:r>
              <w:rPr>
                <w:b/>
                <w:i/>
                <w:strike w:val="0"/>
                <w:color w:val="auto"/>
                <w:highlight w:val="none"/>
                <w:u w:val="none" w:color="auto"/>
                <w:vertAlign w:val="baseline"/>
              </w:rPr>
              <w:t>. Co se týče osob, které požádaly o mezinárodní ochranu na hraničním přechodu,</w:t>
            </w:r>
            <w:r>
              <w:t xml:space="preserve"> nahlížení </w:t>
            </w:r>
            <w:r>
              <w:rPr>
                <w:b/>
                <w:i/>
                <w:strike w:val="0"/>
                <w:color w:val="auto"/>
                <w:highlight w:val="none"/>
                <w:u w:val="none" w:color="auto"/>
                <w:vertAlign w:val="baseline"/>
              </w:rPr>
              <w:t>do databází za účelem provedení bezpečnostní kontroly v rámci prověřování by se mělo zaměřit na databáze, do kterých nebylo nahlédnuto při hraniční kontrole na vnější hranici, čímž se zabrání opakovaným nahlížením do databází</w:t>
            </w:r>
            <w:r>
              <w:t>.</w:t>
            </w:r>
          </w:p>
        </w:tc>
        <w:tc>
          <w:tcPr>
            <w:tcW w:w="4876" w:type="dxa"/>
            <w:vAlign w:val="top"/>
          </w:tcPr>
          <w:p>
            <w:pPr>
              <w:pStyle w:val="Normal6a"/>
            </w:pPr>
            <w:r>
              <w:t>(40)</w:t>
            </w:r>
            <w:r>
              <w:tab/>
            </w:r>
            <w:r>
              <w:t xml:space="preserve">Tyto kontroly by měly být prováděny způsobem, který zajistí, že </w:t>
            </w:r>
            <w:r>
              <w:rPr>
                <w:b/>
                <w:i/>
                <w:strike w:val="0"/>
                <w:color w:val="auto"/>
                <w:highlight w:val="none"/>
                <w:u w:val="none" w:color="auto"/>
                <w:vertAlign w:val="baseline"/>
              </w:rPr>
              <w:t>bude nahlíženo</w:t>
            </w:r>
            <w:r>
              <w:t xml:space="preserve"> pouze </w:t>
            </w:r>
            <w:r>
              <w:rPr>
                <w:b/>
                <w:i/>
                <w:strike w:val="0"/>
                <w:color w:val="auto"/>
                <w:highlight w:val="none"/>
                <w:u w:val="none" w:color="auto"/>
                <w:vertAlign w:val="baseline"/>
              </w:rPr>
              <w:t>do údajů nezbytných</w:t>
            </w:r>
            <w:r>
              <w:t xml:space="preserve"> k provedení bezpečnostních kontrol</w:t>
            </w:r>
            <w:r>
              <w:rPr>
                <w:b/>
                <w:i/>
                <w:strike w:val="0"/>
                <w:color w:val="auto"/>
                <w:highlight w:val="none"/>
                <w:u w:val="none" w:color="auto"/>
                <w:vertAlign w:val="baseline"/>
              </w:rPr>
              <w:t>, a který neumožní opakované</w:t>
            </w:r>
            <w:r>
              <w:t xml:space="preserve"> nahlížení.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 xml:space="preserve">Tyto kontroly by měly být prováděny způsobem, který zajistí, že </w:t>
            </w:r>
            <w:r>
              <w:rPr>
                <w:b/>
                <w:i/>
                <w:strike w:val="0"/>
                <w:color w:val="auto"/>
                <w:highlight w:val="none"/>
                <w:u w:val="none" w:color="auto"/>
                <w:vertAlign w:val="baseline"/>
              </w:rPr>
              <w:t>z uvedených databází budou načteny pouze údaje nezbytné</w:t>
            </w:r>
            <w:r>
              <w:t xml:space="preserve"> k provedení bezpečnostních kontrol</w:t>
            </w:r>
            <w:r>
              <w:rPr>
                <w:b/>
                <w:i/>
                <w:strike w:val="0"/>
                <w:color w:val="auto"/>
                <w:highlight w:val="none"/>
                <w:u w:val="none" w:color="auto"/>
                <w:vertAlign w:val="baseline"/>
              </w:rPr>
              <w:t>. Co se týče osob, které požádaly o mezinárodní ochranu na hraničním přechodu, nahlížení do databází za účelem provedení bezpečnostní kontroly v rámci prověřování by se mělo zaměřit na databáze, do kterých nebylo nahlédnuto při hraniční kontrole na vnější hranici, čímž se</w:t>
            </w:r>
            <w:r>
              <w:t xml:space="preserve"> zabrání opakovaným nahlížením </w:t>
            </w:r>
            <w:r>
              <w:rPr>
                <w:b/>
                <w:i/>
                <w:strike w:val="0"/>
                <w:color w:val="auto"/>
                <w:highlight w:val="none"/>
                <w:u w:val="none" w:color="auto"/>
                <w:vertAlign w:val="baseline"/>
              </w:rPr>
              <w:t>do databází</w:t>
            </w:r>
            <w:r>
              <w:t>.</w:t>
            </w:r>
          </w:p>
        </w:tc>
        <w:tc>
          <w:tcPr>
            <w:tcW w:w="4876" w:type="dxa"/>
            <w:vAlign w:val="top"/>
          </w:tcPr>
          <w:p>
            <w:pPr>
              <w:pStyle w:val="Normal6a"/>
            </w:pPr>
            <w:r>
              <w:t>(40)</w:t>
            </w:r>
            <w:r>
              <w:tab/>
            </w:r>
            <w:r>
              <w:t xml:space="preserve">Tyto kontroly by měly být prováděny způsobem, který zajistí, že </w:t>
            </w:r>
            <w:r>
              <w:rPr>
                <w:b/>
                <w:i/>
                <w:strike w:val="0"/>
                <w:color w:val="auto"/>
                <w:highlight w:val="none"/>
                <w:u w:val="none" w:color="auto"/>
                <w:vertAlign w:val="baseline"/>
              </w:rPr>
              <w:t>bude nahlíženo pouze do údajů nezbytných</w:t>
            </w:r>
            <w:r>
              <w:t xml:space="preserve"> k provedení bezpečnostních kontrol</w:t>
            </w:r>
            <w:r>
              <w:rPr>
                <w:b/>
                <w:i/>
                <w:strike w:val="0"/>
                <w:color w:val="auto"/>
                <w:highlight w:val="none"/>
                <w:u w:val="none" w:color="auto"/>
                <w:vertAlign w:val="baseline"/>
              </w:rPr>
              <w:t>, a který bude předcházet a</w:t>
            </w:r>
            <w:r>
              <w:t xml:space="preserve"> zabrání opakovaným nahlížením.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 xml:space="preserve">Je-li to pro účely bezpečnostní kontroly odůvodněné, mohlo by prověřování v souladu s vnitrostátními právními předpisy zahrnovat také kontrolu předmětů v držení státních příslušníků třetích zemí. Jakákoli opatření uplatňovaná v této souvislosti by měla být přiměřená a měla by respektovat lidskou důstojnost prověřovaných osob </w:t>
            </w:r>
            <w:r>
              <w:rPr>
                <w:b/>
                <w:i/>
                <w:strike w:val="0"/>
                <w:color w:val="auto"/>
                <w:highlight w:val="none"/>
                <w:u w:val="none" w:color="auto"/>
                <w:vertAlign w:val="baseline"/>
              </w:rPr>
              <w:t>prověřování. Zapojené orgány by měly zajistit dodržování základních práv dotčených jednotlivců, včetně práva na ochranu osobních údajů a svobodu projevu</w:t>
            </w:r>
            <w:r>
              <w:t>.</w:t>
            </w:r>
          </w:p>
        </w:tc>
        <w:tc>
          <w:tcPr>
            <w:tcW w:w="4876" w:type="dxa"/>
            <w:vAlign w:val="top"/>
          </w:tcPr>
          <w:p>
            <w:pPr>
              <w:pStyle w:val="Normal6a"/>
            </w:pPr>
            <w:r>
              <w:t>(41)</w:t>
            </w:r>
            <w:r>
              <w:tab/>
            </w:r>
            <w:r>
              <w:t>Je-li to pro účely bezpečnostní kontroly odůvodněné, mohlo by prověřování v souladu s vnitrostátními právními předpisy zahrnovat také kontrolu předmětů v držení státních příslušníků třetích zemí. Jakákoli opatření uplatňovaná v této souvislosti by měla být přiměřená a měla by respektovat lidskou důstojnost prověřovaných osob.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Je-li to pro účely bezpečnostní kontroly odůvodněné, mohlo by prověřování v souladu s vnitrostátními právními předpisy zahrnovat také kontrolu předmětů v držení státních příslušníků třetích zemí. Jakákoli opatření uplatňovaná v této souvislosti by měla být přiměřená a měla by respektovat lidskou důstojnost prověřovaných osob prověřování. Zapojené orgány by měly zajistit dodržování základních práv dotčených jednotlivců, včetně práva na ochranu osobních údajů a svobodu projevu.</w:t>
            </w:r>
          </w:p>
        </w:tc>
        <w:tc>
          <w:tcPr>
            <w:tcW w:w="4876" w:type="dxa"/>
            <w:vAlign w:val="top"/>
          </w:tcPr>
          <w:p>
            <w:pPr>
              <w:pStyle w:val="Normal6a"/>
            </w:pPr>
            <w:r>
              <w:t>(41)</w:t>
            </w:r>
            <w:r>
              <w:tab/>
            </w:r>
            <w:r>
              <w:t xml:space="preserve">Je-li to pro účely bezpečnostní kontroly odůvodněné, mohlo by prověřování v souladu s vnitrostátními právními předpisy zahrnovat také kontrolu předmětů v držení státních příslušníků třetích zemí. </w:t>
            </w:r>
            <w:r>
              <w:rPr>
                <w:b/>
                <w:i/>
                <w:strike w:val="0"/>
                <w:color w:val="auto"/>
                <w:highlight w:val="none"/>
                <w:u w:val="none" w:color="auto"/>
                <w:vertAlign w:val="baseline"/>
              </w:rPr>
              <w:t>Kontrola předmětů a obecněji prověřování by v žádném případě neměly zahrnovat přístup k elektronickým zařízením, která jsou v držení státních příslušníků třetích zemí, ani přístup k jejich soukromé komunikaci nebo účtům v sociálních médiích.</w:t>
            </w:r>
            <w:r>
              <w:t xml:space="preserve"> Jakákoli opatření uplatňovaná v této souvislosti by měla být přiměřená a měla by respektovat lidskou důstojnost prověřovaných osob prověřování. Zapojené orgány by měly zajistit dodržování základních práv dotčených jednotlivců, včetně práva na ochranu osobních údajů a svobodu projevu.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Je-li to pro účely bezpečnostní kontroly odůvodněné, mohlo by prověřování v souladu s vnitrostátními právními předpisy zahrnovat také kontrolu předmětů v držení státních příslušníků třetích zemí. Jakákoli opatření uplatňovaná v této souvislosti by měla být přiměřená a měla by respektovat lidskou důstojnost prověřovaných osob prověřování. Zapojené orgány by měly zajistit dodržování základních práv dotčených jednotlivců, včetně práva na ochranu osobních údajů a svobodu projevu.</w:t>
            </w:r>
          </w:p>
        </w:tc>
        <w:tc>
          <w:tcPr>
            <w:tcW w:w="4876" w:type="dxa"/>
            <w:vAlign w:val="top"/>
          </w:tcPr>
          <w:p>
            <w:pPr>
              <w:pStyle w:val="Normal6a"/>
            </w:pPr>
            <w:r>
              <w:t>(41)</w:t>
            </w:r>
            <w:r>
              <w:tab/>
            </w:r>
            <w:r>
              <w:t xml:space="preserve">Je-li to pro účely bezpečnostní kontroly odůvodněné, mohlo by prověřování v souladu s vnitrostátními právními předpisy zahrnovat také kontrolu předmětů v držení státních příslušníků třetích zemí. Jakákoli opatření uplatňovaná v této souvislosti by měla být přiměřená a měla by respektovat lidskou důstojnost prověřovaných osob prověřování. Zapojené orgány by měly zajistit dodržování základních práv dotčených jednotlivců, včetně práva na ochranu osobních údajů a svobodu projevu. </w:t>
            </w:r>
            <w:r>
              <w:rPr>
                <w:b/>
                <w:i/>
                <w:strike w:val="0"/>
                <w:color w:val="auto"/>
                <w:highlight w:val="none"/>
                <w:u w:val="none" w:color="auto"/>
                <w:vertAlign w:val="baseline"/>
              </w:rPr>
              <w:t>Kontrola předmětů a obecněji prověřování by v žádném případě neměly zahrnovat přístup k elektronickým zařízením, která jsou v držení státních příslušníků třetích zemí, ani přístup k jejich soukromé komunikaci nebo účtům v sociálních médiích.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(41)</w:t>
            </w:r>
            <w:r>
              <w:tab/>
            </w:r>
            <w:r>
              <w:t>Je-li to pro účely bezpečnostní kontroly odůvodněné, mohlo by prověřování v souladu s vnitrostátními právními předpisy zahrnovat také kontrolu předmětů v držení státních příslušníků třetích zemí. Jakákoli opatření uplatňovaná v této souvislosti by měla být přiměřená a měla by respektovat lidskou důstojnost prověřovaných osob prověřování. Zapojené orgány by měly zajistit dodržování základních práv dotčených jednotlivců, včetně práva na ochranu osobních údajů a svobodu projevu.</w:t>
            </w:r>
          </w:p>
        </w:tc>
        <w:tc>
          <w:tcPr>
            <w:tcW w:w="4876" w:type="dxa"/>
            <w:vAlign w:val="top"/>
          </w:tcPr>
          <w:p>
            <w:pPr>
              <w:pStyle w:val="Normal6a"/>
            </w:pPr>
            <w:r>
              <w:t>(41)</w:t>
            </w:r>
            <w:r>
              <w:tab/>
            </w:r>
            <w:r>
              <w:t xml:space="preserve">Je-li to pro účely bezpečnostní kontroly odůvodněné, mohlo by prověřování v souladu s vnitrostátními právními předpisy </w:t>
            </w:r>
            <w:r>
              <w:rPr>
                <w:b/>
                <w:i/>
                <w:strike w:val="0"/>
                <w:color w:val="auto"/>
                <w:highlight w:val="none"/>
                <w:u w:val="none" w:color="auto"/>
                <w:vertAlign w:val="baseline"/>
              </w:rPr>
              <w:t>a obecným nařízením o ochraně osobních údajů</w:t>
            </w:r>
            <w:r>
              <w:t xml:space="preserve"> zahrnovat také kontrolu předmětů v držení státních příslušníků třetích zemí. Jakákoli opatření uplatňovaná v této souvislosti by měla být přiměřená a měla by respektovat lidskou důstojnost prověřovaných osob prověřování. Zapojené orgány by měly zajistit dodržování základních práv dotčených jednotlivců, včetně práva na ochranu osobních údajů a svobodu projevu </w:t>
            </w:r>
            <w:r>
              <w:rPr>
                <w:b/>
                <w:i/>
                <w:strike w:val="0"/>
                <w:color w:val="auto"/>
                <w:highlight w:val="none"/>
                <w:u w:val="none" w:color="auto"/>
                <w:vertAlign w:val="baseline"/>
              </w:rPr>
              <w:t>a zvláštních ochranných opatření v případě dětí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(42)</w:t>
            </w:r>
            <w:r>
              <w:tab/>
            </w:r>
            <w:r>
              <w:rPr>
                <w:b/>
                <w:i/>
                <w:strike w:val="0"/>
                <w:color w:val="auto"/>
                <w:highlight w:val="none"/>
                <w:u w:val="none" w:color="auto"/>
                <w:vertAlign w:val="baseline"/>
              </w:rPr>
              <w:t>Vzhledem k tomu, že orgány příslušné k provádění prověřování potřebují přístup k systémům EES, ETIAS, VIS a ECRIS-TCN, aby mohly zjistit, zda by dotyčná osoba mohla představovat hrozbu pro vnitřní bezpečnost nebo pro veřejný pořádek,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(42)</w:t>
            </w:r>
            <w:r>
              <w:tab/>
            </w:r>
            <w:r>
              <w:rPr>
                <w:b/>
                <w:i/>
                <w:strike w:val="0"/>
                <w:color w:val="auto"/>
                <w:highlight w:val="none"/>
                <w:u w:val="none" w:color="auto"/>
                <w:vertAlign w:val="baseline"/>
              </w:rPr>
              <w:t>Vzhledem k tomu, že orgány příslušné k provádění prověřování potřebují přístup k systémům EES, ETIAS, VIS a ECRIS-TCN, aby mohly zjistit, zda by dotyčná osoba mohla představovat hrozbu pro vnitřní bezpečnost nebo pro veřejný pořádek,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(42)</w:t>
            </w:r>
            <w:r>
              <w:tab/>
            </w:r>
            <w:r>
              <w:t xml:space="preserve">Vzhledem k tomu, že orgány příslušné k provádění prověřování potřebují přístup k systémům EES, ETIAS, VIS a ECRIS-TCN, aby mohly zjistit, zda by dotyčná osoba mohla představovat hrozbu pro vnitřní bezpečnost </w:t>
            </w:r>
            <w:r>
              <w:rPr>
                <w:b/>
                <w:i/>
                <w:strike w:val="0"/>
                <w:color w:val="auto"/>
                <w:highlight w:val="none"/>
                <w:u w:val="none" w:color="auto"/>
                <w:vertAlign w:val="baseline"/>
              </w:rPr>
              <w:t>nebo pro veřejný pořádek</w:t>
            </w:r>
            <w:r>
              <w:t>,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c>
          <w:tcPr>
            <w:tcW w:w="4876" w:type="dxa"/>
            <w:vAlign w:val="top"/>
          </w:tcPr>
          <w:p>
            <w:pPr>
              <w:pStyle w:val="Normal6a"/>
            </w:pPr>
            <w:r>
              <w:t>(42)</w:t>
            </w:r>
            <w:r>
              <w:tab/>
            </w:r>
            <w:r>
              <w:t>Vzhledem k tomu, že orgány příslušné k provádění prověřování potřebují přístup k systémům EES, ETIAS, VIS a ECRIS-TCN, aby mohly zjistit, zda by dotyčná osoba mohla představovat hrozbu pro vnitřní bezpečnost,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(42)</w:t>
            </w:r>
            <w:r>
              <w:tab/>
            </w:r>
            <w:r>
              <w:t>Vzhledem k tomu, že orgány příslušné k provádění prověřování potřebují přístup k systémům EES, ETIAS, VIS a ECRIS-TCN, aby mohly zjistit, zda by dotyčná osoba mohla představovat hrozbu pro vnitřní bezpečnost nebo pro veřejný pořádek,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c>
          <w:tcPr>
            <w:tcW w:w="4876" w:type="dxa"/>
            <w:vAlign w:val="top"/>
          </w:tcPr>
          <w:p>
            <w:pPr>
              <w:pStyle w:val="Normal6a"/>
            </w:pPr>
            <w:r>
              <w:t>(42)</w:t>
            </w:r>
            <w:r>
              <w:tab/>
            </w:r>
            <w:r>
              <w:t xml:space="preserve">Vzhledem k tomu, že orgány příslušné k provádění prověřování potřebují přístup k systémům EES, ETIAS, VIS a ECRIS-TCN, aby mohly zjistit, zda by dotyčná osoba mohla představovat hrozbu pro vnitřní </w:t>
            </w:r>
            <w:r>
              <w:rPr>
                <w:b/>
                <w:i/>
                <w:strike w:val="0"/>
                <w:color w:val="auto"/>
                <w:highlight w:val="none"/>
                <w:u w:val="none" w:color="auto"/>
                <w:vertAlign w:val="baseline"/>
              </w:rPr>
              <w:t>nebo národní</w:t>
            </w:r>
            <w:r>
              <w:t xml:space="preserve"> bezpečnost nebo pro veřejný pořádek, měla by být nařízení (ES) č. 767/2008, nařízení (EU) 2017/2226, nařízení (EU) 2018/1240 a nařízení (ES) č. 2019/816 změněna tak, aby stanovila toto dodatečné přístupové právo, které v uvedených nařízeních v současnosti stanoveno není. V případě nařízení (EU) 2019/816 by tato změna měla být z důvodu proměnné geometrie provedena prostřednictvím jiného nařízení, než je toto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K provádění vyhledávání v </w:t>
            </w:r>
            <w:r>
              <w:rPr>
                <w:b/>
                <w:i/>
                <w:strike w:val="0"/>
                <w:color w:val="auto"/>
                <w:highlight w:val="none"/>
                <w:u w:val="none" w:color="auto"/>
                <w:vertAlign w:val="baseline"/>
              </w:rPr>
              <w:t>evropských databázích, EES, ETIAS, VIS a ECRIS-TCN</w:t>
            </w:r>
            <w:r>
              <w:t xml:space="preserve"> za účelem zjištění totožnosti nebo v příslušném případě pro účely bezpečnostních kontrol by měl být používán Evropský vyhledávací portál (ESP) zřízený nařízením (EU) 2019/817.</w:t>
            </w:r>
          </w:p>
        </w:tc>
        <w:tc>
          <w:tcPr>
            <w:tcW w:w="4876" w:type="dxa"/>
            <w:vAlign w:val="top"/>
          </w:tcPr>
          <w:p>
            <w:pPr>
              <w:pStyle w:val="Normal6a"/>
            </w:pPr>
            <w:r>
              <w:t>(43)</w:t>
            </w:r>
            <w:r>
              <w:tab/>
            </w:r>
            <w:r>
              <w:t xml:space="preserve">K provádění vyhledávání v </w:t>
            </w:r>
            <w:r>
              <w:rPr>
                <w:b/>
                <w:i/>
                <w:strike w:val="0"/>
                <w:color w:val="auto"/>
                <w:highlight w:val="none"/>
                <w:u w:val="none" w:color="auto"/>
                <w:vertAlign w:val="baseline"/>
              </w:rPr>
              <w:t>EES a VIS</w:t>
            </w:r>
            <w:r>
              <w:t xml:space="preserve"> za účelem zjištění totožnosti nebo v příslušném případě pro účely bezpečnostních kontrol by měl být používán Evropský vyhledávací portál (ESP) zřízený nařízením (EU) 2019/817.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(43)</w:t>
            </w:r>
            <w:r>
              <w:tab/>
            </w:r>
            <w:r>
              <w:t xml:space="preserve">K provádění vyhledávání </w:t>
            </w:r>
            <w:r>
              <w:rPr>
                <w:b/>
                <w:i/>
                <w:strike w:val="0"/>
                <w:color w:val="auto"/>
                <w:highlight w:val="none"/>
                <w:u w:val="none" w:color="auto"/>
                <w:vertAlign w:val="baseline"/>
              </w:rPr>
              <w:t>v evropských databázích, EES, ETIAS, VIS a ECRIS-TCN</w:t>
            </w:r>
            <w:r>
              <w:t xml:space="preserve"> za účelem zjištění totožnosti nebo v příslušném případě pro účely bezpečnostních kontrol by měl být používán Evropský vyhledávací portál (ESP) zřízený nařízením (EU) 2019/817.</w:t>
            </w:r>
          </w:p>
        </w:tc>
        <w:tc>
          <w:tcPr>
            <w:tcW w:w="4876" w:type="dxa"/>
            <w:vAlign w:val="top"/>
          </w:tcPr>
          <w:p>
            <w:pPr>
              <w:pStyle w:val="Normal6a"/>
            </w:pPr>
            <w:r>
              <w:t>(43)</w:t>
            </w:r>
            <w:r>
              <w:tab/>
            </w:r>
            <w:r>
              <w:t>K provádění vyhledávání za účelem zjištění totožnosti nebo v příslušném případě pro účely bezpečnostních kontrol by měl být používán Evropský vyhledávací portál (ESP) zřízený nařízením (EU) 2019/817.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rPr>
                <w:b/>
                <w:i/>
                <w:strike w:val="0"/>
                <w:color w:val="auto"/>
                <w:highlight w:val="none"/>
                <w:u w:val="none" w:color="auto"/>
                <w:vertAlign w:val="baseline"/>
              </w:rPr>
              <w:t>Jelikož účinné provádění prověřování závisí na správném zjištění totožnosti dotčených jednotlivců a jejich bezpečnostního kontextu, je</w:t>
            </w:r>
            <w:r>
              <w:t xml:space="preserve"> nahlížení do evropských databází za </w:t>
            </w:r>
            <w:r>
              <w:rPr>
                <w:b/>
                <w:i/>
                <w:strike w:val="0"/>
                <w:color w:val="auto"/>
                <w:highlight w:val="none"/>
                <w:u w:val="none" w:color="auto"/>
                <w:vertAlign w:val="baseline"/>
              </w:rPr>
              <w:t>tímto</w:t>
            </w:r>
            <w:r>
              <w:t xml:space="preserve"> účelem </w:t>
            </w:r>
            <w:r>
              <w:rPr>
                <w:b/>
                <w:i/>
                <w:strike w:val="0"/>
                <w:color w:val="auto"/>
                <w:highlight w:val="none"/>
                <w:u w:val="none" w:color="auto"/>
                <w:vertAlign w:val="baseline"/>
              </w:rPr>
              <w:t>odůvodněno stejnými cíli, pro které byly jednotlivé databáze zřízeny, a sice účinnou správou vnějších hranic Unie, vnitřní bezpečností Unie a účinným prováděním azylové a návratové politiky Unie</w:t>
            </w:r>
            <w:r>
              <w:t>.</w:t>
            </w:r>
          </w:p>
        </w:tc>
        <w:tc>
          <w:tcPr>
            <w:tcW w:w="4876" w:type="dxa"/>
            <w:vAlign w:val="top"/>
          </w:tcPr>
          <w:p>
            <w:pPr>
              <w:pStyle w:val="Normal6a"/>
            </w:pPr>
            <w:r>
              <w:t>(44)</w:t>
            </w:r>
            <w:r>
              <w:tab/>
            </w:r>
            <w:r>
              <w:t xml:space="preserve">Nahlížení do evropských databází za účelem </w:t>
            </w:r>
            <w:r>
              <w:rPr>
                <w:b/>
                <w:i/>
                <w:strike w:val="0"/>
                <w:color w:val="auto"/>
                <w:highlight w:val="none"/>
                <w:u w:val="none" w:color="auto"/>
                <w:vertAlign w:val="baseline"/>
              </w:rPr>
              <w:t>identifikace a bezpečnostních kontrol by mělo být omezeno na míru nezbytně nutnou pro dosažení tohoto účelu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(44)</w:t>
            </w:r>
            <w:r>
              <w:tab/>
            </w:r>
            <w:r>
              <w:rPr>
                <w:b/>
                <w:i/>
                <w:strike w:val="0"/>
                <w:color w:val="auto"/>
                <w:highlight w:val="none"/>
                <w:u w:val="none" w:color="auto"/>
                <w:vertAlign w:val="baseline"/>
              </w:rPr>
              <w:t>Jelikož účinné provádění prověřování závisí na správném zjištění totožnosti dotčených jednotlivců a jejich bezpečnostního kontextu, je nahlížení do evropských databází za tímto účelem odůvodněno stejnými</w:t>
            </w:r>
            <w:r>
              <w:t xml:space="preserve"> cíli, pro které byly jednotlivé databáze zřízeny</w:t>
            </w:r>
            <w:r>
              <w:rPr>
                <w:b/>
                <w:i/>
                <w:strike w:val="0"/>
                <w:color w:val="auto"/>
                <w:highlight w:val="none"/>
                <w:u w:val="none" w:color="auto"/>
                <w:vertAlign w:val="baseline"/>
              </w:rPr>
              <w:t>, a sice účinnou správou vnějších hranic Unie, vnitřní bezpečností Unie a účinným prováděním azylové a návratové politiky Unie</w:t>
            </w:r>
            <w:r>
              <w:t>.</w:t>
            </w:r>
          </w:p>
        </w:tc>
        <w:tc>
          <w:tcPr>
            <w:tcW w:w="4876" w:type="dxa"/>
            <w:vAlign w:val="top"/>
          </w:tcPr>
          <w:p>
            <w:pPr>
              <w:pStyle w:val="Normal6a"/>
            </w:pPr>
            <w:r>
              <w:t>(44)</w:t>
            </w:r>
            <w:r>
              <w:tab/>
            </w:r>
            <w:r>
              <w:rPr>
                <w:b/>
                <w:i/>
                <w:strike w:val="0"/>
                <w:color w:val="auto"/>
                <w:highlight w:val="none"/>
                <w:u w:val="none" w:color="auto"/>
                <w:vertAlign w:val="baseline"/>
              </w:rPr>
              <w:t>Nahlížení do evropských databází za účelem identifikace a bezpečnostních kontrol během prověřování lze odůvodnit v rozsahu nezbytně nutném pro dosažení tohoto účelu a v souladu s</w:t>
            </w:r>
            <w:r>
              <w:t xml:space="preserve"> cíli, pro které byly jednotlivé databáze zřízeny.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Jelikož cílů tohoto nařízení, jmenovitě </w:t>
            </w:r>
            <w:r>
              <w:rPr>
                <w:b/>
                <w:i/>
                <w:strike w:val="0"/>
                <w:color w:val="auto"/>
                <w:highlight w:val="none"/>
                <w:u w:val="none" w:color="auto"/>
                <w:vertAlign w:val="baseline"/>
              </w:rPr>
              <w:t>posílení kontroly</w:t>
            </w:r>
            <w:r>
              <w:t xml:space="preserve"> osob, které se chystají vstoupit do schengenského prostoru, </w:t>
            </w:r>
            <w:r>
              <w:rPr>
                <w:b/>
                <w:i/>
                <w:strike w:val="0"/>
                <w:color w:val="auto"/>
                <w:highlight w:val="none"/>
                <w:u w:val="none" w:color="auto"/>
                <w:vertAlign w:val="baseline"/>
              </w:rPr>
              <w:t>a jejich nasměrování k příslušným řízením</w:t>
            </w:r>
            <w:r>
              <w:t>,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vAlign w:val="top"/>
          </w:tcPr>
          <w:p>
            <w:pPr>
              <w:pStyle w:val="Normal6a"/>
            </w:pPr>
            <w:r>
              <w:t>(45)</w:t>
            </w:r>
            <w:r>
              <w:tab/>
            </w:r>
            <w:r>
              <w:t xml:space="preserve">Jelikož cílů tohoto nařízení, jmenovitě </w:t>
            </w:r>
            <w:r>
              <w:rPr>
                <w:b/>
                <w:i/>
                <w:strike w:val="0"/>
                <w:color w:val="auto"/>
                <w:highlight w:val="none"/>
                <w:u w:val="none" w:color="auto"/>
                <w:vertAlign w:val="baseline"/>
              </w:rPr>
              <w:t>nasměrování</w:t>
            </w:r>
            <w:r>
              <w:t xml:space="preserve"> osob, které se chystají vstoupit do schengenského prostoru, </w:t>
            </w:r>
            <w:r>
              <w:rPr>
                <w:b/>
                <w:i/>
                <w:strike w:val="0"/>
                <w:color w:val="auto"/>
                <w:highlight w:val="none"/>
                <w:u w:val="none" w:color="auto"/>
                <w:vertAlign w:val="baseline"/>
              </w:rPr>
              <w:t>k příslušným řízením, předběžná identifikace osob ve zranitelné situaci a osob, které potřebují zdravotní péči, i osob, které představují hrozbu pro vnitřní bezpečnost</w:t>
            </w:r>
            <w:r>
              <w:t>,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Jelikož cílů tohoto nařízení, jmenovitě </w:t>
            </w:r>
            <w:r>
              <w:rPr>
                <w:b/>
                <w:i/>
                <w:strike w:val="0"/>
                <w:color w:val="auto"/>
                <w:highlight w:val="none"/>
                <w:u w:val="none" w:color="auto"/>
                <w:vertAlign w:val="baseline"/>
              </w:rPr>
              <w:t>posílení kontroly osob, které se chystají vstoupit</w:t>
            </w:r>
            <w:r>
              <w:t xml:space="preserve"> do schengenského prostoru</w:t>
            </w:r>
            <w:r>
              <w:rPr>
                <w:b/>
                <w:i/>
                <w:strike w:val="0"/>
                <w:color w:val="auto"/>
                <w:highlight w:val="none"/>
                <w:u w:val="none" w:color="auto"/>
                <w:vertAlign w:val="baseline"/>
              </w:rPr>
              <w:t>, a jejich nasměrování k příslušným řízením</w:t>
            </w:r>
            <w:r>
              <w:t>,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vAlign w:val="top"/>
          </w:tcPr>
          <w:p>
            <w:pPr>
              <w:pStyle w:val="Normal6a"/>
            </w:pPr>
            <w:r>
              <w:t>(45)</w:t>
            </w:r>
            <w:r>
              <w:tab/>
            </w:r>
            <w:r>
              <w:t xml:space="preserve">Jelikož cílů tohoto nařízení, jmenovitě </w:t>
            </w:r>
            <w:r>
              <w:rPr>
                <w:b/>
                <w:i/>
                <w:strike w:val="0"/>
                <w:color w:val="auto"/>
                <w:highlight w:val="none"/>
                <w:u w:val="none" w:color="auto"/>
                <w:vertAlign w:val="baseline"/>
              </w:rPr>
              <w:t>identifikace osob vstupujících</w:t>
            </w:r>
            <w:r>
              <w:t xml:space="preserve"> do schengenského prostoru,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Jelikož cílů tohoto nařízení, jmenovitě </w:t>
            </w:r>
            <w:r>
              <w:rPr>
                <w:b/>
                <w:i/>
                <w:strike w:val="0"/>
                <w:color w:val="auto"/>
                <w:highlight w:val="none"/>
                <w:u w:val="none" w:color="auto"/>
                <w:vertAlign w:val="baseline"/>
              </w:rPr>
              <w:t>posílení kontroly osob, které se chystají vstoupit</w:t>
            </w:r>
            <w:r>
              <w:t xml:space="preserve"> do schengenského prostoru, a jejich nasměrování k příslušným řízením,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vAlign w:val="top"/>
          </w:tcPr>
          <w:p>
            <w:pPr>
              <w:pStyle w:val="Normal6a"/>
            </w:pPr>
            <w:r>
              <w:t>(45)</w:t>
            </w:r>
            <w:r>
              <w:tab/>
            </w:r>
            <w:r>
              <w:t xml:space="preserve">Jelikož cílů tohoto nařízení, jmenovitě </w:t>
            </w:r>
            <w:r>
              <w:rPr>
                <w:b/>
                <w:i/>
                <w:strike w:val="0"/>
                <w:color w:val="auto"/>
                <w:highlight w:val="none"/>
                <w:u w:val="none" w:color="auto"/>
                <w:vertAlign w:val="baseline"/>
              </w:rPr>
              <w:t>identifikace osob vstupujících</w:t>
            </w:r>
            <w:r>
              <w:t xml:space="preserve"> do schengenského prostoru, a jejich nasměrování k příslušným řízením,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(45)</w:t>
            </w:r>
            <w:r>
              <w:tab/>
            </w:r>
            <w:r>
              <w:t xml:space="preserve">Jelikož cílů tohoto nařízení, jmenovitě posílení kontroly osob, které se </w:t>
            </w:r>
            <w:r>
              <w:rPr>
                <w:b/>
                <w:i/>
                <w:strike w:val="0"/>
                <w:color w:val="auto"/>
                <w:highlight w:val="none"/>
                <w:u w:val="none" w:color="auto"/>
                <w:vertAlign w:val="baseline"/>
              </w:rPr>
              <w:t>chystají</w:t>
            </w:r>
            <w:r>
              <w:t xml:space="preserve"> vstoupit do schengenského prostoru, a jejich nasměrování k příslušným řízením,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vAlign w:val="top"/>
          </w:tcPr>
          <w:p>
            <w:pPr>
              <w:pStyle w:val="Normal6a"/>
            </w:pPr>
            <w:r>
              <w:t>(45)</w:t>
            </w:r>
            <w:r>
              <w:tab/>
            </w:r>
            <w:r>
              <w:t xml:space="preserve">Jelikož cílů tohoto nařízení, jmenovitě posílení kontroly osob, které se </w:t>
            </w:r>
            <w:r>
              <w:rPr>
                <w:b/>
                <w:i/>
                <w:strike w:val="0"/>
                <w:color w:val="auto"/>
                <w:highlight w:val="none"/>
                <w:u w:val="none" w:color="auto"/>
                <w:vertAlign w:val="baseline"/>
              </w:rPr>
              <w:t>snaží</w:t>
            </w:r>
            <w:r>
              <w:t xml:space="preserve"> vstoupit do schengenského prostoru, a jejich nasměrování k příslušným řízením, nemůže být dosaženo jednotlivými členskými státy, je nutné stanovit společná pravidla na úrovni Unie. Unie proto může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Předmět </w:t>
            </w:r>
            <w:r>
              <w:rPr>
                <w:b/>
                <w:i/>
                <w:strike w:val="0"/>
                <w:color w:val="auto"/>
                <w:highlight w:val="none"/>
                <w:u w:val="none" w:color="auto"/>
                <w:vertAlign w:val="baseline"/>
              </w:rPr>
              <w:t>a oblast působnosti</w:t>
            </w:r>
          </w:p>
        </w:tc>
        <w:tc>
          <w:tcPr>
            <w:tcW w:w="4876" w:type="dxa"/>
            <w:vAlign w:val="top"/>
          </w:tcPr>
          <w:p>
            <w:pPr>
              <w:pStyle w:val="Normal6a"/>
            </w:pPr>
            <w:r>
              <w:t>Předmět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Předmět </w:t>
            </w:r>
            <w:r>
              <w:rPr>
                <w:b/>
                <w:i/>
                <w:strike w:val="0"/>
                <w:color w:val="auto"/>
                <w:highlight w:val="none"/>
                <w:u w:val="none" w:color="auto"/>
                <w:vertAlign w:val="baseline"/>
              </w:rPr>
              <w:t>a oblast působnosti</w:t>
            </w:r>
          </w:p>
        </w:tc>
        <w:tc>
          <w:tcPr>
            <w:tcW w:w="4876" w:type="dxa"/>
            <w:vAlign w:val="top"/>
          </w:tcPr>
          <w:p>
            <w:pPr>
              <w:pStyle w:val="Normal6a"/>
            </w:pPr>
            <w:r>
              <w:t>Předmět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Toto nařízení zavádí prověřování na vnějších hranicích členských států vztahující se na všechny státní příslušníky třetích zemí, kteří překročili vnější hranice nedovoleným způsobem, kteří požádali o mezinárodní ochranu v průběhu hraničních kontrol, aniž by splňovali podmínky vstupu, nebo kteří byli vyloděni po pátrací a záchranné operaci, přičemž toto prověřování se provádí před tím, než jsou nasměrováni k příslušnému 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Toto nařízení zavádí prověřování na vnějších hranicích členských států vztahující se na všechny státní příslušníky třetích zemí, kteří </w:t>
            </w:r>
            <w:r>
              <w:rPr>
                <w:b/>
                <w:i/>
                <w:strike w:val="0"/>
                <w:color w:val="auto"/>
                <w:highlight w:val="none"/>
                <w:u w:val="none" w:color="auto"/>
                <w:vertAlign w:val="baseline"/>
              </w:rPr>
              <w:t>překročili vnější hranice nedovoleným způsobem, kteří požádali o mezinárodní ochranu v průběhu hraničních kontrol, aniž by splňovali podmínky vstupu, nebo kteří byli vyloděni po pátrací a záchranné operaci, přičemž toto prověřování se provádí před tím, než jsou nasměrováni k příslušnému řízení</w:t>
            </w:r>
            <w:r>
              <w:t>.</w:t>
            </w:r>
          </w:p>
        </w:tc>
        <w:tc>
          <w:tcPr>
            <w:tcW w:w="4876" w:type="dxa"/>
            <w:vAlign w:val="top"/>
          </w:tcPr>
          <w:p>
            <w:pPr>
              <w:pStyle w:val="Normal6a"/>
            </w:pPr>
            <w:r>
              <w:t xml:space="preserve">Toto nařízení zavádí </w:t>
            </w:r>
            <w:r>
              <w:rPr>
                <w:b/>
                <w:i/>
                <w:strike w:val="0"/>
                <w:color w:val="auto"/>
                <w:highlight w:val="none"/>
                <w:u w:val="none" w:color="auto"/>
                <w:vertAlign w:val="baseline"/>
              </w:rPr>
              <w:t>postup pro</w:t>
            </w:r>
            <w:r>
              <w:t xml:space="preserve"> prověřování na vnějších hranicích členských států vztahující se na všechny státní příslušníky třetích zemí, kteří </w:t>
            </w:r>
            <w:r>
              <w:rPr>
                <w:b/>
                <w:i/>
                <w:strike w:val="0"/>
                <w:color w:val="auto"/>
                <w:highlight w:val="none"/>
                <w:u w:val="none" w:color="auto"/>
                <w:vertAlign w:val="baseline"/>
              </w:rPr>
              <w:t>se nacházejí na území členských států a nebyli podrobeni kontrolám na vnější hranici členských států</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Toto nařízení zavádí </w:t>
            </w:r>
            <w:r>
              <w:rPr>
                <w:b/>
                <w:i/>
                <w:strike w:val="0"/>
                <w:color w:val="auto"/>
                <w:highlight w:val="none"/>
                <w:u w:val="none" w:color="auto"/>
                <w:vertAlign w:val="baseline"/>
              </w:rPr>
              <w:t>prověřování na vnějších hranicích členských států</w:t>
            </w:r>
            <w:r>
              <w:t xml:space="preserve"> vztahující se na </w:t>
            </w:r>
            <w:r>
              <w:rPr>
                <w:b/>
                <w:i/>
                <w:strike w:val="0"/>
                <w:color w:val="auto"/>
                <w:highlight w:val="none"/>
                <w:u w:val="none" w:color="auto"/>
                <w:vertAlign w:val="baseline"/>
              </w:rPr>
              <w:t>všechny</w:t>
            </w:r>
            <w:r>
              <w:t xml:space="preserve"> státní příslušníky třetích zemí, kteří překročili vnější hranice </w:t>
            </w:r>
            <w:r>
              <w:rPr>
                <w:b/>
                <w:i/>
                <w:strike w:val="0"/>
                <w:color w:val="auto"/>
                <w:highlight w:val="none"/>
                <w:u w:val="none" w:color="auto"/>
                <w:vertAlign w:val="baseline"/>
              </w:rPr>
              <w:t>nedovoleným</w:t>
            </w:r>
            <w:r>
              <w:t xml:space="preserve"> způsobem, kteří požádali o mezinárodní ochranu v průběhu hraničních kontrol, aniž by splňovali podmínky vstupu, nebo kteří byli vyloděni po pátrací a záchranné operaci</w:t>
            </w:r>
            <w:r>
              <w:rPr>
                <w:b/>
                <w:i/>
                <w:strike w:val="0"/>
                <w:color w:val="auto"/>
                <w:highlight w:val="none"/>
                <w:u w:val="none" w:color="auto"/>
                <w:vertAlign w:val="baseline"/>
              </w:rPr>
              <w:t>, přičemž toto prověřování se provádí před tím, než jsou nasměrováni k příslušnému řízení</w:t>
            </w:r>
            <w:r>
              <w:t>.</w:t>
            </w:r>
          </w:p>
        </w:tc>
        <w:tc>
          <w:tcPr>
            <w:tcW w:w="4876" w:type="dxa"/>
            <w:vAlign w:val="top"/>
          </w:tcPr>
          <w:p>
            <w:pPr>
              <w:pStyle w:val="Normal6a"/>
            </w:pPr>
            <w:r>
              <w:t xml:space="preserve">Toto nařízení zavádí </w:t>
            </w:r>
            <w:r>
              <w:rPr>
                <w:b/>
                <w:i/>
                <w:strike w:val="0"/>
                <w:color w:val="auto"/>
                <w:highlight w:val="none"/>
                <w:u w:val="none" w:color="auto"/>
                <w:vertAlign w:val="baseline"/>
              </w:rPr>
              <w:t>postup prověřování</w:t>
            </w:r>
            <w:r>
              <w:t xml:space="preserve"> vztahující se na státní příslušníky třetích zemí, kteří překročili vnější hranice </w:t>
            </w:r>
            <w:r>
              <w:rPr>
                <w:b/>
                <w:i/>
                <w:strike w:val="0"/>
                <w:color w:val="auto"/>
                <w:highlight w:val="none"/>
                <w:u w:val="none" w:color="auto"/>
                <w:vertAlign w:val="baseline"/>
              </w:rPr>
              <w:t>nelegálním</w:t>
            </w:r>
            <w:r>
              <w:t xml:space="preserve"> způsobem, kteří požádali o mezinárodní ochranu v průběhu hraničních kontrol, aniž by splňovali podmínky vstupu, nebo kteří byli vyloděni po pátrací a záchranné operaci.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Toto nařízení zavádí </w:t>
            </w:r>
            <w:r>
              <w:rPr>
                <w:b/>
                <w:i/>
                <w:strike w:val="0"/>
                <w:color w:val="auto"/>
                <w:highlight w:val="none"/>
                <w:u w:val="none" w:color="auto"/>
                <w:vertAlign w:val="baseline"/>
              </w:rPr>
              <w:t>prověřování na vnějších hranicích členských států</w:t>
            </w:r>
            <w:r>
              <w:t xml:space="preserve"> vztahující se na všechny státní příslušníky třetích zemí, kteří překročili vnější hranice </w:t>
            </w:r>
            <w:r>
              <w:rPr>
                <w:b/>
                <w:i/>
                <w:strike w:val="0"/>
                <w:color w:val="auto"/>
                <w:highlight w:val="none"/>
                <w:u w:val="none" w:color="auto"/>
                <w:vertAlign w:val="baseline"/>
              </w:rPr>
              <w:t>nedovoleným</w:t>
            </w:r>
            <w:r>
              <w:t xml:space="preserve"> způsobem, kteří požádali o mezinárodní ochranu v průběhu hraničních kontrol, aniž by splňovali podmínky vstupu, nebo kteří byli vyloděni po pátrací a záchranné operaci, přičemž toto prověřování se provádí </w:t>
            </w:r>
            <w:r>
              <w:rPr>
                <w:b/>
                <w:i/>
                <w:strike w:val="0"/>
                <w:color w:val="auto"/>
                <w:highlight w:val="none"/>
                <w:u w:val="none" w:color="auto"/>
                <w:vertAlign w:val="baseline"/>
              </w:rPr>
              <w:t>před tím, než jsou nasměrováni</w:t>
            </w:r>
            <w:r>
              <w:t xml:space="preserve"> k příslušnému řízení.</w:t>
            </w:r>
          </w:p>
        </w:tc>
        <w:tc>
          <w:tcPr>
            <w:tcW w:w="4876" w:type="dxa"/>
            <w:vAlign w:val="top"/>
          </w:tcPr>
          <w:p>
            <w:pPr>
              <w:pStyle w:val="Normal6a"/>
            </w:pPr>
            <w:r>
              <w:t xml:space="preserve">Toto nařízení zavádí </w:t>
            </w:r>
            <w:r>
              <w:rPr>
                <w:b/>
                <w:i/>
                <w:strike w:val="0"/>
                <w:color w:val="auto"/>
                <w:highlight w:val="none"/>
                <w:u w:val="none" w:color="auto"/>
                <w:vertAlign w:val="baseline"/>
              </w:rPr>
              <w:t>postup prověřování</w:t>
            </w:r>
            <w:r>
              <w:t xml:space="preserve"> vztahující se na všechny státní příslušníky třetích zemí, kteří překročili vnější hranice </w:t>
            </w:r>
            <w:r>
              <w:rPr>
                <w:b/>
                <w:i/>
                <w:strike w:val="0"/>
                <w:color w:val="auto"/>
                <w:highlight w:val="none"/>
                <w:u w:val="none" w:color="auto"/>
                <w:vertAlign w:val="baseline"/>
              </w:rPr>
              <w:t>nelegálním</w:t>
            </w:r>
            <w:r>
              <w:t xml:space="preserve"> způsobem, kteří požádali o mezinárodní ochranu v průběhu hraničních kontrol, aniž by splňovali podmínky vstupu, nebo kteří byli vyloděni po pátrací a záchranné operaci, přičemž toto prověřování se provádí </w:t>
            </w:r>
            <w:r>
              <w:rPr>
                <w:b/>
                <w:i/>
                <w:strike w:val="0"/>
                <w:color w:val="auto"/>
                <w:highlight w:val="none"/>
                <w:u w:val="none" w:color="auto"/>
                <w:vertAlign w:val="baseline"/>
              </w:rPr>
              <w:t>s cílem nasměrovat je</w:t>
            </w:r>
            <w:r>
              <w:t xml:space="preserve"> k příslušnému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Toto nařízení zavádí prověřování na vnějších hranicích členských států vztahující se na všechny státní příslušníky třetích zemí, kteří překročili vnější hranice nedovoleným způsobem</w:t>
            </w:r>
            <w:r>
              <w:rPr>
                <w:b/>
                <w:i/>
                <w:strike w:val="0"/>
                <w:color w:val="auto"/>
                <w:highlight w:val="none"/>
                <w:u w:val="none" w:color="auto"/>
                <w:vertAlign w:val="baseline"/>
              </w:rPr>
              <w:t>,</w:t>
            </w:r>
            <w:r>
              <w:t xml:space="preserve"> kteří požádali o mezinárodní ochranu v průběhu hraničních kontrol, aniž by splňovali podmínky vstupu</w:t>
            </w:r>
            <w:r>
              <w:rPr>
                <w:b/>
                <w:i/>
                <w:strike w:val="0"/>
                <w:color w:val="auto"/>
                <w:highlight w:val="none"/>
                <w:u w:val="none" w:color="auto"/>
                <w:vertAlign w:val="baseline"/>
              </w:rPr>
              <w:t>, nebo kteří byli vyloděni po pátrací a záchranné operaci</w:t>
            </w:r>
            <w:r>
              <w:t>, přičemž toto prověřování se provádí před tím, než jsou nasměrováni k příslušnému řízení.</w:t>
            </w:r>
          </w:p>
        </w:tc>
        <w:tc>
          <w:tcPr>
            <w:tcW w:w="4876" w:type="dxa"/>
            <w:vAlign w:val="top"/>
          </w:tcPr>
          <w:p>
            <w:pPr>
              <w:pStyle w:val="Normal6a"/>
            </w:pPr>
            <w:r>
              <w:t xml:space="preserve">Toto nařízení zavádí prověřování na vnějších hranicích členských států vztahující se na všechny státní příslušníky třetích zemí, kteří překročili vnější hranice nedovoleným způsobem </w:t>
            </w:r>
            <w:r>
              <w:rPr>
                <w:b/>
                <w:i/>
                <w:strike w:val="0"/>
                <w:color w:val="auto"/>
                <w:highlight w:val="none"/>
                <w:u w:val="none" w:color="auto"/>
                <w:vertAlign w:val="baseline"/>
              </w:rPr>
              <w:t>a</w:t>
            </w:r>
            <w:r>
              <w:t xml:space="preserve"> kteří požádali o mezinárodní ochranu v průběhu hraničních kontrol, aniž by splňovali podmínky vstupu, přičemž toto prověřování se provádí před tím, než jsou nasměrováni k příslušnému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Toto nařízení zavádí prověřování na vnějších hranicích členských států vztahující se na všechny státní příslušníky třetích zemí, kteří překročili vnější hranice </w:t>
            </w:r>
            <w:r>
              <w:rPr>
                <w:b/>
                <w:i/>
                <w:strike w:val="0"/>
                <w:color w:val="auto"/>
                <w:highlight w:val="none"/>
                <w:u w:val="none" w:color="auto"/>
                <w:vertAlign w:val="baseline"/>
              </w:rPr>
              <w:t>nedovoleným</w:t>
            </w:r>
            <w:r>
              <w:t xml:space="preserve"> způsobem, kteří požádali o mezinárodní ochranu v průběhu hraničních kontrol, aniž by splňovali podmínky vstupu, nebo kteří byli vyloděni po pátrací a záchranné operaci, přičemž toto prověřování se provádí před tím, než jsou nasměrováni k příslušnému řízení.</w:t>
            </w:r>
          </w:p>
        </w:tc>
        <w:tc>
          <w:tcPr>
            <w:tcW w:w="4876" w:type="dxa"/>
            <w:vAlign w:val="top"/>
          </w:tcPr>
          <w:p>
            <w:pPr>
              <w:pStyle w:val="Normal6a"/>
            </w:pPr>
            <w:r>
              <w:t xml:space="preserve">Toto nařízení zavádí prověřování na vnějších hranicích členských států vztahující se na všechny státní příslušníky třetích zemí, kteří překročili vnější hranice </w:t>
            </w:r>
            <w:r>
              <w:rPr>
                <w:b/>
                <w:i/>
                <w:strike w:val="0"/>
                <w:color w:val="auto"/>
                <w:highlight w:val="none"/>
                <w:u w:val="none" w:color="auto"/>
                <w:vertAlign w:val="baseline"/>
              </w:rPr>
              <w:t>nelegálním</w:t>
            </w:r>
            <w:r>
              <w:t xml:space="preserve"> způsobem, kteří požádali o mezinárodní ochranu v průběhu hraničních kontrol, aniž by splňovali podmínky vstupu, nebo kteří byli vyloděni po pátrací a záchranné operaci, přičemž toto prověřování se provádí před tím, než jsou nasměrováni k příslušnému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Účelem tohoto nařízení je posílit ochranu vnějších hranic v případech, kdy navzdory uplatněným opatřením týkajícím se ostrahy hranic dochází k nedovolenému překračování hranic státními příslušníky třetích zemí, kteří nesplňují podmínky vstupu stanovené v článku 6 nařízení (EU)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Tento pozměňovací návrh doplňuje Schengenský hraniční kodex týkající se ochrany hranic, pokud jde o případy nedovoleného překročení vnějších hranic.</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Cílem tohoto nařízení by mělo být zabránit tomu, aby Evropu zaplavili migranti.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Účelem prověřování je posílení kontrol osob, které se chystají vstoupit do schengenského prostoru, a jejich nasměrování k příslušnému 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Účelem prověřování je posílení kontrol osob, které se chystají vstoupit do schengenského prostoru, a jejich nasměrování k příslušnému 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Účelem prověřování je posílení kontrol osob, které se chystají vstoupit do schengenského prostoru, a jejich nasměrování k příslušnému 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Účelem prověřování je </w:t>
            </w:r>
            <w:r>
              <w:rPr>
                <w:b/>
                <w:i/>
                <w:strike w:val="0"/>
                <w:color w:val="auto"/>
                <w:highlight w:val="none"/>
                <w:u w:val="none" w:color="auto"/>
                <w:vertAlign w:val="baseline"/>
              </w:rPr>
              <w:t>posílení kontrol</w:t>
            </w:r>
            <w:r>
              <w:t xml:space="preserve"> osob, které se chystají vstoupit do schengenského prostoru, </w:t>
            </w:r>
            <w:r>
              <w:rPr>
                <w:b/>
                <w:i/>
                <w:strike w:val="0"/>
                <w:color w:val="auto"/>
                <w:highlight w:val="none"/>
                <w:u w:val="none" w:color="auto"/>
                <w:vertAlign w:val="baseline"/>
              </w:rPr>
              <w:t>a jejich nasměrování k příslušnému řízení</w:t>
            </w:r>
            <w:r>
              <w:t>.</w:t>
            </w:r>
          </w:p>
        </w:tc>
        <w:tc>
          <w:tcPr>
            <w:tcW w:w="4876" w:type="dxa"/>
            <w:vAlign w:val="top"/>
          </w:tcPr>
          <w:p>
            <w:pPr>
              <w:pStyle w:val="Normal6a"/>
            </w:pPr>
            <w:r>
              <w:t xml:space="preserve">Účelem prověřování je </w:t>
            </w:r>
            <w:r>
              <w:rPr>
                <w:b/>
                <w:i/>
                <w:strike w:val="0"/>
                <w:color w:val="auto"/>
                <w:highlight w:val="none"/>
                <w:u w:val="none" w:color="auto"/>
                <w:vertAlign w:val="baseline"/>
              </w:rPr>
              <w:t>nasměrování</w:t>
            </w:r>
            <w:r>
              <w:t xml:space="preserve"> osob, které se chystají vstoupit do schengenského prostoru, </w:t>
            </w:r>
            <w:r>
              <w:rPr>
                <w:b/>
                <w:i/>
                <w:strike w:val="0"/>
                <w:color w:val="auto"/>
                <w:highlight w:val="none"/>
                <w:u w:val="none" w:color="auto"/>
                <w:vertAlign w:val="baseline"/>
              </w:rPr>
              <w:t>k příslušnému řízení, předběžná identifikace osob ve zranitelné situaci, osob, které potřebují zdravotní péči, i osob, které představují hrozbu pro vnitřní bezpečnost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Účelem prověřování je posílení kontrol osob, které se chystají vstoupit do schengenského prostoru, a jejich nasměrování k příslušnému řízení.</w:t>
            </w:r>
          </w:p>
        </w:tc>
        <w:tc>
          <w:tcPr>
            <w:tcW w:w="4876" w:type="dxa"/>
            <w:vAlign w:val="top"/>
          </w:tcPr>
          <w:p>
            <w:pPr>
              <w:pStyle w:val="Normal6a"/>
            </w:pPr>
            <w:r>
              <w:t xml:space="preserve">Účelem prověřování je posílení </w:t>
            </w:r>
            <w:r>
              <w:rPr>
                <w:b/>
                <w:i/>
                <w:strike w:val="0"/>
                <w:color w:val="auto"/>
                <w:highlight w:val="none"/>
                <w:u w:val="none" w:color="auto"/>
                <w:vertAlign w:val="baseline"/>
              </w:rPr>
              <w:t>vnější hranice a</w:t>
            </w:r>
            <w:r>
              <w:t xml:space="preserve"> kontrol osob, které se chystají vstoupit do schengenského prostoru, a jejich nasměrování k příslušnému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pododstavec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Toto nařízení stanoví prověřování státních příslušníků třetích zemí, kteří se nacházejí na území členských států a neprošli hraniční kontrolou na vnějších hranicích členských států.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Prověřování se týká osob, které se již nacházejí na daném území.</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Předmětem</w:t>
            </w:r>
            <w:r>
              <w:t xml:space="preserve"> prověřování je zjištění totožnosti všech státních příslušníků třetích zemí, kteří mu podléhají, a ověření </w:t>
            </w:r>
            <w:r>
              <w:rPr>
                <w:b/>
                <w:i/>
                <w:strike w:val="0"/>
                <w:color w:val="auto"/>
                <w:highlight w:val="none"/>
                <w:u w:val="none" w:color="auto"/>
                <w:vertAlign w:val="baseline"/>
              </w:rPr>
              <w:t>v příslušných databázích, že</w:t>
            </w:r>
            <w:r>
              <w:t xml:space="preserve"> osoby podléhající prověřování </w:t>
            </w:r>
            <w:r>
              <w:rPr>
                <w:b/>
                <w:i/>
                <w:strike w:val="0"/>
                <w:color w:val="auto"/>
                <w:highlight w:val="none"/>
                <w:u w:val="none" w:color="auto"/>
                <w:vertAlign w:val="baseline"/>
              </w:rPr>
              <w:t>nepředstavují hrozbu pro vnitřní bezpečnost</w:t>
            </w:r>
            <w:r>
              <w:t xml:space="preserve">. Prověřování zahrnuje </w:t>
            </w:r>
            <w:r>
              <w:rPr>
                <w:b/>
                <w:i/>
                <w:strike w:val="0"/>
                <w:color w:val="auto"/>
                <w:highlight w:val="none"/>
                <w:u w:val="none" w:color="auto"/>
                <w:vertAlign w:val="baseline"/>
              </w:rPr>
              <w:t>v příslušných případech také</w:t>
            </w:r>
            <w:r>
              <w:t xml:space="preserve"> zdravotní prohlídky za účelem identifikace zranitelných </w:t>
            </w:r>
            <w:r>
              <w:rPr>
                <w:b/>
                <w:i/>
                <w:strike w:val="0"/>
                <w:color w:val="auto"/>
                <w:highlight w:val="none"/>
                <w:u w:val="none" w:color="auto"/>
                <w:vertAlign w:val="baseline"/>
              </w:rPr>
              <w:t>osob</w:t>
            </w:r>
            <w:r>
              <w:t xml:space="preserve"> a osob, které vyžadují zdravotní péči, nebo které </w:t>
            </w:r>
            <w:r>
              <w:rPr>
                <w:b/>
                <w:i/>
                <w:strike w:val="0"/>
                <w:color w:val="auto"/>
                <w:highlight w:val="none"/>
                <w:u w:val="none" w:color="auto"/>
                <w:vertAlign w:val="baseline"/>
              </w:rPr>
              <w:t>představují</w:t>
            </w:r>
            <w:r>
              <w:t xml:space="preserve"> hrozbu pro veřejné zdraví. </w:t>
            </w:r>
            <w:r>
              <w:rPr>
                <w:b/>
                <w:i/>
                <w:strike w:val="0"/>
                <w:color w:val="auto"/>
                <w:highlight w:val="none"/>
                <w:u w:val="none" w:color="auto"/>
                <w:vertAlign w:val="baseline"/>
              </w:rPr>
              <w:t>Tyto kontroly napomohou k nasměrování těchto osob k příslušným řízením.</w:t>
            </w:r>
          </w:p>
        </w:tc>
        <w:tc>
          <w:tcPr>
            <w:tcW w:w="4876" w:type="dxa"/>
            <w:vAlign w:val="top"/>
          </w:tcPr>
          <w:p>
            <w:pPr>
              <w:pStyle w:val="Normal6a"/>
            </w:pPr>
            <w:r>
              <w:rPr>
                <w:b/>
                <w:i/>
                <w:strike w:val="0"/>
                <w:color w:val="auto"/>
                <w:highlight w:val="none"/>
                <w:u w:val="none" w:color="auto"/>
                <w:vertAlign w:val="baseline"/>
              </w:rPr>
              <w:t>Účelem</w:t>
            </w:r>
            <w:r>
              <w:t xml:space="preserve"> prověřování je zjištění totožnosti všech státních příslušníků třetích zemí, kteří mu podléhají, a ověření </w:t>
            </w:r>
            <w:r>
              <w:rPr>
                <w:b/>
                <w:i/>
                <w:strike w:val="0"/>
                <w:color w:val="auto"/>
                <w:highlight w:val="none"/>
                <w:u w:val="none" w:color="auto"/>
                <w:vertAlign w:val="baseline"/>
              </w:rPr>
              <w:t>toho, zda jsou</w:t>
            </w:r>
            <w:r>
              <w:t xml:space="preserve"> osoby podléhající prověřování </w:t>
            </w:r>
            <w:r>
              <w:rPr>
                <w:b/>
                <w:i/>
                <w:strike w:val="0"/>
                <w:color w:val="auto"/>
                <w:highlight w:val="none"/>
                <w:u w:val="none" w:color="auto"/>
                <w:vertAlign w:val="baseline"/>
              </w:rPr>
              <w:t>registrovány v některé z příslušných databází</w:t>
            </w:r>
            <w:r>
              <w:t xml:space="preserve">. Prověřování zahrnuje </w:t>
            </w:r>
            <w:r>
              <w:rPr>
                <w:b/>
                <w:i/>
                <w:strike w:val="0"/>
                <w:color w:val="auto"/>
                <w:highlight w:val="none"/>
                <w:u w:val="none" w:color="auto"/>
                <w:vertAlign w:val="baseline"/>
              </w:rPr>
              <w:t>také povinné</w:t>
            </w:r>
            <w:r>
              <w:t xml:space="preserve"> zdravotní prohlídky </w:t>
            </w:r>
            <w:r>
              <w:rPr>
                <w:b/>
                <w:i/>
                <w:strike w:val="0"/>
                <w:color w:val="auto"/>
                <w:highlight w:val="none"/>
                <w:u w:val="none" w:color="auto"/>
                <w:vertAlign w:val="baseline"/>
              </w:rPr>
              <w:t>a kontroly zranitelnosti</w:t>
            </w:r>
            <w:r>
              <w:t xml:space="preserve"> za účelem </w:t>
            </w:r>
            <w:r>
              <w:rPr>
                <w:b/>
                <w:i/>
                <w:strike w:val="0"/>
                <w:color w:val="auto"/>
                <w:highlight w:val="none"/>
                <w:u w:val="none" w:color="auto"/>
                <w:vertAlign w:val="baseline"/>
              </w:rPr>
              <w:t>zahájení procesu</w:t>
            </w:r>
            <w:r>
              <w:t xml:space="preserve"> identifikace zranitelných </w:t>
            </w:r>
            <w:r>
              <w:rPr>
                <w:b/>
                <w:i/>
                <w:strike w:val="0"/>
                <w:color w:val="auto"/>
                <w:highlight w:val="none"/>
                <w:u w:val="none" w:color="auto"/>
                <w:vertAlign w:val="baseline"/>
              </w:rPr>
              <w:t>osob, osob se zvláštními potřebami při přijetí nebo zvláštními procesními potřebami</w:t>
            </w:r>
            <w:r>
              <w:t xml:space="preserve"> a osob, které vyžadují zdravotní péči, nebo které </w:t>
            </w:r>
            <w:r>
              <w:rPr>
                <w:b/>
                <w:i/>
                <w:strike w:val="0"/>
                <w:color w:val="auto"/>
                <w:highlight w:val="none"/>
                <w:u w:val="none" w:color="auto"/>
                <w:vertAlign w:val="baseline"/>
              </w:rPr>
              <w:t>by mohly představovat</w:t>
            </w:r>
            <w:r>
              <w:t xml:space="preserve"> hrozbu pro veřejné zdraví.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Předmětem</w:t>
            </w:r>
            <w:r>
              <w:t xml:space="preserve"> prověřování je zjištění totožnosti všech státních příslušníků třetích zemí, kteří mu podléhají, a ověření </w:t>
            </w:r>
            <w:r>
              <w:rPr>
                <w:b/>
                <w:i/>
                <w:strike w:val="0"/>
                <w:color w:val="auto"/>
                <w:highlight w:val="none"/>
                <w:u w:val="none" w:color="auto"/>
                <w:vertAlign w:val="baseline"/>
              </w:rPr>
              <w:t>v příslušných databázích, že</w:t>
            </w:r>
            <w:r>
              <w:t xml:space="preserve"> osoby podléhající prověřování </w:t>
            </w:r>
            <w:r>
              <w:rPr>
                <w:b/>
                <w:i/>
                <w:strike w:val="0"/>
                <w:color w:val="auto"/>
                <w:highlight w:val="none"/>
                <w:u w:val="none" w:color="auto"/>
                <w:vertAlign w:val="baseline"/>
              </w:rPr>
              <w:t>nepředstavují</w:t>
            </w:r>
            <w:r>
              <w:t xml:space="preserve"> hrozbu pro vnitřní bezpečnost. Prověřování zahrnuje </w:t>
            </w:r>
            <w:r>
              <w:rPr>
                <w:b/>
                <w:i/>
                <w:strike w:val="0"/>
                <w:color w:val="auto"/>
                <w:highlight w:val="none"/>
                <w:u w:val="none" w:color="auto"/>
                <w:vertAlign w:val="baseline"/>
              </w:rPr>
              <w:t>v příslušných případech také</w:t>
            </w:r>
            <w:r>
              <w:t xml:space="preserve"> zdravotní prohlídky za účelem identifikace </w:t>
            </w:r>
            <w:r>
              <w:rPr>
                <w:b/>
                <w:i/>
                <w:strike w:val="0"/>
                <w:color w:val="auto"/>
                <w:highlight w:val="none"/>
                <w:u w:val="none" w:color="auto"/>
                <w:vertAlign w:val="baseline"/>
              </w:rPr>
              <w:t>zranitelných osob</w:t>
            </w:r>
            <w:r>
              <w:t xml:space="preserve"> a osob, které vyžadují zdravotní péči, nebo které představují hrozbu pro veřejné zdraví. </w:t>
            </w:r>
            <w:r>
              <w:rPr>
                <w:b/>
                <w:i/>
                <w:strike w:val="0"/>
                <w:color w:val="auto"/>
                <w:highlight w:val="none"/>
                <w:u w:val="none" w:color="auto"/>
                <w:vertAlign w:val="baseline"/>
              </w:rPr>
              <w:t>Tyto kontroly napomohou k nasměrování těchto osob k příslušným řízením.</w:t>
            </w:r>
          </w:p>
        </w:tc>
        <w:tc>
          <w:tcPr>
            <w:tcW w:w="4876" w:type="dxa"/>
            <w:vAlign w:val="top"/>
          </w:tcPr>
          <w:p>
            <w:pPr>
              <w:pStyle w:val="Normal6a"/>
            </w:pPr>
            <w:r>
              <w:rPr>
                <w:b/>
                <w:i/>
                <w:strike w:val="0"/>
                <w:color w:val="auto"/>
                <w:highlight w:val="none"/>
                <w:u w:val="none" w:color="auto"/>
                <w:vertAlign w:val="baseline"/>
              </w:rPr>
              <w:t>Účelem</w:t>
            </w:r>
            <w:r>
              <w:t xml:space="preserve"> prověřování je zjištění totožnosti všech státních příslušníků třetích zemí, kteří mu podléhají, a ověření </w:t>
            </w:r>
            <w:r>
              <w:rPr>
                <w:b/>
                <w:i/>
                <w:strike w:val="0"/>
                <w:color w:val="auto"/>
                <w:highlight w:val="none"/>
                <w:u w:val="none" w:color="auto"/>
                <w:vertAlign w:val="baseline"/>
              </w:rPr>
              <w:t>toho, zda</w:t>
            </w:r>
            <w:r>
              <w:t xml:space="preserve"> osoby podléhající prověřování </w:t>
            </w:r>
            <w:r>
              <w:rPr>
                <w:b/>
                <w:i/>
                <w:strike w:val="0"/>
                <w:color w:val="auto"/>
                <w:highlight w:val="none"/>
                <w:u w:val="none" w:color="auto"/>
                <w:vertAlign w:val="baseline"/>
              </w:rPr>
              <w:t>představují</w:t>
            </w:r>
            <w:r>
              <w:t xml:space="preserve"> hrozbu pro vnitřní bezpečnost. Prověřování zahrnuje </w:t>
            </w:r>
            <w:r>
              <w:rPr>
                <w:b/>
                <w:i/>
                <w:strike w:val="0"/>
                <w:color w:val="auto"/>
                <w:highlight w:val="none"/>
                <w:u w:val="none" w:color="auto"/>
                <w:vertAlign w:val="baseline"/>
              </w:rPr>
              <w:t>také povinné</w:t>
            </w:r>
            <w:r>
              <w:t xml:space="preserve"> zdravotní prohlídky za účelem identifikace </w:t>
            </w:r>
            <w:r>
              <w:rPr>
                <w:b/>
                <w:i/>
                <w:strike w:val="0"/>
                <w:color w:val="auto"/>
                <w:highlight w:val="none"/>
                <w:u w:val="none" w:color="auto"/>
                <w:vertAlign w:val="baseline"/>
              </w:rPr>
              <w:t>osob ve zranitelné situaci, osob se zvláštními potřebami při přijetí nebo se zvláštními procesními potřebami</w:t>
            </w:r>
            <w:r>
              <w:t xml:space="preserve"> a osob, které vyžadují zdravotní péči, nebo které představují hrozbu pro veřejné zdraví.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Předmětem</w:t>
            </w:r>
            <w:r>
              <w:t xml:space="preserve"> prověřování je zjištění totožnosti všech státních příslušníků třetích zemí, kteří mu podléhají, a ověření v příslušných databázích, že </w:t>
            </w:r>
            <w:r>
              <w:rPr>
                <w:b/>
                <w:i/>
                <w:strike w:val="0"/>
                <w:color w:val="auto"/>
                <w:highlight w:val="none"/>
                <w:u w:val="none" w:color="auto"/>
                <w:vertAlign w:val="baseline"/>
              </w:rPr>
              <w:t>osoby podléhající prověřování</w:t>
            </w:r>
            <w:r>
              <w:t xml:space="preserve"> nepředstavují </w:t>
            </w:r>
            <w:r>
              <w:rPr>
                <w:b/>
                <w:i/>
                <w:strike w:val="0"/>
                <w:color w:val="auto"/>
                <w:highlight w:val="none"/>
                <w:u w:val="none" w:color="auto"/>
                <w:vertAlign w:val="baseline"/>
              </w:rPr>
              <w:t>hrozbu pro vnitřní bezpečnost</w:t>
            </w:r>
            <w:r>
              <w:t xml:space="preserve">. Prověřování zahrnuje v příslušných případech také zdravotní prohlídky za účelem identifikace </w:t>
            </w:r>
            <w:r>
              <w:rPr>
                <w:b/>
                <w:i/>
                <w:strike w:val="0"/>
                <w:color w:val="auto"/>
                <w:highlight w:val="none"/>
                <w:u w:val="none" w:color="auto"/>
                <w:vertAlign w:val="baseline"/>
              </w:rPr>
              <w:t>zranitelných osob a</w:t>
            </w:r>
            <w:r>
              <w:t xml:space="preserve"> osob, které vyžadují zdravotní péči</w:t>
            </w:r>
            <w:r>
              <w:rPr>
                <w:b/>
                <w:i/>
                <w:strike w:val="0"/>
                <w:color w:val="auto"/>
                <w:highlight w:val="none"/>
                <w:u w:val="none" w:color="auto"/>
                <w:vertAlign w:val="baseline"/>
              </w:rPr>
              <w:t>, nebo</w:t>
            </w:r>
            <w:r>
              <w:t xml:space="preserve"> které představují hrozbu pro veřejné zdraví. Tyto kontroly napomohou k nasměrování těchto osob k příslušným řízením.</w:t>
            </w:r>
          </w:p>
        </w:tc>
        <w:tc>
          <w:tcPr>
            <w:tcW w:w="4876" w:type="dxa"/>
            <w:vAlign w:val="top"/>
          </w:tcPr>
          <w:p>
            <w:pPr>
              <w:pStyle w:val="Normal6a"/>
            </w:pPr>
            <w:r>
              <w:rPr>
                <w:b/>
                <w:i/>
                <w:strike w:val="0"/>
                <w:color w:val="auto"/>
                <w:highlight w:val="none"/>
                <w:u w:val="none" w:color="auto"/>
                <w:vertAlign w:val="baseline"/>
              </w:rPr>
              <w:t>Cílem</w:t>
            </w:r>
            <w:r>
              <w:t xml:space="preserve"> prověřování je zjištění totožnosti všech státních příslušníků třetích zemí, kteří mu podléhají, a ověření v příslušných databázích, že </w:t>
            </w:r>
            <w:r>
              <w:rPr>
                <w:b/>
                <w:i/>
                <w:strike w:val="0"/>
                <w:color w:val="auto"/>
                <w:highlight w:val="none"/>
                <w:u w:val="none" w:color="auto"/>
                <w:vertAlign w:val="baseline"/>
              </w:rPr>
              <w:t>tyto osoby</w:t>
            </w:r>
            <w:r>
              <w:t xml:space="preserve"> nepředstavují </w:t>
            </w:r>
            <w:r>
              <w:rPr>
                <w:b/>
                <w:i/>
                <w:strike w:val="0"/>
                <w:color w:val="auto"/>
                <w:highlight w:val="none"/>
                <w:u w:val="none" w:color="auto"/>
                <w:vertAlign w:val="baseline"/>
              </w:rPr>
              <w:t>bezpečnostní riziko</w:t>
            </w:r>
            <w:r>
              <w:t xml:space="preserve">. Prověřování zahrnuje v příslušných případech také zdravotní prohlídky za účelem identifikace osob, které vyžadují </w:t>
            </w:r>
            <w:r>
              <w:rPr>
                <w:b/>
                <w:i/>
                <w:strike w:val="0"/>
                <w:color w:val="auto"/>
                <w:highlight w:val="none"/>
                <w:u w:val="none" w:color="auto"/>
                <w:vertAlign w:val="baseline"/>
              </w:rPr>
              <w:t>okamžitou</w:t>
            </w:r>
            <w:r>
              <w:t xml:space="preserve"> zdravotní péči </w:t>
            </w:r>
            <w:r>
              <w:rPr>
                <w:b/>
                <w:i/>
                <w:strike w:val="0"/>
                <w:color w:val="auto"/>
                <w:highlight w:val="none"/>
                <w:u w:val="none" w:color="auto"/>
                <w:vertAlign w:val="baseline"/>
              </w:rPr>
              <w:t>a</w:t>
            </w:r>
            <w:r>
              <w:t xml:space="preserve"> které představují hrozbu pro veřejné zdraví</w:t>
            </w:r>
            <w:r>
              <w:rPr>
                <w:b/>
                <w:i/>
                <w:strike w:val="0"/>
                <w:color w:val="auto"/>
                <w:highlight w:val="none"/>
                <w:u w:val="none" w:color="auto"/>
                <w:vertAlign w:val="baseline"/>
              </w:rPr>
              <w:t>, jakož i kontroly zranitelnosti za účelem identifikace zranitelných osob</w:t>
            </w:r>
            <w:r>
              <w:t>. Tyto kontroly napomohou k nasměrování těchto osob k příslušným 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podléhající prověřování nepředstavují hrozbu pro vnitřní bezpečnost. Prověřování </w:t>
            </w:r>
            <w:r>
              <w:rPr>
                <w:b/>
                <w:i/>
                <w:strike w:val="0"/>
                <w:color w:val="auto"/>
                <w:highlight w:val="none"/>
                <w:u w:val="none" w:color="auto"/>
                <w:vertAlign w:val="baseline"/>
              </w:rPr>
              <w:t>zahrnuje v příslušných případech také</w:t>
            </w:r>
            <w:r>
              <w:t xml:space="preserve"> zdravotní prohlídky za účelem identifikace zranitelných osob a osob, které vyžadují zdravotní péči</w:t>
            </w:r>
            <w:r>
              <w:rPr>
                <w:b/>
                <w:i/>
                <w:strike w:val="0"/>
                <w:color w:val="auto"/>
                <w:highlight w:val="none"/>
                <w:u w:val="none" w:color="auto"/>
                <w:vertAlign w:val="baseline"/>
              </w:rPr>
              <w:t>, nebo které představují hrozbu pro veřejné zdraví</w:t>
            </w:r>
            <w:r>
              <w:t>. Tyto kontroly napomohou k nasměrování těchto osob k příslušným řízením.</w:t>
            </w:r>
          </w:p>
        </w:tc>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podléhající prověřování nepředstavují hrozbu pro vnitřní bezpečnost. Prověřování </w:t>
            </w:r>
            <w:r>
              <w:rPr>
                <w:b/>
                <w:i/>
                <w:strike w:val="0"/>
                <w:color w:val="auto"/>
                <w:highlight w:val="none"/>
                <w:u w:val="none" w:color="auto"/>
                <w:vertAlign w:val="baseline"/>
              </w:rPr>
              <w:t>rovněž zahrnuje</w:t>
            </w:r>
            <w:r>
              <w:t xml:space="preserve"> zdravotní prohlídky za účelem identifikace </w:t>
            </w:r>
            <w:r>
              <w:rPr>
                <w:b/>
                <w:i/>
                <w:strike w:val="0"/>
                <w:color w:val="auto"/>
                <w:highlight w:val="none"/>
                <w:u w:val="none" w:color="auto"/>
                <w:vertAlign w:val="baseline"/>
              </w:rPr>
              <w:t>osob, které představují hrozbu pro veřejné zdraví, a v příslušných případech</w:t>
            </w:r>
            <w:r>
              <w:t xml:space="preserve"> zranitelných osob a osob, které vyžadují zdravotní péči. Tyto kontroly napomohou k nasměrování těchto osob k příslušným 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w:t>
            </w:r>
            <w:r>
              <w:rPr>
                <w:b/>
                <w:i/>
                <w:strike w:val="0"/>
                <w:color w:val="auto"/>
                <w:highlight w:val="none"/>
                <w:u w:val="none" w:color="auto"/>
                <w:vertAlign w:val="baseline"/>
              </w:rPr>
              <w:t>podléhající prověřování</w:t>
            </w:r>
            <w:r>
              <w:t xml:space="preserve"> nepředstavují </w:t>
            </w:r>
            <w:r>
              <w:rPr>
                <w:b/>
                <w:i/>
                <w:strike w:val="0"/>
                <w:color w:val="auto"/>
                <w:highlight w:val="none"/>
                <w:u w:val="none" w:color="auto"/>
                <w:vertAlign w:val="baseline"/>
              </w:rPr>
              <w:t>hrozbu pro vnitřní</w:t>
            </w:r>
            <w:r>
              <w:t xml:space="preserve"> bezpečnost. Prověřování zahrnuje v příslušných případech také zdravotní prohlídky za účelem identifikace </w:t>
            </w:r>
            <w:r>
              <w:rPr>
                <w:b/>
                <w:i/>
                <w:strike w:val="0"/>
                <w:color w:val="auto"/>
                <w:highlight w:val="none"/>
                <w:u w:val="none" w:color="auto"/>
                <w:vertAlign w:val="baseline"/>
              </w:rPr>
              <w:t>zranitelných osob a</w:t>
            </w:r>
            <w:r>
              <w:t xml:space="preserve"> osob, které vyžadují zdravotní péči, </w:t>
            </w:r>
            <w:r>
              <w:rPr>
                <w:b/>
                <w:i/>
                <w:strike w:val="0"/>
                <w:color w:val="auto"/>
                <w:highlight w:val="none"/>
                <w:u w:val="none" w:color="auto"/>
                <w:vertAlign w:val="baseline"/>
              </w:rPr>
              <w:t>nebo</w:t>
            </w:r>
            <w:r>
              <w:t xml:space="preserve"> které představují hrozbu pro veřejné zdraví. Tyto kontroly napomohou k nasměrování těchto osob k příslušným řízením.</w:t>
            </w:r>
          </w:p>
        </w:tc>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w:t>
            </w:r>
            <w:r>
              <w:rPr>
                <w:b/>
                <w:i/>
                <w:strike w:val="0"/>
                <w:color w:val="auto"/>
                <w:highlight w:val="none"/>
                <w:u w:val="none" w:color="auto"/>
                <w:vertAlign w:val="baseline"/>
              </w:rPr>
              <w:t>tyto</w:t>
            </w:r>
            <w:r>
              <w:t xml:space="preserve"> osoby nepředstavují </w:t>
            </w:r>
            <w:r>
              <w:rPr>
                <w:b/>
                <w:i/>
                <w:strike w:val="0"/>
                <w:color w:val="auto"/>
                <w:highlight w:val="none"/>
                <w:u w:val="none" w:color="auto"/>
                <w:vertAlign w:val="baseline"/>
              </w:rPr>
              <w:t>riziko pro</w:t>
            </w:r>
            <w:r>
              <w:t xml:space="preserve"> bezpečnost. Prověřování zahrnuje v příslušných případech také zdravotní prohlídky za účelem identifikace osob, které vyžadují zdravotní péči, </w:t>
            </w:r>
            <w:r>
              <w:rPr>
                <w:b/>
                <w:i/>
                <w:strike w:val="0"/>
                <w:color w:val="auto"/>
                <w:highlight w:val="none"/>
                <w:u w:val="none" w:color="auto"/>
                <w:vertAlign w:val="baseline"/>
              </w:rPr>
              <w:t>a</w:t>
            </w:r>
            <w:r>
              <w:t xml:space="preserve"> které představují hrozbu pro veřejné zdraví</w:t>
            </w:r>
            <w:r>
              <w:rPr>
                <w:b/>
                <w:i/>
                <w:strike w:val="0"/>
                <w:color w:val="auto"/>
                <w:highlight w:val="none"/>
                <w:u w:val="none" w:color="auto"/>
                <w:vertAlign w:val="baseline"/>
              </w:rPr>
              <w:t>, jakož i prohlídky za účelem určení zranitelných osob</w:t>
            </w:r>
            <w:r>
              <w:t>. Tyto kontroly napomohou k nasměrování těchto osob k příslušným 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podléhající prověřování nepředstavují hrozbu pro vnitřní bezpečnost. Prověřování zahrnuje </w:t>
            </w:r>
            <w:r>
              <w:rPr>
                <w:b/>
                <w:i/>
                <w:strike w:val="0"/>
                <w:color w:val="auto"/>
                <w:highlight w:val="none"/>
                <w:u w:val="none" w:color="auto"/>
                <w:vertAlign w:val="baseline"/>
              </w:rPr>
              <w:t>v příslušných případech</w:t>
            </w:r>
            <w:r>
              <w:t xml:space="preserve"> také zdravotní prohlídky za účelem identifikace zranitelných osob a osob, které vyžadují zdravotní péči, nebo které představují hrozbu pro veřejné zdraví. Tyto kontroly napomohou k nasměrování těchto osob k příslušným řízením.</w:t>
            </w:r>
          </w:p>
        </w:tc>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podléhající prověřování nepředstavují hrozbu pro vnitřní bezpečnost. Prověřování zahrnuje také </w:t>
            </w:r>
            <w:r>
              <w:rPr>
                <w:b/>
                <w:i/>
                <w:strike w:val="0"/>
                <w:color w:val="auto"/>
                <w:highlight w:val="none"/>
                <w:u w:val="none" w:color="auto"/>
                <w:vertAlign w:val="baseline"/>
              </w:rPr>
              <w:t>předběžné</w:t>
            </w:r>
            <w:r>
              <w:t xml:space="preserve"> zdravotní prohlídky za účelem identifikace zranitelných osob</w:t>
            </w:r>
            <w:r>
              <w:rPr>
                <w:b/>
                <w:i/>
                <w:strike w:val="0"/>
                <w:color w:val="auto"/>
                <w:highlight w:val="none"/>
                <w:u w:val="none" w:color="auto"/>
                <w:vertAlign w:val="baseline"/>
              </w:rPr>
              <w:t>, osob se zvláštními potřebami při přijetí nebo se zvláštními procesními potřebami</w:t>
            </w:r>
            <w:r>
              <w:t xml:space="preserve"> a osob, které vyžadují zdravotní péči, nebo které představují hrozbu pro veřejné zdraví. Tyto kontroly napomohou k nasměrování těchto osob k příslušným 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Předmětem prověřování je zjištění totožnosti všech státních příslušníků třetích zemí, kteří mu podléhají, a ověření v příslušných databázích, že osoby podléhající prověřování nepředstavují hrozbu pro vnitřní bezpečnost. Prověřování zahrnuje v příslušných případech také zdravotní prohlídky za účelem identifikace zranitelných osob a osob, které vyžadují zdravotní péči, nebo které představují hrozbu pro veřejné zdraví. Tyto kontroly napomohou k nasměrování těchto osob k příslušným řízením.</w:t>
            </w:r>
          </w:p>
        </w:tc>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podléhající prověřování nepředstavují hrozbu pro vnitřní </w:t>
            </w:r>
            <w:r>
              <w:rPr>
                <w:b/>
                <w:i/>
                <w:strike w:val="0"/>
                <w:color w:val="auto"/>
                <w:highlight w:val="none"/>
                <w:u w:val="none" w:color="auto"/>
                <w:vertAlign w:val="baseline"/>
              </w:rPr>
              <w:t>či národní</w:t>
            </w:r>
            <w:r>
              <w:t xml:space="preserve"> bezpečnost </w:t>
            </w:r>
            <w:r>
              <w:rPr>
                <w:b/>
                <w:i/>
                <w:strike w:val="0"/>
                <w:color w:val="auto"/>
                <w:highlight w:val="none"/>
                <w:u w:val="none" w:color="auto"/>
                <w:vertAlign w:val="baseline"/>
              </w:rPr>
              <w:t>nebo veřejný pořádek</w:t>
            </w:r>
            <w:r>
              <w:t>. Prověřování zahrnuje v příslušných případech také zdravotní prohlídky za účelem identifikace zranitelných osob a osob, které vyžadují zdravotní péči, nebo které představují hrozbu pro veřejné zdraví. Tyto kontroly napomohou k nasměrování těchto osob k příslušným 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Předmětem prověřování je zjištění totožnosti všech státních příslušníků třetích zemí, kteří mu podléhají, a ověření v příslušných databázích, že osoby podléhající prověřování nepředstavují hrozbu pro vnitřní bezpečnost. Prověřování zahrnuje v příslušných případech také zdravotní prohlídky za účelem identifikace zranitelných osob a osob, které vyžadují zdravotní péči, nebo které představují hrozbu pro veřejné zdraví. Tyto kontroly napomohou k nasměrování těchto osob k příslušným řízením.</w:t>
            </w:r>
          </w:p>
        </w:tc>
        <w:tc>
          <w:tcPr>
            <w:tcW w:w="4876" w:type="dxa"/>
            <w:vAlign w:val="top"/>
          </w:tcPr>
          <w:p>
            <w:pPr>
              <w:pStyle w:val="Normal6a"/>
            </w:pPr>
            <w:r>
              <w:t xml:space="preserve">Předmětem prověřování je zjištění totožnosti všech státních příslušníků třetích zemí, kteří mu podléhají, a ověření v příslušných databázích, že osoby podléhající prověřování nepředstavují hrozbu pro vnitřní bezpečnost. Prověřování zahrnuje v příslušných případech také zdravotní </w:t>
            </w:r>
            <w:r>
              <w:rPr>
                <w:b/>
                <w:i/>
                <w:strike w:val="0"/>
                <w:color w:val="auto"/>
                <w:highlight w:val="none"/>
                <w:u w:val="none" w:color="auto"/>
                <w:vertAlign w:val="baseline"/>
              </w:rPr>
              <w:t>a lékařské</w:t>
            </w:r>
            <w:r>
              <w:t xml:space="preserve"> prohlídky za účelem identifikace zranitelných osob a osob, které vyžadují zdravotní péči, nebo které představují hrozbu pro veřejné zdraví. Tyto kontroly napomohou k nasměrování těchto osob k příslušným 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se provádí také na území členských států v případě, že nic nenasvědčuje tomu, že státní příslušníci třetích zemí prošli kontrolou na vnějších hranicích.</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se provádí také na území členských států v případě, že nic nenasvědčuje tomu, že státní příslušníci třetích zemí prošli kontrolou na vnějších hranicích.</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se provádí také na území členských států v případě, že nic nenasvědčuje tomu, že státní příslušníci třetích zemí prošli kontrolou na vnějších hranicích.</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Prověřování </w:t>
            </w:r>
            <w:r>
              <w:rPr>
                <w:b/>
                <w:i/>
                <w:strike w:val="0"/>
                <w:color w:val="auto"/>
                <w:highlight w:val="none"/>
                <w:u w:val="none" w:color="auto"/>
                <w:vertAlign w:val="baseline"/>
              </w:rPr>
              <w:t>se provádí</w:t>
            </w:r>
            <w:r>
              <w:t xml:space="preserve"> také na území členských států </w:t>
            </w:r>
            <w:r>
              <w:rPr>
                <w:b/>
                <w:i/>
                <w:strike w:val="0"/>
                <w:color w:val="auto"/>
                <w:highlight w:val="none"/>
                <w:u w:val="none" w:color="auto"/>
                <w:vertAlign w:val="baseline"/>
              </w:rPr>
              <w:t>v případě, že nic nenasvědčuje tomu</w:t>
            </w:r>
            <w:r>
              <w:t xml:space="preserve">, že státní příslušníci třetích zemí prošli kontrolou </w:t>
            </w:r>
            <w:r>
              <w:rPr>
                <w:b/>
                <w:i/>
                <w:strike w:val="0"/>
                <w:color w:val="auto"/>
                <w:highlight w:val="none"/>
                <w:u w:val="none" w:color="auto"/>
                <w:vertAlign w:val="baseline"/>
              </w:rPr>
              <w:t>na vnějších hranicích</w:t>
            </w:r>
            <w:r>
              <w:t>.</w:t>
            </w:r>
          </w:p>
        </w:tc>
        <w:tc>
          <w:tcPr>
            <w:tcW w:w="4876" w:type="dxa"/>
            <w:vAlign w:val="top"/>
          </w:tcPr>
          <w:p>
            <w:pPr>
              <w:pStyle w:val="Normal6a"/>
            </w:pPr>
            <w:r>
              <w:t xml:space="preserve">Prověřování </w:t>
            </w:r>
            <w:r>
              <w:rPr>
                <w:b/>
                <w:i/>
                <w:strike w:val="0"/>
                <w:color w:val="auto"/>
                <w:highlight w:val="none"/>
                <w:u w:val="none" w:color="auto"/>
                <w:vertAlign w:val="baseline"/>
              </w:rPr>
              <w:t>lze provádět</w:t>
            </w:r>
            <w:r>
              <w:t xml:space="preserve"> také na území členských států</w:t>
            </w:r>
            <w:r>
              <w:rPr>
                <w:b/>
                <w:i/>
                <w:strike w:val="0"/>
                <w:color w:val="auto"/>
                <w:highlight w:val="none"/>
                <w:u w:val="none" w:color="auto"/>
                <w:vertAlign w:val="baseline"/>
              </w:rPr>
              <w:t>, a to i v případě</w:t>
            </w:r>
            <w:r>
              <w:t xml:space="preserve">, že státní příslušníci třetích zemí </w:t>
            </w:r>
            <w:r>
              <w:rPr>
                <w:b/>
                <w:i/>
                <w:strike w:val="0"/>
                <w:color w:val="auto"/>
                <w:highlight w:val="none"/>
                <w:u w:val="none" w:color="auto"/>
                <w:vertAlign w:val="baseline"/>
              </w:rPr>
              <w:t>již</w:t>
            </w:r>
            <w:r>
              <w:t xml:space="preserve"> prošli kontrolou.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pododstavec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Při uplatňování tohoto nařízení jednají členské státy v plném souladu s příslušnými ustanoveními práva Unie včetně Listiny základních práv Evropské unie (dále jen „Listina“), příslušnými normami mezinárodního práva, jako je Úmluva o právním postavení uprchlíků podepsaná v Ženevě dne 28. července 1951 (dále jen „Ženevská konvence“), v plném souladu se závazky ohledně přístupu k mezinárodní ochraně, zejména zásadou nenavracení, a základními právy.</w:t>
            </w:r>
            <w:r>
              <w:t xml:space="preserve"> </w:t>
            </w:r>
            <w:r>
              <w:rPr>
                <w:b/>
                <w:i/>
                <w:strike w:val="0"/>
                <w:color w:val="auto"/>
                <w:highlight w:val="none"/>
                <w:u w:val="none" w:color="auto"/>
                <w:vertAlign w:val="baseline"/>
              </w:rPr>
              <w:t>V souladu s obecnými zásadami práva Unie se rozhodnutí podle tohoto nařízení přijímají na individuálním základě a podléhají účinným opravným prostředkům.</w:t>
            </w:r>
            <w:r>
              <w:t xml:space="preserve"> </w:t>
            </w:r>
            <w:r>
              <w:rPr>
                <w:b/>
                <w:i/>
                <w:strike w:val="0"/>
                <w:color w:val="auto"/>
                <w:highlight w:val="none"/>
                <w:u w:val="none" w:color="auto"/>
                <w:vertAlign w:val="baseline"/>
              </w:rPr>
              <w:t>Při provádění tohoto nařízení musí být prvořadým hlediskem nejlepší zájem dítěte.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pododstavec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Při uplatňování tohoto nařízení jednají členské státy v plném souladu s příslušnými ustanoveními práva Unie včetně Listiny základních práv Evropské unie (dále jen „Listina“), příslušnými normami mezinárodního práva, jako je Úmluva o právním postavení uprchlíků podepsaná v Ženevě dne 28. července 1951 (dále jen „Ženevská konvence“), v plném souladu se závazky ohledně přístupu k mezinárodní ochraně, zejména zásadou nenavracení, a základními právy.</w:t>
            </w:r>
            <w:r>
              <w:t xml:space="preserve"> </w:t>
            </w:r>
            <w:r>
              <w:rPr>
                <w:b/>
                <w:i/>
                <w:strike w:val="0"/>
                <w:color w:val="auto"/>
                <w:highlight w:val="none"/>
                <w:u w:val="none" w:color="auto"/>
                <w:vertAlign w:val="baseline"/>
              </w:rPr>
              <w:t>V souladu s obecnými zásadami práva Unie se rozhodnutí podle tohoto nařízení přijímají na individuálním základě a podléhají účinným opravným prostředkům.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„nedovoleným překročením vnější hranice“ překročení vnější hranice členského státu po zemi, po moři nebo vzduchem v místech mimo hraniční přechody nebo mimo stanovenou provozní dobu, jak je uvedeno v čl. 5 odst. 3 nařízení (EU) 2016/399;</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„nedovoleným překročením vnější hranice“ překročení vnější hranice členského státu po zemi, po moři nebo vzduchem v místech mimo hraniční přechody nebo mimo stanovenou provozní dobu, jak je uvedeno v čl. 5 odst. 3 nařízení (EU) 2016/399;</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„odepření vstupu“ má význam daného termínu a zahrnuje povinnosti vymezené v článku 14 nařízení (EU) 2016/399 a pro účely tohoto nařízení se vztahuje pouze na státní příslušníky třetích zemí, kteří dosud nevstoupili na území členských států a nacházejí se na oficiálním pozemním nebo vzdušném hraničním přechodu;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„biometrickými údaji“ údaje o otiscích prstů pro účely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„biometrickými údaji“ údaje o otiscích prstů pro účely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„zranitelnými osobami“ nezletilé osoby, nezletilé osoby bez doprovodu, zdravotně postižené osoby, starší lidé, těhotné ženy, rodiče samoživitelé s nezletilými dětmi a osoby, které byly mučeny, znásilněny nebo vystaveny jiné závažné formě psychického, fyzického nebo sexuálního násilí, jak se uvádí v čl. 3 odst. 9 směrnice (EU) 2008/115;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„testem pro zjištění kostního věku“:</w:t>
            </w:r>
            <w:r>
              <w:t xml:space="preserve"> </w:t>
            </w:r>
            <w:r>
              <w:rPr>
                <w:b/>
                <w:i/>
                <w:strike w:val="0"/>
                <w:color w:val="auto"/>
                <w:highlight w:val="none"/>
                <w:u w:val="none" w:color="auto"/>
                <w:vertAlign w:val="baseline"/>
              </w:rPr>
              <w:t>provedení lékařského vyšetření zahrnujícího rentgenové snímky kostí a jejich porovnání s atlasem za účelem stanovit – s výhradou použití chybového rozpětí –, zda je určitá osoba nezletilá, či nikoli;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„osobou bez státní příslušnosti“ osoba bez státní příslušnosti podle článku 1 Úmluvy o právním postavení osob bez státní příslušnosti, podepsané v New Yorku dne 28. září 1954;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„osobou bez státní příslušnosti“ osoba ve smyslu článku 1 Úmluvy o právním postavení osob bez státní příslušnosti, podepsané v New Yorku dne 28. září 1954;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„osobou bez státní příslušnosti“ osoba bez státní příslušnosti podle článku 1 Úmluvy o právním postavení osob bez státní příslušnosti, podepsané v New Yorku dne 28. září 1954, v původním znění;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„zástupcem“ osoba nebo organizace, včetně orgánu veřejné moci určeného příslušnými orgány nebo subjekty, s nezbytnými dovednostmi a odbornými znalostmi, včetně těch, které se týkají zacházení s nezletilými osobami a jejich specifických potřeb, která zastupuje příslušným způsobem nezletilou osobu bez doprovodu, pomáhá jí a jedná jejím jménem, aby byly zajištěny její nejlepší zájmy a obecné blaho a aby nezletilá osoba bez doprovodu mohla využívat práv a plnit povinnosti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„nezletilou osobou bez doprovodu“ nezletilá osoba, jež vstupuje na území některého členského státu bez doprovodu dospělé osoby, která je za ni podle práva nebo podle praxe dotčeného členského státu zodpovědná, a to po dobu, po kterou se skutečně nenachází v péči této dospělé osoby;</w:t>
            </w:r>
            <w:r>
              <w:t xml:space="preserve"> </w:t>
            </w:r>
            <w:r>
              <w:rPr>
                <w:b/>
                <w:i/>
                <w:strike w:val="0"/>
                <w:color w:val="auto"/>
                <w:highlight w:val="none"/>
                <w:u w:val="none" w:color="auto"/>
                <w:vertAlign w:val="baseline"/>
              </w:rPr>
              <w:t>zahrnuje nezletilou osobu, která je ponechána bez doprovodu po vstupu na území členského státu ve smyslu směrnice (EU) XXX/XXX [přepracované znění směrnice o podmínkách přijímání];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5c.</w:t>
            </w:r>
            <w:r>
              <w:tab/>
            </w:r>
            <w:r>
              <w:rPr>
                <w:b/>
                <w:i/>
                <w:strike w:val="0"/>
                <w:color w:val="auto"/>
                <w:highlight w:val="none"/>
                <w:u w:val="none" w:color="auto"/>
                <w:vertAlign w:val="baseline"/>
              </w:rPr>
              <w:t>„opatrovníkem“ osoba nebo organizace jmenovaná příslušnými orgány, aby pomáhala nezletilé osobě bez doprovodu a zastupovala ji v řízeních stanovených tímto nařízením, tak aby byl chráněn nejlepší zájem dítěte a jeho blaho a aby mohla v případě potřeby za nezletilou osobu bez doprovodu činit právní úkony ve smyslu čl. 4 odst. 2 písm. f) nařízení (EU) XXX/XXX (nařízení o azylovém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5c.</w:t>
            </w:r>
            <w:r>
              <w:tab/>
            </w:r>
            <w:r>
              <w:rPr>
                <w:b/>
                <w:i/>
                <w:strike w:val="0"/>
                <w:color w:val="auto"/>
                <w:highlight w:val="none"/>
                <w:u w:val="none" w:color="auto"/>
                <w:vertAlign w:val="baseline"/>
              </w:rPr>
              <w:t>„osobou se zvláštními potřebami“ :</w:t>
            </w:r>
            <w:r>
              <w:t xml:space="preserve"> </w:t>
            </w:r>
            <w:r>
              <w:rPr>
                <w:b/>
                <w:i/>
                <w:strike w:val="0"/>
                <w:color w:val="auto"/>
                <w:highlight w:val="none"/>
                <w:u w:val="none" w:color="auto"/>
                <w:vertAlign w:val="baseline"/>
              </w:rPr>
              <w:t>osoba, která potřebuje zvláštní podmínky nebo záruky, aby mohla požívat práv a plnit povinnosti stanovené v tomto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d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5d.</w:t>
            </w:r>
            <w:r>
              <w:tab/>
            </w:r>
            <w:r>
              <w:rPr>
                <w:b/>
                <w:i/>
                <w:strike w:val="0"/>
                <w:color w:val="auto"/>
                <w:highlight w:val="none"/>
                <w:u w:val="none" w:color="auto"/>
                <w:vertAlign w:val="baseline"/>
              </w:rPr>
              <w:t>„dítětem“ každá lidská bytost mladší osmnácti let, jak je definována v Úmluvě o právech dítěte, která byla přijata a otevřena k podpisu, ratifikaci a přistoupení rezolucí Valného shromáždění 44/25 ze dne 20. listopadu 1989 a vstoupila v platnost dne 2. září 1990;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e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5e.</w:t>
            </w:r>
            <w:r>
              <w:tab/>
            </w:r>
            <w:r>
              <w:rPr>
                <w:b/>
                <w:i/>
                <w:strike w:val="0"/>
                <w:color w:val="auto"/>
                <w:highlight w:val="none"/>
                <w:u w:val="none" w:color="auto"/>
                <w:vertAlign w:val="baseline"/>
              </w:rPr>
              <w:t>„osobami ve zranitelné situaci“ osoby, které mají zhoršenou schopnost bránit se násilí, vykořisťování, zneužívání nebo porušování práv, vyrovnat se s ním nebo se z něj zotavit, neboť na ně působí faktory a okolnosti na úrovni jednotlivců, společenství, domácností a strukturální nebo situační faktory a okolnosti, které zvyšují nebezpečí a pravděpodobnost toho, že budou tomuto násilí, vykořisťování, zneužívání nebo porušování práv vystaveny, nebo protože u nich nejsou přítomny faktory, které před takovým násilím, vykořisťováním, zneužíváním a porušováním práv chrání, jako jsou nezletilé osoby, nezletilé osoby bez doprovodu, zdravotně postižené osoby, starší osoby, těhotné ženy, rodiče samoživitelé s nezletilými dětmi, lesby, gayové, bisexuálové, transgender a intersexuální osoby, příslušníci náboženských menšin, nevěřící a osoby, které byly podrobeny mučení, znásilnění nebo jiným formám hrubého psychického, fyzického nebo sexuálního násilí a násilí na základě pohlaví;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na vnější hranici</w:t>
            </w:r>
          </w:p>
        </w:tc>
        <w:tc>
          <w:tcPr>
            <w:tcW w:w="4876" w:type="dxa"/>
            <w:vAlign w:val="top"/>
          </w:tcPr>
          <w:p>
            <w:pPr>
              <w:pStyle w:val="Normal6a"/>
            </w:pPr>
            <w:r>
              <w:rPr>
                <w:b/>
                <w:i/>
                <w:strike w:val="0"/>
                <w:color w:val="auto"/>
                <w:highlight w:val="none"/>
                <w:u w:val="none" w:color="auto"/>
                <w:vertAlign w:val="baseline"/>
              </w:rPr>
              <w:t>Oblast působnosti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399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na vnější hranici</w:t>
            </w:r>
          </w:p>
        </w:tc>
        <w:tc>
          <w:tcPr>
            <w:tcW w:w="4876" w:type="dxa"/>
            <w:vAlign w:val="top"/>
          </w:tcPr>
          <w:p>
            <w:pPr>
              <w:pStyle w:val="Normal6a"/>
            </w:pPr>
            <w:r>
              <w:rPr>
                <w:b/>
                <w:i/>
                <w:strike w:val="0"/>
                <w:color w:val="auto"/>
                <w:highlight w:val="none"/>
                <w:u w:val="none" w:color="auto"/>
                <w:vertAlign w:val="baseline"/>
              </w:rPr>
              <w:t>Oblast použití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Prověřování </w:t>
            </w:r>
            <w:r>
              <w:rPr>
                <w:b/>
                <w:i/>
                <w:strike w:val="0"/>
                <w:color w:val="auto"/>
                <w:highlight w:val="none"/>
                <w:u w:val="none" w:color="auto"/>
                <w:vertAlign w:val="baseline"/>
              </w:rPr>
              <w:t>na vnější hranici</w:t>
            </w:r>
          </w:p>
        </w:tc>
        <w:tc>
          <w:tcPr>
            <w:tcW w:w="4876" w:type="dxa"/>
            <w:vAlign w:val="top"/>
          </w:tcPr>
          <w:p>
            <w:pPr>
              <w:pStyle w:val="Normal6a"/>
            </w:pPr>
            <w:r>
              <w:t>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Prověřování </w:t>
            </w:r>
            <w:r>
              <w:rPr>
                <w:b/>
                <w:i/>
                <w:strike w:val="0"/>
                <w:color w:val="auto"/>
                <w:highlight w:val="none"/>
                <w:u w:val="none" w:color="auto"/>
                <w:vertAlign w:val="baseline"/>
              </w:rPr>
              <w:t>na vnější hranici</w:t>
            </w:r>
          </w:p>
        </w:tc>
        <w:tc>
          <w:tcPr>
            <w:tcW w:w="4876" w:type="dxa"/>
            <w:vAlign w:val="top"/>
          </w:tcPr>
          <w:p>
            <w:pPr>
              <w:pStyle w:val="Normal6a"/>
            </w:pPr>
            <w:r>
              <w:t>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Toto nařízení se vztahuje na státní příslušníky třetích zemí, kteří:</w:t>
            </w:r>
          </w:p>
        </w:tc>
        <w:tc>
          <w:tcPr>
            <w:tcW w:w="4876" w:type="dxa"/>
            <w:vAlign w:val="top"/>
          </w:tcPr>
          <w:p>
            <w:pPr>
              <w:pStyle w:val="Normal6a"/>
            </w:pPr>
            <w:r>
              <w:t>1.</w:t>
            </w:r>
            <w:r>
              <w:tab/>
            </w:r>
            <w:r>
              <w:t xml:space="preserve">Toto nařízení se vztahuje na </w:t>
            </w:r>
            <w:r>
              <w:rPr>
                <w:b/>
                <w:i/>
                <w:strike w:val="0"/>
                <w:color w:val="auto"/>
                <w:highlight w:val="none"/>
                <w:u w:val="none" w:color="auto"/>
                <w:vertAlign w:val="baseline"/>
              </w:rPr>
              <w:t>všechny</w:t>
            </w:r>
            <w:r>
              <w:t xml:space="preserve"> státní příslušníky třetích zemí </w:t>
            </w:r>
            <w:r>
              <w:rPr>
                <w:b/>
                <w:i/>
                <w:strike w:val="0"/>
                <w:color w:val="auto"/>
                <w:highlight w:val="none"/>
                <w:u w:val="none" w:color="auto"/>
                <w:vertAlign w:val="baseline"/>
              </w:rPr>
              <w:t>bez ohledu na to, zda podali žádost o mezinárodní ochranu</w:t>
            </w:r>
            <w:r>
              <w:t>, kteří: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Toto nařízení se vztahuje na státní příslušníky třetích zemí, kteří:</w:t>
            </w:r>
          </w:p>
        </w:tc>
        <w:tc>
          <w:tcPr>
            <w:tcW w:w="4876" w:type="dxa"/>
            <w:vAlign w:val="top"/>
          </w:tcPr>
          <w:p>
            <w:pPr>
              <w:pStyle w:val="Normal6a"/>
            </w:pPr>
            <w:r>
              <w:t>1.</w:t>
            </w:r>
            <w:r>
              <w:tab/>
            </w:r>
            <w:r>
              <w:t xml:space="preserve">Toto nařízení se vztahuje na </w:t>
            </w:r>
            <w:r>
              <w:rPr>
                <w:b/>
                <w:i/>
                <w:strike w:val="0"/>
                <w:color w:val="auto"/>
                <w:highlight w:val="none"/>
                <w:u w:val="none" w:color="auto"/>
                <w:vertAlign w:val="baseline"/>
              </w:rPr>
              <w:t>všechny</w:t>
            </w:r>
            <w:r>
              <w:t xml:space="preserve"> státní příslušníky třetích zemí </w:t>
            </w:r>
            <w:r>
              <w:rPr>
                <w:b/>
                <w:i/>
                <w:strike w:val="0"/>
                <w:color w:val="auto"/>
                <w:highlight w:val="none"/>
                <w:u w:val="none" w:color="auto"/>
                <w:vertAlign w:val="baseline"/>
              </w:rPr>
              <w:t>bez ohledu na to, zda podali žádost o mezinárodní ochranu</w:t>
            </w:r>
            <w:r>
              <w:t>, kteří: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jsou zadrženi v souvislosti s nedovoleným překročením vnější hranice členského státu po zemi, po moři nebo vzduchem</w:t>
            </w:r>
            <w:r>
              <w:rPr>
                <w:b/>
                <w:i/>
                <w:strike w:val="0"/>
                <w:color w:val="auto"/>
                <w:highlight w:val="none"/>
                <w:u w:val="none" w:color="auto"/>
                <w:vertAlign w:val="baseline"/>
              </w:rPr>
              <w:t>, s výjimkou státních příslušníků třetích zemí, v jejichž případě nemá členský stát povinnost snímat biometrické údaje podle čl. 14 odst. 1 a 3 nařízení (EU) 603/2013 z jiných důvodů, než je jejich věk, nebo</w:t>
            </w:r>
          </w:p>
        </w:tc>
        <w:tc>
          <w:tcPr>
            <w:tcW w:w="4876" w:type="dxa"/>
            <w:vAlign w:val="top"/>
          </w:tcPr>
          <w:p>
            <w:pPr>
              <w:pStyle w:val="Normal6a"/>
            </w:pPr>
            <w:r>
              <w:t>a)</w:t>
            </w:r>
            <w:r>
              <w:tab/>
            </w:r>
            <w:r>
              <w:t>jsou zadrženi v souvislosti s nedovoleným překročením vnější hranice členského státu po zemi, po moři nebo vzduchem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jsou zadrženi v souvislosti s </w:t>
            </w:r>
            <w:r>
              <w:rPr>
                <w:b/>
                <w:i/>
                <w:strike w:val="0"/>
                <w:color w:val="auto"/>
                <w:highlight w:val="none"/>
                <w:u w:val="none" w:color="auto"/>
                <w:vertAlign w:val="baseline"/>
              </w:rPr>
              <w:t>nedovoleným</w:t>
            </w:r>
            <w:r>
              <w:t xml:space="preserve"> překročením </w:t>
            </w:r>
            <w:r>
              <w:rPr>
                <w:b/>
                <w:i/>
                <w:strike w:val="0"/>
                <w:color w:val="auto"/>
                <w:highlight w:val="none"/>
                <w:u w:val="none" w:color="auto"/>
                <w:vertAlign w:val="baseline"/>
              </w:rPr>
              <w:t>vnější hranice</w:t>
            </w:r>
            <w:r>
              <w:t xml:space="preserve"> členského státu po zemi, po moři nebo vzduchem, s výjimkou státních příslušníků třetích zemí, v jejichž případě nemá členský stát povinnost snímat biometrické údaje podle čl. 14 odst. 1 a 3 nařízení (EU) 603/2013 z jiných důvodů, než je jejich věk, nebo</w:t>
            </w:r>
          </w:p>
        </w:tc>
        <w:tc>
          <w:tcPr>
            <w:tcW w:w="4876" w:type="dxa"/>
            <w:vAlign w:val="top"/>
          </w:tcPr>
          <w:p>
            <w:pPr>
              <w:pStyle w:val="Normal6a"/>
            </w:pPr>
            <w:r>
              <w:t>a)</w:t>
            </w:r>
            <w:r>
              <w:tab/>
            </w:r>
            <w:r>
              <w:t xml:space="preserve">jsou zadrženi v souvislosti s </w:t>
            </w:r>
            <w:r>
              <w:rPr>
                <w:b/>
                <w:i/>
                <w:strike w:val="0"/>
                <w:color w:val="auto"/>
                <w:highlight w:val="none"/>
                <w:u w:val="none" w:color="auto"/>
                <w:vertAlign w:val="baseline"/>
              </w:rPr>
              <w:t>nelegálním</w:t>
            </w:r>
            <w:r>
              <w:t xml:space="preserve"> překročením </w:t>
            </w:r>
            <w:r>
              <w:rPr>
                <w:b/>
                <w:i/>
                <w:strike w:val="0"/>
                <w:color w:val="auto"/>
                <w:highlight w:val="none"/>
                <w:u w:val="none" w:color="auto"/>
                <w:vertAlign w:val="baseline"/>
              </w:rPr>
              <w:t>vnějších hranic</w:t>
            </w:r>
            <w:r>
              <w:t xml:space="preserve"> členského státu po zemi, po moři nebo vzduchem, s výjimkou státních příslušníků třetích zemí, v jejichž případě nemá členský stát </w:t>
            </w:r>
            <w:r>
              <w:rPr>
                <w:b/>
                <w:i/>
                <w:strike w:val="0"/>
                <w:color w:val="auto"/>
                <w:highlight w:val="none"/>
                <w:u w:val="none" w:color="auto"/>
                <w:vertAlign w:val="baseline"/>
              </w:rPr>
              <w:t>z jiných než věkových důvodů</w:t>
            </w:r>
            <w:r>
              <w:t xml:space="preserve"> povinnost snímat biometrické údaje podle čl. 14 odst. 1 a 3 nařízení (EU) </w:t>
            </w:r>
            <w:r>
              <w:rPr>
                <w:b/>
                <w:i/>
                <w:strike w:val="0"/>
                <w:color w:val="auto"/>
                <w:highlight w:val="none"/>
                <w:u w:val="none" w:color="auto"/>
                <w:vertAlign w:val="baseline"/>
              </w:rPr>
              <w:t>č.</w:t>
            </w:r>
            <w:r>
              <w:t xml:space="preserve"> 603/2013 z jiných důvodů, než je jejich věk, nebo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jsou zadrženi v souvislosti s </w:t>
            </w:r>
            <w:r>
              <w:rPr>
                <w:b/>
                <w:i/>
                <w:strike w:val="0"/>
                <w:color w:val="auto"/>
                <w:highlight w:val="none"/>
                <w:u w:val="none" w:color="auto"/>
                <w:vertAlign w:val="baseline"/>
              </w:rPr>
              <w:t>nedovoleným</w:t>
            </w:r>
            <w:r>
              <w:t xml:space="preserve"> překročením vnější hranice členského státu po zemi, po moři nebo vzduchem, s výjimkou státních příslušníků třetích zemí, v jejichž případě nemá členský stát povinnost snímat biometrické údaje podle čl. 14 odst. 1 a 3 nařízení (EU) 603/2013 z jiných důvodů, než je jejich věk, nebo</w:t>
            </w:r>
          </w:p>
        </w:tc>
        <w:tc>
          <w:tcPr>
            <w:tcW w:w="4876" w:type="dxa"/>
            <w:vAlign w:val="top"/>
          </w:tcPr>
          <w:p>
            <w:pPr>
              <w:pStyle w:val="Normal6a"/>
            </w:pPr>
            <w:r>
              <w:t>a)</w:t>
            </w:r>
            <w:r>
              <w:tab/>
            </w:r>
            <w:r>
              <w:t xml:space="preserve">jsou zadrženi v souvislosti s </w:t>
            </w:r>
            <w:r>
              <w:rPr>
                <w:b/>
                <w:i/>
                <w:strike w:val="0"/>
                <w:color w:val="auto"/>
                <w:highlight w:val="none"/>
                <w:u w:val="none" w:color="auto"/>
                <w:vertAlign w:val="baseline"/>
              </w:rPr>
              <w:t>nelegálním</w:t>
            </w:r>
            <w:r>
              <w:t xml:space="preserve"> překročením vnější hranice členského státu po zemi, po moři nebo vzduchem, s výjimkou státních příslušníků třetích zemí, v jejichž případě nemá členský stát povinnost snímat biometrické údaje podle čl. 14 odst. 1 a 3 nařízení (EU) 603/2013 z jiných důvodů, než je jejich věk, nebo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jsou po pátrací a záchranné operaci vyloděni na území některého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jsou </w:t>
            </w:r>
            <w:r>
              <w:rPr>
                <w:b/>
                <w:i/>
                <w:strike w:val="0"/>
                <w:color w:val="auto"/>
                <w:highlight w:val="none"/>
                <w:u w:val="none" w:color="auto"/>
                <w:vertAlign w:val="baseline"/>
              </w:rPr>
              <w:t>po pátrací a záchranné operaci</w:t>
            </w:r>
            <w:r>
              <w:t xml:space="preserve"> vyloděni na území některého členského státu.</w:t>
            </w:r>
          </w:p>
        </w:tc>
        <w:tc>
          <w:tcPr>
            <w:tcW w:w="4876" w:type="dxa"/>
            <w:vAlign w:val="top"/>
          </w:tcPr>
          <w:p>
            <w:pPr>
              <w:pStyle w:val="Normal6a"/>
            </w:pPr>
            <w:r>
              <w:t>b)</w:t>
            </w:r>
            <w:r>
              <w:tab/>
            </w:r>
            <w:r>
              <w:t xml:space="preserve">jsou vyloděni na území některého členského státu </w:t>
            </w:r>
            <w:r>
              <w:rPr>
                <w:b/>
                <w:i/>
                <w:strike w:val="0"/>
                <w:color w:val="auto"/>
                <w:highlight w:val="none"/>
                <w:u w:val="none" w:color="auto"/>
                <w:vertAlign w:val="baseline"/>
              </w:rPr>
              <w:t>nevládními organizacemi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jsou</w:t>
            </w:r>
            <w:r>
              <w:t xml:space="preserve"> po pátrací a záchranné operaci vyloděni na území některého členského státu.</w:t>
            </w:r>
          </w:p>
        </w:tc>
        <w:tc>
          <w:tcPr>
            <w:tcW w:w="4876" w:type="dxa"/>
            <w:vAlign w:val="top"/>
          </w:tcPr>
          <w:p>
            <w:pPr>
              <w:pStyle w:val="Normal6a"/>
            </w:pPr>
            <w:r>
              <w:t>b)</w:t>
            </w:r>
            <w:r>
              <w:tab/>
            </w:r>
            <w:r>
              <w:rPr>
                <w:b/>
                <w:i/>
                <w:strike w:val="0"/>
                <w:color w:val="auto"/>
                <w:highlight w:val="none"/>
                <w:u w:val="none" w:color="auto"/>
                <w:vertAlign w:val="baseline"/>
              </w:rPr>
              <w:t>měli by být vráceni do přístavu původu, jsou však</w:t>
            </w:r>
            <w:r>
              <w:t xml:space="preserve"> po pátrací a záchranné operaci vyloděni na území některého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jsou po pátrací a záchranné operaci vyloděni na území některého členského státu.</w:t>
            </w:r>
          </w:p>
        </w:tc>
        <w:tc>
          <w:tcPr>
            <w:tcW w:w="4876" w:type="dxa"/>
            <w:vAlign w:val="top"/>
          </w:tcPr>
          <w:p>
            <w:pPr>
              <w:pStyle w:val="Normal6a"/>
            </w:pPr>
            <w:r>
              <w:t>b)</w:t>
            </w:r>
            <w:r>
              <w:tab/>
            </w:r>
            <w:r>
              <w:t xml:space="preserve">jsou po pátrací a záchranné operaci vyloděni na území některého členského státu </w:t>
            </w:r>
            <w:r>
              <w:rPr>
                <w:b/>
                <w:i/>
                <w:strike w:val="0"/>
                <w:color w:val="auto"/>
                <w:highlight w:val="none"/>
                <w:u w:val="none" w:color="auto"/>
                <w:vertAlign w:val="baseline"/>
              </w:rPr>
              <w:t>a nesplňují podmínky vstupu stanovené v článku 6 nařízení (EU)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jsou po pátrací a záchranné operaci vyloděni na území některého členského státu.</w:t>
            </w:r>
          </w:p>
        </w:tc>
        <w:tc>
          <w:tcPr>
            <w:tcW w:w="4876" w:type="dxa"/>
            <w:vAlign w:val="top"/>
          </w:tcPr>
          <w:p>
            <w:pPr>
              <w:pStyle w:val="Normal6a"/>
            </w:pPr>
            <w:r>
              <w:t>b)</w:t>
            </w:r>
            <w:r>
              <w:tab/>
            </w:r>
            <w:r>
              <w:t xml:space="preserve">jsou po pátrací a záchranné operaci vyloděni na území některého členského státu </w:t>
            </w:r>
            <w:r>
              <w:rPr>
                <w:b/>
                <w:i/>
                <w:strike w:val="0"/>
                <w:color w:val="auto"/>
                <w:highlight w:val="none"/>
                <w:u w:val="none" w:color="auto"/>
                <w:vertAlign w:val="baseline"/>
              </w:rPr>
              <w:t>a nesplňují podmínky vstupu stanovené v článku 6 nařízení (EU)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se na tyto osoby vztahuje bez ohledu na to, zda požádaly o mezinárodní ochranu.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Prověřování se na tyto osoby vztahuje bez ohledu na to, zda požádaly o mezinárodní ochranu.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Prověřování se vztahuje také na všechny státní příslušníky třetích zemí, kteří žádají o mezinárodní ochranu na hraničních přechodech na vnějších hranicích nebo v tranzitních prostorech a kteří nesplňují podmínky vstupu stanovené v článku 6 nařízení (EU) 2016/399.</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Prověřování se vztahuje také na všechny státní příslušníky třetích zemí, kteří žádají o mezinárodní ochranu na hraničních přechodech na vnějších hranicích nebo v tranzitních prostorech a kteří nesplňují podmínky vstupu stanovené v článku 6 nařízení (EU) 2016/399.</w:t>
            </w:r>
          </w:p>
        </w:tc>
        <w:tc>
          <w:tcPr>
            <w:tcW w:w="4876" w:type="dxa"/>
            <w:vAlign w:val="top"/>
          </w:tcPr>
          <w:p>
            <w:pPr>
              <w:pStyle w:val="Normal6a"/>
            </w:pPr>
            <w:r>
              <w:t>2.</w:t>
            </w:r>
            <w:r>
              <w:tab/>
            </w:r>
            <w:r>
              <w:t xml:space="preserve">Prověřování se vztahuje také na všechny státní příslušníky třetích zemí, kteří žádají o mezinárodní ochranu na hraničních přechodech na vnějších hranicích nebo v </w:t>
            </w:r>
            <w:r>
              <w:rPr>
                <w:b/>
                <w:i/>
                <w:strike w:val="0"/>
                <w:color w:val="auto"/>
                <w:highlight w:val="none"/>
                <w:u w:val="none" w:color="auto"/>
                <w:vertAlign w:val="baseline"/>
              </w:rPr>
              <w:t>jakékoli jiné části vnějších hranic či v</w:t>
            </w:r>
            <w:r>
              <w:t xml:space="preserve"> tranzitních prostorech a kteří nesplňují podmínky vstupu stanovené v článku 6 nařízení (EU)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Prověřováním není dotčeno použití čl. 6 odst. 5 nařízení (EU) 2016/399 s výjimkou situace, kdy osoba, které je určeno individuální rozhodnutí vydané členským státem na základě</w:t>
            </w:r>
            <w:r>
              <w:t xml:space="preserve"> čl. 6 odst. 5 </w:t>
            </w:r>
            <w:r>
              <w:rPr>
                <w:b/>
                <w:i/>
                <w:strike w:val="0"/>
                <w:color w:val="auto"/>
                <w:highlight w:val="none"/>
                <w:u w:val="none" w:color="auto"/>
                <w:vertAlign w:val="baseline"/>
              </w:rPr>
              <w:t>písm. c) uvedeného</w:t>
            </w:r>
            <w:r>
              <w:t xml:space="preserve"> nařízení</w:t>
            </w:r>
            <w:r>
              <w:rPr>
                <w:b/>
                <w:i/>
                <w:strike w:val="0"/>
                <w:color w:val="auto"/>
                <w:highlight w:val="none"/>
                <w:u w:val="none" w:color="auto"/>
                <w:vertAlign w:val="baseline"/>
              </w:rPr>
              <w:t>, žádá o mezinárodní ochranu</w:t>
            </w:r>
            <w:r>
              <w:t>.</w:t>
            </w:r>
          </w:p>
        </w:tc>
        <w:tc>
          <w:tcPr>
            <w:tcW w:w="4876" w:type="dxa"/>
            <w:vAlign w:val="top"/>
          </w:tcPr>
          <w:p>
            <w:pPr>
              <w:pStyle w:val="Normal6a"/>
            </w:pPr>
            <w:r>
              <w:t>3.</w:t>
            </w:r>
            <w:r>
              <w:tab/>
            </w:r>
            <w:r>
              <w:rPr>
                <w:b/>
                <w:i/>
                <w:strike w:val="0"/>
                <w:color w:val="auto"/>
                <w:highlight w:val="none"/>
                <w:u w:val="none" w:color="auto"/>
                <w:vertAlign w:val="baseline"/>
              </w:rPr>
              <w:t>Prověřování se vztahuje také na osoby, na něž se vztahuje</w:t>
            </w:r>
            <w:r>
              <w:t xml:space="preserve"> čl. 6 odst. 5 nařízení </w:t>
            </w:r>
            <w:r>
              <w:rPr>
                <w:b/>
                <w:i/>
                <w:strike w:val="0"/>
                <w:color w:val="auto"/>
                <w:highlight w:val="none"/>
                <w:u w:val="none" w:color="auto"/>
                <w:vertAlign w:val="baseline"/>
              </w:rPr>
              <w:t>(EU)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Prověřováním není dotčeno použití čl. 6 odst. 5 nařízení (EU) 2016/399 </w:t>
            </w:r>
            <w:r>
              <w:rPr>
                <w:b/>
                <w:i/>
                <w:strike w:val="0"/>
                <w:color w:val="auto"/>
                <w:highlight w:val="none"/>
                <w:u w:val="none" w:color="auto"/>
                <w:vertAlign w:val="baseline"/>
              </w:rPr>
              <w:t>s výjimkou situace, kdy osoba, které je určeno individuální rozhodnutí vydané členským státem na základě čl. 6 odst. 5 písm. c) uvedeného nařízení, žádá o mezinárodní ochranu</w:t>
            </w:r>
            <w:r>
              <w:t>.</w:t>
            </w:r>
          </w:p>
        </w:tc>
        <w:tc>
          <w:tcPr>
            <w:tcW w:w="4876" w:type="dxa"/>
            <w:vAlign w:val="top"/>
          </w:tcPr>
          <w:p>
            <w:pPr>
              <w:pStyle w:val="Normal6a"/>
            </w:pPr>
            <w:r>
              <w:t>3.</w:t>
            </w:r>
            <w:r>
              <w:tab/>
            </w:r>
            <w:r>
              <w:t>Prověřováním není dotčeno použití čl. 6 odst. 5 nařízení (EU)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Toto nařízení se vztahuje rovněž na státní příslušníky třetích zemí neoprávněně pobývající na jejich území, pokud nic nenasvědčuje tomu, že překročili vnější hranici za účelem vstupu na území členských států oprávněným způsobem a že již byli podrobeni prověřování v některém členském státě.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Během prověřování se ustanovení nařízení (EU) xxxx/202x [nařízení o azylovém řízení] a směrnice 2013/33/EU [směrnice o podmínkách přijímání] použijí na všechny státní příslušníky třetích zemí od okamžiku, kdy vyjádří přání požádat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pododstavec 3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3b.</w:t>
            </w:r>
            <w:r>
              <w:tab/>
            </w:r>
            <w:r>
              <w:rPr>
                <w:b/>
                <w:i/>
                <w:strike w:val="0"/>
                <w:color w:val="auto"/>
                <w:highlight w:val="none"/>
                <w:u w:val="none" w:color="auto"/>
                <w:vertAlign w:val="baseline"/>
              </w:rPr>
              <w:t>Imigrační orgány provedou vyhledávání v systému EES v souladu s čl. 26 odst. 1 nařízení (EU) 2017/2226 (nařízení o EES) s cílem ověřit, zda státní příslušník třetí země překročil vnější hranici přes úřední hraniční přechod.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Nařízení o EES umožňuje přístup imigračním orgánům, aby mohly zkontrolovat, zda státní příslušník třetí země splňuje podmínky pro vstup a pobyt na území členského státu.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4</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Povolení ke vstupu na území členského státu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Během prověřování není osobám uvedeným v čl. 3 odst. 1 a 2 povolen vstup na území členského státu.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Pokud během prověřování vyjde najevo, že dotčený státní příslušník třetí země splňuje podmínky vstupu podle článku 6 nařízení (EU) 2016/399, prověřování se přeruší a dotčenému státnímu příslušníkovi třetí země se povolí vstup na území, aniž je dotčeno uplatňování sankcí podle čl. 5 odst. 3 uvedeného nařízení.</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rPr>
                <w:b/>
                <w:i/>
                <w:strike w:val="0"/>
                <w:color w:val="auto"/>
                <w:highlight w:val="none"/>
                <w:u w:val="none" w:color="auto"/>
                <w:vertAlign w:val="baseline"/>
              </w:rPr>
              <w:t>Během prověřování není osobám uvedeným v čl. 3 odst. 1 a 2 povolen vstup na území členského státu.</w:t>
            </w:r>
          </w:p>
        </w:tc>
        <w:tc>
          <w:tcPr>
            <w:tcW w:w="4876" w:type="dxa"/>
            <w:vAlign w:val="top"/>
          </w:tcPr>
          <w:p>
            <w:pPr>
              <w:pStyle w:val="Normal6a"/>
            </w:pPr>
            <w:r>
              <w:t>4</w:t>
            </w:r>
            <w:r>
              <w:tab/>
            </w:r>
            <w:r>
              <w:rPr>
                <w:b/>
                <w:i/>
                <w:strike w:val="0"/>
                <w:color w:val="auto"/>
                <w:highlight w:val="none"/>
                <w:u w:val="none" w:color="auto"/>
                <w:vertAlign w:val="baseline"/>
              </w:rPr>
              <w:t>Povinnosti prověřovaných státních příslušníků třetích 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nadpis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Povolení ke vstupu na území členského státu</w:t>
            </w:r>
          </w:p>
        </w:tc>
        <w:tc>
          <w:tcPr>
            <w:tcW w:w="4876" w:type="dxa"/>
            <w:vAlign w:val="top"/>
          </w:tcPr>
          <w:p>
            <w:pPr>
              <w:pStyle w:val="Normal6a"/>
            </w:pPr>
            <w:r>
              <w:t xml:space="preserve">Povolení ke vstupu na území členského státu </w:t>
            </w:r>
            <w:r>
              <w:rPr>
                <w:b/>
                <w:i/>
                <w:strike w:val="0"/>
                <w:color w:val="auto"/>
                <w:highlight w:val="none"/>
                <w:u w:val="none" w:color="auto"/>
                <w:vertAlign w:val="baseline"/>
              </w:rPr>
              <w:t>a povolení setrvat na něm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Během prověřování není osobám uvedeným v čl. 3 odst. 1 a 2 povolen vstup na území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Během</w:t>
            </w:r>
            <w:r>
              <w:t xml:space="preserve"> prověřování </w:t>
            </w:r>
            <w:r>
              <w:rPr>
                <w:b/>
                <w:i/>
                <w:strike w:val="0"/>
                <w:color w:val="auto"/>
                <w:highlight w:val="none"/>
                <w:u w:val="none" w:color="auto"/>
                <w:vertAlign w:val="baseline"/>
              </w:rPr>
              <w:t>není osobám uvedeným</w:t>
            </w:r>
            <w:r>
              <w:t xml:space="preserve"> v čl. </w:t>
            </w:r>
            <w:r>
              <w:rPr>
                <w:b/>
                <w:i/>
                <w:strike w:val="0"/>
                <w:color w:val="auto"/>
                <w:highlight w:val="none"/>
                <w:u w:val="none" w:color="auto"/>
                <w:vertAlign w:val="baseline"/>
              </w:rPr>
              <w:t>3 odst. 1 a 2 povolen vstup na území členského státu</w:t>
            </w:r>
            <w:r>
              <w:t>.</w:t>
            </w:r>
          </w:p>
        </w:tc>
        <w:tc>
          <w:tcPr>
            <w:tcW w:w="4876" w:type="dxa"/>
            <w:vAlign w:val="top"/>
          </w:tcPr>
          <w:p>
            <w:pPr>
              <w:pStyle w:val="Normal6a"/>
            </w:pPr>
            <w:r>
              <w:t>1.</w:t>
            </w:r>
            <w:r>
              <w:tab/>
            </w:r>
            <w:r>
              <w:rPr>
                <w:b/>
                <w:i/>
                <w:strike w:val="0"/>
                <w:color w:val="auto"/>
                <w:highlight w:val="none"/>
                <w:u w:val="none" w:color="auto"/>
                <w:vertAlign w:val="baseline"/>
              </w:rPr>
              <w:t>Státní příslušníci třetích zemí, kteří jsou podrobeni</w:t>
            </w:r>
            <w:r>
              <w:t xml:space="preserve"> prověřování</w:t>
            </w:r>
            <w:r>
              <w:rPr>
                <w:b/>
                <w:i/>
                <w:strike w:val="0"/>
                <w:color w:val="auto"/>
                <w:highlight w:val="none"/>
                <w:u w:val="none" w:color="auto"/>
                <w:vertAlign w:val="baseline"/>
              </w:rPr>
              <w:t>, zůstávají po dobu trvání řízení k dispozici prověřovacím orgánům v místech uvedených</w:t>
            </w:r>
            <w:r>
              <w:t xml:space="preserve"> v čl. </w:t>
            </w:r>
            <w:r>
              <w:rPr>
                <w:b/>
                <w:i/>
                <w:strike w:val="0"/>
                <w:color w:val="auto"/>
                <w:highlight w:val="none"/>
                <w:u w:val="none" w:color="auto"/>
                <w:vertAlign w:val="baseline"/>
              </w:rPr>
              <w:t>6 odst. 1.</w:t>
            </w:r>
            <w:r>
              <w:t xml:space="preserve"> </w:t>
            </w:r>
            <w:r>
              <w:rPr>
                <w:b/>
                <w:i/>
                <w:strike w:val="0"/>
                <w:color w:val="auto"/>
                <w:highlight w:val="none"/>
                <w:u w:val="none" w:color="auto"/>
                <w:vertAlign w:val="baseline"/>
              </w:rPr>
              <w:t>Členské státy zavedou do svých příslušných vnitrostátních právních předpisů ustanovení za účelem dokončení nezbytných kontrol</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Během prověřování není osobám uvedeným v </w:t>
            </w:r>
            <w:r>
              <w:rPr>
                <w:b/>
                <w:i/>
                <w:strike w:val="0"/>
                <w:color w:val="auto"/>
                <w:highlight w:val="none"/>
                <w:u w:val="none" w:color="auto"/>
                <w:vertAlign w:val="baseline"/>
              </w:rPr>
              <w:t>čl. 3 odst. 1 a 2</w:t>
            </w:r>
            <w:r>
              <w:t xml:space="preserve"> povolen vstup na území členského státu.</w:t>
            </w:r>
          </w:p>
        </w:tc>
        <w:tc>
          <w:tcPr>
            <w:tcW w:w="4876" w:type="dxa"/>
            <w:vAlign w:val="top"/>
          </w:tcPr>
          <w:p>
            <w:pPr>
              <w:pStyle w:val="Normal6a"/>
            </w:pPr>
            <w:r>
              <w:t>1.</w:t>
            </w:r>
            <w:r>
              <w:tab/>
            </w:r>
            <w:r>
              <w:t xml:space="preserve">Během prověřování není osobám uvedeným v </w:t>
            </w:r>
            <w:r>
              <w:rPr>
                <w:b/>
                <w:i/>
                <w:strike w:val="0"/>
                <w:color w:val="auto"/>
                <w:highlight w:val="none"/>
                <w:u w:val="none" w:color="auto"/>
                <w:vertAlign w:val="baseline"/>
              </w:rPr>
              <w:t>článku 3</w:t>
            </w:r>
            <w:r>
              <w:t xml:space="preserve"> povolen vstup na území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Během prověřování </w:t>
            </w:r>
            <w:r>
              <w:rPr>
                <w:b/>
                <w:i/>
                <w:strike w:val="0"/>
                <w:color w:val="auto"/>
                <w:highlight w:val="none"/>
                <w:u w:val="none" w:color="auto"/>
                <w:vertAlign w:val="baseline"/>
              </w:rPr>
              <w:t>není</w:t>
            </w:r>
            <w:r>
              <w:t xml:space="preserve"> osobám uvedeným v čl. 3 odst. 1 a 2 </w:t>
            </w:r>
            <w:r>
              <w:rPr>
                <w:b/>
                <w:i/>
                <w:strike w:val="0"/>
                <w:color w:val="auto"/>
                <w:highlight w:val="none"/>
                <w:u w:val="none" w:color="auto"/>
                <w:vertAlign w:val="baseline"/>
              </w:rPr>
              <w:t>povolen vstup</w:t>
            </w:r>
            <w:r>
              <w:t xml:space="preserve"> na území členského státu.</w:t>
            </w:r>
          </w:p>
        </w:tc>
        <w:tc>
          <w:tcPr>
            <w:tcW w:w="4876" w:type="dxa"/>
            <w:vAlign w:val="top"/>
          </w:tcPr>
          <w:p>
            <w:pPr>
              <w:pStyle w:val="Normal6a"/>
            </w:pPr>
            <w:r>
              <w:t>1.</w:t>
            </w:r>
            <w:r>
              <w:tab/>
            </w:r>
            <w:r>
              <w:t xml:space="preserve">Během prověřování </w:t>
            </w:r>
            <w:r>
              <w:rPr>
                <w:b/>
                <w:i/>
                <w:strike w:val="0"/>
                <w:color w:val="auto"/>
                <w:highlight w:val="none"/>
                <w:u w:val="none" w:color="auto"/>
                <w:vertAlign w:val="baseline"/>
              </w:rPr>
              <w:t>je</w:t>
            </w:r>
            <w:r>
              <w:t xml:space="preserve"> osobám uvedeným v čl. 3 odst. 1 a 2 </w:t>
            </w:r>
            <w:r>
              <w:rPr>
                <w:b/>
                <w:i/>
                <w:strike w:val="0"/>
                <w:color w:val="auto"/>
                <w:highlight w:val="none"/>
                <w:u w:val="none" w:color="auto"/>
                <w:vertAlign w:val="baseline"/>
              </w:rPr>
              <w:t>poskytnuto odpovídající ubytování a přístup k příslušným službám a je jim povoleno setrvat</w:t>
            </w:r>
            <w:r>
              <w:t xml:space="preserve"> na území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Během prověřování není osobám uvedeným v čl. 3 odst. 1 a 2 povolen vstup na území členského státu.</w:t>
            </w:r>
          </w:p>
        </w:tc>
        <w:tc>
          <w:tcPr>
            <w:tcW w:w="4876" w:type="dxa"/>
            <w:vAlign w:val="top"/>
          </w:tcPr>
          <w:p>
            <w:pPr>
              <w:pStyle w:val="Normal6a"/>
            </w:pPr>
            <w:r>
              <w:t>1.</w:t>
            </w:r>
            <w:r>
              <w:tab/>
            </w:r>
            <w:r>
              <w:t xml:space="preserve">Během prověřování není osobám uvedeným v čl. 3 odst. 1 a 2 </w:t>
            </w:r>
            <w:r>
              <w:rPr>
                <w:b/>
                <w:i/>
                <w:strike w:val="0"/>
                <w:color w:val="auto"/>
                <w:highlight w:val="none"/>
                <w:u w:val="none" w:color="auto"/>
                <w:vertAlign w:val="baseline"/>
              </w:rPr>
              <w:t>za žádných okolností</w:t>
            </w:r>
            <w:r>
              <w:t xml:space="preserve"> povolen vstup na území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Během prověřování není osobám uvedeným v čl. 3 odst. 1 a 2 povolen vstup na území členského státu.</w:t>
            </w:r>
          </w:p>
        </w:tc>
        <w:tc>
          <w:tcPr>
            <w:tcW w:w="4876" w:type="dxa"/>
            <w:vAlign w:val="top"/>
          </w:tcPr>
          <w:p>
            <w:pPr>
              <w:pStyle w:val="Normal6a"/>
            </w:pPr>
            <w:r>
              <w:t>1.</w:t>
            </w:r>
            <w:r>
              <w:tab/>
            </w:r>
            <w:r>
              <w:t xml:space="preserve">Během prověřování není osobám uvedeným v čl. 3 odst. 1 a 2 povolen vstup na území členského státu. </w:t>
            </w:r>
            <w:r>
              <w:rPr>
                <w:b/>
                <w:i/>
                <w:strike w:val="0"/>
                <w:color w:val="auto"/>
                <w:highlight w:val="none"/>
                <w:u w:val="none" w:color="auto"/>
                <w:vertAlign w:val="baseline"/>
              </w:rPr>
              <w:t>Těmto osobám by však mělo být vždy přiznáno právo setrvat během prověřovacího řízení na území členského státu a mělo by s nimi být zacházeno v souladu s uznávanými základními lidskými normami podle článku 31 Ženevské úmluvy (1951).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Během prověřování není osobám uvedeným v čl. 3 odst. 1 a 2 povolen vstup na území členského státu.</w:t>
            </w:r>
          </w:p>
        </w:tc>
        <w:tc>
          <w:tcPr>
            <w:tcW w:w="4876" w:type="dxa"/>
            <w:vAlign w:val="top"/>
          </w:tcPr>
          <w:p>
            <w:pPr>
              <w:pStyle w:val="Normal6a"/>
            </w:pPr>
            <w:r>
              <w:t>1.</w:t>
            </w:r>
            <w:r>
              <w:tab/>
            </w:r>
            <w:r>
              <w:t xml:space="preserve">Během prověřování není osobám uvedeným v čl. 3 odst. 1 a 2 povolen vstup na území členského státu. </w:t>
            </w:r>
            <w:r>
              <w:rPr>
                <w:b/>
                <w:i/>
                <w:strike w:val="0"/>
                <w:color w:val="auto"/>
                <w:highlight w:val="none"/>
                <w:u w:val="none" w:color="auto"/>
                <w:vertAlign w:val="baseline"/>
              </w:rPr>
              <w:t>To by se mělo obdobně vztahovat na osoby uvedené v článku 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Osoby uvedené v článku 3 musí sice zůstat k dispozici orgánům provádějícím prověřování, nesmějí však být zadržovány pouze z důvodu podstoupení prověřování.</w:t>
            </w:r>
            <w:r>
              <w:t xml:space="preserve"> </w:t>
            </w:r>
            <w:r>
              <w:rPr>
                <w:b/>
                <w:i/>
                <w:strike w:val="0"/>
                <w:color w:val="auto"/>
                <w:highlight w:val="none"/>
                <w:u w:val="none" w:color="auto"/>
                <w:vertAlign w:val="baseline"/>
              </w:rPr>
              <w:t>Členské státy by měly nejprve zvážit opatření k omezení volného pohybu těchto osob, jak je stanoveno v článku 7 směrnice XXX/XXX/EU [přepracované znění směrnice o podmínkách přijímání], nebo by měly využít jiné alternativy k zajištění.</w:t>
            </w:r>
            <w:r>
              <w:t xml:space="preserve"> </w:t>
            </w:r>
            <w:r>
              <w:rPr>
                <w:b/>
                <w:i/>
                <w:strike w:val="0"/>
                <w:color w:val="auto"/>
                <w:highlight w:val="none"/>
                <w:u w:val="none" w:color="auto"/>
                <w:vertAlign w:val="baseline"/>
              </w:rPr>
              <w:t>Tyto alternativy by měly být k dispozici jak právně, tak i fakticky na vnitrostátní úrovni a mohly by být uplatněny zejména u žadatelů se zvláštními potřebami při přijetí, zejména u rodin s dětmi nebo jiných zranitelných osob.</w:t>
            </w:r>
            <w:r>
              <w:br/>
            </w:r>
            <w:r>
              <w:br/>
            </w:r>
            <w:r>
              <w:rPr>
                <w:b/>
                <w:i/>
                <w:strike w:val="0"/>
                <w:color w:val="auto"/>
                <w:highlight w:val="none"/>
                <w:u w:val="none" w:color="auto"/>
                <w:vertAlign w:val="baseline"/>
              </w:rPr>
              <w:t>Členský stát může rozhodnout o zajištění žadatele pouze do doby, než případ žadatele jednotlivě posoudí a účinně zváží alternativy k zajištění nebo mírnější donucovací opatření, a to pouze z důvodů, které jsou v souladu se směrnicí (EU) XXX/XXX [přepracované znění směrnice o podmínkách přijímání].</w:t>
            </w:r>
            <w:r>
              <w:t xml:space="preserve"> </w:t>
            </w:r>
            <w:r>
              <w:rPr>
                <w:b/>
                <w:i/>
                <w:strike w:val="0"/>
                <w:color w:val="auto"/>
                <w:highlight w:val="none"/>
                <w:u w:val="none" w:color="auto"/>
                <w:vertAlign w:val="baseline"/>
              </w:rPr>
              <w:t>Toto rozhodnutí by mělo podléhat soudnímu přezkumu.</w:t>
            </w:r>
            <w:r>
              <w:t xml:space="preserve"> </w:t>
            </w:r>
            <w:r>
              <w:rPr>
                <w:b/>
                <w:i/>
                <w:strike w:val="0"/>
                <w:color w:val="auto"/>
                <w:highlight w:val="none"/>
                <w:u w:val="none" w:color="auto"/>
                <w:vertAlign w:val="baseline"/>
              </w:rPr>
              <w:t>Příslušné orgány by měly zvážit alternativy k zajištění, zejména pro nezletilé osoby a žadatele se zvláštní zranitelností.</w:t>
            </w:r>
            <w:r>
              <w:t xml:space="preserve"> </w:t>
            </w:r>
            <w:r>
              <w:rPr>
                <w:b/>
                <w:i/>
                <w:strike w:val="0"/>
                <w:color w:val="auto"/>
                <w:highlight w:val="none"/>
                <w:u w:val="none" w:color="auto"/>
                <w:vertAlign w:val="baseline"/>
              </w:rPr>
              <w:t>Nezletilé osoby by měly být, než se vyřeší jejich imigrační status, pokud možno ubytovány v komunitních zařízeních, v nichž nedochází k fyzickému zajištění.</w:t>
            </w:r>
            <w:r>
              <w:t xml:space="preserve"> </w:t>
            </w:r>
            <w:r>
              <w:rPr>
                <w:b/>
                <w:i/>
                <w:strike w:val="0"/>
                <w:color w:val="auto"/>
                <w:highlight w:val="none"/>
                <w:u w:val="none" w:color="auto"/>
                <w:vertAlign w:val="baseline"/>
              </w:rPr>
              <w:t>Nezletilé osoby bez doprovodu a děti s rodinami nesmí být nikdy zadržovány a musí být umístěny do vhodného alternativního pečovatelského zařízení v rámci vnitrostátního systému ochrany dětí v souladu s jejich nejlepšími zájmy a s přihlédnutím k jejich názorům.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Prověřovaní státní příslušníci třetích zemí zůstávají po celou dobu k dispozici prověřovacím orgánům v místech uvedených v čl. 6 odst.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stanoví za tímto účelem ve svých vnitrostátních právních předpisech ustanovení s cílem dokončit nezbytné kontroly.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Ustanovení směrnice (EU) xxxx/xxxx [směrnice o podmínkách přijímání] se vztahují na osoby, které žádají o mezinárodní ochranu v souladu s článkem 16 uvedené směrnice, a to od okamžiku podání žádosti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Osoby uvedené v odstavci 1 mohou být zadržovány za účelem zabránění vstupu na území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Pokud během prověřování vyjde najevo, že dotčený státní příslušník třetí země splňuje podmínky vstupu podle článku 6 nařízení (EU) 2016/399, prověřování se přeruší a dotčenému státnímu příslušníkovi třetí země se povolí vstup na území, aniž je dotčeno uplatňování sankcí podle čl. 5 odst. 3 uvedeného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Pokud během prověřování vyjde najevo, že dotčený státní příslušník třetí země splňuje podmínky vstupu podle článku 6 nařízení (EU) 2016/399, prověřování se přeruší </w:t>
            </w:r>
            <w:r>
              <w:rPr>
                <w:b/>
                <w:i/>
                <w:strike w:val="0"/>
                <w:color w:val="auto"/>
                <w:highlight w:val="none"/>
                <w:u w:val="none" w:color="auto"/>
                <w:vertAlign w:val="baseline"/>
              </w:rPr>
              <w:t>a dotčenému státnímu příslušníkovi třetí země se povolí vstup na území, aniž je dotčeno uplatňování sankcí podle čl. 5 odst. 3 uvedeného nařízení</w:t>
            </w:r>
            <w:r>
              <w:t>.</w:t>
            </w:r>
          </w:p>
        </w:tc>
        <w:tc>
          <w:tcPr>
            <w:tcW w:w="4876" w:type="dxa"/>
            <w:vAlign w:val="top"/>
          </w:tcPr>
          <w:p>
            <w:pPr>
              <w:pStyle w:val="Normal6a"/>
            </w:pPr>
            <w:r>
              <w:t>2.</w:t>
            </w:r>
            <w:r>
              <w:tab/>
            </w:r>
            <w:r>
              <w:t>Pokud během prověřování vyjde najevo, že dotčený státní příslušník třetí země splňuje podmínky vstupu podle článku 6 nařízení (EU) 2016/399, prověřování se přeruší.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pododstavec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Prověřování může být přerušeno, pokud státní příslušník třetí země opustí území členských států a rozhodne se dobrovolně vrátit do země původu, bydliště nebo jiné třetí země, v níž je přijat.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pododstavec 2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Státní příslušníci třetích zemí spolupracují s prověřovacími orgány na všech prvcích prověřování podle čl. 6 odst. 6, zejména tím, že poskytnou: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jméno, datum narození, pohlaví a státní příslušnost, jakož i doklady a informace, které mohou tyto údaje prokázat;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otisky prstů a zobrazení obličeje podle nařízení (EU) XXX/XXX (nařízení o EURODACU);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5</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5 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5</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5 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5</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5 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Vloženo do článku 3.</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Členské státy uplatní prověřování na státní příslušníky třetích zemí, kteří se nacházejí na jejich území a u kterých nic nenasvědčuje tomu, že překročili vnější hranici a vstoupili na území členských států dovoleným způsobem.</w:t>
            </w:r>
          </w:p>
        </w:tc>
        <w:tc>
          <w:tcPr>
            <w:tcW w:w="4876" w:type="dxa"/>
            <w:vAlign w:val="top"/>
          </w:tcPr>
          <w:p>
            <w:pPr>
              <w:pStyle w:val="Normal6a"/>
            </w:pPr>
            <w:r>
              <w:t xml:space="preserve">Členské státy uplatní prověřování na státní příslušníky třetích zemí, kteří se nacházejí na jejich území a u kterých nic nenasvědčuje tomu, že překročili vnější hranici a vstoupili na území členských států dovoleným způsobem. </w:t>
            </w:r>
            <w:r>
              <w:rPr>
                <w:b/>
                <w:i/>
                <w:strike w:val="0"/>
                <w:color w:val="auto"/>
                <w:highlight w:val="none"/>
                <w:u w:val="none" w:color="auto"/>
                <w:vertAlign w:val="baseline"/>
              </w:rPr>
              <w:t>Má se za to, že tito státní příslušníci třetích zemí nevstoupili na území členského státu, a článek 4 se použije odpovídajícím způsobem.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 – pododstavec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Státní příslušník třetí země musí mít cestovní doklad se vstupním razítkem v souladu s článkem 12 nařízení (EU) 2016/399.</w:t>
            </w:r>
            <w:r>
              <w:t xml:space="preserve"> </w:t>
            </w:r>
            <w:r>
              <w:rPr>
                <w:b/>
                <w:i/>
                <w:strike w:val="0"/>
                <w:color w:val="auto"/>
                <w:highlight w:val="none"/>
                <w:u w:val="none" w:color="auto"/>
                <w:vertAlign w:val="baseline"/>
              </w:rPr>
              <w:t>Chybějící vstupní razítko svědčí o tom, že státní příslušník třetí země vstoupil na území Evropské unie neoprávněným způsobem a vztahuje se na něj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703.276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182</w:t>
    </w:r>
    <w:r>
      <w:fldChar w:fldCharType="end"/>
    </w:r>
    <w:r>
      <w:t>/</w:t>
    </w:r>
    <w:r>
      <w:fldChar w:fldCharType="begin"/>
    </w:r>
    <w:r>
      <w:instrText>NUMPAGES</w:instrText>
    </w:r>
    <w:r>
      <w:fldChar w:fldCharType="separate"/>
    </w:r>
    <w:r>
      <w:t>182</w:t>
    </w:r>
    <w:r>
      <w:fldChar w:fldCharType="end"/>
    </w:r>
    <w:r>
      <w:tab/>
    </w:r>
    <w:r>
      <w:rPr>
        <w:rStyle w:val="HideTWBExt"/>
      </w:rPr>
      <w:t>&lt;</w:t>
    </w:r>
    <w:r>
      <w:rPr>
        <w:rStyle w:val="HideTWBExt"/>
      </w:rPr>
      <w:t>PathFdR</w:t>
    </w:r>
    <w:r>
      <w:rPr>
        <w:rStyle w:val="HideTWBExt"/>
      </w:rPr>
      <w:t>&gt;</w:t>
    </w:r>
    <w:r>
      <w:t>AM\1247117CS.docx</w:t>
    </w:r>
    <w:r>
      <w:rPr>
        <w:rStyle w:val="HideTWBExt"/>
      </w:rPr>
      <w:t>&lt;/</w:t>
    </w:r>
    <w:r>
      <w:rPr>
        <w:rStyle w:val="HideTWBExt"/>
      </w:rPr>
      <w:t>PathFdR</w:t>
    </w:r>
    <w:r>
      <w:rPr>
        <w:rStyle w:val="HideTWBExt"/>
      </w:rPr>
      <w:t>&gt;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AM\1247117CS.docx</w:t>
    </w:r>
    <w:r>
      <w:rPr>
        <w:rStyle w:val="HideTWBExt"/>
      </w:rPr>
      <w:t>&lt;/</w:t>
    </w:r>
    <w:r>
      <w:rPr>
        <w:rStyle w:val="HideTWBExt"/>
      </w:rPr>
      <w:t>PathFdR</w:t>
    </w:r>
    <w:r>
      <w:rPr>
        <w:rStyle w:val="HideTWBExt"/>
      </w:rPr>
      <w:t>&gt;</w:t>
    </w:r>
    <w:r>
      <w:tab/>
    </w:r>
    <w:r>
      <w:fldChar w:fldCharType="begin"/>
    </w:r>
    <w:r>
      <w:instrText>PAGE</w:instrText>
    </w:r>
    <w:r>
      <w:fldChar w:fldCharType="separate"/>
    </w:r>
    <w:r>
      <w:t>181</w:t>
    </w:r>
    <w:r>
      <w:fldChar w:fldCharType="end"/>
    </w:r>
    <w:r>
      <w:t>/</w:t>
    </w:r>
    <w:r>
      <w:fldChar w:fldCharType="begin"/>
    </w:r>
    <w:r>
      <w:instrText>NUMPAGES</w:instrText>
    </w:r>
    <w:r>
      <w:fldChar w:fldCharType="separate"/>
    </w:r>
    <w:r>
      <w:t>182</w:t>
    </w:r>
    <w:r>
      <w:fldChar w:fldCharType="end"/>
    </w:r>
    <w:r>
      <w:tab/>
    </w:r>
    <w:r>
      <w:t>PE</w:t>
    </w:r>
    <w:r>
      <w:rPr>
        <w:rStyle w:val="HideTWBExt"/>
      </w:rPr>
      <w:t>&lt;</w:t>
    </w:r>
    <w:r>
      <w:rPr>
        <w:rStyle w:val="HideTWBExt"/>
      </w:rPr>
      <w:t>NoPE</w:t>
    </w:r>
    <w:r>
      <w:rPr>
        <w:rStyle w:val="HideTWBExt"/>
      </w:rPr>
      <w:t>&gt;</w:t>
    </w:r>
    <w:r>
      <w:t>703.276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AM\1247117CS.docx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703.276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182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20220211-121918-191532-714818</vt:lpwstr>
  </property>
  <property fmtid="{D5CDD505-2E9C-101B-9397-08002B2CF9AE}" pid="7" name="FooterPath">
    <vt:lpwstr>AM\1247117CS.docx</vt:lpwstr>
  </property>
  <property fmtid="{D5CDD505-2E9C-101B-9397-08002B2CF9AE}" pid="8" name="PE Number">
    <vt:lpwstr>703.276</vt:lpwstr>
  </property>
  <property fmtid="{D5CDD505-2E9C-101B-9397-08002B2CF9AE}" pid="9" name="UID">
    <vt:lpwstr>eu.europa.europarl-DIN1-2022-0000008731_02.00-cs-01.00_text-xml</vt:lpwstr>
  </property>
</Properties>
</file>